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https://www.agcm.it/dotcmsdoc/bollettini/2022/3-22.pdf</w:t>
      </w:r>
    </w:p>
    <w:p>
      <w:r>
        <w:t>Pages translated : 154</w:t>
      </w:r>
    </w:p>
    <w:p/>
    <w:p>
      <w:r>
        <w:rPr>
          <w:b/>
        </w:rPr>
        <w:t>[Pages 1–3]</w:t>
      </w:r>
    </w:p>
    <w:p>
      <w:r>
        <w:t>Bulletin</w:t>
        <w:br/>
        <w:t>Weekly</w:t>
        <w:br/>
        <w:t>Year XXXII - No. 3</w:t>
        <w:br/>
        <w:t>Published on the website www.agcm.it</w:t>
        <w:br/>
        <w:t>January 17, 2022</w:t>
      </w:r>
    </w:p>
    <w:p>
      <w:r>
        <w:t>SUMMARY</w:t>
        <w:br/>
        <w:t>AGREEMENTS AND ABUSE OF DOMINANT POSITION 5</w:t>
        <w:br/>
        <w:t>I839 - SPECIAL TRANSPORTS OF FLAMMABLES AND WASTE TO AND FROM THE CAMPANIAN ISLANDS</w:t>
        <w:br/>
        <w:t>Decision No. 29961 5</w:t>
        <w:br/>
        <w:t>CONCENTRATION OPERATIONS 77</w:t>
        <w:br/>
        <w:t>C12410B - CINVEN CAPITAL MANAGEMENT-FRESSNAPF BETEILIGUNGS/AGRIFARMA - MAXI ZOO ITALIA</w:t>
        <w:br/>
        <w:t>Decision No. 29966 77</w:t>
        <w:br/>
        <w:t>UNFAIR COMMERCIAL PRACTICES 92</w:t>
        <w:br/>
        <w:t>PS11681 - WIPOT-BULLETINS TRADEMARK PROTECTION SERVICE</w:t>
        <w:br/>
        <w:t>Notice of adoption of closure decision of the proceeding 92</w:t>
        <w:br/>
        <w:t>PS11681 - WIPOT-BULLETINS TRADEMARK PROTECTION SERVICE</w:t>
        <w:br/>
        <w:t>Decision No. 29804 93</w:t>
        <w:br/>
        <w:t>PS11885 - COMMERCIAL GUIDE EXPOGUIDE</w:t>
        <w:br/>
        <w:t>Notice of adoption of closure decision of the proceeding 100</w:t>
        <w:br/>
        <w:t>PS11885 - COMMERCIAL GUIDE EXPOGUIDE</w:t>
        <w:br/>
        <w:t>Decision No. 29833 101</w:t>
        <w:br/>
        <w:t>IP343 - MULPOR–INTERNATIONAL FAIRS DIRECTORY</w:t>
        <w:br/>
        <w:t>Notice of adoption of closure decision of the proceeding 111</w:t>
        <w:br/>
        <w:t>IP343 - MULPOR–INTERNATIONAL FAIRS DIRECTORY</w:t>
        <w:br/>
        <w:t>Decision No. 29848 112</w:t>
        <w:br/>
        <w:t>IP342 - SEO MARKETING</w:t>
        <w:br/>
        <w:t>Decision No. 29862 119</w:t>
        <w:br/>
        <w:t>PS11694 - PEDEMONTANA HIGHWAY - TOLL PAYMENT</w:t>
        <w:br/>
        <w:t>Decision No. 29963 126</w:t>
        <w:br/>
        <w:t>PS11913 - TIRRENIA - CANCELLATION POLICY</w:t>
        <w:br/>
        <w:t>Decision No. 29964 144</w:t>
      </w:r>
    </w:p>
    <w:p>
      <w:r>
        <w:t>BULLETIN NO. 3 OF JANUARY 17, 2022 5</w:t>
        <w:br/>
        <w:t>AGREEMENTS AND ABUSE OF DOMINANT POSITION</w:t>
        <w:br/>
        <w:t>I839 - SPECIAL TRANSPORTS OF FLAMMABLES AND WASTE TO AND FROM THE CAMPANIAN ISLANDS</w:t>
        <w:br/>
        <w:t>Decision No. 29961</w:t>
        <w:br/>
        <w:t>THE ANTITRUST AUTHORITY</w:t>
        <w:br/>
        <w:t>IN ITS MEETING of December 21, 2021;</w:t>
        <w:br/>
        <w:t>HEARD the Rapporteur, Professor Michele Ainis;</w:t>
        <w:br/>
        <w:t>HAVING REGARD to Law No. 287 of October 10, 1990, and subsequent amendments;</w:t>
        <w:br/>
        <w:t>HAVING REGARD to the Presidential Decree No. 217 of April 30, 1998;</w:t>
        <w:br/>
        <w:t>HAVING REGARD to the reports from the companies Ambrosino S.r.l., Eni S.p.A., Barano Multiservizi S.r.l. and the Consumers Users Association;</w:t>
        <w:br/>
        <w:t>HAVING REGARD to its resolution of January 14, 2020, which initiated an investigation, pursuant to Article 14 of Law No. 287/90, against the companies Mediterranea Marittima S.p.A., Medmar Navi S.p.A., Servizi Marittimi Liberi Giuffré &amp; Lauro S.r.l., Tra.Spe.Mar. S.r.l., GML Trasporti Marittimi S.r.l. and the consortium COTRASIR, to ascertain the existence of possible violations of Article 2 of Law No. 287/90 and/or Article 101 of the TFEU;</w:t>
        <w:br/>
        <w:t>HAVING REGARD to its resolution of October 13, 2020, which rejected the commitments submitted, pursuant to Article 14-ter of Law No. 287/1990, by Mediterranea Marittima S.p.A., Medmar Navi S.p.A., Servizi Marittimi Liberi Giuffré &amp; Lauro S.r.l., GML Trasporti Marittimi S.r.l., Tra.Spe.Mar. S.r.l. and the Consortium for Special Flammable Transport and Waste – COTRASIR;</w:t>
        <w:br/>
        <w:t>HAVING REGARD to its resolution of May 25, 2021, which extended the deadline for concluding the proceeding to October 31, 2021;</w:t>
        <w:br/>
        <w:t>HAVING REGARD to its resolution of October 5, 2021, which extended the deadline for concluding the proceeding to December 31, 2021;</w:t>
        <w:br/>
        <w:t>HAVING REGARD to the Communication of Investigative Findings, transmitted to the Parties on October 12, 2021;</w:t>
        <w:br/>
        <w:t>HAVING REGARD to the final submissions of the companies Mediterranea Marittima S.p.A., Medmar Navi S.p.A., Servizi Marittimi Liberi Giuffré &amp; Lauro S.r.l., Tra.Spe.Mar. S.r.l., GML Trasporti Marittimi S.r.l. and the Consortium COTRASIR, received on November 10, 2021;</w:t>
        <w:br/>
        <w:t>HEARD in the final hearing, on November 15, 2021, the representatives of the companies Mediterranea Marittima S.p.A., Medmar Navi S.p.A., Servizi Marittimi Liberi Giuffré &amp; Lauro S.r.l., Tra.Spe.Mar. S.r.l., GML Trasporti Marittimi S.r.l. and the Consortium COTRASIR;</w:t>
        <w:br/>
        <w:t>HAVING REGARD to the documents of the proceeding and the documentation acquired during the investigation;</w:t>
        <w:br/>
        <w:t>CONSIDERING the following:</w:t>
      </w:r>
    </w:p>
    <w:p>
      <w:r>
        <w:rPr>
          <w:b/>
        </w:rPr>
        <w:t>[Pages 4–6]</w:t>
      </w:r>
    </w:p>
    <w:p>
      <w:r>
        <w:t>6 BULLETIN NO. 3 OF JANUARY 17, 2022</w:t>
      </w:r>
    </w:p>
    <w:p>
      <w:r>
        <w:t>I. THE PARTIES</w:t>
      </w:r>
    </w:p>
    <w:p>
      <w:r>
        <w:t>1.1 The reported companies</w:t>
      </w:r>
    </w:p>
    <w:p>
      <w:r>
        <w:t>1. Mediterranea Marittima S.p.A. (“Mediterranea Marittima”) is a holding company, whose shares are held by individuals belonging to the D’Abundo family. The company controls, with 51%, the company Medmar Navi S.p.A.</w:t>
      </w:r>
    </w:p>
    <w:p>
      <w:r>
        <w:t>2. Medmar Navi S.p.A. (“Medmar Navi” or also “Medmar”) is a company that provides maritime transport services, 51% of whose share capital is held by Mediterranea Marittima, 44% by the company Pozzuoli Marittima S.a.s., and 5% by the company Ambrosino S.r.l. The company is active in the special maritime transport sector in the Gulf of Naples.</w:t>
      </w:r>
    </w:p>
    <w:p>
      <w:r>
        <w:t>3. Servizi Marittimi Liberi Giuffré &amp; Lauro S.r.l. (“SMLGL”) is a company that provides maritime transport services for flammables and waste in the Gulf of Naples, owned by a number of individuals from the Lauro and Giuffré families, as well as by another company belonging to the Lauro family, Alilauro Gruson S.p.A.</w:t>
      </w:r>
    </w:p>
    <w:p>
      <w:r>
        <w:t>4. GML Trasporti Marittimi S.r.l. (“GML”) is a company, established in May 2018, by Mediterranea Marittima and the company GRU.SO.N. – Gruppo Sorrentino Navigazione S.r.l. (subsequently replaced, in this participation, by SMLGL), each with a 50% share of the share capital. GML was active in the maritime transport of flammables and waste in the Gulf of Naples. From September 2018 until July 2020, when it was dissolved, the company operated through the Consortium COTRASIR.</w:t>
      </w:r>
    </w:p>
    <w:p>
      <w:r>
        <w:t>5. Tra.Spe.Mar. S.r.l. (“Traspemar”) is a company active in the maritime transport of flammables and waste in the Gulf of Naples. From July 2018 until July 2020, the company operated through the Consortium COTRASIR. The company is wholly controlled by an individual.</w:t>
      </w:r>
    </w:p>
    <w:p>
      <w:r>
        <w:t>6. Consortium for Special Transport of Flammables and Waste (“COTRASIR”) is a Consortium for the transport of flammables and waste in the Gulf of Naples, established in July 2018 by the companies GML and Traspemar and, starting from August 2019, also directly participated in by the company SMLGL. The Consortium was dissolved in July 2020.</w:t>
      </w:r>
    </w:p>
    <w:p>
      <w:r>
        <w:t>1.2 The reporting companies</w:t>
      </w:r>
    </w:p>
    <w:p>
      <w:r>
        <w:t>7. Ambrosino S.r.l. (“Ambrosino”) is an operator that transports petroleum products to and from the islands of Ischia and Procida on its own behalf (it also has a coastal depot in Ischia) and on behalf of the operators present on the islands in the petroleum product distribution sector, including in particular ENI S.p.A. The company is controlled by several individuals.</w:t>
      </w:r>
    </w:p>
    <w:p>
      <w:r>
        <w:t>8. ENI S.p.A. (“ENI”) is the holding company – listed on the national stock market – at the head of the ENI group, active worldwide in the energy sectors. The company is active in the fuel sales markets on the island of Ischia, for the transport of which it relies on the company Ambrosino. ENI's share capital is currently held 26.4% by Cassa Depositi e Prestiti S.p.A., 3.9% by the Ministry of Economy and Finance, and is distributed on the market for the remaining portion.</w:t>
      </w:r>
    </w:p>
    <w:p>
      <w:r>
        <w:t>BULLETIN NO. 3 OF JANUARY 17, 2022 7</w:t>
      </w:r>
    </w:p>
    <w:p>
      <w:r>
        <w:t>9. Barano Multiservizi S.r.l. (“Barano Multiservizi”) is the in-house company of the Municipality of Barano d’Ischia for waste collection services, wholly controlled by the local authority itself.</w:t>
      </w:r>
    </w:p>
    <w:p>
      <w:r>
        <w:t>10. Consumers Users Association (“ACU”) is a non-profit organization, active throughout the national territory and aimed at promoting, implementing, and protecting the interests and rights of the citizen consumer and user.</w:t>
      </w:r>
    </w:p>
    <w:p>
      <w:r>
        <w:t>II. THE INVESTIGATIVE PROCEDURE</w:t>
      </w:r>
    </w:p>
    <w:p>
      <w:r>
        <w:t>11. With a report dated March 4, 2019, subject to subsequent integrations, the company Ambrosino reported to the Authority the actions of the Consortium for Special Transport of Flammables and Waste (COTRASIR), stating that, starting from September 2018, the company GML, which provides maritime transport services for fuels along the Naples-Procida-Ischia route, had communicated to its customers (including the reporter) the takeover of COTRASIR in the ticketing and invoicing activity; at the same time, GML had communicated a new timetable and new (increased) rates. Further increases were then communicated directly by the Consortium starting from December 16, 2018, and April 1, 2019. Ambrosino complained of having suffered "severe economic damages" as a result of the tariff changes (amounts defined by it as "absurd") implemented by the newly established Consortium, which were also destined to indirectly affect the prices of final products, "to the detriment of the entire island community."</w:t>
      </w:r>
    </w:p>
    <w:p>
      <w:r>
        <w:t>12. A second report, concerning competitive restrictions of another kind (related to alleged abusive conduct) in the fuel transport market to the islands of the Gulf of Naples, had previously been received in May 2018 from the Consumers Users Association – ACU.</w:t>
      </w:r>
    </w:p>
    <w:p>
      <w:r>
        <w:t>13. On June 11, 2019, the Authority received another report from the Municipality of Barano d’Ischia, representing the municipalities of the islands of Ischia and Procida, which complained of a series of problems encountered regarding the maritime transport of waste from the islands to the mainland, also carried out by COTRASIR. The report from the Municipality of Barano particularly denounced, also regarding this service, a significant increase in the prices requested by COTRASIR in the previous months. Furthermore, the Municipality of Barano complained of numerous service disruptions experienced by local waste collection companies: repeated and unjustified cancellations of trips, unjustifiably burdensome conditions for booking requiring simultaneous reservation of both the outbound and return trip, penalizing conditions due to the request for advance payment for both trips. According to the report received, the municipalities themselves and the waste collection companies depended on the unilateral decisions of COTRASIR, which managed the services in question "without the Entities being able to do anything, as there were no alternatives for said transport."</w:t>
      </w:r>
    </w:p>
    <w:p>
      <w:r>
        <w:t>14. On July 19, 2019, a report was finally received from ENI, a customer of Ambrosino for the transport of fuels from the mainland to the island of Ischia. The company highlighted that, since the two shipping companies, GML and Traspemar, which managed the maritime transport services for fuels and waste to and from the island, had created COTRASIR, it operated in a regime of substantial monopoly, and had immediately and abnormally increased the level of fuel transport prices, which had risen by over 300% from the summer of 2018 to April 2019.</w:t>
      </w:r>
    </w:p>
    <w:p>
      <w:r>
        <w:t>15. During the pre-investigative phase, the Authority also requested information deemed useful for its assessments from COTRASIR (see Consortium's response of July 19, 2019) and from the Port Authority of Naples (see response communications of October 11, 2019, November 13, 2019, and November 22, 2019).</w:t>
      </w:r>
    </w:p>
    <w:p>
      <w:r>
        <w:t>16. Based on the reports received and the information acquired, the Authority, in the meeting of January 14, 2020, initiated an investigative procedure, pursuant to Article 14 of Law No. 287/90, against Mediterranea Marittima S.p.A. (“Mediterranea Marittima”), Medmar Navi S.p.A. (“Medmar Navi” or “Medmar”), Servizi Marittimi Liberi Giuffré and Lauro S.r.l. (“SMLGL”), Tra.Spe.Mar. S.r.l. (“Traspemar”), GML Trasporti Marittimi S.r.l. (“GML”), and Consortium for Special Transport of Flammables and Waste (“COTRASIR”) (jointly also, the “Parties”), in order to verify whether the reported conduct constituted a restrictive agreement of competition in violation of Article 2 of Law No. 287/1990 and/or Article 101 of the TFEU, in the services of transport of flammables and waste in the Gulf of Naples, in the form of a concerted horizontal price fixing and conditions of operation of the services themselves.</w:t>
      </w:r>
    </w:p>
    <w:p>
      <w:r>
        <w:t>17. On January 22, 2020, inspections were carried out, both at the premises of the companies Parties to the procedure and at the additional company Caremar S.p.A., in order to acquire documentation useful for the investigation.</w:t>
      </w:r>
    </w:p>
    <w:p>
      <w:r>
        <w:t>18. During the procedure, the Parties repeatedly requested and obtained the right to access the documentation of the file not covered by confidentiality.</w:t>
      </w:r>
    </w:p>
    <w:p>
      <w:r>
        <w:t>19. On March 20, 2021, the Parties jointly submitted commitments, pursuant to Article 14-ter of Law No. 287 of October 10, 1990, aimed at removing the anticompetitive aspects of the alleged infringement. The commitments were subsequently amended and presented in final version on July 1, 2020. They consisted, in summary, of the commitment to dissolve COTRASIR and GML and to refrain in the future from any form of concertation aimed at the provision of the services analyzed by the investigation, including any consortial management of the same; the commitment, for five years, to organize periodic technical tables with the main users of the transport services concerned in order to verify the possibility of increasing</w:t>
      </w:r>
    </w:p>
    <w:p>
      <w:r>
        <w:rPr>
          <w:b/>
        </w:rPr>
        <w:t>[Pages 7–9]</w:t>
      </w:r>
    </w:p>
    <w:p>
      <w:r>
        <w:t>BULLETIN NO. 3 OF JANUARY 17, 2022 9</w:t>
        <w:br/>
        <w:t>the quality of the same in relation to the needs expressed by the demand; in the voluntary application for five years of specific price caps to the transport services analyzed by the investigation.</w:t>
        <w:br/>
        <w:t>20. The commitments proposed by the Parties were admitted to the market test by resolution of the Authority on July 14, 2020. By the closing deadline set for August 19, 2020, the companies Barano Multiservizi S.r.l., Ambrosino S.r.l., and ENI S.p.A. submitted their comments9. On September 18, 2020, the Parties' replies to the observations made during the market test were received, along with a new version of the commitments, including some ancillary modifications. By decision of October 13, 2020, the Authority ultimately rejected the commitments, deeming them inadequate to remove the anticompetitive aspects under investigation and considering that, in any case, there was an interest in proceeding with the ascertainment of any infringement.</w:t>
        <w:br/>
        <w:t>21. In January and February 2021, all Parties were heard in a hearing, as well as the reporting entities Ambrosino and ENI10.</w:t>
        <w:br/>
        <w:t>22. During the proceedings, information was also requested, on several occasions from the Parties, from some of the reporting entities (such as ENI, the Municipality of Barano d’Ischia, and the Municipality of Casamicciola Terme), as well as from third parties deemed capable of providing useful elements for the investigation, and, in particular, from the additional Municipalities of Ischia, Forio, Lacco Ameno, Serrara Fontana, Procida, Capri, and Anacapri, belonging to the Gulf of Naples area. Subsequently, similar requests for information were sent to the Municipalities of other small Italian islands, particularly to those of Favignana, Isola del Giglio, Campo dell’Elba, Capoliveri, Rio, Porto Azzurro, Marciana, Marciana Marina, Tremiti, Lipari, S. Maria Salina, Malfa, Leni, Ponza, Ventotene, Capraia Isola, Campoforte, La Maddalena, and Ustica. Furthermore, information requests were sent to the IT service company Neido.com S.r.l. and to the companies selling flammables Api Holding S.p.A., Esso Italiana S.r.l., Tamoil Italia S.p.A., Repsol Italia S.p.A., Kuwait Petroleum S.p.A., Retitalia S.p.A.11.</w:t>
        <w:br/>
        <w:t>23. In order to carry out the necessary investigative deepening and allow for adequate exercise of the right of defense for the Parties, the Authority decided, on May 25, 2021, to extend the deadline for concluding the proceedings to October 31, 2021, and, on October 5, 2021, a further extension of the deadline for concluding the proceedings to December 31, 2021.</w:t>
        <w:br/>
        <w:t>24. On October 12, 2021, the Communication of Investigative Findings was sent to the Parties.</w:t>
        <w:br/>
        <w:t>25. On November 10, 2021, Mediterranea Marittima S.p.A., Medmar Navi S.p.A., Servizi Marittimi Liberi Giuffré &amp; Lauro S.r.l., Tra.Spe.Mar. S.r.l., GML Trasporti Marittimi S.r.l., and the COTRASIR Consortium submitted concluding memoranda.</w:t>
        <w:br/>
        <w:t>26. On November 15, 2021, the final hearing was held before the Board, during which the representatives of Mediterranea Marittima S.p.A., Medmar Navi S.p.A., Servizi Marittimi Liberi Giuffré &amp; Lauro S.r.l., Tra.Spe.Mar. S.r.l., GML Trasporti Marittimi S.r.l., and the COTRASIR Consortium were heard.</w:t>
        <w:br/>
        <w:t>9 Respectively, docs. 7, 13, and 14 of the commitments sub-procedure.</w:t>
        <w:br/>
        <w:t>10 In particular, see docs. 137, 169, 170, 171, 173, 180, and 184.</w:t>
        <w:br/>
        <w:t>11 See docs. 152-163, 179, 199-214, 228-232, 234-239.</w:t>
      </w:r>
    </w:p>
    <w:p>
      <w:r>
        <w:t>10 BULLETIN NO. 3 OF JANUARY 17, 2022</w:t>
        <w:br/>
        <w:t>III. THE INVESTIGATIVE FINDINGS</w:t>
        <w:br/>
        <w:t>3.1 The sector of special maritime transport for the islands of the Gulf of Naples</w:t>
        <w:br/>
        <w:t>3.1.1 The offer</w:t>
        <w:br/>
        <w:t>The methods of maritime transport of special products</w:t>
        <w:br/>
        <w:t>27. The services involved in the proceedings are maritime transports of flammable products (in particular, fuels) and waste to and from the islands of the Gulf of Naples. These services are utilized, respectively, by companies active in the fuel distribution market and by companies managing urban solid waste active in the islands of the Gulf of Naples. In both cases, for the transports in question, vehicles are used which, in turn, require, for sea transfer, to be accommodated on specific naval means.</w:t>
        <w:br/>
        <w:t>28. Fuels fall under the so-called dangerous goods12, for which the ship must be equipped with a specific "certificate of conformity"13, issued by the Ministry of Infrastructure and Transport, General Command of the Port Authorities or by another body recognized by it. Furthermore, the transport tends to be carried out by making some distinctions between categories of fuels: in fact, for example, the transport of LPG gas has its own distinct pricing compared to other types of flammables (referred to by transporters as "gasolines")14.</w:t>
        <w:br/>
        <w:t>29. In theory, the fuel transport service could also be carried out through the rental of private barges by oil companies. However, for the organization of a direct transport by fuel sellers, typically lacking nautical experience and capability, to be profitable, it is necessary that the volumes transported along the affected routes reach a minimum size (or that there is a particular specific interest in carrying out the transport), a circumstance that, in general, is not easy to find for a single operator and that, in any case, does not occur with reference to the routes of interest here; indeed, this alternative organization of the service has never actually established itself in the Gulf of Naples15.</w:t>
        <w:br/>
        <w:t>30. With regard to waste, they are assimilated to goods as far as the regulatory regime concerning maritime transport and the related discipline of loading, unloading, transshipment, storage, and handling in port areas is concerned. In particular, waste, normally, unless declared compliant with specific Circulars of the Port Authorities, are assimilated to dangerous goods and, consequently, can only be loaded onto specific naval means designated for the transport of dangerous goods16.</w:t>
        <w:br/>
        <w:t>31. The classification of waste as non-dangerous goods (therefore transportable in the so-called "mixed" mode on normal cargo and/or passenger ferries) requires compliance with specific Circulars from the General Command of the Port Authorities, which set forth specific rules for the maritime transport of waste. In particular, for the routes of interest, the Ordinance No. 10/2015 of the Ministry of Infrastructure and Transport – Maritime District Office of Ischia17 is on record, which regulates the "administrative procedures concerning the maritime transport of municipal solid waste coming from the regular collection activities carried out in the Municipalities of the Island of Ischia and Procida carried out with compactor trucks and other vehicles authorized for waste transport"18. The aforementioned prescriptions provide, among other things: that the vehicles containing the waste are free of leakages; that they have undergone a thorough washing of the external surface before boarding; that they do not remain in the port area but are immediately boarded; that the transport is communicated to the maritime authority of the port of embarkation within 24 hours prior to obtain specific authorization19. In this sense, the company Caremar has stated that the transport of waste "can be carried out on normal passenger ferries, only in compliance with specific conditions and authorizations from the Port Authority, when the loading conditions of the ship allow it and at specific times (for example, nighttime)"20.</w:t>
        <w:br/>
        <w:t>32. In the absence of compliance with the entirety of the aforementioned prescriptions, which entail additional burdens for the municipal solid waste collection companies, the ordinary mode of transport of waste is therefore that which uses ships authorized for the transport of dangerous goods (including fuels), which, compared to the "mixed" mode, although it incurs a higher price due to the use of a dedicated transport service, allows the collection company both to avoid the costs of operations that would be necessary to allow the transport of waste via ferries, and to benefit from a service more tailored to its needs.</w:t>
        <w:br/>
        <w:t>33. On the island of Ischia (by far the most populous in the Gulf of Naples, see below), the ordinary transport of waste through dedicated ships is the prevailing mode, involving about 80% of the volumes of municipal solid waste; it is also used, albeit not predominantly, for transports to the island of Capri (where instead the use of mixed transport of waste via line ferries is greater)21.</w:t>
        <w:br/>
        <w:t>34. In conclusion, therefore, for the transport of fuels and waste, suitable and authorized naval means are required, and it also emerges a close contiguity between the two types of transport services which can be carried out – and are often carried out – by the same type of naval units, which are therefore usable interchangeably for both the transport of flammables and gas, and for the dedicated transport of waste.</w:t>
        <w:br/>
        <w:t>35. From the perspective of the regulatory framework of the services, it should be noted that the transports in question are not classified as services of public interest and, therefore, their offer occurs</w:t>
        <w:br/>
        <w:t>17 Doc. 18. Similar to the cited Ordinance, Ordinance No. 1/2013 of the Ministry of Infrastructure and Transport – Maritime District Office of Capri can be found online.</w:t>
        <w:br/>
        <w:t>18 In implementation of the Circulars of the General Command of the Port Authorities No. 22/2008 and No. 27/2012.</w:t>
        <w:br/>
        <w:t>19 If the transport is carried out always with the same vehicles and on the same ships, a periodic authorization may be issued, however not exceeding 30 days. In any case, even in the presence of a periodic authorization, the service manager must send, before each individual trip, specific documentation to the maritime authority of the port of embarkation (identification form of the waste subject to transport, communication containing the trip data, etc.).</w:t>
        <w:br/>
        <w:t>20 See Caremar minutes doc. 33.</w:t>
        <w:br/>
        <w:t>21 See docs. 172, 176, 182, 187, 189.</w:t>
      </w:r>
    </w:p>
    <w:p>
      <w:r>
        <w:rPr>
          <w:b/>
        </w:rPr>
        <w:t>[Pages 10–12]</w:t>
      </w:r>
    </w:p>
    <w:p>
      <w:r>
        <w:t>12 BULLETIN NO. 3 OF JANUARY 17, 2022</w:t>
      </w:r>
    </w:p>
    <w:p>
      <w:r>
        <w:t>in a free market regime22. In fact, both types of transport are carried out through non-scheduled services and towards the same predetermined clientele (see infra). Furthermore, particularly in the case of waste, the very operations of loading and unloading and the movement of vehicles loaded onto the ships within the islands, ports, and populated areas, often result in these transports being carried out at night.</w:t>
      </w:r>
    </w:p>
    <w:p>
      <w:r>
        <w:t>The active operators</w:t>
      </w:r>
    </w:p>
    <w:p>
      <w:r>
        <w:t>36. The routes involved in the proceedings are as follows: i) the Naples-Procida-Ischia route, used for so-called flammables including gas and fuels (approximately 19 miles long); ii) the Ischia (Casamicciola)-Procida-Pozzuoli route, used for waste transport (approximately 12 miles long); iii) the Naples-Capri round trip, used for both flammables and waste (approximately 17 miles long).</w:t>
      </w:r>
    </w:p>
    <w:p>
      <w:r>
        <w:t>37. The services concerned, therefore, relate to the connections with the three islands of the Gulf of Naples, namely the islands of Ischia (populated by about 70,000 inhabitants, grouped into 6 municipalities and served by 3 port infrastructures23), Procida (populated by about 10,000 inhabitants grouped into a single municipality and served by a single port infrastructure), and Capri (populated by about 14,000 inhabitants grouped into two municipalities and served by a single port infrastructure).</w:t>
      </w:r>
    </w:p>
    <w:p>
      <w:r>
        <w:t>38. Regarding the structure of the supply, it includes operators who possess suitable naval units and who have actually operated the transport services of flammables and municipal solid waste (MSW) to and from the islands of the Gulf of Naples. Tables 1 and 2 that follow provide the list of active subjects from 2015 to the present, respectively, in the two services on the affected routes24.</w:t>
      </w:r>
    </w:p>
    <w:p>
      <w:r>
        <w:t>39. As emerges from the tables, the services in question have traditionally always been offered by the same operators, namely Medmar Navi, SMGL, and Traspemar, individually or through the joint initiatives GML and COTRASIR, each of which, moreover, generally operates "exclusively" on a single route (see infra). With regard solely to the service of transporting municipal solid waste from the islands of the Gulf to the mainland, the table also reports, for completeness, the case of so-called "mixed" transport, that is, through the normal scheduled ferries which, however, as illustrated (see supra), is carried out only in compliance with a specific and stringent regulation, and has in fact assumed a completely residual nature. Among the active operators with this so-called "mixed" mode of waste transport are the former regional company Caremar S.p.A. ("Caremar") and Medmar Navi itself (as an active operator in the scheduled transport to and from the island of Ischia), along with other minor operators (including the company Gestour S.r.l., "Gestour")25.</w:t>
      </w:r>
    </w:p>
    <w:p>
      <w:r>
        <w:t>22 With the exception of the few cases mentioned where waste, being able to travel in mixed mode together with passenger transport, can be transported by companies that, due to this latter activity, operate under public service. As mentioned, however, this is a mode used in a minority compared to that which provides for the use of dedicated means and conducted in a market regime.</w:t>
      </w:r>
    </w:p>
    <w:p>
      <w:r>
        <w:t>23 One of these infrastructures, however, namely the port of Forio, is exclusively used for hydrofoils and is not used for the types of transport under investigation.</w:t>
      </w:r>
    </w:p>
    <w:p>
      <w:r>
        <w:t>24 These lists result from information provided by the Port Authority of Naples (see doc. 19), by the Parties (see docs. 137, 169, 170, 171, 180, as well as, by way of example, doc. 42, AGCM minutes at SMLGL), by customers (see docs. 172, 173, 176, 182, 184, 187, and 189) and derived from the inspection documentation (see docs. 30.1-30.14).</w:t>
      </w:r>
    </w:p>
    <w:p>
      <w:r>
        <w:t>25 As illustrated, this mode of transport is of a minority character with reference to the island of Ischia while it has, in recent years, tended to be the one used predominantly with reference to the island of Capri, where recent municipal administrations have made extensive use of the scheduled services provided by Caremar. The latter company, however, stated during the inspection that "with regard to the transport of MSW, it is merely a residual activity for Caremar, which can be carried out on normal passenger ferries, only in compliance with specific conditions and authorizations from the Port Authority, when the loading conditions of the ship allow it and at specific times (for example, at night)," see doc. 33, AGCM minutes at the company's headquarters (in particular, oral information provided there).</w:t>
      </w:r>
    </w:p>
    <w:p>
      <w:r>
        <w:t>26 It is noted that this company, following a privatization procedure, was sold in July 2015 by the Campania Region to the business grouping formed by the companies SNAV S.p.A. and RIFIM S.p.A..</w:t>
      </w:r>
    </w:p>
    <w:p>
      <w:r>
        <w:t>14 BULLETIN NO. 3 OF JANUARY 17, 2022</w:t>
      </w:r>
    </w:p>
    <w:p>
      <w:r>
        <w:t>Table 1: Transport of fuels to the islands of the Gulf of Naples: active shipowners and vessels used Years 2015-2020</w:t>
      </w:r>
    </w:p>
    <w:p>
      <w:r>
        <w:t>Route holder (ticketing) Vessels used and ownership</w:t>
      </w:r>
    </w:p>
    <w:p>
      <w:r>
        <w:t>2015</w:t>
        <w:br/>
        <w:t>Medmar Navi/Pozzuoli Ferries Medmar Navi/Pozzuoli Ferries (TFBI, TFBII)</w:t>
        <w:br/>
        <w:t>Servizi Marittimi Liberi Giuffré &amp; Lauro (Aries</w:t>
        <w:br/>
        <w:t>Servizi Marittimi Liberi Giuffré &amp; Lauro</w:t>
        <w:br/>
        <w:t>Tide, Billton)</w:t>
      </w:r>
    </w:p>
    <w:p>
      <w:r>
        <w:t>2016</w:t>
        <w:br/>
        <w:t>Medmar Navi Medmar Navi (TFBII, TFBIII)</w:t>
        <w:br/>
        <w:t>Servizi Marittimi Liberi Giuffré &amp; Lauro (Aries</w:t>
        <w:br/>
        <w:t>Servizi Marittimi Liberi Giuffré &amp; Lauro</w:t>
        <w:br/>
        <w:t>Tide, Billton)</w:t>
      </w:r>
    </w:p>
    <w:p>
      <w:r>
        <w:t>2017</w:t>
        <w:br/>
        <w:t>Medmar Navi Medmar Navi (TFBII, TFBIII)</w:t>
        <w:br/>
        <w:t>Servizi Marittimi Liberi Giuffré &amp; Lauro (Aries</w:t>
        <w:br/>
        <w:t>Servizi Marittimi Liberi Giuffré &amp; Lauro</w:t>
        <w:br/>
        <w:t>Tide, Billton)</w:t>
        <w:br/>
        <w:t>Fuelmar Traspemar (Don Angelo)</w:t>
      </w:r>
    </w:p>
    <w:p>
      <w:r>
        <w:t>2018</w:t>
        <w:br/>
        <w:t>Medmar Navi (until June) Medmar Navi (TFBII)</w:t>
        <w:br/>
        <w:t>Servizi Marittimi Liberi Giuffré &amp; Lauro (until Servizi Marittimi Liberi Giuffré &amp; Lauro (Aries</w:t>
        <w:br/>
        <w:t>June) Tide, Billton)</w:t>
        <w:br/>
        <w:t>Medmar Navi (TFBII), Servizi Marittimi Liberi</w:t>
        <w:br/>
        <w:t>G.M.L. Trasporti Marittimi (from</w:t>
        <w:br/>
        <w:t>Giuffré &amp; Lauro (Aries Tide) and Traspemar (Don</w:t>
        <w:br/>
        <w:t>June)/Cotrasir</w:t>
        <w:br/>
        <w:t>Angelo)</w:t>
        <w:br/>
        <w:t>Fuelmar (until September) Traspemar (Don Angelo)</w:t>
      </w:r>
    </w:p>
    <w:p>
      <w:r>
        <w:t>2019</w:t>
        <w:br/>
        <w:t>Medmar Navi (TFBII) and Servizi Marittimi Liberi</w:t>
        <w:br/>
        <w:t>G.M.L. Trasporti Marittimi/Cotrasir</w:t>
        <w:br/>
        <w:t>Giuffré &amp; Lauro (Billton)</w:t>
      </w:r>
    </w:p>
    <w:p>
      <w:r>
        <w:t>2020</w:t>
        <w:br/>
        <w:t>G.M.L. Trasporti Marittimi/Cotrasir (until Medmar Navi (TFBII) and Servizi Marittimi Liberi</w:t>
        <w:br/>
        <w:t>July) Giuffré &amp; Lauro (Billton)</w:t>
        <w:br/>
        <w:t>Medmar Navi (from August) Medmar Navi (TFBII)</w:t>
        <w:br/>
        <w:t>Servizi Marittimi Liberi Giuffré &amp; Lauro (from Servizi Marittimi Liberi Giuffré &amp; Lauro (Aries</w:t>
        <w:br/>
        <w:t>August) Tide, Billton)</w:t>
      </w:r>
    </w:p>
    <w:p>
      <w:r>
        <w:t>2021</w:t>
        <w:br/>
        <w:t>Medmar Navi Medmar Navi (TFBII)</w:t>
        <w:br/>
        <w:t>Servizi Marittimi Liberi Giuffré &amp; Lauro (Aries</w:t>
        <w:br/>
        <w:t>Servizi Marittimi Liberi Giuffré &amp; Lauro</w:t>
        <w:br/>
        <w:t>Tide, Billton)</w:t>
      </w:r>
    </w:p>
    <w:p>
      <w:r>
        <w:t>Table 2: Transport of waste from the islands of the Gulf of Naples: active shipowners and vessels used Years 2015-2020</w:t>
      </w:r>
    </w:p>
    <w:p>
      <w:r>
        <w:t>Route holder (ticketing) Vessels used and ownership</w:t>
      </w:r>
    </w:p>
    <w:p>
      <w:r>
        <w:t>2015</w:t>
        <w:br/>
        <w:t>Traspemar (dedicated) Traspemar (TFBIII, Giuseppina I)</w:t>
        <w:br/>
        <w:t>Servizi Marittimi Liberi Giuffré &amp; Lauro Servizi Marittimi Liberi Giuffré &amp; Lauro (Aries</w:t>
        <w:br/>
        <w:t>(dedicated) Tide, Billton)</w:t>
        <w:br/>
        <w:t>Medmar Navi, Caremar, Others (mixed) Passenger transport vessels</w:t>
      </w:r>
    </w:p>
    <w:p>
      <w:r>
        <w:t>2016</w:t>
        <w:br/>
        <w:t>Traspemar (Giuseppina I, Don Angelo),</w:t>
        <w:br/>
        <w:t>Traspemar (dedicated)</w:t>
        <w:br/>
        <w:t>Medmar Navi (TFBII)</w:t>
        <w:br/>
        <w:t>Servizi Marittimi Liberi Giuffré &amp; Lauro Servizi Marittimi Liberi Giuffré &amp; Lauro (Aries</w:t>
        <w:br/>
        <w:t>(dedicated) Tide, Billton)</w:t>
        <w:br/>
        <w:t>Medmar Navi, Caremar, Others (mixed) Passenger transport vessels</w:t>
      </w:r>
    </w:p>
    <w:p>
      <w:r>
        <w:t>2017</w:t>
        <w:br/>
        <w:t>Traspemar (dedicated) Traspemar (Giuseppina I, Don Angelo)</w:t>
        <w:br/>
        <w:t>Servizi Marittimi Liberi Giuffré &amp; Lauro Servizi Marittimi Liberi Giuffré &amp; Lauro (Aries</w:t>
        <w:br/>
        <w:t>(dedicated) Tide, Billton)</w:t>
        <w:br/>
        <w:t>Medmar Navi (dedicated, from November) Medmar Navi (Agata)</w:t>
        <w:br/>
        <w:t>Medmar Navi, Caremar, Others (mixed) Passenger transport vessels</w:t>
      </w:r>
    </w:p>
    <w:p>
      <w:r>
        <w:t>2018</w:t>
        <w:br/>
        <w:t>Traspemar (dedicated)/Cotrasir (from September) Traspemar (Giuseppina I, Don Angelo)</w:t>
        <w:br/>
        <w:t>Servizi Marittimi Liberi Giuffré &amp; Lauro Servizi Marittimi Liberi Giuffré &amp; Lauro (Aries</w:t>
        <w:br/>
        <w:t>(dedicated, until June) Tide, Billton)</w:t>
        <w:br/>
        <w:t>Medmar Navi (dedicated, until June) Medmar Navi (Agata)</w:t>
        <w:br/>
        <w:t>G.M.L. Trasporti Marittimi (dedicated, from Medmar Navi (TFBII) and Servizi Marittimi Liberi</w:t>
        <w:br/>
        <w:t>June)/Cotrasir (from September) Giuffré &amp; Lauro (Aries Tide)</w:t>
        <w:br/>
        <w:t>Medmar Navi, Caremar, Others (mixed) Passenger transport vessels</w:t>
      </w:r>
    </w:p>
    <w:p>
      <w:r>
        <w:t>2019</w:t>
        <w:br/>
        <w:t>Traspemar (dedicated)/Cotrasir Traspemar (Giuseppina I, Don Angelo)</w:t>
        <w:br/>
        <w:t>Medmar Navi (TFBII) and Servizi Marittimi Liberi</w:t>
        <w:br/>
        <w:t>G.M.L. Trasporti Marittimi (dedicated)/Cotrasir</w:t>
        <w:br/>
        <w:t>Giuffré &amp; Lauro (Billton and Aries Tide)</w:t>
        <w:br/>
        <w:t>Medmar Navi, Caremar, Others (mixed) Passenger transport vessels</w:t>
      </w:r>
    </w:p>
    <w:p>
      <w:r>
        <w:t>2020</w:t>
        <w:br/>
        <w:t>Traspemar (Giuseppina I), Servizi Marittimi</w:t>
        <w:br/>
        <w:t>Traspemar (dedicated)/Cotrasir (until July)</w:t>
        <w:br/>
        <w:t>Liberi Giuffrè &amp; Lauro (Aries Tide)</w:t>
        <w:br/>
        <w:t>G.M.L. Trasporti Marittimi (dedicated, until Medmar Navi (TFBII) and Servizi Marittimi Liberi</w:t>
        <w:br/>
        <w:t>July)/Cotrasir (until July) Giuffré &amp; Lauro (Billton and Aries Tide)</w:t>
        <w:br/>
        <w:t>Servizi Marittimi Liberi Giuffré &amp; Lauro Servizi Marittimi Liberi Giuffré &amp; Lauro (Aries</w:t>
        <w:br/>
        <w:t>(dedicated, from August) Tide, Billton)</w:t>
        <w:br/>
        <w:t>Medmar Navi, Caremar, Others (mixed) Passenger transport vessels</w:t>
      </w:r>
    </w:p>
    <w:p>
      <w:r>
        <w:t>2021</w:t>
        <w:br/>
        <w:t>Traspemar (Giuseppina I), Servizi Marittimi</w:t>
        <w:br/>
        <w:t>Traspemar (dedicated)</w:t>
        <w:br/>
        <w:t>Liberi Giuffrè &amp; Lauro (Aries Tide)</w:t>
        <w:br/>
        <w:t>Servizi Marittimi Liberi Giuffré &amp; Lauro Servizi Marittimi Liberi Giuffré &amp; Lauro (Aries</w:t>
        <w:br/>
        <w:t>(dedicated) Tide, Billton)</w:t>
        <w:br/>
        <w:t>Medmar Navi, Caremar, Others (mixed) Passenger transport vessels</w:t>
      </w:r>
    </w:p>
    <w:p>
      <w:r>
        <w:t>41. With reference to the transport of flammables (fuels and gas), until 2017 only the two historical operators Medmar Navi and SMLGL were active in the Gulf, serving the first the route</w:t>
      </w:r>
    </w:p>
    <w:p>
      <w:r>
        <w:rPr>
          <w:b/>
        </w:rPr>
        <w:t>[Pages 13–15]</w:t>
      </w:r>
    </w:p>
    <w:p>
      <w:r>
        <w:t>BULLETIN NO. 3 OF JANUARY 17, 2022 15</w:t>
        <w:br/>
        <w:t>Naples-Procida-Ischia and the second the Naples-Capri route27. During the same period, the companies that practiced the transport of waste with dedicated ships were only Traspemar and still SMLGL; the former provided the waste transport service along the Ischia (Casamicciola)-Procida-Pozzuoli route and the latter along the Capri-Naples route.</w:t>
      </w:r>
    </w:p>
    <w:p>
      <w:r>
        <w:t>42. In the years 2017 and 2018, however, the company Fuelmar joined as an active operator in the transport of flammables to Ischia, using vessels owned by Traspemar, while also with reference to Ischia, following Fuelmar's entry into the transport of flammables, Medmar Navi began to operate as a dedicated waste transporter to the mainland.</w:t>
      </w:r>
    </w:p>
    <w:p>
      <w:r>
        <w:t>43. Both of these initiatives, however, ceased during 2018: from that moment on, therefore, albeit through different corporate and organizational forms, the shipowners resumed operating routes and services similar to those of the scenario prior to 2017. Following the cessation of Fuelmar's operations, in fact, Traspemar's ships resumed focusing solely on waste transport from the island of Ischia28. During the same period, in which the joint company GML was first established between Mediterranea Marittima and SMLGL29 and, shortly thereafter, the consortium COTRASIR between GML and Traspemar itself, the Medmar group (now operating through GML) ceased to provide the waste transport service for the island of Ischia.</w:t>
      </w:r>
    </w:p>
    <w:p>
      <w:r>
        <w:t>44. Following the voluntary implementation of the commitment proposal, pursuant to Article 14-ter of Law 287/90, which was subsequently rejected by the Authority, the joint initiatives GML and COTRASIR were dissolved during 2020; from that moment on, Medmar Navi and SMLGL resumed directly providing the transport services they had performed until 2017. Similarly, Traspemar also resumed its individual activity, limiting itself to operating the routes it had traditionally operated until 2017.</w:t>
      </w:r>
    </w:p>
    <w:p>
      <w:r>
        <w:t>3.1.2. The Demand</w:t>
      </w:r>
    </w:p>
    <w:p>
      <w:r>
        <w:t>45. The demand for the services in question is represented, in the case of flammables, by all the entities involved in the distribution of such products in the islands of the Gulf of Naples. Among them are fuel distributors for motor vehicles, facilities for refueling marine fuels, transport companies, distributors or consumers of LPG cylinders, and, in general, all users of fuels and gas on the same islands. These entities, in turn, sometimes rely on other companies that organize the transport of the products and that, in such cases, are the entities that interact with the shipping companies.</w:t>
      </w:r>
    </w:p>
    <w:p>
      <w:r>
        <w:t>46. With reference to the transport of waste, the demand is represented by the municipal solid waste collection companies active in the various municipalities of the islands of the Gulf, which are required to ensure the transport of the waste to the locations where subsequent treatment takes place, typically located on the mainland. Similarly, these services can be used to transport special waste or construction waste. In the latter case, the return trips to the islands of the vehicles used for the transport of waste can be utilized to transport other materials, including, for example, supplies of construction materials for reuse on the islands.</w:t>
      </w:r>
    </w:p>
    <w:p>
      <w:r>
        <w:t>3.1.3. Methods of Service Delivery and Price Definition</w:t>
      </w:r>
    </w:p>
    <w:p>
      <w:r>
        <w:t>47. As previously mentioned, the transport of both flammables and waste through dedicated ships occurs, in practice, through the loading of specific vehicles that are in turn loaded with the products (flammables or waste) for which transport is requested. For this reason, generally, the sale of the service occurs on a round-trip (A/R) basis.</w:t>
      </w:r>
    </w:p>
    <w:p>
      <w:r>
        <w:t>48. As for the fees for the service, freely determined by the shipping companies (being these, as already illustrated, not burdened by any public service obligation for both types of transport), they can be commensurate with the space occupied on the ship by the vehicles themselves. In particular, one of the pricing methods widely used in maritime transport of vehicles is, indeed, that based on the area occupied by them. As emerges from the investigative analysis, this pricing method has been adopted by the shipping companies active in the transport of waste from the islands of the Gulf of Naples in recent years (at least since 2015)30, as well as for the transport of flammables to Procida and Ischia during the period between the end of 2017 and the end of 2018.</w:t>
      </w:r>
    </w:p>
    <w:p>
      <w:r>
        <w:t>49. With reference to the transport of flammables, an alternative pricing method provides for a fee based on the capacity – and not on the area – of the vehicles themselves, thus translating into a rate per hectoliter. In particular, this criterion has been used for the Naples-Capri route up to the present date (at least since 2015), as well as for the Naples-Procida-Ischia route until 2017 and then, again, from the end of 2018 to the present date. This pricing method, reintroduced starting from December 15, 2018, for gasoline and from April 1, 2019, for gas for the Naples-Procida-Ischia route, is still in effect for both routes considered31.</w:t>
      </w:r>
    </w:p>
    <w:p>
      <w:r>
        <w:t>3.2. The Conduct of the Parties</w:t>
      </w:r>
    </w:p>
    <w:p>
      <w:r>
        <w:t>3.2.1. Introduction</w:t>
      </w:r>
    </w:p>
    <w:p>
      <w:r>
        <w:t>50. In the following paragraphs, the factual evidence on record regarding the conduct of the Parties in the proceedings is described. Their chronological illustration allows highlighting how the markets in question, historically characterized by a "balance" in the distribution of routes and the types of services offered, whereby each shipowner operated "exclusively" on the route and service of their "competence," has undergone, starting from 2017, a phase of significant competitive evolution, characterized, consequently, by a strong reduction in service prices; the two subsequent joint initiatives, represented by the establishment of GML and COTRASIR, as corporate vehicles for common operations among the historical shipowners, qualify in this context as instrumental in ensuring to the same shipowners, in compliance with their respective historical shares and through an artificial coordination of their commercial policies, the levels of profitability experienced in the previous phase.</w:t>
      </w:r>
    </w:p>
    <w:p>
      <w:r>
        <w:t>51. COTRASIR, in particular, constituted a tool through which the Parties achieved a substantial common organization of the activities in question and, above all, a complete coordination of the commercial policies of the three shipping companies. This coordination, which in some of its elements transcended the scope of COTRASIR's own operations, concerned multiple aspects, distinctly described in the following paragraphs, including: i) mechanisms for the common definition of tariffs; ii) rules for market, route, and service allocation; iii) rules for the overall distribution of revenues based on predetermined historical shares, with specific compensation mechanisms in case of differences compared to actual revenues. The consortium companies, also through the same structures of COTRASIR, as will be illustrated, have also carried out constant monitoring and information exchange activities to ensure a full and substantial implementation of these objectives.</w:t>
      </w:r>
    </w:p>
    <w:p>
      <w:r>
        <w:t>3.2.2. The Investigative Evidence on the Relationships Between the Parties in the Phase Prior to the Establishment of GML and COTRASIR</w:t>
      </w:r>
    </w:p>
    <w:p>
      <w:r>
        <w:t>52. As mentioned, the markets in question were historically characterized, on the routes of interest in the investigation, by a specialization of the companies in services and routes, such that each shipowner was the only one providing the service in the relevant segment. In particular, Pozzuoli Ferries (then Medmar, see infra) for a long time was the only active entity in the transport of fuels to Ischia and Procida, while, similarly, Traspemar was the only company to carry out dedicated waste transport from the same islands to the mainland. Finally, regarding the island of Capri, only SMLGL operated in both services.</w:t>
      </w:r>
    </w:p>
    <w:p>
      <w:r>
        <w:t>53. This historical distribution of routes and services does not appear to have been determined by efficiency needs in light of the characteristics of the cost structure of the services themselves. These characteristics, in fact, would suggest that it is more efficient for the same shipowner to be present in the offering of multiple services; the possibility of operating with the same fleet in waste transport and in that of flammables would indeed allow for optimizing the use of the necessary ships and reducing the resulting fixed costs (it is always necessary, as specified by the shipowners, to have a backup ship)32. The historical distribution of routes, on the other hand, appears to find explanation in light of the investigative evidence. In this sense, for example, a relevant document acquired during the inspection at Traspemar attests to the existence of a five-year non-competition agreement signed in April 2015 between Pozzuoli Ferries (a company active in the transport of flammables, controlled by Medmar since 2009 and then merged into Medmar at the end of 2015) and Traspemar, signed concurrently with acts of mutual transfer of certain ships33, which essentially provided for an obligation for Traspemar to limit its maritime transport activities to and from Ischia to the transport of waste, and a parallel commitment by Medmar not to operate in the same type of transport on the same route. This agreement concerned not only the two vessels subject to the transaction but also extended to the transport activities carried out with the additional vessel Tourist Ferry Boat II, available to the Medmar group and used for similar services34.</w:t>
      </w:r>
    </w:p>
    <w:p>
      <w:r>
        <w:t>54. On this point, during the inspection, Traspemar clarified that "Originally, Pozzuoli Ferries operated on the islands of Ischia and Procida, with the ships (...) Tourist Ferry Boat I and II, for the service.</w:t>
      </w:r>
    </w:p>
    <w:p>
      <w:r>
        <w:rPr>
          <w:b/>
        </w:rPr>
        <w:t>[Pages 16–18]</w:t>
      </w:r>
    </w:p>
    <w:p>
      <w:r>
        <w:t>18 BULLETIN NO. 3 OF JANUARY 17, 2022</w:t>
        <w:br/>
        <w:t>passengers and transport of flammables, and only occasionally waste transport. In 2014, Traspemar only had the ship Tourist Ferry Boat III and offered only waste service. Following an increase in demand (...), an agreement was developed with Pozzuoli Ferries, whereby a reciprocal sale of ships was realized: the larger Tourist Ferry Boat I was transferred to Traspemar (later renamed Giuseppina I) and the smaller Tourist Ferry Boat III went to Pozzuoli Ferries, with a five-year non-competition agreement, under which Traspemar committed to only carrying waste and not passengers. The company Pozzuoli Ferries was then merged into Medmar Navi, which subsequently sued Traspemar accusing it of violating the agreement by transporting passengers. Following these events, in 2016 Traspemar purchased the ship Don Angelo, which in 2017 was chartered as a bareboat (i.e., complete with maritime personnel) to the company Fuelmar, to operate in the transport of flammables”35. Regarding the non-competition agreement, Traspemar itself, during the investigative hearing, further clarified that: “Under this agreement, Traspemar was to deal only with waste transport, which it was already doing, while Medmar committed not to deal with waste, but only with fuel transport (...). The dispute regarding this agreement was initiated by Medmar (...) In detail, the contested transport concerned construction materials: the construction waste produced in Ischia, in fact, travels to the mainland on Traspemar's ships as waste. However, since Traspemar, by its policy, issues round-trip tickets, the company also carried out transports on the return trip (from Pozzuoli to Ischia), in which vehicles could return loaded with new construction materials that did not constitute, therefore, waste”36.</w:t>
      </w:r>
    </w:p>
    <w:p>
      <w:r>
        <w:t>55. Subsequently, some reports received by the Authority testified to the existence of a phase of deviation from the previous "commercial balance" between the Parties37, starting precisely from 2017: with the entry of a second operator in the flammable transport service on the routes to the island of Ischia, a reduction in prices and an improvement in the quality of services offered were recorded. In particular, following the aforementioned dispute initiated by Medmar against Traspemar for violation of the previous non-competition agreement, the latter, starting from May 2017, expanded its commercial interests to the fuel transport service on the routes to Ischia, historically the domain of Medmar. Specifically, the company Fuelmar entered this service, in competition with the latter, using a bareboat charter of the ship Don Angelo from Traspemar. It emerged from the investigative activity that Fuelmar, although formally a distinct company, was in fact attributable to Traspemar. This is because, firstly, this entity – based on the reconstruction of Traspemar itself – was completely lacking in experience and independent shipowner capacity and was solely engaged in ticketing and invoicing for the routes, while all nautical activities were essentially carried out by the shipowner Traspemar38. Secondly,</w:t>
      </w:r>
    </w:p>
    <w:p>
      <w:r>
        <w:t>56. Numerous additional documentary confirmations of the substantial identity between these entities are also found in the records: in document no. 36.60 acquired from Traspemar itself, it clearly emerges that the latter counted Fuelmar's activities as included in all respects within the scope of its own activities, for the purposes of the calculations made in that document (which, it is anticipated, were aimed at weighing the weight of the various shipowners present in the Gulf for the purpose of the agreement that would soon take shape, see infra)40; in another document found at Traspemar, related to the analysis of tariff trends, Fuelmar and Traspemar are still considered de facto coincident. It is read, in fact, in this document, that “In May 2017, the company Fuelmar (Traspemar)41 began its service of marketing maritime transport of flammables” as well as that “Traspemar (Fuelmar Srl) ensured the maritime transport of flammables even on Saturdays.” Such expressions attest to how Traspemar and Fuelmar were actually considered as a single operator, to the point that such names were used interchangeably in internal commercial documentation and as evidenced by the use of the singular verb42.</w:t>
      </w:r>
    </w:p>
    <w:p>
      <w:r>
        <w:t>57. Finally, the market demand also perceived Fuelmar and Traspemar, in fact, as a single entity. In this regard, Ambrosino attributes to Traspemar the routes nominally operated by Fuelmar, stating that “In that year [2017, ed.] one of these groups, Traspemar, attempted to enter the flammable transport sector” and explicitly stating, with reference to Traspemar and Fuelmar, that “they are substantially coincident subjects”43.</w:t>
      </w:r>
    </w:p>
    <w:p>
      <w:r>
        <w:t>58. The Fuelmar-Traspemar management inaugurated its activities by differentiating itself from Medmar through some quantitative changes and a 5% reduction in tariffs (“In May 2017, the company Fuelmar (Traspemar) began its service of marketing maritime transport of flammables, with some clear differentiations compared to Medmar Spa, which at the time was the only maritime carrier performing this service: (...) a reduction of tariffs of about 5% on the price €/HL; application of the tariff on the quantity transported and not on empty for full; frequency of transport: Traspemar (Fuelmar Srl) ensured the maritime transport of flammables even on Saturdays”)44. From the information produced by the company ENI45, which provided invoices for the transport of its fuels to Ischia for the years 2017/2018, a significant drop in prices for the service emerged during the period of competitive overlap between the two shipowners Fuelmar/Traspemar and Medmar.</w:t>
      </w:r>
    </w:p>
    <w:p>
      <w:r>
        <w:t>59. In an initial phase of its operations in flammable transport, despite the 5% tariff reduction compared to the tariffs previously applied by the incumbent Medmar, Fuelmar/Traspemar recorded satisfactory management results, achieving over [omitted]* euros in revenues, incurring costs of [omitted] euros (more than half for the charter of the ship), with a profit of almost [omitted] euros, equal to about 60% of the costs46. However, the profitability of Fuelmar's entry could not have a stable character, due to the actions promptly taken by Medmar, which, starting from July 2017, adopted a new fuel tariff no longer based on €/HL and empty for full, but linked solely to the linear meters of the vehicle with a very aggressive discount of about 70% on the initial tariff47.</w:t>
      </w:r>
    </w:p>
    <w:p>
      <w:r>
        <w:t>60. On this point, Traspemar itself stated that “the charter contract [of the motor vessel Don Angelo by Fuelmar, ed.] lasted less than two years, from May 2017 to September 2018. This was because Fuelmar (...) was unable to pay the charter due to the price war waged by Medmar Navi, which reduced previous tariffs by 70%. In October 2017, upon entering the Port of Naples, a Medmar Navi ship then rammed the Don Angelo, which then went adrift. (...) the experience of Fuelmar, which had been an attempt to start operating in the flammable transport sector, which has a higher profitability than waste transport (about three times as much) (...) was therefore not rewarding; indeed, Traspemar lost a lot of money, considering that Fuelmar did not pay the charter and was placed in liquidation”48.</w:t>
      </w:r>
    </w:p>
    <w:p>
      <w:r>
        <w:t>61. It should also be noted that, parallel to this action of price reduction in the fuel transport segment, evidently induced by the new entry of Fuelmar/Traspemar, Medmar also decided to enter the waste transport segment from Ischia and Procida to the mainland, traditionally the domain of Traspemar; as described in the same document referenced above, in a further section titled “RSU tariff trends year 2017/2018,” it is observed: “In November 2017, Medmar began its maritime transport service for urban solid waste, special, hazardous and non-hazardous, with some clear differentiations compared to Traspemar, which at the time was the only maritime carrier performing the service: 1. Tariff - a first reduction of tariffs on 31.10.2017 (...), a second reduction of tariffs on 16.11.2017 (...), a third reduction of tariffs on 28.12.2017 (...), which led to an overall reduction of about 40% (...)”. The entry of Medmar into waste transport from the island of Ischia, historically carried out by Traspemar, with the establishment at the same time of fierce price competition in this segment, resulted in a significant drop in the tariffs practiced by both Medmar (“new entrant”) and Traspemar (“incumbent”).</w:t>
      </w:r>
    </w:p>
    <w:p>
      <w:r>
        <w:t>62. Regarding the commercial dynamics that characterized the period under examination, Traspemar stated in the hearing that “it had decided to charter its ship Don Angelo (which the company had meanwhile purchased after being summoned in</w:t>
      </w:r>
    </w:p>
    <w:p>
      <w:r>
        <w:rPr>
          <w:b/>
        </w:rPr>
        <w:t>[Pages 19–21]</w:t>
      </w:r>
    </w:p>
    <w:p>
      <w:r>
        <w:t>BULLETIN NO. 3 OF JANUARY 17, 2022 21</w:t>
        <w:br/>
        <w:t>judgment by Medmar, in order to have its own backup ship) to the company Fuelmar that wanted to undertake the transport of flammables. Fuelmar (…) was not a company with shipowner capacity, so the navigation activities were carried out by Traspemar (…) Initially, the partnership worked well, Fuelmar operated at a price level similar to that of Medmar and had good margins (also because it provided, in certain respects, a more interesting service than that of Medmar). At a certain point, however, (…) Medmar changed its commercial policy, applying, through a modification of the pricing methods from cubic meter to linear meter, very aggressive discounts (up to 70%). Traspemar does not know the reasons why Medmar changed its commercial policies in this way, probably to put Fuelmar in difficulty. Furthermore, the Don Angelo was taken out of service for 15 days following a collision (presumably unintentional) by a Medmar ship. Following these circumstances, Fuelmar's initiative began to encounter problems, and Fuelmar then suspended the charter from Traspemar in mid-2018 and was placed in liquidation. (…) Moreover, in November 2017, a Medmar ship had started to operate routes with waste transport, an activity traditionally belonging to Traspemar. Regarding the establishment of COTRASIR, (…) shortly thereafter (around May 2018), the joint company GML was established between Medmar and another group of shipowners from the Gulf, the Giuffrè Lauro group, operating in Capri with two ships very similar to the Don Angelo. In fact, Traspemar found itself alone against all in the commercial scenario of the Gulf of Naples. Therefore, following the aforementioned events, participation in the consortium with the other operators had become a mandatory decision. (…) During the consortium period, the rates were simply brought back to the level prior to the modification of Medmar's commercial policy, which had in turn followed the competitive initiative of Fuelmar”49.</w:t>
        <w:br/>
        <w:t>63. For the purposes of analyzing the events following Fuelmar's entry, it is of interest to examine some documents acquired in the records relating to the period immediately preceding the establishment of the joint venture GML between Medmar and SMGL (May 2018, with operational start in June) and of COTRASIR shortly thereafter (July 2018, with operational start in September), which have the character of preparatory acts for the joint management of the services in question through the joint company and the consortium instrument (and, in particular, preparatory to the revenue sharing agreement achieved within COTRASIR, see infra), which will be illustrated below50.</w:t>
        <w:br/>
        <w:t>64. First of all, an inspection document found at Traspemar, consisting of some handwritten notes on the company's letterhead, dated February 22, 2018, which contain calculations related to the revenues of Traspemar (combined in a single entry, in the years of Fuelmar's operation 2017 and 2018, with those of the latter company) and of Pozzuoli Ferries/Medmar, starting from the year 2015, indicating the percentages to which said revenues correspond for each company, in relation to the total amount of the shipowners' revenues51. In the same document, some additional sheets also contain calculations of revenues and miles traveled (so-called "migliatico") of all three shipowner groups (Medmar, Traspemar, and SMLGL) relating to the years 2014, 2015, and 2016 (and, in some cases, 2017), with the shares of each company indicated alongside, in relation to the total revenues, as well as two copies of a commercial agreement between the shipowner companies called "Convention," relating, among other things, to a historical revenue sharing agreement between Traspemar, Medmar, and SMLGL for the revenues and costs of the migliatico jointly achieved with COTRASIR, which will be detailed further on (see infra).</w:t>
        <w:br/>
        <w:t>65. On the same pages, calculations related to the quantities of special maritime transport services offered by the three shipowner groups in the same years 2014, 2015, and 2016 (and sometimes 2017) are also reported, particularly in terms of so-called "migliatico," annual trips made, days worked, and vehicles transported. The concept of migliatico, which corresponds to the number of miles traveled in the year by each company in the services of interest, assumes particular relevance in the functioning of the revenue sharing mechanism of the consortium management based on historical shares, which has already been mentioned and will be revisited in detail (see infra).</w:t>
        <w:br/>
        <w:t>66. Further significant evidence, relating to the same period, or to a moment shortly preceding (and preparatory) the establishment of GML and COTRASIR, is derived from a document found at Medmar, namely an email dated February 19, 2018, in which an employee of Medmar sends to Dr. [G.], an accountant who will later be appointed administrator of COTRASIR (see infra) the revenue of the company for the transport services of flammables and waste for the years 2013/201652. The sending of such data had, in the context thus far recalled, the function of providing the basis for the calculations related to the percentages to be included in the revenue sharing agreement based on historical shares. The data contained in this email are indeed exactly the same data, regarding Medmar's revenues, contained in some tables of the aforementioned document file related to COTRASIR found at Traspemar above, from which the historical market shares for the three-year period 2014-2016 were derived and applied as a reference for the division of revenues in the two versions of the "Convention" between the three shipowner groups, contained in the same document53.</w:t>
        <w:br/>
        <w:t>67. Similar evidence has also been found at SMLGL, relating to calculations from the years 2014/2016, in light of the overall evidence in the records interpretable as preparatory to the establishment of COTRASIR and necessary, in particular, for the setting up of the revenue sharing mechanism of the consortium already mentioned several times. In this sense, in an undated document, reports of the migliatico data of the company are encountered – similarly to what was found at Traspemar - for each year of the aforementioned three-year period54. Furthermore, from additional inspection documents found at the company, there is also a mutual exchange with Medmar – in May 2018 - of an additional series of data (customer list, applied rates, any discounts granted to individual customers, etc.), in this case functional to the start of the management of services through the joint company GML, which indeed saw the start of its operations in the following month of June 2018 (see infra)55.</w:t>
        <w:br/>
        <w:t>3.2.3 The establishment of GML and its limited operations</w:t>
        <w:br/>
        <w:t>68. The subsequent establishment of the company GML by the Medmar group and the Giuffré/Lauro group in May 2018 can only be considered a precursor to the definition, together with Traspemar, of the COTRASIR Consortium, which was established in July of the same year following contacts and information exchanges that involved, as illustrated above, already in the early months of the same year 2018 all three shipowner groups that would then proceed to its establishment.</w:t>
        <w:br/>
        <w:t>69. Specifically, GML Trasporti Marittimi S.r.l. (“GML”) was established by deed of May 18, 2018, by the companies GRU.SO.N. – Gruppo Sorrentino Navigazione S.r.l. and Mediterranea Marittima S.p.A. (parent company of Medmar Navi), each holding 50% of the share capital of GML. With a subsequent share purchase on December 7, 2018, the share of GRU.SO.N. S.r.l. was acquired by SMLGL, a company of the same group. According to the statements made in the records by the company GML, it would have been established by the parent companies “in a logic of rationalization and efficiency of the transport services in question (which are characterized by high risks and costs and limited or sometimes non-existent profit margins), also due to an efficient use of the vessels”56.</w:t>
        <w:br/>
        <w:t>70. The company operated directly for only about three months, from June 5 to September 12, 2018 (as from September 13 of the same year, COTRASIR began operations, see infra), using two bareboat chartered vessels57, namely, in particular, the M/N Aries Tide (temporarily replaced by the Billton) from SMLGL and the M/N Tourist Ferry Boat II, from Medmar Navi58. GML then took over (first directly and, later, as a participant in COTRASIR) from these two companies in carrying out the services previously offered by them in the markets of interest, namely the special transport of flammables and waste to and from the islands of the Gulf of Naples (Ischia, Procida - served by Medmar Navi - and Capri – served by SMLGL -). The parent companies had, however, an additional role within the joint company, as stated by them, which was not limited to merely renting the vessels. In particular, according to the statements made: “for the operation of GML, Mediterranea Marittima primarily provided support for administrative activities and SMLGL for operational and commercial activities”59. Regarding the distribution of revenues generated by GML's activities among the parent companies, the company itself stated that “The revenue sharing mechanism (i.e. any profits) of GML was that ordinarily provided for the partners in consideration of their respective participation shares (50% MM and 50% SMLGL), net of the share to be allocated to legal reserve”60.</w:t>
        <w:br/>
        <w:t>3.2.4 Establishment, functioning, and actual role of COTRASIR</w:t>
        <w:br/>
        <w:t>71. After only two months from the establishment of the joint company GML, on July 24, 2018, the latter established together with Traspemar the consortium COTRASIR, which from the moment it began its operations until its dissolution was the only entity to provide the services.</w:t>
      </w:r>
    </w:p>
    <w:p>
      <w:r>
        <w:rPr>
          <w:b/>
        </w:rPr>
        <w:t>[Pages 22–24]</w:t>
      </w:r>
    </w:p>
    <w:p>
      <w:r>
        <w:t>24 BULLETIN NO. 3 OF JANUARY 17, 2022</w:t>
        <w:br/>
        <w:t>interested on behalf of the consortium companies61 on the routes of interest (and, ultimately, the only entity to operate them outright on the same)62.</w:t>
        <w:br/>
        <w:t>72. Consequently, on September 12, 2018, the day before the start of the operations of the COTRASIR Consortium, the commercial offers of Traspemar-Fuelmar for the transport of flammables63 definitively ceased, and the following day, September 13, 2018, those of Medmar (or the new company GML, which had intervened in the meantime) for the transport of waste to and from the islands of Ischia and Procida64 also ceased.</w:t>
        <w:br/>
        <w:t>The Consortium as an organizational tool for the activities of individual consortium shipowners</w:t>
        <w:br/>
        <w:t>73. COTRASIR brought together all the shipowners who were then (and to this day) actually active in the transport of flammables and waste to and from the islands of the Gulf of Naples65; from that moment on, the consortium companies continued to offer services through their own motor vessels, but within a common organization66, which took over the relationships with customers and more generally completely centralized the management of the transports in question (also through substitutions among the naval means of the different shipowners employed on the various routes)67.</w:t>
        <w:br/>
        <w:t>74. Since its establishment, COTRASIR has primarily dealt with booking and ticketing activities for final customers on behalf of the companies it represents (which continued to directly operate the actual navigation services), including communications to the customers themselves68.</w:t>
        <w:br/>
        <w:t>75. More specifically, according to the Consortium's regulations69, COTRASIR was to invoice as an agent of the consortium companies GML and Traspemar on the relevant lines, selling tickets and collecting payments on their behalf. At the same time, the consortium companies were to send daily to the Consortium the logbooks of the naval units used, containing the number of trips made, the ports touched, as well as information on the identity of the vehicles transported such as the license plate number and the nature of the cargo. The collections associated with these activities, invoiced by COTRASIR to the final customers, would then be transferred to the consortium companies on a weekly basis, after deducting a 3% commission aimed at covering the operating expenses of the Consortium itself70. The Consortium would then regularly send the consortium companies a unified document highlighting the amounts invoiced, month by month, by each individual naval unit used by the shipping companies in the consortium activities. The consortium shipowners, in this scheme, would then invoice the Consortium month by month for the amounts due for the transport services provided71. Although not explicitly provided for in the regulations, the Consortium also carried out an activity of accounting and monitoring for the consortium members of paid and unpaid invoices, highlighting any critical credit situations of the customers and sending payment reminders where necessary72.</w:t>
        <w:br/>
        <w:t>76. As for the naval means employed, the Consortium initially operated through four motor vessels: “Giuseppina I” (waste route Casamicciola-Procida-Pozzuoli) and “Don Angelo” (flammables route Naples-Procida-Ischia) of Traspemar, and “Tourist Ferry Boat II” (Naples-Capri route, for both waste and flammables) and “Aries Tide” (also flammables route Naples-Procida-Ischia73) of GML74. During 2019, starting from February, the “Billton” (also of GML) replaced the “Aries Tide,” which was under maintenance, while subsequently, in April 2019, the “Don Angelo” was taken out of service, reducing the total number of motor vessels employed by the Consortium to three75.</w:t>
        <w:br/>
        <w:t>77. From the documents containing the details of the trips made day by day, it also emerges that, compared to this general organization, the motor vessels could alternate/replaced each other in cases of necessity76. In this regard, the consortium company Traspemar stated: “From a geographical point of view, the company Giuffré and Lauro (through GML) serves the Naples-Capri routes for both flammables and waste (…). Traspemar and Medmar (Medmar through GML) mainly offer the services on the routes to Procida and Ischia that were provided before the establishment of the Consortium, according to the original specialization (Traspemar for waste and Medmar for flammables). Only in the event of an unforeseen peak in demand or unavailability of ships, it is possible for one of the shipowners to offer through their own ships the specialized services of the other”77.</w:t>
        <w:br/>
        <w:t>78. The same company also reported an actual substitution between the naval units of the consortium companies that took place within COTRASIR: between September 13, 2018, and April 8, 2019, the ship Don Angelo of Traspemar was indeed made available to GML to operate the Naples-Procida-Ischia route for the transport of flammables (specifically gas). As a result of this usage, Traspemar would have accumulated, based on a compensation mechanism provided among the consortium companies aimed, according to this company, at "reducing costs in case of breakdown/unavailability of the ships used by the consortium members," a "mile credit" towards GML, which would have allowed Traspemar to use, in turn, a naval unit of GML to carry out trips of its own competence for a number of miles equivalent to those traveled by the Don Angelo on behalf of GML (see infra)78.</w:t>
        <w:br/>
        <w:t>79. In confirmation of this, the same “Report on coordination and organization year 2018” of COTRASIR, obtained from Traspemar79, certifies that the naval means were in any case subject to a so-called “re-protection plan,” that is, a mechanism for possible rotation in case of maintenance needs or other eventualities (e.g., renewal of certifications).</w:t>
        <w:br/>
        <w:t>80. Regarding further organizational aspects of COTRASIR, according to the Consortium's organizational chart80, [D.M.] (attributable to Traspemar) was the coordinator of the same, while the structure also included an “administrator” (at the time of the establishment of the Consortium, the accountant [A.G.]81), an administration/accounting structure (two employees), and a booking/ticketing structure (two employees). However, COTRASIR specified that it did not employ directly hired employees but rather relied on personnel from the consortium companies, with the related costs being passed on, as well as personnel from third-party companies, for a total of five people82.</w:t>
        <w:br/>
        <w:t>81. The activities of COTRASIR were carried out through a system developed by the company Neido.com S.r.l., which allowed centralized booking and sales through internet access as well as the issuance and management of travel documents. Invoicing occurred, in any case, by distinctly identifying each consortium company, as each carrier was assigned a specific code. [Omitted]83.</w:t>
        <w:br/>
        <w:t>The COTRASIR as a tool for anti-competitive coordination among the Parties</w:t>
        <w:br/>
        <w:t>82. Although the Parties have described COTRASIR as a mere tool for pooling auxiliary activities such as ticketing and collection, it clearly emerges from the inspection documentation that the Consortium was, instead, a tool at the disposal of the</w:t>
        <w:br/>
        <w:t>78 See doc. 177. Traspemar also stated, at the same time, that the dissolution of the Consortium prevented the company from recovering the "mile credit" obtained. Nevertheless, in 2021, Traspemar appears to have operated using, also on a rental basis, the ship Aries Tides, belonging to the GML perimeter during its operational period and owned by SMLGL.</w:t>
        <w:br/>
        <w:t>79 See doc. 36.73.</w:t>
        <w:br/>
        <w:t>80 Doc. 36.70.</w:t>
        <w:br/>
        <w:t>81 Who, however, appears to have resigned from the position later in 2019, see docs. 47.76 and 47.86.</w:t>
        <w:br/>
        <w:t>82 In particular, the ticketing services were performed by one person, provided alternately by Traspemar or SMLGL, while two personnel units from the third-party company I Primi Cinque soc. coop. a r.l. were used for accounting and call center services and another two personnel units from the third-party company Maya servizi alle imprese were used for administrative services.</w:t>
        <w:br/>
        <w:t>83 See doc. 233.</w:t>
      </w:r>
    </w:p>
    <w:p>
      <w:r>
        <w:rPr>
          <w:b/>
        </w:rPr>
        <w:t>[Pages 25–27]</w:t>
      </w:r>
    </w:p>
    <w:p>
      <w:r>
        <w:t>BULLETIN NO. 3 OF JANUARY 17, 2022 27</w:t>
        <w:br/>
        <w:t>consortium members in order to carry out illegal activities of common price fixing and revenue sharing in accordance with predetermined historical market shares. The evidence in the records in this regard consists both of explicit consortium provisions contained in the COTRASIR Regulation, such as, for example, those relating to the methods of defining service prices, and of inspection documentation that reveals the actual mechanisms of operation of the relationships among shipowners within the Consortium, for example regarding the distribution of consortium revenues, based on their market shares related to the period preceding the brief phase of competitive tension between Medmar and Traspemar, and therefore at least two years prior to the establishment of the Consortium itself.</w:t>
      </w:r>
    </w:p>
    <w:p>
      <w:r>
        <w:t>83. In particular, the inspection documentation has revealed the existence and actual implementation of a "commercial agreement" between GML and Traspemar (and thus, in fact, between Medmar, SMLGL, and Traspemar) sometimes referred to as a "convention," which provided that the distribution of revenues derived from the Consortium's activities among the member companies would occur according to predetermined shares, an agreement also supported by an "internal regulation" that is, in fact, transferred into the service regulation of COTRASIR, and by an explicit monetary compensation mechanism among the shipowners in the case of invoicing revenues not corresponding to the predetermined shares. The following therefore presents the evidence first in relation to the concerted price increases, then in relation to the distribution of traffic, and finally regarding the commercial agreement underlying the Consortium and its actual implementation.</w:t>
      </w:r>
    </w:p>
    <w:p>
      <w:r>
        <w:t>Joint price definition and shared objective of tariff increases</w:t>
      </w:r>
    </w:p>
    <w:p>
      <w:r>
        <w:t>84. Numerous pieces of evidence collected during the investigation clearly attest that during the existence of COTRASIR, the tariffs were established jointly or, in any case, that downward tariff revisions by a consortium company (which, moreover, never occurred) would have required the prior consent of the other consortium members. The documentation also attests, more generally, that the objective of the companies participating in COTRASIR was to achieve a substantial increase in the levels of fees requested for the overall transport services subject to the investigation, as indeed occurred during the operational period of the Consortium itself.</w:t>
      </w:r>
    </w:p>
    <w:p>
      <w:r>
        <w:t>85. This role and function of COTRASIR emerges with extreme clarity already from the Consortium's own regulation, which provides, in point 8), that "If a consortium company intends to reduce the current tariffs, it can only do so by agreeing with the other consortium members," specifying also, in the subsequent point 9), that the reference price lists are attached to the regulation itself.</w:t>
      </w:r>
    </w:p>
    <w:p>
      <w:r>
        <w:t>86. The same regulation then concludes, immediately after the aforementioned point 9), with a further expression stating that, instead, "Increases may be defined every month." This provision, relating to potential upward tariff revisions, unlike the hypothesis of their reduction addressed in point 8), is not accompanied by any condition nor does it contemplate any specific procedure.</w:t>
      </w:r>
    </w:p>
    <w:p>
      <w:r>
        <w:t>87. In fact, as illustrated, during the operational period of COTRASIR, there was no tariff reduction but, on the contrary, three upward revisions of service prices occurred, which took place in September 2018, December 2018, and early April 2019.</w:t>
      </w:r>
    </w:p>
    <w:p>
      <w:r>
        <w:t>88. On this point, the analysis of the aforementioned "commercial agreement" between Medmar Navi, Servizi Marittimi Liberi Giuffré &amp; Lauro, and Traspemar itself, found in draft form in two copies at the latter, is also relevant. In this draft, however, it is stated, regarding the definition of prices, that "If one of the three companies intends to modify the current tariffs (see attachments), it can only do so with the unanimous opinion of the parties. In the event of agreements that provide for certain customers the application of tariffs lower than those agreed, the interested company will bear the related lower revenue." This provision is entirely consistent with what is provided in the consortium regulation, also specifying that in the case of "agreements" that should foresee specific exceptions making it practicable for certain customers to have tariffs lower than those "agreed," the company that implemented such specific discounts would hold the other parties to the agreement harmless from the consequent reduction in revenues (this last provision is then fully consistent with the non-competition agreements and route sharing and with the agreement for the distribution among the Parties of the overall revenues achieved from the consortium activities provided in the same draft of the commercial agreement, which will be illustrated in the following paragraphs).</w:t>
      </w:r>
    </w:p>
    <w:p>
      <w:r>
        <w:t>89. Furthermore, in a draft of "Convention" (which constitutes only a different name for the commercial agreement, as will be better explained) between GML and Traspemar, subsequent to the establishment of COTRASIR and present in the form of two distinct drafts within a document found at Traspemar, it is stated, in one of the articles, that "The attached tariffs (sub 2) to this document may be modified with the unanimous opinion of the aforementioned companies. This will be certified with a record signed by both parties."</w:t>
      </w:r>
    </w:p>
    <w:p>
      <w:r>
        <w:t>90. Numerous other documents collected during the inspection confirm that there is joint price fixing for the services in question within COTRASIR. First of all, the same statements made on record by some of the Parties support this. In particular, the Consortium (represented by the two interviewed employees) stated that "the variations in the tariff plans for the transport of waste and flammables are established by the coordinator of COTRASIR, Dr. [D.M.], in agreement with the consortium companies"; in the same vein, the statements collected from SMLGL: "The decision on the level of prices charged is made by COTRASIR in agreement among its members." Finally, see what was stated by Medmar: "Joining the Consortium has allowed for the creation of (...) efficiency, since it concentrates the management of relationships with customers, the definition of tariffs, and the division of revenues based on the transported shares and the ships used." Also, the company Traspemar, in the inspection report, while attempting to argue, unlike the other statements made, the autonomy of the pricing decisions of the consortium companies, nonetheless recognized the Consortium's key role in pursuing the Parties' objective of achieving tariff increases, stating that "Following the operation of COTRASIR... [...]... the current methodology for defining prices has returned to reflect the competitive conditions prior to the entry of Fuelmar, which had introduced a distortion of the supply conditions of each operator."</w:t>
      </w:r>
    </w:p>
    <w:p>
      <w:r>
        <w:t>91. In addition to the statements of the Parties, the joint price fixing of transport services within COTRASIR is also evidenced by further objective elements, emerged in some documents acquired in the records.</w:t>
      </w:r>
    </w:p>
    <w:p>
      <w:r>
        <w:t>92. For example, on December 14, 2018, the coordinator of the Consortium itself, as well as a representative of the company Traspemar [D.M.], sent an email to the administrator of Cotrasir Dr. [A.G.] and to his collaborator titled "Caremar Capri ferry rates," in which the text reads: "Attached is a copy of Caremar ferry rates Naples Capri that can be a reference for any quotations or rates for tourist ferry boats. Regards, dm." This document unequivocally attests to the direct interest of the Consortium representatives regarding the fixing of the tariffs of the consortium companies. In this regard, it is also noted that the naval unit Tourist Ferry Boat II to which the message refers was owned by the Medmar group and was rented and operated at that time by the consortium company GML, which was not connected and was a competitor of the company Traspemar to which Dr. [D.M.], the author of the aforementioned email, belonged.</w:t>
      </w:r>
    </w:p>
    <w:p>
      <w:r>
        <w:t>93. Similar considerations arise from another document, found this time at SMLGL, from which it appears that the email address of COTRASIR used for bookings forwarded, on October 16, 2018, a request for quotation from Anacapri Servizi, not only to Dr. [A.G.], but also to the two consortium companies, GML (which actually operated the route of interest) and the consortium company – and potentially competing – Traspemar, also sending a second reminder email (addressed once again to both consortium companies) a few days later. The request asked for detailed data on the volumes of the potential customer in order to "develop an offer as realistic as possible."</w:t>
      </w:r>
    </w:p>
    <w:p>
      <w:r>
        <w:t>94. There is also evidence in the records of regular exchanges between COTRASIR and each of the consortium companies regarding the revenues generated and the quantities of miles traveled by each of them; data that were regularly and promptly shared among all the participating companies. For example, numerous documents attest that COTRASIR sent every month a reporting document that accurately reported the fees invoiced on behalf of each of the consortium companies, both net and gross of VAT, giving full visibility of such information to each of the companies participating in the Consortium.</w:t>
      </w:r>
    </w:p>
    <w:p>
      <w:r>
        <w:t>95. Furthermore, an Excel table acquired at SMLGL details the miles traveled in each month of 2018 (both during the months of consortium activity and the months preceding the operational phase).</w:t>
      </w:r>
    </w:p>
    <w:p>
      <w:r>
        <w:rPr>
          <w:b/>
        </w:rPr>
        <w:t>[Pages 28–30]</w:t>
      </w:r>
    </w:p>
    <w:p>
      <w:r>
        <w:t>30 BULLETIN NO. 3 OF JANUARY 17, 2022</w:t>
      </w:r>
    </w:p>
    <w:p>
      <w:r>
        <w:t>the establishment of COTRASIR) by each of the naval units of the consortium companies, including, therefore, also the ships Giuseppina I and Don Angelo of the competing company Traspemar96. In this regard, a detailed summary of revenues and miles traveled during the consortium period, disaggregated at the monthly level and by individual naval unit, was obtained from Traspemar, attached to a document drafted on COTRASIR letterhead and titled “Projected Annual Revenue Flow September 2018-September 2019”97.</w:t>
      </w:r>
    </w:p>
    <w:p>
      <w:r>
        <w:t>96. In the text of this document, which contains retrospective and prospective analyses of the consortium activities, there are also several references to the common pricing policy pursued by the Consortium. In particular, in the initial paragraph “Pricing Policy,” it refers to the circumstance that between September 2018 and September 2019 “the price changes were implemented progressively throughout the year,” alluding collectively and indistinctly to all the prices of the transport services managed by COTRASIR within a comparative analysis of the overall revenues of the consortium companies. In the concluding paragraph of the same document, aptly titled “Conclusions,” it mentions, among the “improvements” made possible by COTRASIR, the “stabilization of tariffs.” Immediately thereafter, among the remaining critical issues of the consortium activities, it refers to the fact that “There were instances of mixed transport both on the CAP1 Naples-Capri line and on the ISC1 Pozzuoli-Procida-Casamicciola line regarding waste transport and separate collection, resulting in a limitation of the related tariffs.”</w:t>
      </w:r>
    </w:p>
    <w:p>
      <w:r>
        <w:t>97. Finally, there are several pieces of evidence indicating that the tariffs are identical even when ships from different companies operate the same route. In this sense, a document dated September 5, 2018, is noteworthy, particularly containing an email from [A.G.] (then administrator of COTRASIR) to Traspemar, in which he sends attached the tariffs that will be applied for the transport services carried out within the Consortium by the participating companies (it is noted that the start of COTRASIR's operations is just a few days later, starting from September 13, 2018). In the attached file named “Traspemar,” specifically in a concluding section titled “Special Cases Traspemar” (and therefore, likely related to cases where this company also carried out flammable transport due to unforeseen circumstances), identical fuel transport tariffs are reported to those present in another file attached to the same email and named “GML”98. Furthermore, COTRASIR itself indicated that “on the Naples-Procida-Casamicciola route (used for gas and gasoline), the tariffs were set by GML,” but at the same time reported that both the ship “Aries tide,” of GML, and the ship “Don Angelo,” operated by Traspemar, were active on that route99. It would therefore have to be imagined either that one company (GML) set the fuel transport tariffs even for its competitor (Traspemar) - a scenario incompatible with a relationship of effective competition among shipowners (see para 34 of the initiation order) - or that, as subsequently claimed by Traspemar, the latter company merely granted the ship Don Angelo for use to GML. Even in this latter case, however, it is clear from this correspondence (and from the abundant set of consistent evidence) that the tariff conditions practiced by the consortium companies were regularly and proactively shared among the companies themselves.</w:t>
      </w:r>
    </w:p>
    <w:p>
      <w:r>
        <w:t>Distribution of routes, non-competition agreement, and exclusivity obligation towards COTRASIR</w:t>
      </w:r>
    </w:p>
    <w:p>
      <w:r>
        <w:t>98. The structure of activities during the operational period of COTRASIR also included an explicit elimination of competition among operators and a rigorous distribution of routes, achieved through i) mutual non-competition agreements among the shipowners participating in the Consortium and ii) an obligation for the consortium members not to engage in any activities in competition with the Consortium itself.</w:t>
      </w:r>
    </w:p>
    <w:p>
      <w:r>
        <w:t>99. This element emerges primarily from the founding act of COTRASIR itself, which provides, in Article 15, that: “The consortium companies may not engage in any transport activities in competition with those carried out by the Consortium in the interest of the consortium members and in particular may not undertake any activities that may result in disturbances in the negotiations and/or negotiations conducted by the Consortium”100.</w:t>
      </w:r>
    </w:p>
    <w:p>
      <w:r>
        <w:t>100. This provision is indeed present in a document titled “Commercial Agreement” between Medmar Navi, SMLGL, and Traspemar, found in draft form and dated at least from August 2019 (as it refers to the direct entry of SMLGL into COTRASIR, which occurred on August 8 of that year), and which will be described in more detail later (see infra), in which it states that “All companies undertake to respect the existing agreements on limiting competition among themselves. The violation of these agreements will be considered a serious breach”101.</w:t>
      </w:r>
    </w:p>
    <w:p>
      <w:r>
        <w:t>101. Furthermore, in the aforementioned Agreement between GML and Traspemar following the establishment of COTRASIR and present in two different versions within a document obtained from Traspemar, it is stated, in one of the articles of the Agreement itself (Article 6 of one of the drafts, corresponding to Article 5 of the other draft), that “The connections referred to in the annex (sub. 3) may be modified, suppressed, or increased only with the unanimous consent of the aforementioned companies,” a phrase that uses wording very similar to that already provided in the Agreement regarding price revisions (see above)102.</w:t>
      </w:r>
    </w:p>
    <w:p>
      <w:r>
        <w:t>102. Moreover, in the “Report on Coordination and Organization” of COTRASIR for the year 2018, obtained from Traspemar, it is stated that the deployment of ships on the various routes/for the two services was structured based on the activities traditionally carried out by the shipowners and that the structure of the routes thus determined is attached to the same Report (and therefore evidently shared among the consortium members and subject to coordination among them)103.</w:t>
      </w:r>
    </w:p>
    <w:p>
      <w:r>
        <w:t>103. The actual compliance with such non-competition agreements, as well as the obligations of the consortium companies to operate exclusively through the consortium management in the services of interest, were then subject to systematic monitoring activities by COTRASIR and the same consortium companies, which oversaw mutual compliance with the agreements. In this regard, some email exchanges from February 2019 emerged in the inspection documentation, in which [D.M.] of Traspemar (also, it is noted, coordinator of COTRASIR) asks GML for the reason why a vehicle containing waste from Barano Multiservizi (an in-house company of the Municipality of Barano for the management of municipal solid waste) traveled in mixed conditions with passengers on naval units of the Medmar group “and not with a dedicated ship of the Consortium,” indicating the vehicle's license plate number and also attaching some photographs as evidence of the incident, as well as requesting “the appropriate routine checks”104. In a second email, of a similar nature, sent the following day, [D.M.] again complains to GML about a similar incident, for which his staff had observed in Pozzuoli, at different times, the disembarkation and embarkation of two vehicles used for waste transport (also identified by license plate number and some photographs) that had traveled on Medmar ferries in mixed conditions with passengers “and not with a dedicated ship of the Consortium,” also requesting “the appropriate routine checks”105. Finally, another email from [D.M.], also dated February 2019, contains similar complaints regarding the transport of a waste vehicle on a Medmar ship and not COTRASIR, where it is specifically stated that “this commercial conduct is contested as contrary to consortium rules”106. These episodes, which concern ferries of the Medmar group and, therefore, the alternative waste transport method compared to the “dedicated” one subject to consortium activities (and reserved, in the scheme provided for them, specifically for Traspemar of [D.M.]), therefore broaden the potential scope of application of the distribution of consortium activities to this latter activity as well, regarding the ferry lines operated by the Medmar group.</w:t>
      </w:r>
    </w:p>
    <w:p>
      <w:r>
        <w:t>104. This latter circumstance is confirmed by another document, consisting of a letter in which COTRASIR urges the General Directorate for Mobility of the Campania Region to take sanctioning measures against Caremar, guilty, according to the Consortium, of improperly boarding a truck transporting a broken bus on its passenger transport ship. This vehicle, as can be inferred from the letter (and as attested by an attached newspaper article, which reported the abuses of the consortium “monopoly”), was refused boarding on a Medmar ferry in a “mixed” transport regime, having been deemed by COTRASIR a “special waste” and therefore reserved for alternative transport methods, evidently attributable to the consortium's motor ships (and specifically, on the route of interest, to those of the company Traspemar)107.</w:t>
      </w:r>
    </w:p>
    <w:p>
      <w:r>
        <w:t>105. This latter case appears to have even been the subject of a true “discipline” by the Consortium itself, as it was explicitly taken into account in one of the versions of the aforementioned Commercial Agreement between the consortium companies108. In this document, in fact, it states, regarding the activities of Medmar: “GML Trasporti Marittimi S.r.l. undertakes to communicate to the Consortium on behalf of Medmar Navi S.p.A. the revenues collected for the transports carried out for the categories of competence of the Consortium following precise instructions from the authorities. 50% of these amounts will be accounted for in the overall revenues to be divided (...) (Art. 10).” This provision, related to the activities of Medmar possibly imposed by public authorities,</w:t>
      </w:r>
    </w:p>
    <w:p>
      <w:r>
        <w:rPr>
          <w:b/>
        </w:rPr>
        <w:t>[Pages 31–33]</w:t>
      </w:r>
    </w:p>
    <w:p>
      <w:r>
        <w:t>BULLETIN NO. 3 OF JANUARY 17, 2022 33</w:t>
        <w:br/>
        <w:t>outside the consortium management, thus allowing for a significant reduction of any additional revenues that Medmar would have had to achieve due to such hypothetical activities (carried out de facto in competition, albeit compelled by the authorities, with respect to the routes pertaining to the other consortium member Traspemar) and provided for the distribution of a significant percentage (equal to 50%) with the other consortium companies, in light of the more general agreement on the distribution of overall revenues associated with consortium activities, which will be discussed further below (see infra).</w:t>
      </w:r>
    </w:p>
    <w:p>
      <w:r>
        <w:t>106. It also appears in some documents the coordination (or attempt at coordination) among the shipowners with reference to additional activities, distinct from those primarily operated by COTRASIR for the transport of flammables and waste. In this sense, for example, an email exchange from March 2019 attests to a request from a customer to GML for the transport on the Naples/Capri route of a vehicle containing marble flooring; upon receiving the email, GML forwards it to COTRASIR (asking to contact the partner SMLGL for the applicable rate); it follows, therefore, that the transport in question will still be managed within the consortium organization. Furthermore, in another document found at Traspemar, in a paragraph titled "Critical Issues," it states: "As for the charters of the motor vessels used by the Consortium, being non-centralized, they have created a distorting situation among the consortium members, who have entered into competition with each other." On the subject of the charters of the motor vessels used by the Consortium, another document confirms that they were subsequently included in the consortium management.</w:t>
      </w:r>
    </w:p>
    <w:p>
      <w:r>
        <w:t>The "Convention" or Commercial Agreement between Medmar, SMLGL, and Traspemar: the distribution of revenues, the mileage, and the compensations among the consortium companies</w:t>
      </w:r>
    </w:p>
    <w:p>
      <w:r>
        <w:t>107. As already mentioned, another aspect of great relevance that emerges from the inspection evidence and that allows for an understanding of the specific operational modalities of the concertation established by the Parties within COTRASIR concerns the existence of a revenue distribution mechanism realized among the shipowners adhering to it, based on the respective historical revenue shares that the operators had achieved during the period 2014-2016. This mechanism constitutes an additional level of organization of the Consortium, which integrates and – in a certain sense – derogates from the "official" provisions of the founding act of COTRASIR and its related regulations (which were already rich, as seen, in elements of a concertative nature). Correspondingly, the three shipowner groups participating in the consortium management had also agreed on a distribution, once again based on historical shares derived from the same reference period (2014-2016) of the estimated costs associated with the miles traveled (so-called "mileage"). The distribution, both of revenues and of the mileage costs, was then implemented through specific compensations among the shipowner groups, in the manner that will be better described later.</w:t>
      </w:r>
    </w:p>
    <w:p>
      <w:r>
        <w:t>108. In particular, regarding the distribution of revenues, while according to the Consortium's regulations (and the statements of the Parties, with the partial exception of Traspemar, see infra) the revenues from shipping activities should have been distributed exclusively based on the services actually performed by each company (which would have used the consortium vehicle only for ticketing and other organizational services), in light of other documents it appears that, in fact, the distribution of revenues from the transport activities carried out within COTRASIR (already purged, in any case, of any competitive dynamics due to the described provisions regarding tariff concertation and non-competition agreements) occurred in accordance with the revenue shares achieved by the consortium shipowner groups in the years 2014-2016 (i.e., the years preceding the development, in 2017, of competitive dynamics in the sector, in which there was a substantial monopoly of each in its operational sphere), with the provision of specific compensation mechanisms regarding what was initially perceived.</w:t>
      </w:r>
    </w:p>
    <w:p>
      <w:r>
        <w:t>109. The existence of this "double level" of concertation – and, therefore, of an additional underlying agreement among the consortium companies, supplementary to the official rules of the Consortium – is explicitly attested by the inspection evidence. In particular, first of all, a document found at Traspemar is noteworthy, consisting of a file of documentation related to COTRASIR containing, among other things, a document significantly titled "Internal Regulation" (corresponding to the aforementioned "Convention" among the consortium companies, mentioned for other aspects and which will be further explored shortly in the text).</w:t>
      </w:r>
    </w:p>
    <w:p>
      <w:r>
        <w:t>110. This "Internal Regulation" (or "Convention"), as already mentioned (see supra), appears in the said file in two very similar drafts, which govern precisely the operational modalities of the revenue distribution mechanism. In the first document, as highlighted in Fig. 1 below, in which the agreement is between GML (where Medmar and SMLGL are jointly represented) and Traspemar, it states that the same companies: “(...) have defined their share of participation in the revenues related to the activity mentioned [activity of special transport of flammables and waste carried out within COTRASIR, ed.] in the following percentages calculated on the average revenues achieved in the period 2014/2016: Traspemar Srl 29.65%, GML Trasporti Marittimi Srl 70.35% and (...) have confirmed that they traveled for the provision of services in the years 2014/2016 on average the following quantities of annual miles: GML mgl [omitted], Traspemar mgl [omitted]. (...)”. With respect to this premise, it is explicitly established in Article 1 of the subsequent Convention that “The premise has the value of a pact and, thus, is accepted among the parties”.</w:t>
      </w:r>
    </w:p>
    <w:p>
      <w:r>
        <w:t>Fig. 1. Excerpt from doc. n. 36.60</w:t>
        <w:br/>
        <w:t>[omitted]</w:t>
      </w:r>
    </w:p>
    <w:p>
      <w:r>
        <w:t>111. The Convention continues, in the subsequent article, with the provision that “The two aforementioned companies commit to respect the indicated percentages in the distribution of revenues and will ensure, in the case of a different quantity of fees, to invoice each other for the loading spaces to rebalance them” (Art. 2). In the subsequent article, it further states that “The two aforementioned companies commit to travel annually the aforementioned miles, any differences will be settled in cash always with a mutual invoicing of loading spaces or settled in the following year with a lesser or greater activity, according to the cases that will be verified, traveling greater or lesser miles for the management of services” (Art. 3), whereas in the subsequent Article 4 a common quantification of the cost per mile is established, determining its exact amount ([omitted] euros) and also establishing that any revisions of this reference should be approved by both parties of the Convention itself.</w:t>
      </w:r>
    </w:p>
    <w:p>
      <w:r>
        <w:t>112. In the same document, further along in the text, there is the following summary table of the revenues realized by the three companies involved in the three-year period 2014/2016, from which the mentioned percentages of distribution of the revenue generated by COTRASIR among them arise (note that the percentages of Medmar and SMLGL reported in the table, when summed, correspond to the percentage already mentioned pertaining to the common company GML).</w:t>
      </w:r>
    </w:p>
    <w:p>
      <w:r>
        <w:t>[Omitted]</w:t>
      </w:r>
    </w:p>
    <w:p>
      <w:r>
        <w:t>113. In another document, corresponding to a slightly different version of the agreement and titled in this case "Commercial Agreement," the Parties are this time directly the three shipowners Medmar, SMLGL, and Traspemar. In this document, it particularly states: “The parties to the agreement establish their share of participation in the revenues related to the activity mentioned in the premise [as previously, the activity of special transport of flammables and waste carried out within COTRASIR, ed.] as follows: Traspemar Srl 30%, Medmar Navi Spa 40%, Serv. Mar. Liberi Giuffré e Lauro Srl 30%. The three companies (...) commit to respect the indicated percentages in the distribution of revenues and, in the case of a different quantity of fees, to invoice each other for the loading spaces to rebalance them on a monthly basis (...)”. Although the document is undated, it is mentioned at one point that SMLGL joined the Consortium (which occurred in August 2019), so it must be a writing subsequent to that date. It should also be noted that, as will be seen shortly, based on the evidence acquired, the actual distribution of COTRASIR revenue appears to have occurred – at least in an initial phase – based on the percentages reported in the previously described Convention (29.65% Traspemar - 70.35% GML). Therefore, the "Commercial Agreement" mentioned here could represent a subsequent adjustment (of minimal entity, moreover) of the revenue distribution percentages among the shipowners.</w:t>
      </w:r>
    </w:p>
    <w:p>
      <w:r>
        <w:t>114. Neither the drafts of the Convention nor the Commercial Agreement acquired during the inspection bear the signatures of the representatives of the companies. In any case, at the bottom of the Convention, it is specified that “this document is written in a single original copy bearing the signatures of the signatories and will be kept by Dr. [A.G.]”. In this regard, it is important to observe that from the comparison between what is provided in the agreements outlined in these agreements, on one hand, and the concrete activities of the companies, it has not been possible to deepen the investigative aspects with the interested party (Dr. [A.G.], administrator of COTRASIR) as he was, during that period, subject to detention measures.</w:t>
      </w:r>
    </w:p>
    <w:p>
      <w:r>
        <w:rPr>
          <w:b/>
        </w:rPr>
        <w:t>[Pages 34–36]</w:t>
      </w:r>
    </w:p>
    <w:p>
      <w:r>
        <w:t>36 BULLETIN NO. 3 OF JANUARY 17, 2022</w:t>
      </w:r>
    </w:p>
    <w:p>
      <w:r>
        <w:t>From further documents on record, it is clearly evident the actual implementation of the revenue sharing mechanism outlined in the agreements and described above. In particular, first of all, in a document found at Traspemar titled "Calculation relating to the transfers between Traspemar Srl and GML Trasporti Marittimi Srl," there is an account of a revenue distribution between the parties, which occurs exactly according to the shares defined in the aforementioned Agreement. In this document (reproduced below in Figure 2), it states: “(...) For the period (1/1/19-31/5/19) the total amount of revenue net of VAT is equal to [omissis] and is allocated as follows: Traspemar Srl [omissis] and GML Trasporti Marittimi Srl [omissis]. The taxable amount invoiced by Traspemar Srl for the same period amounts to [omissis]. The amount of competence [omissis]. Balance due to GML Srl [omissis].”117 In these calculations, as is evident, the total revenue is distributed exactly according to the shares of 29.65% for Traspemar and 70.35% for GML previously mentioned. In fact, Traspemar, which had invoiced during the period of interest [omissis] euros (net of VAT), had a share of revenue amounting to only 29.65% of the total revenue achieved by the consortium companies during the same period, corresponding to [omissis] euros (still net of VAT). The difference between these two amounts, therefore, was capable of generating a "balance" of [omissis] euros (still net of VAT) that would be invoiced by GML.</w:t>
      </w:r>
    </w:p>
    <w:p>
      <w:r>
        <w:t>115. It is then stated later in the document that “Of this amount, [omissis] has already been invoiced in 2018, so there remains to be invoiced [omissis] for 2019 and [omissis] for 2018 ([omissis]) in total [omissis].”118 In this regard, it is noted that the sum [omissis] defined as “already invoiced” actually appeared at the beginning of the page as the sum of two invoices (net of VAT) issued by GML to Traspemar in relation to the months of November and December 2018119. The sum of [omissis], on the other hand, corresponds to the value (once again net of VAT) attributed, in the first of the various tables that follow in the document (and in which various detailed calculations appear, which will be discussed further shortly), to the item “migliatico 2018” (which refers to a balance related to this variable, also subject to compensation between the companies, as will be illustrated shortly). Evidently, therefore, in relation to the remaining calculations pertaining to 2018, Traspemar had to, on one hand, pay [omissis] euros already invoiced by GML and, on the other hand, receive from GML [omissis] euros corresponding to the valuation of the “migliatico” variable. The compensation of these amounts between each other and with the value of [omissis] euros previously mentioned leads precisely to the net amount “to be invoiced” equal to [omissis] which, gross of VAT, becomes [omissis] euros120.</w:t>
      </w:r>
    </w:p>
    <w:p>
      <w:r>
        <w:t>117. To further substantiate the actual implementation of the revenue sharing mechanism, several accounting documents between GML and Traspemar have been acquired relating specifically to the mutual invoicing of cargo spaces, a device used for settling differences between the revenues actually received and those due based on the agreed distribution upstream among the shipowners. By way of example, in a document found at Medmar Navi, there is an invoice from GML to Traspemar for “charge for the use of spaces on board our motor vessels for the period from January 1 to May 31, 2019,” exactly equal to the value of [omissis], that is, the final amount that was to be paid by Traspemar to GML in the previously cited document121. This amount, therefore, which has been demonstrated to be the precise result of the application of the revenue sharing mechanism provided in the Agreement between the consortium companies and the related shares of entitlement (29.65% to Traspemar, 70.35% to GML) of the revenues generated by the activities carried out within COTRASIR, was subsequently paid exactly in the manner provided by the same Agreement at the already cited Art. 2, that is, using mutual invoicing of cargo spaces.</w:t>
      </w:r>
    </w:p>
    <w:p>
      <w:r>
        <w:t>117. In this way, therefore, the companies compensated, from period to period, the discrepancies between the revenue distribution actually realized in the unit of time (resulting from the ticketing activities of COTRASIR on behalf of the consortium members towards the end customers) and the a priori distribution provided in the underlying agreement among the individual companies themselves (based on the percentages of each of the total revenue 2014/2016).</w:t>
      </w:r>
    </w:p>
    <w:p>
      <w:r>
        <w:t>118. Further evidence of the presence of calculations and compensations among the consortium companies – and of their continuity and systematicity – in the document “Calculation relating to the transfers between Traspemar Srl and GML Trasporti Marittimi Srl” mentioned earlier, there are also two tables (see infra, Figure 3), respectively titled “SUMMARY ACCOUNTS COTRASIR/TRASPEMAR/GML AS OF 31/10/2019” and “SUMMARY ACCOUNTS COTRASIR/TRASPEMAR/GML AS OF 31/8/2019,” reporting monthly data relating to a series of amounts (including, as already anticipated, the value net of VAT of the balance of the migliatico of 2018 of [omissis] euros), which were likely subject to compensation, as previously illustrated. This is inferred, in addition to the cited item “migliatico 2018” (whose role has already been discussed), from the presence, in correspondence with the months of November and December 2018, of the amounts of the invoices also cited in the calculation of the net balance illustrated in detail on the first page of the document (see supra). Furthermore, in correspondence with each of the cited monthly amounts, which sometimes take on a negative sign (indicating, presumably, that invoicing should occur in reverse), either a specific invoice (marked with the acronym “FT”) or the wording “allotment” is indicated, which could presumably indicate a future invoicing or an alternative form of compensation “in kind.”</w:t>
      </w:r>
    </w:p>
    <w:p>
      <w:r>
        <w:t>121. Furthermore, continuing the reading of the same document, a third table is found which, in the first part, explicitly states the role of the so-called “migliatico,” that is, the number of miles operated by each company in the unit of time, within the distribution mechanism (see infra, Figure 4). In particular, this table, relating to the same time frame as the previous table, distinctly highlights for Traspemar and for GML the number of miles actually traveled, the number of “miles to be traveled,” and finally, the difference between these two values. In this case, Traspemar was found to have traveled [omissis] miles more than its “miles to be traveled,” while GML was found to have traveled [omissis] miles less than its “miles to be traveled.” In a subsequent section of the table, titled “VALUATION MIGLIATICO,” both the “burden for the miles traveled in excess” by Traspemar, equal to [omissis], for a total of [omissis] euros, and the “savings for the miles traveled less” by GML, quantified at [omissis], for a total of [omissis] euros, are computed, adopting two distinct conversion factors. The first sum is then renamed, in a further subsequent section of the table, “REIMBURSEMENT GML TO TRASPEMAR - MIGLIATICO,” while the second sum, after subtracting the amount of the first, constitutes the “SAVINGS AMOUNT MILES TO BE DIVIDED ACCORDING TO PARTICIPATION” and is then distributed according to the same percentages used for the overall revenue distribution, thus resulting in, for Traspemar, an additional amount in its favor equal to [omissis] euros which, added to the [omissis] already due to that company, constitutes a “total credit” related to the migliatico equal to [omissis] euros, reported immediately after.</w:t>
      </w:r>
    </w:p>
    <w:p>
      <w:r>
        <w:t>120. Therefore, given that the companies had established a total number of “miles to be traveled” for each company (and, therefore, for the entirety of the consortium activities) and that these numbers implicitly involved a share of “miles to be traveled” for each of them (equal to approximately [omissis] for Traspemar and [omissis] for GML), it was provided on one hand that the companies would compensate each other for any variations of these implicit shares within the total of “miles to be traveled” and on the other hand that they would distribute among themselves, with the same shares used for revenues (and therefore also, automatically, for any variations of the revenues themselves compared to those expected) any additional burdens or savings resulting from discrepancies between the total miles traveled and the total miles expected for the performance of the consortium activities.</w:t>
      </w:r>
    </w:p>
    <w:p>
      <w:r>
        <w:t>121. Regarding the share used to distribute the number of “miles to be traveled” by each company, it is determined through a mathematical formula by re-proportioning the number of miles “attributed” to each within the aforementioned Agreement (respectively [omissis] for GML and [omissis] for Traspemar, which in turn correspond, as indicated in the same Agreement and in many notes belonging to the same document, to the average number of annual miles traveled by them in the period 2014-2016) with a coefficient equal to 240/365 days (re-proportioning that could reflect the Parties' intention to reduce the number of trips following the establishment of COTRASIR). The fact that Traspemar had, both in the reference years 2014-2016 and consequently in the agreements made by the Parties at the time of the establishment of COTRASIR, a share of miles well above its share of revenues should not be surprising, considering the significantly different profitability of the</w:t>
      </w:r>
    </w:p>
    <w:p>
      <w:r>
        <w:rPr>
          <w:b/>
        </w:rPr>
        <w:t>[Pages 37–39]</w:t>
      </w:r>
    </w:p>
    <w:p>
      <w:r>
        <w:t>BULLETIN NO. 3 OF JANUARY 17, 2022 39</w:t>
        <w:br/>
        <w:t>the transport services provided by the two companies (and, in particular, lower in the case of the waste transport service, which represented, within the consortium activities, the entirety of Traspemar's business and instead constituted a much smaller percentage of the transports operated by GML).</w:t>
        <w:br/>
        <w:t>Figure 4 – doc. 36.58, p. 4</w:t>
        <w:br/>
        <w:t>[Omissis]</w:t>
        <w:br/>
        <w:t>122. The document then continues with further monthly reports, in which the application of the "competence" shares provided for in the Agreement is reiterated, aimed at a distribution, with respect to such predetermined shares, of the expenses for the 3% commission paid to COTRASIR for the performance of its activities (see infra, Figures 5 and 6): the commissions actually paid to COTRASIR following the ticketing activities of the latter – initially proportional to what was actually ticketed by each company – were indeed recalculated in order to distribute them based on the shares subject to the agreement between the Parties.</w:t>
        <w:br/>
        <w:t>Figure 5 – doc. 36.58, p. 5</w:t>
        <w:br/>
        <w:t>[Omissis]</w:t>
        <w:br/>
        <w:t>Figure 6 – doc. 36.58, p. 6</w:t>
        <w:br/>
        <w:t>[Omissis]</w:t>
        <w:br/>
        <w:t>123. Furthermore, as already noted for another aspect, the aforementioned Agreement also provided, regarding the activities of Medmar as an operator in the passenger sector capable of accommodating, in some cases, waste loads in "mixed" transport mode, that "GML Trasporti Marittimi S.r.l. undertakes to communicate to the Consortium on behalf of Medmar Navi S.p.A. the revenues collected for the transports carried out for the categories of competence of the Consortium following precise instructions from the authorities. 50% of such amounts will be accounted for in the total revenues to be divided (...) (Art. 10)." This provision represents further evidence of the Parties' intention to reach a priori as complete a distribution as possible of all activities falling, even only potentially, within the common sphere of competence122.</w:t>
        <w:br/>
        <w:t>124. It must be concluded that, based on the inspection evidence, the three-year period 2014/2016 represented the reference, not only for the revenue distribution mechanism (and the costs of the miles traveled) carried out within COTRASIR based on historical shares, but also for the amount of revenues that the Parties aimed to achieve through the operation of the Consortium. They, in fact, referred precisely to the average turnover level of that three-year period in absolute value (prior to the subsequent competitive developments in the two-year period 2017/2018, as mentioned) when applying the progressive increases in the prices of fuel and waste transport services reported to the Authority and previously illustrated123. In other words, the joint management of services through the consortium instrument allowed the Parties to achieve, starting from 2018, the level of profitability of the services recorded in the three-year period 2014/2016, that is, a period in which each shipowner had operated as a monopolist in the services and routes of respective specialization, thus being able to charge supra-competitive prices.</w:t>
        <w:br/>
        <w:t>3.2.5 The dissolution of GML and COTRASIR following the initiation and subsequent evolution</w:t>
        <w:br/>
        <w:t>125. During the proceedings, as recalled, the Parties submitted commitments, pursuant to Article 14-ter of Law No. 287 of October 10, 1990. The first of these measures consisted of the dissolution of COTRASIR and GML and the commitment to refrain in the future from any form of concertation aimed at the provision of the services analyzed by the investigation, including any consortium management of the same. The Authority, by decision of October 13, 2020, rejected these commitments. However, the Parties decided to voluntarily implement the dissolution of the joint company and the Consortium.</w:t>
        <w:br/>
        <w:t>126. In particular, according to what was communicated to the Authority, on July 27, 2020, the dissolution and liquidation of COTRASIR124 were resolved, a phase that is still ongoing125. On the same date of July 27, 2020, the resolution for the dissolution of GML126 was also adopted. Again, according to the information provided by the Parties, this phase is still ongoing127.</w:t>
        <w:br/>
        <w:t>127. As for the maritime transport services of interest to the investigation, operated by GML and COTRASIR during their respective operational periods (2018/2020), it appears that they have been reactivated directly by the shipowners who are Parties to the proceedings (Medmar Navi, SMLGL, and Traspemar), according to what, in light of the overall findings, appear to be their respective historical specializations. In this sense, it appears that Medmar Navi has resumed the operation of the flammables transport service to the islands of Ischia and Procida, Traspemar the waste transport service from those islands to the mainland on a dedicated ferry, and SMLGL both services (flammables and waste transport) to and from the island of Capri. Each operator appears to be the sole entity providing the services of respective specialization on the routes of interest, having essentially recreated the situation that existed in the three-year period 2014/2016 (before the period of intense competition in 2017/2018 and the subsequent period of joint management of services through GML and COTRASIR 2018/2020, as extensively described in the previous sections).</w:t>
        <w:br/>
        <w:t>128. As for the rates currently applied by the shipowners, it appears that they – in particular, Medmar Navi and Traspemar – have also voluntarily implemented what was provided for in Commitment No. 6 submitted to the Authority, that is, they have applied discounts of approximately 10% compared to the previously applicable prices (although, it should be noted, the measure provided for such a level as a price cap, while in the current situation it is a price freely defined by the shipowners, naturally subject to change at any time). The company SMLGL, for its part, has resumed special transport services concerning the island of Capri, applying the same tariff in force within COTRASIR (it should be noted, in this regard, that the rates related to Capri had not been subject to the price commitment collectively submitted by the Parties)128.</w:t>
        <w:br/>
        <w:t>129. The state of affairs whereby each company has returned to offer the historically provided services, without reciprocal competitive pressures, has also been testified by the customers of those services. For example, the company Ambrosino stated in a hearing that "Now that COTRASIR has been dissolved, and the shipowners have returned to work each in their own sector, prices have undergone a slight decrease, due to the initiative taken by the Antitrust"129.</w:t>
        <w:br/>
        <w:t>3.2.6 The parallel increases in prices</w:t>
        <w:br/>
        <w:t>130. The information acquired during the investigation has allowed for the reconstruction of the evolution of price levels for the two types of transport services, fuel and waste, for each of the routes concerned during the period from 2015 to the present. Therefore, the average price levels charged by the operators for each quarter of the period of interest on each of the routes and for each type of service are reported in the following graphs (see Figures 7-10)130.</w:t>
        <w:br/>
        <w:t>Figure 7: average rate for flammables route Naples-Ischia (€/hl, 2015-2021)</w:t>
        <w:br/>
        <w:t>128 Medmar has announced that it has further reduced the requested price, from [omissis] euros per hectoliter to [omissis] euros per hectoliter, starting from March 1, 2021. This reduction is evidently merely symbolic.</w:t>
        <w:br/>
        <w:t>129 Doc. 184, hearing minutes.</w:t>
        <w:br/>
        <w:t>130 Although the price changes did not occur exactly on a quarterly basis, each of the quarters that make up the observation period has been attributed the price level that predominantly characterized that quarter.</w:t>
      </w:r>
    </w:p>
    <w:p>
      <w:r>
        <w:rPr>
          <w:b/>
        </w:rPr>
        <w:t>[Pages 40–42]</w:t>
      </w:r>
    </w:p>
    <w:p>
      <w:r>
        <w:t xml:space="preserve">42 BULLETIN NO. 3 OF JANUARY 17, 2022  </w:t>
        <w:br/>
        <w:t>Figure 8: average tariff for the waste route Ischia-Naples (€/indifferent vehicle, 2015-2021)</w:t>
      </w:r>
    </w:p>
    <w:p>
      <w:r>
        <w:t xml:space="preserve">BULLETIN NO. 3 OF JANUARY 17, 2022 43  </w:t>
        <w:br/>
        <w:t xml:space="preserve">Figure 9: average tariff for the flammable route Naples-Capri (€/hl, 2015-2021)  </w:t>
        <w:br/>
        <w:t xml:space="preserve">Figure 10: average tariff for the waste route Capri-Naples (€/indifferent vehicle, 2015-2021)  </w:t>
        <w:br/>
        <w:t xml:space="preserve">131. As can be seen from Figures 7 and 8, on the routes to and from the island of Ischia, there has been a noticeable decline in tariffs since 2017, associated with the entry of new operators, notably the company Fuelmar (supported by Traspemar through the chartering of armed hull ships) in the transport of flammables and, shortly thereafter, of Medmar Navi on the routes dedicated to waste transport (traditionally the domain of Traspemar itself). In both types of service, there has been a significant reduction in prices during this phase of competitive confrontation compared to the pre-existing equilibrium.  </w:t>
        <w:br/>
        <w:t xml:space="preserve">132. In particular, as can be observed in Figure 7, the average price requested for the transport of fuels fell in July 2017, shortly after the entry of Fuelmar, from a value of approximately [omissis] euros per hectoliter to a value of approximately [omissis] euros per hectoliter (after having stabilized, in the previous quarter, around an average value of approximately [omissis] euros per hectoliter) and continued to remain at these levels until the cessation of activities of Fuelmar itself, which occurred during the same period as the establishment of GML between the Medmar group and Giuffrè and Lauro (May 2018, with operational start in June) and of the COTRASIR consortium, which also included Traspemar (July 2018, with operational start in mid-September)131. Following these changes in the structure of the supply, the average tariff quickly rose to much higher levels, even exceeding those prior to Fuelmar's entry into the market: in fact, by early April 2019, it had reached a level of approximately [omissis] euros per hectoliter transported, a level maintained until the initiation of the proceedings132. Finally, in August 2020, in spontaneous implementation of the commitment proposal submitted to the Authority, concurrently with the dissolution of GML and COTRASIR, the Parties implemented a slight tariff reduction, down to the level of [omissis] euros per hectoliter133.  </w:t>
        <w:br/>
        <w:t xml:space="preserve">133. With regard to the tariff evolution for the transport of waste on the Ischia-Naples route, illustrated in Figure 8, there is also a significant tariff reduction recorded during the period between mid-2017 and mid-2018, during which Medmar Navi, shortly after the entry of Fuelmar (and thus, indirectly, of Traspemar) into the transport of flammables, began to operate dedicated routes for the transport of waste from the island, in competition with the traditional operator Traspemar. Taking as a reference, for example, the price requested for the transport of a type 190134 RSU vehicle full of unsorted waste, the average level of this value was reduced, during this phase, to [omissis] euros, an amount well below the previous average tariff level.  </w:t>
        <w:br/>
        <w:t xml:space="preserve">131 Regarding the average tariff levels of this phase, the price lists of the operators active during that period, provided by the buyers, were used. The tariff levels analyzed, moreover, based on the linear meter of the vehicles containing the transported fuel, were converted into price per hectoliter, using, in the absence of specific indications from the Parties regarding the conversion factor from linear meters to capacity in hectoliters, the capacity of the specific vehicles transported of which, in some price lists, the actual quantity of fuel transported is indicated, in addition to the linear meter and the related tariff. In this sense, it is specified that, among the values suggested by this conversion criterion, the most conservative values were used, that is, those that involve a lower estimate of the tariff decrease that occurred during this phase of the market (and specifically, an estimated capacity of 180 hectoliters for a vehicle up to 9.5 mt was used, which thus allowed the calculation of the tariff per hectoliter by dividing the tariff charged by each operator for that vehicle by 180). In this sense, it is also specified that the complainants estimated for this period tariff levels that were also significantly lower than those reported in the graph. See docs. 15, 174, 175, 181, 188.  </w:t>
        <w:br/>
        <w:t xml:space="preserve">132 In particular, this tariff level was reached through three successive increases: the first, coinciding with the start of COTRASIR's activities on September 13, 2018, brought the price levels to approximately [omissis] euros per hectoliter. Already from December 16 of the same year, an increase to [omissis] euros per hectoliter was announced, coinciding with the return to pricing per hectoliter and not per linear meter of the vehicles. Finally, from April 1, 2019, the average price reached the level of [omissis] euros per hectoliter. With the establishment of GML, the schedules of the routes previously operated by the parent company Medmar Navi were also modified, particularly eliminating morning runs and those operated on Wednesdays.  </w:t>
        <w:br/>
        <w:t xml:space="preserve">133 The prices charged for the transport of LPG cylinders also experienced an increase of about 10% with the establishment of COTRASIR. This increase was then substantially neutralized during the spontaneous implementation of the commitments presented by the Parties during the proceedings.  </w:t>
        <w:br/>
        <w:t>134 This refers to a multipurpose heavy-duty truck.</w:t>
      </w:r>
    </w:p>
    <w:p>
      <w:r>
        <w:rPr>
          <w:b/>
        </w:rPr>
        <w:t>[Pages 43–45]</w:t>
      </w:r>
    </w:p>
    <w:p>
      <w:r>
        <w:t>BULLETIN NO. 3 OF JANUARY 17, 2022 45</w:t>
        <w:br/>
        <w:t>amounting to approximately [omissis] euros135. Following the establishment of COTRASIR in September 2018, there was an immediate cessation of waste transport services by GML (a company participated by the Medmar group that had inherited this type of service for a few months) and a significant tariff increase, with the average tariff essentially doubling, reaching levels of approximately [omissis] euros for the transport of the same type of vehicle (until the reduction, during the voluntary implementation of the commitments, to the value of [omissis] starting from August 2020).</w:t>
        <w:br/>
        <w:t>134. As for the transport route of fuels to the island of Capri, as can be seen from Figure 9, the tariff levels saw an increase from [omissis] to [omissis] euros per hectoliter in the second half of 2017 and a subsequent further increase, up to a level slightly above [omissis] euros per hectoliter, in the second half of 2018, in the period immediately following the establishment of GML (which operated these routes instead of the company SMLGL, but using the same fleet).</w:t>
        <w:br/>
        <w:t>135. Finally, with reference to the transport of waste from the island of Capri, Figure 10 shows that there was an initial increase at the beginning of 2016, from [omissis] to [omissis] euros for the transport of a full vehicle of RSU type 190, followed by a further increase up to the level of [omissis] euros in the second half of 2018, following the replacement of SMLGL with the company GML in the operation of the route.</w:t>
        <w:br/>
        <w:t>3.3 Market Outcomes</w:t>
        <w:br/>
        <w:t>136. As can be seen from the previous graphs, following the initiation of the contested agreement, price levels increased during the observation period for both services and for both routes considered. However, while for Capri there was a constant and relatively gradual growth throughout the entire period from 2015, the tariff levels for Ischia significantly decreased during the 2017/2018 period and, subsequently, following the initiation of the contested conduct, experienced a rapid increase, reaching levels even higher than those prior to the decline phase.</w:t>
        <w:br/>
        <w:t>137. The reporting Parties, moreover, regarding the transport service of flammables to the island of Ischia, reported extremely marked tariff increases, quantified by them up to 400%, since the shipowners began to operate through the COTRASIR consortium. This estimate, in fact, derives from the difference between the tariff levels in effect in the summer of 2018 (immediately prior to the start of the Consortium's operations) and those reached after the last of the tariff increases that occurred during the consortium period (i.e., from the second quarter of 2019 until the dissolution of the Consortium).</w:t>
        <w:br/>
        <w:t>138. However, the estimate of this difference does not appear entirely relevant for quantifying the potential effects of the contested conduct, as it considers, on the one hand, the lower prices among those of the period preceding the consortium period (which, although being the prices immediately prior to the start of COTRASIR's activities, do not necessarily represent the best estimate of the price level that would have prevailed in the market in the absence of the contested conduct) and, on the other hand, the maximum level reached by the tariff levels during the consortium period. This estimate also does not take into account the possibility that other factors may have influenced, in one way or another, the tariff levels, regardless of the contested conduct. An estimate of the effects of the contested conduct on the fees charged for the services of interest would instead require a comparison between the price levels in effect during the period of the agreement and the price levels that would have been observed in the absence of coordination.</w:t>
        <w:br/>
        <w:t>139. In this sense, a more appropriate comparison – as well as more cautious towards the Parties – would require comparing the average tariff level observed during the period of the agreement with the average tariff level observed prior to the agreement over a time horizon comparable to that of the implementation period of the agreement itself (and not already with the last prices in effect before the establishment of COTRASIR).</w:t>
        <w:br/>
        <w:t>140. In particular, by comparing the average tariff levels in effect during the period from the start of the implementation of the agreement in the market (establishment of COTRASIR and cessation of the flammable transport lines of Fuelmar/Traspemar and waste transport of Medmar) to the phase of voluntary implementation of the commitments (dissolution of COTRASIR and GML and reduction of fees by 5-10%), a significant percentage increase is observed for both types of transport and for both routes, albeit lower than that indicated by the complainants (see Table 3)136.</w:t>
        <w:br/>
        <w:t>Table 3 – average price variation by route/service for Campanian islands</w:t>
        <w:br/>
        <w:t>Q4_2018 - Q2_2020 Q1_2017 – Q3_2018 Variation</w:t>
        <w:br/>
        <w:t>(agreement) (pre-agreement) pct.</w:t>
        <w:br/>
        <w:t xml:space="preserve">Ischia/Procida - </w:t>
        <w:br/>
        <w:t>flammables 7.3 euros/hl 4.3 euros/hl + 70.3%</w:t>
        <w:br/>
        <w:t>Ischia/Procida - waste 300.7 euros/vehicle 249.8 euros/vehicle +20.4%</w:t>
        <w:br/>
        <w:t>Capri - flammables 19.5 euros/hl 15.9 euros/hl +22.5%</w:t>
        <w:br/>
        <w:t>Capri - waste 470.2 euros/vehicle 399.7 euros/vehicle +17.6%</w:t>
        <w:br/>
        <w:t>Source: processing of data provided by the Parties</w:t>
        <w:br/>
        <w:t>141. Furthermore, in order to take into account the possible relevant variables that may have influenced prices (such as overall demand changes for the service or cost variables) regardless of the coordination within COTRASIR, two elements are considered.</w:t>
        <w:br/>
        <w:t>142. First, an estimate was constructed, using data provided by Eni and Kuwait Petroleum Italia S.p.A., of the fee paid by the two companies, starting from 2017, for the transport of flammables along direct routes to other small islands in Italian territory, located at comparable distances to those traveled on the routes subject to investigation – specifically Trapani-Favignana (TP), Milazzo (ME)-Lipari (ME), Terracina (LT)-Ponza (LT), Terracina (LT)-Ventotene (LT), and Porto Santo Stefano (GR)-Giglio (GR).</w:t>
        <w:br/>
        <w:t>136 The data used for calculating the average values are those underlying the graphs in Figures 7-10.</w:t>
      </w:r>
    </w:p>
    <w:p>
      <w:r>
        <w:t>BULLETIN NO. 3 OF JANUARY 17, 2022 47</w:t>
        <w:br/>
        <w:t>143. In these cases, the transport of flammables concerns different locations and occurs in different ways (generally via ferry boats and flammables are transported in conjunction with passengers)137. Therefore, the average tariff levels observed on such routes are different from those practiced by the Parties on the routes to the islands of the Gulf of Naples (and specifically lower than the latter). It thus appears necessary to compare not the absolute tariff levels but the percentage variations observed from the same levels over a similar time horizon, in order to account for the effect of possible relevant variables that may have influenced – through a different route than the contested agreement – the evolution of tariff levels over time138.</w:t>
        <w:br/>
        <w:t>144. That said, it is possible to derive the average tariff level paid by Eni and Kuwait Petroleum Italia S.p.A. for the entirety of these different routes in each quarter starting from January 2017 and calculate, similarly to what was done for the routes of interest in the investigation, the average of these values both in the seven quarters characterized by the contested agreement (resulting in approximately 3.99 euros per hectoliter) and for the seven quarters of the period preceding it (which is approximately 4.03 euros per hectoliter). From the comparison of these values, it is deduced that the average tariff levels for the transport service of flammables to and from the smaller islands used for comparison decreased by 0.98% between the two periods. This is a much smaller variation than that recorded, in the same periods, for the transport of flammables on the routes subject to investigation (see previous Table 3).</w:t>
        <w:br/>
        <w:t>145. Therefore, if the tariff levels for the transport of flammables to Ischia and Procida and to Capri had been subject – as would be reasonably expected in the absence of specific factors related to coordination – to the same dynamics of cost and demand to which similar services in comparable small islands were subject, a percentage increase such as that recorded, exceeding 70% in the case of Ischia and approximately 22.5% in the case of Capri, would not have been justified.</w:t>
        <w:br/>
        <w:t>146. Furthermore, making a reasonable assumption about a substantial homogeneity between the tariffs charged for the transport of flammables to comparable islands and those charged for waste transport139, it could also be inferred, with reference to such services, that the percentage increase observed for the islands of the Gulf of Naples subject to investigation (respectively 20.4% for Ischia and 17.6% for Capri) could be fully attributed to the coordination.</w:t>
        <w:br/>
        <w:t>147. The confirmation of what has just been stated is provided by the report from the Municipality of Marciana (Island of Elba), regarding the fact that for the company it employs, Elbana Servizi Ambientali S.p.A., the tariff levels have not changed at all during the entire observation period.</w:t>
        <w:br/>
        <w:t>137 In such cases, safety regulations require a reduction in the number of passengers transported.</w:t>
        <w:br/>
        <w:t>138 In other words, it is expected that the service tariff, while having different absolute values between these smaller islands and the islands of the Gulf of Naples, evolves similarly (reflecting, evidently, variations in the same underlying factors – for example, in this case, bunker costs, crew costs, maintenance, insurance and certifications, and other typical costs of nautical activities).</w:t>
        <w:br/>
        <w:t>139 This similarity could be particularly pronounced on the cost side, as both cases involve navigation services and this type of transport is often carried out with ships that are entirely fungible with each other (as occurs, in fact, precisely in the Gulf of Naples). The trend of tariffs related to waste transport in the islands comparable to those referred to in this provision has been the subject of specific requests for information during the investigation that, however, did not receive satisfactory responses. For this reason, regarding this trend, only the reasoning reported above can be conducted.</w:t>
      </w:r>
    </w:p>
    <w:p>
      <w:r>
        <w:rPr>
          <w:b/>
        </w:rPr>
        <w:t>[Pages 46–48]</w:t>
      </w:r>
    </w:p>
    <w:p>
      <w:r>
        <w:t>48 BULLETIN NO. 3 OF JANUARY 17, 2022</w:t>
      </w:r>
    </w:p>
    <w:p>
      <w:r>
        <w:t>148. Furthermore, the evidence of a not particularly pronounced cost dynamic for the performance of waste transport activities during the periods surrounding the operation of COTRASIR appears consistent with what was reported by Traspemar in the expert report submitted by that company in the sub-proceeding on commitments and subsequently attached to a response to the requests for information made by the Authority during the investigation140. In this report, in fact, it is found, with reference to total costs, "an almost stable trend of costs over the considered time frame [the horizon 2016-2019, ed.], with a slight downward trend due to the cost savings that Traspemar has managed to achieve." It also stated that the overall demand for waste transport services is substantially constant, declaring that "the volume of waste produced is determined exclusively by the number of residents on the islands; which presents a generally stable and predictable trend." Therefore, it does not seem possible to find a substantial variation in the quantity demanded for the service, as is entirely reasonable to expect and as is also confirmed by the data provided by the municipalities of the island of Ischia. The sum of these considerations, therefore, suggests that even for waste transport (which, moreover, using the same naval units, presents similar fundamentals, from the cost side, to the segment of flammables), during the period characterized by the agreement, one could reasonably expect, in the absence of concertation, a substantially constant average level of rates or, at most, even slightly lower than that observed in the previous seven quarters141.</w:t>
      </w:r>
    </w:p>
    <w:p>
      <w:r>
        <w:t>149. Finally, it is noted that the previously indicated estimates concern only the phase of the agreement prior to the voluntary implementation of the commitments presented by the Parties in the proceedings and that, however, in the case of the routes to and from the islands of Ischia and Procida, such implementation involved a voluntary reduction in prices of about 10% for the transport of flammables and about 5% for the transport of waste (followed by a further reduction of 0.3% - and therefore merely symbolic - made by Medmar for the transport of flammables starting from March 2021). Starting from July 2020, therefore, also due to the initiation of the proceedings, the effects of the agreement on prices have slightly weakened for these transport lines.</w:t>
      </w:r>
    </w:p>
    <w:p>
      <w:r>
        <w:t>IV. THE ARGUMENTS OF THE PARTIES</w:t>
      </w:r>
    </w:p>
    <w:p>
      <w:r>
        <w:t>150. The Parties involved in the proceedings have had the opportunity to present their positions during the investigative hearings and the final hearing and by submitting written memoranda, both jointly and individually. The following will account for these positions, starting with the arguments of the complainants, and then retracing the arguments of the reported subjects, expressed both jointly and individually.</w:t>
      </w:r>
    </w:p>
    <w:p>
      <w:r>
        <w:t>4.1 The positions of the complainants</w:t>
      </w:r>
    </w:p>
    <w:p>
      <w:r>
        <w:t>151. The company Ambrosino, during the investigative hearing142, stated that it had made the complaint that gave rise to the proceedings as it was harmed by a maritime transport system in force in the Gulf of Naples that would not be consistent with the free market. The shipowners in question, in fact, would have divided the market: Medmar in the transport of passengers and goods, the Traspemar group on urban and special waste, and the Servizi Marittimi Liberi Giuffrè and Lauro group on Capri143. Ambrosino, in the hearing, recounted the reported events in the following terms: in 2017 one of the shipping groups, Traspemar, attempted to enter the flammable transport sector, triggering a war with Medmar. This attempt by Traspemar to enter activities traditionally belonging to Medmar would have caused a commercial war with a reduction in prices in the sector. However, subsequently, this war would have been resolved and the cartel would have been reestablished, through the birth and use of COTRASIR, which would have provided for generalized tariff increases for all transported products and in particular for flammables, bringing rates back to the levels existing before 2017144. As for the situation at the time of the investigative hearing, Ambrosino then stated that it was still substantially in line with what was described: fuel transport was the prerogative of Medmar, waste transport was the prerogative of Traspemar, and thus still with the existing separation between the activities previously (as well as before 2017). Regarding the price level for fuels, it would have returned to the levels prior to 2017, when the described division between the shipping groups would have already been in force.</w:t>
      </w:r>
    </w:p>
    <w:p>
      <w:r>
        <w:t>152. As for ENI, this company, during the investigative hearing145, specified that it continued to use the company Ambrosino as the logistics manager for the transport of fuels on the island of Ischia; based on the contract with the company, Ambrosino would purchase maritime transport services from the shipowners and would continue to rely on Medmar, the only entity operating the service. The prices charged at the time of the hearing coincided with those indicated as the maximum ceiling in the proposal for commitments made by the Parties (and rejected by the Authority) within the proceedings and were therefore slightly lower than the level reached during the consortial period. In any case, ENI argues that after the establishment of COTRASIR, prices increased by about 400% within a year. Regarding the relationship between the average price of fuels at the pump on the island of Ischia and that on the mainland, ENI then stated that the final price would not depend only on transport costs but also on other variables, and there would therefore not be an immediate relationship. According to the company, there are several so-called "white pumps" in Ischia that, while also facing transport costs, would be particularly competitive on prices because they have a simplified industrial system; ENI, therefore, to compete with them, finds itself having to compress its margins. The company finally stated that there would be particularly penalizing conditions for the costs of fuel transport to the Campanian islands, compared to other realities. It should also be considered that the islands of the Gulf of Naples generally have higher consumption but average ferry unit costs that are higher than those incurred for transport to other islands, even those further from the coast.</w:t>
      </w:r>
    </w:p>
    <w:p>
      <w:r>
        <w:t>143 As for passengers, the Lauro group would carry out fast transport with hydrofoils to the port of Ischia (while Snav would only use the port of Casamicciola). Finally, according to Ambrosino's representation, the former regional company Caremar is active, which carries out both passenger and goods transport with OSP line runs, but the runs performed would be limited and insufficient compared to the existing mobility flow.</w:t>
      </w:r>
    </w:p>
    <w:p>
      <w:r>
        <w:t>144 As for the circumstance of whether Fuelmar should be considered coincident with Traspemar (as it appears that the attempt to enter the fuel market was made by Fuelmar, while Ambrosino in its account attributed this commercial move to Traspemar), the company stated that they would be substantially coincident.</w:t>
      </w:r>
    </w:p>
    <w:p>
      <w:r>
        <w:t>145 Cf. minutes, doc. 173.</w:t>
      </w:r>
    </w:p>
    <w:p>
      <w:r>
        <w:rPr>
          <w:b/>
        </w:rPr>
        <w:t>[Pages 49–51]</w:t>
      </w:r>
    </w:p>
    <w:p>
      <w:r>
        <w:t>BULLETIN NO. 3 OF JANUARY 17, 2022 51</w:t>
        <w:br/>
        <w:t>complaints from the current reporters), following a temporary downward trend that would have prejudiced the profitability of management and induced some parties to exit the market.</w:t>
      </w:r>
    </w:p>
    <w:p>
      <w:r>
        <w:t>157. The companies also argued that there is an evident instrumental nature to the reports that initiated the proceedings. In particular, Ambrosino holds a substantially monopolistic position in the local fuel transport market, which has led to the phenomenon whereby there has been a significant disparity in fuel prices on the island compared to the mainland for years, with differences of up to 30/40 cents per liter. This disparity could not be justified by the maritime transport costs of flammables, which would only minimally affect the final price (by about 8 cents per liter149). Similarly, the report from ENI would also be instrumental. Regarding the report from Barano Multiservizi, it would instead be linked to the ongoing civil litigation with Traspemar concerning the non-payment for services provided by the shipping company.</w:t>
      </w:r>
    </w:p>
    <w:p>
      <w:r>
        <w:t>158. Further arguments were jointly expressed by Medmar Navi, Mediterranea Marittima, COTRASIR, GML, and SMLGL through the final memorandum. In this context, these companies first contested the definition of the relevant market contained in the CRI, as it would not adequately consider the profound difference between flammables and waste, in terms of clientele, product characteristics, and organizational methods of the respective transports. Furthermore, it would not take into account the territorial vocation of each of the shipping companies involved in the investigation, historically focused on connections to one or the other island in the Gulf.</w:t>
      </w:r>
    </w:p>
    <w:p>
      <w:r>
        <w:t>159. The Parties also contested the qualification of the case in question as an agreement by object and a hard-core violation. In this regard, it would indeed be legally incorrect to attribute to the shipping companies the implementation of an alleged restrictive agreement concerning operations in markets that, for the reasons illustrated, do not allow them to operate profitably and sustainably in a competitive regime. The same Communication of the Investigative Results (CRI), moreover, would derive the restrictive nature of the agreement from the content of some inspection documents found only in draft form and at another shipping company different from the writing companies (i.e., Traspemar), which had never signed the documents in question nor implemented them.</w:t>
      </w:r>
    </w:p>
    <w:p>
      <w:r>
        <w:t>160. As for the effects of the agreement, the Parties also highlighted a methodological error that the CRI would incur in comparing the variation of average prices between the period of implementation of the alleged agreement and the preceding period. In a completely arbitrary manner, according to the Parties, a time reference of seven quarters was adopted for the period prior to the agreement for the purposes of this comparison. In this way, the reference considered by the CRI would largely correspond to the period of trade war among operators that saw prices drop to levels so low as to cause significant operating losses for both Medmar Navi and Fuelmar, leading both shipping companies to cease operations, an element that would distort the conducted exercise. For the purposes of comparison, at least the two-year period 2015-2016 should have been considered, that is, a sufficiently long period characterized by stable and minimally profitable price levels150.</w:t>
      </w:r>
    </w:p>
    <w:p>
      <w:r>
        <w:t>149 See doc. 97, subsequent integration to the memorandum referred to in doc. 96.</w:t>
        <w:br/>
        <w:t>150 Similarly erroneous from a methodological point of view would be, according to the Parties, the comparison made with the average prices of fuel transport to and from some other small national islands. In fact, these would be non-comparable data, as</w:t>
      </w:r>
    </w:p>
    <w:p>
      <w:r>
        <w:t>52 BULLETIN NO. 3 OF JANUARY 17, 2022</w:t>
        <w:br/>
        <w:t>161. The Parties also contested the assessments in terms of severity and duration contained in the CRI, as – under the first profile – the alleged agreement would not represent, in their opinion, a very serious violation of the rules protecting competition, while – regarding the reference time period – both the identification of the dies a quo, deduced only from some emails lacking actual anti-competitive content, and the contestation of the alleged agreement as still ongoing would be erroneous, since no joint management of services among the Parties has continued after the dissolution of GML and COTRASIR, but the shipping companies have returned to their historical areas of specialization without this being the result of any concentration, even applying prices lower than those previously, in spontaneous implementation of the commitments presented to the Authority but rejected by the same.</w:t>
      </w:r>
    </w:p>
    <w:p>
      <w:r>
        <w:t>162. In a mere subordinate manner, the Parties requested the application of a merely symbolic monetary sanction or at most a light amount, considering the limited contributory capacity of the companies, their disadvantaged economic-financial situation, and the dramatic effects of the Covid-19 pandemic on the volumes and thus on the revenues of the companies, as well as valuing the spontaneous implementation of the commitments by the same despite the intervening rejection.</w:t>
      </w:r>
    </w:p>
    <w:p>
      <w:r>
        <w:t>4.3 The position of COTRASIR</w:t>
      </w:r>
    </w:p>
    <w:p>
      <w:r>
        <w:t>163. COTRASIR, during the investigative hearing151, regarding the revenue-sharing agreement based on historical shares152, stated that “this is an unsigned document, which the Consortium does not know who drafted, nor does COTRASIR represent one of the Parties mentioned in the document itself.”</w:t>
      </w:r>
    </w:p>
    <w:p>
      <w:r>
        <w:t>164. In the joint final memorandum of the Parties153, concerning the individual position of COTRASIR, it was emphasized that throughout its operational period, the Consortium has never operated as a shipping company, rather performing the role of “mere organizational instrument of the activities of the individual consortium shipowners.” Regarding COTRASIR, moreover, the CRI would not attribute any specific conduct or responsibility for the facts under examination, and therefore any profile of responsibility for the same should be excluded for the facts under investigation. In a mere subordinate manner, in addition to the considerations valid for all Parties for the purposes of the symbolic quantification of any sanction, specific reference to the Consortium should also consider the very modest value of its revenues and the reduced contributory capacity, also given the ongoing liquidation procedure154.</w:t>
      </w:r>
    </w:p>
    <w:p>
      <w:r>
        <w:t>4.4 The position of GML</w:t>
      </w:r>
    </w:p>
    <w:p>
      <w:r>
        <w:t>165. GML, in response to a request for information155, expressed some considerations regarding the revenue-sharing agreement based on historical shares, particularly stating that “documents 36.53 and 36.60 refer to draft agreements that are not signed, found at Traspemar S.r.l. and therefore may have been prepared by individuals attributable to this company.”</w:t>
      </w:r>
    </w:p>
    <w:p>
      <w:r>
        <w:t>166. In the joint final memorandum156, concerning the position of the company, it was emphasized that – also with reference to itself, as well as to COTRASIR – the CRI would not attribute any concrete behavior but would qualify it as a mere implementing tool of the alleged agreement. As for the statement contained in the CRI that the establishment of GML could only be considered as preliminary to the establishment, together with Traspemar, of the COTRASIR Consortium, this would be a speculation lacking supporting elements, in any case inadequate to identify specific anti-competitive conduct or profiles of responsibility on the part of GML. In a mere subordinate manner, regarding any sanctioning aspects, in addition to the elements valid for all Parties, it should still be considered that the joint company is in liquidation and has not generated revenues for some time.</w:t>
      </w:r>
    </w:p>
    <w:p>
      <w:r>
        <w:t>4.5 The position of TRASPEMAR</w:t>
      </w:r>
    </w:p>
    <w:p>
      <w:r>
        <w:t>167. Traspemar expressed further defensive arguments primarily during the sub-proceeding commitments157, also through a sworn accounting expert report. Regarding the general considerations expressed therein, the company stated that the complaints underlying the investigation would concern it only regarding waste transport and that, in this area, the main grievances raised by Barano Multiservizi would be expressions of a customer characterized by chronic unreliability, with delays in payments and insolvencies, and that for these reasons it would be involved in a civil dispute with Traspemar itself.</w:t>
      </w:r>
    </w:p>
    <w:p>
      <w:r>
        <w:t>168. Secondly, through the economic-accounting expert report submitted158, the company sought to demonstrate that the rates charged would always have been cost-oriented and never excessive; on the contrary, the market context and the lack of punctuality in payments by customers would have jeopardized the economic sustainability of the company. In this sense, in the reference segment, it would be unrealistic to hypothesize the presence of another player. These considerations would justify the “disastrous failure of the attempt to compete with Traspemar by another operator during 2017-2018.” Based on the financial data produced, it would be particularly evident that the temporary “price war” would have brought rates to unsustainable levels, as they were insufficient to cover the minimum management costs. The real obstacle to competition, structural and insurmountable, would therefore consist, according to Traspemar, in the modest size of the market and its low profitability.</w:t>
      </w:r>
    </w:p>
    <w:p>
      <w:r>
        <w:t>169. As for the accounting data relating to the years considered by the investigation, they would show, according to the company, that the service was poorly remunerative already in 2017. Subsequently, the “tariff storm” caused by the “clumsy attempt” of Medmar (and then of GML) to “corner the market” would have forced Traspemar into a defensive action that would have severely tested the already precarious economic sustainability of the service. The tariff reductions of 2017-2018 would not have been accompanied by proportional cost reductions; costs, on the contrary, would have followed an opposite trajectory leading to a strongly negative economic result for</w:t>
      </w:r>
    </w:p>
    <w:p>
      <w:r>
        <w:rPr>
          <w:b/>
        </w:rPr>
        <w:t>[Pages 52–54]</w:t>
      </w:r>
    </w:p>
    <w:p>
      <w:r>
        <w:t xml:space="preserve">54 BULLETIN NO. 3 OF JANUARY 17, 2022  </w:t>
        <w:br/>
        <w:t xml:space="preserve">Traspemar. Subsequently, in 2019, the increase in tariffs would have partially realigned prices to costs, and the establishment and functioning of COTRASIR would have made it possible to rationalize certain functions and achieve savings. In conclusion, according to the representation of the Party, from the analysis of the submitted financial data, it would emerge that the revenues derived from the provision of the service are barely sufficient to cover costs and that the tariff reductions that Traspemar would have been forced to apply to defend its market position would not have been sustainable in any way in the medium to long term.  </w:t>
        <w:br/>
        <w:t xml:space="preserve">170. Further arguments were presented by Traspemar during the investigative hearing159. In particular, in that context, the company stated that, "while admitting to having made some oversights, at least partly justified by not having even an internal lawyer, it did not play an active role in the definition of the COTRASIR Consortium (e.g., in drafting the clauses) and in its functioning, which is the subject of the initiation of the proceedings." Furthermore, the operational methods of the Consortium would not have caused any overpricing harm to Traspemar's customers, who would largely be municipal entities that often turn out to be poor payers. The prices charged by Traspemar, it was stated, would have continued to be decided solely by the company itself – even within COTRASIR – as it would not have made sense to share such a strategic element with the other consortium members. What would have been witnessed, rather than anti-competitive collusion, would be an attempt to eliminate a small operator by a much larger competitor.  </w:t>
        <w:br/>
        <w:t xml:space="preserve">171. Regarding the non-competition agreement of 2015 with Pozzuoli Ferries (later merged into Medmar), Traspemar argued that it would have only been conditions related to the sale of the fleet, which should be interpreted as style clauses aimed at preventing those ships from being used to compete. Always during the hearing, regarding the matter related to the company Fuelmar, Traspemar stated that "having its hands tied regarding the expansion of its business, it decided to charter its ship Don Angelo (which the company had meanwhile purchased after being sued by Medmar, in order to have its own backup ship) to Fuelmar, which wanted to undertake the transport of flammables. Fuelmar was a company born from the initiative of a number of parties, particularly operators active in the flammables market and transporters from Procida." Traspemar had chartered the Don Angelo as a bareboat, meaning including all navigation services and therefore also providing all the nautical know-how. Fuelmar, in fact, would not have been a company with shipping capacity, so the navigation activities would have been carried out by Traspemar, while Fuelmar would have taken care, for example, of fuel supply, operating expenses, and ticketing.  </w:t>
        <w:br/>
        <w:t xml:space="preserve">172. Regarding the establishment of COTRASIR, the company stated that shortly before, the joint company GML had been established between Medmar and the Giuffrè and Lauro group. In fact, therefore, Traspemar would have found itself "alone against all in the commercial scenario of the Gulf of Naples. Therefore, following the aforementioned events, participation in the consortium with the other operators had become a forced decision." During the consortium period, the tariffs would have simply been brought back to the level prior to the modification of Medmar's commercial policy, which had in turn followed the initiative of Fuelmar. According to Traspemar, the tariffs set at the consortium level would represent, at least for the less profitable waste transport market, the minimum at which the service can be performed with reasonable margins.  </w:t>
        <w:br/>
        <w:t xml:space="preserve">173. Regarding the revenue-sharing agreement based on historical shares (found in two inspection documents at Traspemar itself) and the related compensations, in response to a request for information made by the Offices160, the Party initially stated that, in the first phase of the consortium period, there would have been some compensations among the consortium companies, which would however have diminished over time. However, in responding to the specific question posed by the Offices within the hearing minutes, Traspemar then argued that this mechanism had never actually been implemented; in particular, at the beginning of the Consortium's operations, a compensation regime had been hypothesized that would have had the sole function of reducing costs in case of breakdown/unavailability of the ships used by the consortium members, but which, in any case, would not have been put into practice. More specifically, Traspemar itself, in applying this provision, would have made its ship Don Angelo available to GML in order to allow the company to operate some routes related to the transport of flammables to Ischia and Procida, thus accumulating a "mile credit" towards GML, which would therefore have had to return a similar service to Traspemar. The company specifies, however, that this "mile credit" was never actually collected due to the dissolution of COTRASIR.  </w:t>
        <w:br/>
        <w:t xml:space="preserve">174. In the final memorandum161, Traspemar essentially reiterated these statements, requesting that "the Authority ascertain that the conduct subject to this proceeding, although characterized by evident 'oversights', which in the case of Traspemar were caused solely by ignorantia legis - being a company without an internal lawyer - did not cause any harm to Traspemar's clientele, which has been able to enjoy and currently enjoys the availability of a line service at cost-oriented prices." It then focused on the aspect related to the duration of the infringement, stating that it would be erroneous to consider the alleged agreement still ongoing, as no evidence had been provided in support of such a claim and currently there would be no commercial relationship between Traspemar and the other companies that belonged to the Consortium, except for contacts related solely to the rental of some vessels.  </w:t>
        <w:br/>
        <w:t xml:space="preserve">175. Also in the final memorandum and in the final hearing162, in a subordinate manner, Traspemar requested the application of a merely symbolic sanction, considering the small size of the company, the spontaneous implementation of commitments, and the collaborative spirit maintained during the proceedings, the role of follower and certainly not of leader in the contested actions, as well as the current situation of severe crisis that it is undergoing163.  </w:t>
        <w:br/>
        <w:t xml:space="preserve">160 Doc. 177.  </w:t>
        <w:br/>
        <w:t xml:space="preserve">161 Doc. 306.  </w:t>
        <w:br/>
        <w:t xml:space="preserve">162 Cf. final hearing minutes, docs. 313-318.  </w:t>
        <w:br/>
        <w:t>163 Also due to the fact that its motor vessel "Giuseppina I," as of December 16, 2020, would be idle for extraordinary maintenance work, with significant costs for the company. Traspemar has used the vessel "Aries Tide" rented from SMLGL from December 2020 until April 2021; from May 2021 until September 2021, Traspemar used the vessel "Billton" also rented from SMLG&amp;L. In this situation, Traspemar would be operating at a loss overall. This negative result would be even more serious considering that in recent years the company would have recorded modest revenue with very thin margins, as also demonstrated by the economic appraisal submitted during the proceedings.</w:t>
      </w:r>
    </w:p>
    <w:p>
      <w:r>
        <w:t xml:space="preserve">56 BULLETIN NO. 3 OF JANUARY 17, 2022  </w:t>
        <w:br/>
        <w:t xml:space="preserve">4.6 The position of MEDITERRANEA MARITTIMA and MEDMAR NAVI  </w:t>
        <w:br/>
        <w:t xml:space="preserve">176. Medmar Navi expressed further defensive arguments, firstly, during the sub-proceedings on commitments, also submitting a sworn accounting appraisal164. In particular, this appraisal focuses on the results of the activity carried out by the company in the maritime fuel transport sector on the Naples-Procida-Ischia line for the years 2016-2017 and part of 2018, considering the tariff levels applied165. In summary, the appraisal certifies that only in the year 2016, during which the company applied tariffs similar to those communicated by COTRASIR in April 2019, it would have conducted the activity successfully achieving a profit. Conversely, in 2017, the reduction of tariff levels (caused by the entry of another operator) and the operation of the line with non-remunerative tariffs would have made the operation unsustainable, causing losses in 2017 and in the early months of 2018. In conclusion, therefore, according to the Party, the appraisal would certify that the profitable operation of the line presupposes the application of a tariff similar to that applied in 2016.  </w:t>
        <w:br/>
        <w:t xml:space="preserve">177. Further defensive arguments were presented by Medmar (and Mediterranea Marittima, heard jointly) during the investigative hearing166. In particular, the companies reiterated that prices on the routes of interest would have returned to sustainable levels only following the contested increases, realized during the existence of COTRASIR. The attempt to apply lower prices in previous years, in fact, would have simply led to budget losses and, therefore, would have proven unsustainable. Regarding the rationale for the establishment of GML (and, subsequently, of COTRASIR), the companies stated that it should be related to the already described negative market trend. In particular, Medmar in the years 2017/2018 would have incurred economic losses and would therefore have decided to limit itself to chartering its vessels on a bareboat basis to GML. The joint company and COTRASIR, more generally, would have been established with a view to rationalizing and improving the efficiency of services.  </w:t>
        <w:br/>
        <w:t xml:space="preserve">178. Regarding the nature and rationale of the drafts of commercial agreements for the distribution of consortium revenues found at Traspemar, Medmar and Mediterranea Marittima stated that these would indeed be documents acquired from another company and that would describe agreements not signed or ever applied by either of the two companies.  </w:t>
        <w:br/>
        <w:t xml:space="preserve">179. Medmar subsequently clarified167, regarding the non-competition agreement of 2015 with Traspemar, that these would have been acts that did not "concern agreements of non-competition between companies, but certain employment methods related to the individual ship, with exclusive reference to a specific line (Ischia/Procida) and a specific type of cargo (waste), while retaining the possibility for the aforementioned companies to operate freely and compete on that line and for that type of cargo with other ships, including those chartered. Following the merger by incorporation of Pozzuoli Ferries into Medmar Navi, the acts in question were not applied." Regarding the sending – in the months preceding the establishment of the  </w:t>
        <w:br/>
        <w:t xml:space="preserve">164 Doc. 23 of the sub-proceedings on commitments.  </w:t>
        <w:br/>
        <w:t xml:space="preserve">165 The report essentially certifies the financial statements of Medmar until the establishment of the joint company GML (May 2018).  </w:t>
        <w:br/>
        <w:t xml:space="preserve">166 Cf. minutes, doc. 180.  </w:t>
        <w:br/>
        <w:t>167 Doc. 190.</w:t>
      </w:r>
    </w:p>
    <w:p>
      <w:r>
        <w:rPr>
          <w:b/>
        </w:rPr>
        <w:t>[Pages 55–57]</w:t>
      </w:r>
    </w:p>
    <w:p>
      <w:r>
        <w:t>BULLETIN NO. 3 OF JANUARY 17, 2022 57</w:t>
      </w:r>
    </w:p>
    <w:p>
      <w:r>
        <w:t>COTRASIR - of historical turnover data to the future administrator of the Consortium168, Medmar finally argued that "The message refers to the sending of data relating to the turnover of Pozzuoli Ferries (up to 2015) and Medmar Navi (2016) for the transport of flammables and waste in the years 2013/2016. The recipient of the sending is Dr. [G.], president of the board of auditors of Medmar Navi."</w:t>
      </w:r>
    </w:p>
    <w:p>
      <w:r>
        <w:t>180. In the joint final memorandum169, regarding the individual position of Medmar Navi, it was emphasized that the shipping company did not operate in the relevant markets during the entire existence of GML and COTRASIR. Regarding the operations of GML, it was noted that Medmar Navi was not a shareholder of that company (but rather Mediterranea Marittima was), as the company also emphasized that during the existence of GML and COTRASIR, it continued to offer waste transport services in full autonomy in the so-called "mixed" mode, further proving the company's total estrangement from the alleged infringement.</w:t>
      </w:r>
    </w:p>
    <w:p>
      <w:r>
        <w:t>181. Medmar Navi would then have returned to operate, according to its historical specialization, in the market for the transport of flammables to and from Ischia in August 2020, following the dissolution and cessation of GML's activities. The company would have independently set the rates for the services offered, while voluntarily implementing the commitment on maximum price levels. From March 2021, Medmar Navi would have applied an additional price reduction, which, moreover, the CRI unjustly did not acknowledge. In a mere subordinate manner, regarding any sanctioning aspects, Medmar emphasized that it closed 2020 recording significant operating losses, with a revenue contraction of nearly 40% compared to 2019, and also emphasized that the Authority should take into account the voluntary implementation of commitments by the company.</w:t>
      </w:r>
    </w:p>
    <w:p>
      <w:r>
        <w:t>182. Regarding Mediterranea Marittima, in the joint final memorandum, it was emphasized that it is not a shipping company and, consequently, does not and has never provided maritime transport services170. Consistent with the absolute estrangement of Mediterranea Marittima from the provision of special transport in the relevant markets, any profile of the company's liability regarding the alleged agreement should be excluded. In a mere subordinate manner, concerning sanctioning aspects, it should also be considered - in addition to the arguments already expressed - that the company had a very low turnover in 2020.</w:t>
      </w:r>
    </w:p>
    <w:p>
      <w:r>
        <w:t>183. In the final hearing before the Board171, the two companies again focused on what they believe to be the instrumental nature of the reports that gave rise to the case, emphasizing how the complaints from ENI and Ambrosino are pretextual and aimed at preserving their profit margins, diverting attention from the real responsibilities for the well-known phenomenon of high fuel prices on the Island of Ischia and shifting the responsibility onto the shipping company that bears the costs and risks of special transport while offering the service at low profitability.</w:t>
      </w:r>
    </w:p>
    <w:p>
      <w:r>
        <w:t xml:space="preserve">168 Cf. doc. 47.87, commented in the section relating to the evidentiary findings.  </w:t>
        <w:br/>
        <w:t xml:space="preserve">169 Doc. 304, cited multiple times.  </w:t>
        <w:br/>
        <w:t xml:space="preserve">170 Its corporate purpose, in addition to providing activities in the real estate field (purchase, sale, exchange, lease of real estate), includes the possibility for the company to acquire stakes in other companies and entities and to provide technical and financial coordination services, as well as administrative, managerial, and accounting activities.  </w:t>
        <w:br/>
        <w:t>171 Cf. final hearing minutes, docs. 313-318, Annex 3.</w:t>
      </w:r>
    </w:p>
    <w:p>
      <w:r>
        <w:t>58 BULLETIN NO. 3 OF JANUARY 17, 2022</w:t>
      </w:r>
    </w:p>
    <w:p>
      <w:r>
        <w:t>4.7 The position of SMLGL</w:t>
      </w:r>
    </w:p>
    <w:p>
      <w:r>
        <w:t>184. SMLGL, during the investigative hearing172, emphasized that it operates in the transport of waste and flammables (and, to a lesser extent, also of exceptional loads) in the specific direction Naples-Capri. This circumstance, in the company's opinion, should be considered relevant for the purposes of the allegations made. Regarding the routes to and from Capri, in fact, there have been no reports, for the simple fact that the rates have remained unchanged. Regarding the commercial agreement for revenue sharing found during the inspection, the company stated that "this document is, in fact, only a non-binding draft found at a single company (Traspemar). It is possible that this document was prepared by this company; however, it was neither signed nor applied by SMLGL."</w:t>
      </w:r>
    </w:p>
    <w:p>
      <w:r>
        <w:t>185. As for the fact that the Consortium - during the period of operation - significantly increased the prices of the transport services offered, SMLGL stated in the hearing that it would have been a simple return to the prices in effect in a previous period and that, in any case, these would have been gradual increases, highlighted by pretextual complaints.</w:t>
      </w:r>
    </w:p>
    <w:p>
      <w:r>
        <w:t>186. In the joint final memorandum, regarding the individual position of SMLGL173, the deep-rootedness of the company in the territory of Capri was again emphasized, as it is an expression of a shipowner family active there since the early 1900s. It was also highlighted the differential nature compared to other services subject to investigation, as the special transports operated by SMLGL have never undergone the price variations recorded instead on the routes to and from Ischia; consequently, there are no reports or complaints from SMLGL's customers in the records, nor would the CRI have identified any anti-competitive conduct specifically attributable to the company.</w:t>
      </w:r>
    </w:p>
    <w:p>
      <w:r>
        <w:t>187. Furthermore, during the final hearing174, the company emphasized the very modest volumes and values of the market that characterize the reality of Capri, as well as the low profitability of the services, circumstances suitable to justify the fact that no other operator has ever attempted to enter; regarding waste transport, moreover, concerning Capri, mixed transport with passengers, assisted by public contributions, would represent the prevailing mode, exercised by a distinct operator (Caremar). The CRI would be mistaken to attribute to SMLGL an actual participation in the alleged agreement and, in any case, would incorrectly identify its possible temporal boundaries, as SMLGL does not appear in the emails from which the contested conduct is traced back and, as for the current moment, would have returned to operate on the Naples/Capri line as per historical specialization, certainly not due to any concertation, practicing contained prices within the maximum levels provided in the Commitments.</w:t>
      </w:r>
    </w:p>
    <w:p>
      <w:r>
        <w:t>188. In a mere subordinate manner, regarding any sanctioning treatment, the company emphasized its very limited operations and low turnover level, as well as its reduced capacity to contribute, also considering the operating losses suffered in 2018 and 2019.</w:t>
      </w:r>
    </w:p>
    <w:p>
      <w:r>
        <w:t xml:space="preserve">172 Cf. minutes, doc. 171.  </w:t>
        <w:br/>
        <w:t xml:space="preserve">173 Doc. 304.  </w:t>
        <w:br/>
        <w:t>174 Cf. final hearing minutes, docs. 313-318, Annex 4.</w:t>
      </w:r>
    </w:p>
    <w:p>
      <w:r>
        <w:t>BULLETIN NO. 3 OF JANUARY 17, 2022 59</w:t>
      </w:r>
    </w:p>
    <w:p>
      <w:r>
        <w:t>V. ASSESSMENTS</w:t>
      </w:r>
    </w:p>
    <w:p>
      <w:r>
        <w:t>5.1 Introduction on the agreement</w:t>
      </w:r>
    </w:p>
    <w:p>
      <w:r>
        <w:t>189. Starting from 2017, the market in question was undergoing a significant competitive evolution, characterized by the entry of some shipowners into market segments different from those in which they were previously active, resulting in a significant drop in price levels, due to the development of competitive dynamics made possible by the fungibility of the vessels used in the various segments of interest and, therefore, the full substitutability from the supply side. As shown, in particular, this phase was characterized by Traspemar's attempt (through the company Fuelmar) to enter the segment of flammable transport to Ischia and Procida, traditionally the domain of Medmar, and the consequent reaction of Medmar itself, consisting both in a modification of its commercial policies in the analyzed segment (in particular, with a reduction of prices practiced by up to 70%), and in a parallel entry of that company into the segment of waste transport from Ischia and Procida, historically monitored by Traspemar.</w:t>
      </w:r>
    </w:p>
    <w:p>
      <w:r>
        <w:t>190. However, this competitive phase, as shown in the factual part, was interrupted during 2018, with the establishment of a more profitable period of commercial "peace" among operators, with the division of market segments and rapid price increases and associated reductions in trips carried out, achieved by the Parties through the establishment of common operational tools for the services in question (i.e. the company GML first and the Consortium COTRASIR shortly thereafter). The evidentiary documentation attests that such changes and conduct are undoubtedly due to an anti-competitive agreement among the shipowner groups active in the special transport, flammables, and waste sector in the Gulf of Naples and the Parties to the proceedings.</w:t>
      </w:r>
    </w:p>
    <w:p>
      <w:r>
        <w:t>191. In particular, the objective of increasing profitability levels has been pursued through a series of intermediate steps: (i) a preparatory phase in which the Parties, in light of a substantial underlying agreement aimed at ending the previous phase of competitive confrontation, began to define the principles and reference values of the future concerted market structure; (ii) the subsequent establishment of the company GML between two of the three shipowner groups active in the sector (Medmar group and Giuffré and Lauro group); (iii) the establishment of the Consortium COTRASIR (also with Traspemar) with the declared aim of reunifying all shipowners active in the Gulf of Naples in the transport services of flammable products and waste.</w:t>
      </w:r>
    </w:p>
    <w:p>
      <w:r>
        <w:t>192. The agreement subject to this provision therefore appears to consist of a plurality of conduct, of which the establishment of the joint venture GML and the Consortium COTRASIR are a part, implemented to achieve the aforementioned objective of increasing profitability levels and creating a collusive equilibrium in the market. Specifically, such conduct consists of: i) non-competition agreements relating to the services and routes operated by the shipowner companies Parties to the proceedings; ii) concerted determination of price increases, aimed precisely at restoring profitability for the companies to levels corresponding to the equilibrium phase of the years 2014-2016; iii) revenue and cost sharing of the so-called "migliatico" based on predetermined shares, set based on the historical turnover relating to the years 2014-2016 of the shipowner groups.</w:t>
      </w:r>
    </w:p>
    <w:p>
      <w:r>
        <w:t>5.2 The relevant market</w:t>
      </w:r>
    </w:p>
    <w:p>
      <w:r>
        <w:t>193. In the event of a challenge to a restrictive agreement on competition, the product and geographical scope of the relevant market is, according to constant national and community jurisprudence, primarily</w:t>
      </w:r>
    </w:p>
    <w:p>
      <w:r>
        <w:rPr>
          <w:b/>
        </w:rPr>
        <w:t>[Pages 58–60]</w:t>
      </w:r>
    </w:p>
    <w:p>
      <w:r>
        <w:t>60 BULLETIN NO. 3 OF JANUARY 17, 2022</w:t>
      </w:r>
    </w:p>
    <w:p>
      <w:r>
        <w:t>determined by the extent of the coordination itself, as this extent reproduces the breadth of the market on which the participants deemed it possible and profitable to coordinate through a restrictive agreement on competition. Consequently, in such cases of illegality, the definition of the relevant market is directly correlated to the context in which the collusive behavior of the involved companies is situated175.</w:t>
      </w:r>
    </w:p>
    <w:p>
      <w:r>
        <w:t>194. Due to the contested conduct and the scope of the Parties' activities, the market for the product involved in the investigation is therefore that of special maritime transport of flammables and waste to and from the Campanian islands. In this market, on the supply side, there are shipowners who provide these transport services, as they have the availability of suitable naval means, equipped with the necessary certifications, while on the demand side are the waste collection companies operating on the islands and the entities active in the fuel distribution sector on the same. In both cases, the goods are transported on vehicles which, in turn, require suitable vessels for maritime transfer. As seen, the vessels that can be used – and are in fact used – for the maritime transport of flammables and for the dedicated transport of waste are interchangeable. This interchangeability is confirmed by the same variations made by the Parties in the use of their fleet employed in the different types of activities. Each of the Parties, moreover, has been operational, at least at a certain historical phase, in both types of transport.</w:t>
      </w:r>
    </w:p>
    <w:p>
      <w:r>
        <w:t>195. From a geographical perspective, the relevant market coincides with the routes operated to connect, with reference to the services in question, the islands of the Gulf of Naples - Ischia, Procida, and Capri - with the mainland. This extent arises from the fact that the contested agreement concerns the establishment of tariff policies and the allocation of routes, revenues, and the so-called "migliatico" precisely within this geographical area, which corresponds to the operational perimeter of COTRASIR, the main instrument of the same agreement. Moreover, the activity of the Parties in offering the transport services in question, even independently of COTRASIR, has historically been confined within this geographical area176. In the same geographical market, there is full substitutability on the supply side among the operators active on the different routes, as confirmed by the operations of the shipping companies and the use – substantially interchangeable among the different routes, as mentioned – of the relevant fleet.</w:t>
      </w:r>
    </w:p>
    <w:p>
      <w:r>
        <w:t>196. Since the coordination carried out by the Parties concerned the entirety of the maritime services offered on the routes to and from Ischia, Capri, and Procida, the traditional further distinction between the different types/modes of transport and between the individual routes to define the relevant market, from a commodity and geographical perspective, is not relevant in the case at hand.</w:t>
      </w:r>
    </w:p>
    <w:p>
      <w:r>
        <w:t>197. The position held by the Parties on this point cannot indeed be accepted, as the difference, in terms of demand, of the transported products (flammables on one side and waste on the other) and the non</w:t>
      </w:r>
    </w:p>
    <w:p>
      <w:r>
        <w:t>175 See, among others, Council of State, Section VI, June 21, 2017, nos. 3057 and 3016, I782 - Tenders for the remediation and disposal of polluting and/or hazardous materials at the arsenals of Taranto, La Spezia, and Augusta: "The definition of the relevant market is not merely characterized in a geographical or spatial sense, but is also and above all related to the area in which the anticompetitive intent has, or would have, the capacity to impact, so that 'in cases of restrictive agreements on competition, the definition of the relevant market is directly correlated to the context in which the collusive behavior among the involved companies is framed' and is subsequent to the identification of the agreement in its objective elements."</w:t>
      </w:r>
    </w:p>
    <w:p>
      <w:r>
        <w:t>176 The territorial vocation of the companies is also confirmed by the presence of the same groups in other types of maritime transport within the same geographical reference area, such as passenger transport (regular or via fast services), as well as by the statements made by the Parties themselves (see docs. 137, 171, 180, 313-318).</w:t>
      </w:r>
    </w:p>
    <w:p>
      <w:r>
        <w:t>BULLETIN NO. 3 OF JANUARY 17, 2022 61</w:t>
      </w:r>
    </w:p>
    <w:p>
      <w:r>
        <w:t>coincidence of the routes taken (Procida-Ischia on one side and Capri on the other) is irrelevant in any way in the face of a full substitutability of transport services from the supply side, characterized by a clear fungibility of the naval units used for one or the other service and for one or the other route. This substitutability is confirmed by multiple pieces of evidence in the records, including the information provided by the Parties themselves, who in recent years have used their fleet interchangeably to transport flammables and waste on both routes177. The very decision of the Parties to establish a single consortium for the transport activities of flammables and waste, moreover, represents an implicit confirmation of this full substitutability.</w:t>
      </w:r>
    </w:p>
    <w:p>
      <w:r>
        <w:t>5.3 Collusive Conducts</w:t>
      </w:r>
    </w:p>
    <w:p>
      <w:r>
        <w:t>198. With specific reference to the concrete modalities of realization of the agreement, it is observed that it was based on a unified concerted model, founded on precise and defined identifications of roles (and responsibilities) of the original shipping groups – Medmar Navi/Mediterranea Marittima, SMLGL, and Traspemar, also through the legal entities created and used by them to contribute to the implementation of the concerted plan – GML and COTRASIR.</w:t>
      </w:r>
    </w:p>
    <w:p>
      <w:r>
        <w:t>199. From the evidence acquired, it has particularly emerged that the shipping groups decided ex ante, in a concerted manner, to put an end to the mutual interferences that had arisen during the period 2017-2018 – which had caused a significant reduction in service prices – by implementing – on the contrary – a rigid division of the routes within a unified scheme and to pursue, within this scheme and with explicitly agreed modalities, a progressive and significant increase in prices.</w:t>
      </w:r>
    </w:p>
    <w:p>
      <w:r>
        <w:t>200. Specifically, the implementation of the aforementioned scheme saw the said shipping groups operate through new corporate and organizational forms such as the GML company (a joint company between two of the three shipping groups in question, namely the Medmar group and the Giuffré and Lauro group) and, shortly thereafter, the COTRASIR consortium which included, in addition to GML itself, also the third shipping group active in the services in question in the reference area, Traspemar, and aimed, therefore, to group all operators active in the special transport of flammables and waste to and from the islands of the Gulf of Naples178. In the consortium's regulations, an explicit exclusivity obligation was provided for the member companies (which were prohibited from engaging in activities in competition with those included in the consortium management) and, therefore, the Consortium exhausted all the activities of the Parties in the services of interest to the investigation. As mentioned, COTRASIR, in particular, became operational exactly the day after the cessation of Traspemar's activities through Fuelmar in the segment of maritime transport of flammables in the Gulf of Naples and, overall, of the operations of this latter company179. Conversely, the GML company (which had effectively continued, since the beginning of its activities in June 2018, the routes and services previously carried out by the parent groups Medmar and Giuffré and Lauro), ceased operations in the adjacent segment of waste transport from the islands of Ischia and Procida to the mainland – an activity traditionally the prerogative of Traspemar, in which Medmar had also entered, as mentioned several times – exactly on the date of the consortium's operational commencement.</w:t>
      </w:r>
    </w:p>
    <w:p>
      <w:r>
        <w:t>201. COTRASIR, as shown in fact, was therefore one of the instruments through which the Parties deliberately pursued a rigid segmentation of the routes, following the initiatives they undertook in the two-year period 2017-2018. During the consortium period, in fact, net of some "loans" of naval units, the GML company returned to being the only active operator in the transport of flammables to Ischia and Procida (continuing the activities traditionally the prerogative of Medmar) and the only active operator in the special transport of flammables and waste to and from Capri (continuing the activities historically the prerogative of SMLGL), while the Traspemar company returned to being the only active operator in the transport of waste from Ischia and Procida to the mainland180. As seen in the descriptive part of the investigative evidence, this segmentation of activities, in the design of the agreement, was cemented by explicit non-competition agreements in force among the companies adhering to the Consortium. In the consortium regulations, it was indeed expressly provided that "All companies undertake to respect the existing agreements on limiting competition among themselves. The violation of these agreements will be considered a serious breach"181.</w:t>
      </w:r>
    </w:p>
    <w:p>
      <w:r>
        <w:t>202. Such limitations on competition among the Parties were, moreover, subject to active monitoring by the consortium shipowners, also utilizing ticketing personnel. The monitoring in question extended – as seen – to precisely identifying the customers holding the "illegitimately" transported loads, even with photographic evidence and license plate indication, in order to claim the occurrence with the responsible parties for the alleged violation of the consortium rules (see par. 103)182.</w:t>
      </w:r>
    </w:p>
    <w:p>
      <w:r>
        <w:t>203. The total and explicit elimination of competition among the shipping groups, which could naturally have the effect of leading to an increase in prices, due to the regained position of substantial monopoly of each company on a certain route/service, was nonetheless accompanied by a further express mode of concertation among the Parties aimed at achieving and maintaining stable price increases, as well as consisting of a division of</w:t>
      </w:r>
    </w:p>
    <w:p>
      <w:r>
        <w:t>180 This rigorous division is in no way affected by the circumstance that there were brief periods of loans of naval units among consortium members with reference, in particular, to the ship Don Angelo of Traspemar which, according to the statements of this latter company, would have been made available to GML to carry out some runs in the transport of flammables along the Naples-Procida-Ischia route. This circumstance, however, not equally represented by GML, has nonetheless been described as a mere temporary transfer of the naval unit to GML and certainly not as an activity of transport of flammables carried out by Traspemar on its own account and permanently along the considered route (see doc. 177).</w:t>
      </w:r>
    </w:p>
    <w:p>
      <w:r>
        <w:t>181 See, among others, doc. 12.</w:t>
      </w:r>
    </w:p>
    <w:p>
      <w:r>
        <w:t>182 It should be noted that the episodes evidenced in the inspection documentation concerned not dedicated runs for the transport of flammables and waste in contrast with the division established within COTRASIR, but residual transports that Medmar would have carried out in a mixed manner (and, therefore, outside the actual perimeter of consortium activities, although the consortium companies attempted to regulate even this type of activity) as a company also active in passenger transport. The possibility for Medmar to carry out this type of transport, albeit residually and in the absence of a dedicated ship (as had instead occurred in the two-year period 2017-2018), would indeed have had the effect of undermining the demand for the carrier that, within COTRASIR, exclusively carried out the transport of waste with dedicated ships along the Ischia-Procida route, namely Traspemar. There is also evidence in the records of episodes in which Medmar, in this capacity, instead refused the mixed transport of waste on its ferries (doc. 36.76).</w:t>
      </w:r>
    </w:p>
    <w:p>
      <w:r>
        <w:rPr>
          <w:b/>
        </w:rPr>
        <w:t>[Pages 61–63]</w:t>
      </w:r>
    </w:p>
    <w:p>
      <w:r>
        <w:t>BULLETIN NO. 3 OF JANUARY 17, 2022 63</w:t>
      </w:r>
    </w:p>
    <w:p>
      <w:r>
        <w:t>consortium revenues based on the historical shares of the shipowners from the period 2014-2016. This period, for which there are no sufficient elements in the records to ascertain whether it also resulted from a pre-existing anti-competitive agreement, was indeed characterized by the absence of reciprocal overlaps between the Parties and, therefore, by a substantial monopoly of each of them on the respective routes and, consequently, by high profitability.</w:t>
      </w:r>
    </w:p>
    <w:p>
      <w:r>
        <w:t>204. It should be noted in this regard that, contrary to what Traspemar claimed (which also acknowledged COTRASIR's ability to positively influence the setting of higher price levels183), the representatives of Medmar Navi, SMLGL, and the employees of COTRASIR admitted, during the inspections, that the price levels were decided by the Consortium with the agreement among the consortium members184. This circumstance is further confirmed by numerous objective findings obtained during the inspections, which attest both to the practice of jointly defining service prices and to COTRASIR's intention to achieve stable increases in them. Firstly, the same regulation of COTRASIR provided that "If a consortium company intends to reduce the current rates, it can only do so by agreeing with the other consortium members," thus establishing a prohibition on unilateral price reductions for the shipping companies. This provision is also found in several other documents obtained during the inspections, including the documents containing the so-called "agreement" or "convention" for the distribution of revenues among the shipowner groups based on historical shares (see infra).</w:t>
      </w:r>
    </w:p>
    <w:p>
      <w:r>
        <w:t>205. In addition to the explicit agreements on the elimination of any competition outside the Consortium and the explicit price coordination, which both constitute hardcore violations of antitrust law, the Parties had provided – as extensively described in the factual part – an additional underlying mechanism, this time external to COTRASIR, aimed at further eliminating any incentive for competitive confrontation among the shipowner groups – and thus ultimately aimed at supporting the price increases desired by them – consisting of the overall distribution of revenues and costs of the so-called "migliatico" among the shipowners based on predetermined shares, defined based on their historical revenues.</w:t>
      </w:r>
    </w:p>
    <w:p>
      <w:r>
        <w:t>206. In particular, this mechanism, not incorporated in any way into the official regulation of COTRASIR, but contained and described in detail in two distinct versions of an "agreement" between the Parties found during the inspections185, provided that all the revenue from the transport activities of flammables and waste carried out within COTRASIR would be distributed among the shipowners based on the percentage of total revenues achieved on average by each of them in the three-year period 2014-2016. Similarly, the cost of the miles traveled by each shipowner (the so-called "migliatico") was also distributed based on predefined percentages, also based on the operations of the shipowners in that three-year period, as shown in the factual part.</w:t>
      </w:r>
    </w:p>
    <w:p>
      <w:r>
        <w:t>207. Therefore, in light of a formal organization of COTRASIR according to which each consortium company would receive what was due based on the runs actually performed net of the commission retained by the Consortium for the remuneration of its activities (functioning as supported by the Parties in their defenses), the underlying substantial agreement among the individual companies actually provided that any deviation between the predefined historical market shares and what was actually invoiced by the consortium companies (with the intermediation of COTRASIR) and spent by them in relation to the miles actually traveled, would be compensated among the Parties with specific fictitious invoicing or through in-kind performances (such as a greater mileage in the following season). In this way, any competitive leverage that could hypothetically be activated independently by one of the companies (which, it should be noted, were already bound by explicit non-competition and price coordination agreements contained in the consortium rules) and potentially capable of diverting customers from the other shipowners, would have no effect on the specific profitability of the company, thus ultimately rendering it completely useless (and, in fact, such a strategy has never been pursued by the shipowners since the realization of the anti-competitive agreement attributed to them in this context).</w:t>
      </w:r>
    </w:p>
    <w:p>
      <w:r>
        <w:t>208. The argument put forward by Medmar and SMLGL regarding the agreement in question, claiming that it was never signed by such companies (as the documents obtained during the inspection are not signed), appears to lack merit, as does that of Traspemar, where the various versions of the agreement were found, claiming that it was never applied by the Parties. In fact, a document was obtained from Traspemar itself that reconstructs in detail and for each step the complex and extremely precise calculations that led to the calculation of the balances and the related compensations made among the companies in accordance with what was provided in the agreement.</w:t>
      </w:r>
    </w:p>
    <w:p>
      <w:r>
        <w:t>209. As illustrated in the factual part, indeed, the revenues from the consortium management were distributed by applying, with extreme precision, the revenue attribution percentages provided in the text of the agreement186 and subsequently making specific invoices among the shipowners for the purpose of achieving such realignment. Furthermore, several documents were found at Medmar that provide evidence of the invoicing among the shipowners resulting from such calculations and aimed, therefore, at realigning the "facade" revenues of the consortium management with those provided for in the agreement (specifically, these are invoices in favor of GML corresponding exactly to the amounts resulting from the aforementioned calculations187). In other words, therefore, although the Parties have sought to argue that the same agreement was never applied, the inspection evidence attests, on the contrary and unequivocally, to the concrete and precise implementation during the consortium period of the revenue distribution mechanism based on the historical shares 2014-2016.</w:t>
      </w:r>
    </w:p>
    <w:p>
      <w:r>
        <w:t>210. The participation of the Parties in the revenue distribution agreements is further attested by the email found at Medmar in which that company sent the exact amounts of its revenue for the three-year period 2014-2016 to the future administrator of COTRASIR (as well as the designated custodian of the signed copy of the agreements in question), which served as the basis for the calculations described.</w:t>
      </w:r>
    </w:p>
    <w:p>
      <w:r>
        <w:t>211. In addition to the revenue distribution agreement, numerous email exchanges between the Parties concerning various constitutive elements of the illicit conduct are also relevant (e.g., contacts regarding the definition of prices, exchanges related to the censure of behaviors contrary to the consortium rules such as the provision of services other than those provided in the division of activities, etc.188), as extensively shown in the factual part.</w:t>
      </w:r>
    </w:p>
    <w:p>
      <w:r>
        <w:t>212. It should be noted, finally, that the same official regulation of the Consortium contains multiple provisions that are openly anti-competitive.</w:t>
      </w:r>
    </w:p>
    <w:p>
      <w:r>
        <w:t>213. The objection raised by SMLGL, claiming that this company would be unrelated to the agreement in question as it has historically operated on the Naples-Capri route and was not affected, even prior to the agreement, by competitive interference phenomena among the Parties on that route, nor by price increases as sudden as those observed on the route to and from Ischia, cannot be accepted. In reality, the evidence in the records cited and the contested conduct also involve this company. In fact, it first joined with Medmar in the joint company GML and shortly thereafter, with the latter, it became a member of COTRASIR, signing its regulation.</w:t>
      </w:r>
    </w:p>
    <w:p>
      <w:r>
        <w:t>214. SMLGL is explicitly provided for – with a specific share of entitlement – in the various versions of the Commercial Agreement among the companies underlying the consortium activities, an agreement with respect to which full implementation by GML, the joint company between SMLGL and Medmar, has been demonstrated, and preparatory acts of such agreement have also been found at SMLGL. SMLGL, due to the immediate ease with which the naval units could be used on either route, was clearly in competition (albeit potential) with Medmar and Traspemar, and thus evidently deemed it profitable to agree with the other shipowners who, on the Ischia route, were showing a particularly competitive attitude. Moreover, although less abruptly than for the routes to and from Ischia, prices on the Naples-Capri route also increased during the coordination period.</w:t>
      </w:r>
    </w:p>
    <w:p>
      <w:r>
        <w:t>215. Overall, in light of the preceding considerations, it must be concluded that all the described conduct is part of a unique and indivisible "overall plan," collectively contrary to the regulations protecting competition, aimed at a total coordination of the respective commercial policies practiced by competing operators in the market for special transport of flammables and waste to and from the islands of the Gulf of Naples. This overall plan is fully capable of explaining the extremely significant price increases that occurred starting from the end of 2018 in the services of interest through the COTRASIR Consortium, which led to the reports of the complainants, although the evidence obtained indicated this element as only one of the constitutive factors of a complex and broader agreement, as reconstructed in the investigation and represented in this context.</w:t>
      </w:r>
    </w:p>
    <w:p>
      <w:r>
        <w:t>216. Similarly, the defensive thesis of the Parties, claiming that what was observed starting from September 2018 would be a return to a sort of long-term natural equilibrium of the market, cannot be deemed acceptable. According to this argument, there would be no room for more than one operator per single route in the provision of each of the services under investigation; and the observed price increases, in this perspective, would have been exclusively aimed at covering the costs incurred by the companies, unlike the previous period, characterized by a so-called "price war."</w:t>
      </w:r>
    </w:p>
    <w:p>
      <w:r>
        <w:t>217. This reconstruction, in fact, is not relevant to the contested conduct and is in blatant contradiction with the established facts in the market of interest and with the evidence in the records. Firstly,</w:t>
      </w:r>
    </w:p>
    <w:p>
      <w:r>
        <w:t>188 See, among others, docs. 30, 30.15, 42, 42.18, 47, 47.87, 36.60, 42.6, 42.32, 30.74, 30.75, 42.11, 42.18, 42.45.</w:t>
      </w:r>
    </w:p>
    <w:p>
      <w:r>
        <w:rPr>
          <w:b/>
        </w:rPr>
        <w:t>[Pages 64–66]</w:t>
      </w:r>
    </w:p>
    <w:p>
      <w:r>
        <w:t>66 BULLETIN NO. 3 OF JANUARY 17, 2022</w:t>
      </w:r>
    </w:p>
    <w:p>
      <w:r>
        <w:t>it is observed that it is in any case unlawful, under antitrust legislation, to adopt explicitly concerted behaviors such as those described to counter presumed "anomalous" initiatives – or otherwise deemed such with respect to a presumed long-term equilibrium of the market – such as the entry of a new entrant. Moreover, for each business entity, the decision to offer the service at prices that allow covering its costs (i.e., not to operate at a loss) does not require any concertation with competing companies but, on the contrary, must be an independent assessment in every market context. This is even more evident when the alleged "crisis" of operators' margins is caused not by exogenous events (e.g., cost or demand shocks), but by the commercial decisions of the companies themselves. Furthermore, the circumstance that, in a given market, there would be no room for more than one operator would emerge in fact through the independent decisions of the companies and would certainly not require complex and explicit concertation tools like those observed in the specific case to be asserted. On the contrary, it can be stated that such concertation tools were necessary precisely to put an end to a competitive evolution that was, in fact, affecting the market (and which disproves, by itself, the thesis of the Parties).</w:t>
      </w:r>
    </w:p>
    <w:p>
      <w:r>
        <w:t>218. The reconstruction of the Parties also implicitly postulates a chain of illogical decisions by the operators themselves during the period 2017-2018. Firstly, the entrant Fuelmar/Traspemar would have erroneously considered it profitable to enter the flammables market which, according to the defensive thesis of the Parties, was operating at price levels (later recovered and exceeded during the consortium period) barely sufficient to cover the related costs. Secondly, Medmar would have erroneously deemed it rational to drastically reduce its prices in that market, evidently causing severe losses to its balance sheets. Furthermore, Medmar would have made another distinct misjudgment when it decided to enter the waste transport segment (which would later also prove to be unprofitable ex-post). Finally, Traspemar would also have decided to incur losses by drastically reducing the fees charged for waste transport.</w:t>
      </w:r>
    </w:p>
    <w:p>
      <w:r>
        <w:t>219. In reality, both Traspemar and Medmar have both stated that they considered it potentially profitable to expand their activities and enter businesses different from the routes they traditionally operated (i.e., respectively, in the flammables transport business and in the waste transport business), evidently seeing sufficient profit margins in them. The circumstance that two distinct operators in the sector evaluated positively the profit opportunities following their entry into their respective target segments is therefore entirely inconsistent with the thesis that the price level prevailing prior to such initiatives (which, moreover, was not only recovered but even exceeded during the consortium management) was barely sufficient to cover the costs of managing the services.</w:t>
      </w:r>
    </w:p>
    <w:p>
      <w:r>
        <w:t>220. Moreover, from a different perspective, it should be emphasized that the thesis of the Parties, according to which the price levels recorded on each individual route in the pre-2017 period (characterized by an implicit allocation of routes and the absence of interference among operators) were barely sufficient to cover the costs of managing the services, should in any case take into account the fact that in a competitive context, such as that which had begun before the concerted behaviors, the reference costs could have progressively decreased, as companies were forced to eliminate, due to competitive pressure, any element of waste and inefficiency in management.</w:t>
      </w:r>
    </w:p>
    <w:p>
      <w:r>
        <w:t>221. To confirm that companies deemed it profitable in 2017 to enter other routes, both the internal documents of Traspemar and the explicit statements of that company report a strong profitability (characterized by a profit equal to about 60% of costs) of the Fuelmar-Traspemar initiative during the period from the start of activities until July 2017, despite that company having entered the market applying discounts compared to the incumbent operator Medmar and with a denser schedule (see supra, paragraphs 55-58). Traspemar has also stated that at least the transport of flammables should be considered remunerative and that the initiative undertaken with Fuelmar was initially proving to be profitable. At the price levels prevailing at the beginning of such entrepreneurial initiatives – subsequently recovered and exceeded through explicit concertation during the consortium period – there was therefore a margin on costs that could well induce – and in fact did induce – a rational operator to enter the market.</w:t>
      </w:r>
    </w:p>
    <w:p>
      <w:r>
        <w:t>222. Finally, it is not true that the entrepreneurial initiatives of 2017 and 2018 ceased due to a lack of economic profitability (which, in any case, does not coincide and cannot be directly reconstructed from the accounting data contained in the financial statements of a given fiscal year). On the contrary, they continued until the implementation of the agreement. In fact, according to the same statements made by the Parties, the cessation of Fuelmar's activities coincided exactly with the date of cessation of the waste line on the Ischia-Napoli route by Medmar/GML, which, again, coincided exactly with the date of the start of operations of COTRASIR (September 13, 2018).</w:t>
      </w:r>
    </w:p>
    <w:p>
      <w:r>
        <w:t>223. Contrary to what the Parties have claimed, there is therefore no counterfactual scenario in which, in the absence of an agreement, competitive initiatives would have spontaneously ceased as they were deemed unsustainable. On the contrary, the coincidence of the dates of these events makes it entirely evident how the cessation of such entrepreneurial initiatives is mutually interconnected and is in turn closely linked – and functional – to the beginning of the subsequent concerted phase.</w:t>
      </w:r>
    </w:p>
    <w:p>
      <w:r>
        <w:t>5.4 The legal framework of the case</w:t>
      </w:r>
    </w:p>
    <w:p>
      <w:r>
        <w:t>224. The set of behaviors of the Parties, from which an incontrovertible anti-competitive concertation emerges, constitutes a unique, complex, and ongoing agreement restrictive of competition. As is known, jurisprudence has recognized that the two types of agreement and concerted practice can coexist in a single agreement, with the Authority not being required to precisely distinguish between the constitutive elements that integrate one or the other type of offense. In particular, a series of behaviors by multiple companies having the same anti-competitive object can be considered an expression of a single infringement, attributable in part to the concept of agreement and in part to that of concerted practice, as the two notions share the same nature and differ only in their intensity and the forms in which they manifest.</w:t>
      </w:r>
    </w:p>
    <w:p>
      <w:r>
        <w:t>225. That said, in light of the principles expressed by jurisprudence, the various behaviors adopted by the Parties can only be read in a unified manner, constituting an expression of a single "overall plan," or a unique, complex, and ongoing agreement restrictive of competition, resulting from a conscious collaboration of all the companies involved in the investigation and which certainly does not exhaust itself in parallel behaviors devoid of elements of concertation, but undoubtedly configures a form of collusion contrary to antitrust legislation.</w:t>
      </w:r>
    </w:p>
    <w:p>
      <w:r>
        <w:t>226. The agreement contested to the Parties also appears restrictive by object, as it is in all respects dedicated to the fixing of prices and the conditions of operation of the services performed by the consortium companies and to their allocation. On this point, it should be noted that the jurisprudence of the Court of Justice has clarified that "with regard to the provisions of Article 101 (TFEU), it is necessary to distinguish between 'agreements by object' and 'agreements by effect.' The former are characterized by the fact that 'certain forms of coordination between companies can be considered, by their very nature, harmful to the proper functioning of normal competition.' It is undisputed that 'the likelihood that certain collusive behaviors, such as those leading to the horizontal fixing of prices by cartels, have negative effects, in particular, on the price, quantity, or quality of products and services, is so high that it may be deemed unnecessary (...) to demonstrate that such behaviors have concrete effects on the market.' To ascertain whether there is an 'agreement by object,' regard must be had to the content of the provisions of the agreement itself, the objectives intended to be achieved, and the economic and legal context in which the agreement itself is situated. In evaluating this context, 'it is also necessary to take into account the nature of the goods or services involved and the actual conditions of operation and structure of the market or markets in question' (judgment of September 11, 2014, in case C-67/13 P)."</w:t>
      </w:r>
    </w:p>
    <w:p>
      <w:r>
        <w:t>227. Furthermore, jurisprudence has further clarified that "due to the clear anti-competitive object, it has been established that an agreement must be considered unlawful 'by its very object of partition without the need to verify its concrete effects' (Council of State, Section VI, No. 5998 of 2017)."</w:t>
      </w:r>
    </w:p>
    <w:p>
      <w:r>
        <w:t>5.5 The effects of the agreement</w:t>
      </w:r>
    </w:p>
    <w:p>
      <w:r>
        <w:t>228. The established agreement, while having characteristics such as to be considered a restriction of competition by object, has also produced concrete effects on the market (see § 3.3). As extensively demonstrated in the factual part, the agreement has fully achieved the objective of significantly increasing the prices of the services subject to it, bringing them to levels even higher than those prevailing prior to the competitive phase experienced by the market in 2017 and 2018.</w:t>
      </w:r>
    </w:p>
    <w:p>
      <w:r>
        <w:rPr>
          <w:b/>
        </w:rPr>
        <w:t>[Pages 67–69]</w:t>
      </w:r>
    </w:p>
    <w:p>
      <w:r>
        <w:t>BULLETIN NO. 3 OF JANUARY 17, 2022 69</w:t>
      </w:r>
    </w:p>
    <w:p>
      <w:r>
        <w:t>229. The analyses carried out also show that, by comparing the prices charged during the duration of the agreement with those of the immediately preceding period of similar duration, they exhibit a significant increase for all the services involved, generally quantifiable at around 20%, but particularly pronounced for the transport of flammables on the route to Ischia/Procida (about 70% until July 2020, a period during which prices were then slightly reduced in voluntary implementation of the commitments presented to the Authority within the proceedings)197.</w:t>
      </w:r>
    </w:p>
    <w:p>
      <w:r>
        <w:t>230. This occurred in a context where in other comparable realities, also related to smaller islands, the prices of services in the two periods did not, on the contrary, increase (they actually slightly decreased). The agreement, therefore, not only caused the aforementioned increases but also compensated for a slight general trend towards a decrease in the prices of the services in question on a national basis. The measure of this trend must therefore be added to the data on the specific increases that occurred on the routes and services subject to the proceedings to obtain an overall estimate of the effects of the violation198.</w:t>
      </w:r>
    </w:p>
    <w:p>
      <w:r>
        <w:t>231. The methodological objections raised by the Parties on this point cannot be accepted. The proposal of the Parties to calculate the average price of the period preceding the agreement over a longer time horizon than that on which the average prices of the period of the agreement itself are calculated is devoid of methodological justification. It would instead have the effect of unjustifiably reducing the overall weight of the most recent price lists, in effect just before the implementation of the agreement, price lists that, on the contrary, could represent a more indicative reference of the outcome that would have been observed in the following months in the absence of concertation compared to the more distant price lists.</w:t>
      </w:r>
    </w:p>
    <w:p>
      <w:r>
        <w:t>232. Similarly, the Parties' objection that the effects of the agreement should have been computed starting from the first contacts between the companies is not relevant, as such contacts, while being part of the concertation, had a clearly preparatory and preliminary function with respect to the subsequent phase that would soon be implemented.</w:t>
      </w:r>
    </w:p>
    <w:p>
      <w:r>
        <w:t>233. Finally, the objection that the trend of service prices in other small Italian islands would not be relevant, as it would concern transports carried out in conjunction with passengers and by companies that presumably benefit from public subsidies, is not significant. The comparisons made, in fact, do not require that the price level in such island realities must be equal to that in force in the Gulf of Naples, but only that, in the absence of an agreement, a similar percentage variation in prices over time could have been expected in the Gulf of Naples as that observed in the other islands199.</w:t>
      </w:r>
    </w:p>
    <w:p>
      <w:r>
        <w:t>5.6 Conclusions</w:t>
      </w:r>
    </w:p>
    <w:p>
      <w:r>
        <w:t>234. In light of the documentary evidence described and the arguments presented, the unique, continued, and complex agreement established by the Parties represents an infringement by object of the competition protection legislation that has also resulted in appreciable actual restrictions in the special transport sector of flammables and waste in the Gulf of Naples to the detriment of users of such services and, ultimately, of final consumers.</w:t>
      </w:r>
    </w:p>
    <w:p>
      <w:r>
        <w:t>235. Such harmful effects impact consumers, particularly in terms of increased or lesser reduction of prices of transported products and associated services, such as fuels for motor vehicles, LPG gas, and expenses for urban waste collection and disposal services.</w:t>
      </w:r>
    </w:p>
    <w:p>
      <w:r>
        <w:t>236. Since the agreement in question concerns a circumscribed area of the national territory (the Gulf of Naples), the behaviors described constitute an infringement pursuant to Article 2 of Law No. 287/90.</w:t>
      </w:r>
    </w:p>
    <w:p>
      <w:r>
        <w:t>VI. GRAVITY AND DURATION OF THE INFRINGEMENT</w:t>
      </w:r>
    </w:p>
    <w:p>
      <w:r>
        <w:t>237. According to established EU and national case law, to assess the gravity of an infringement, a multitude of factors must be taken into account, the nature and importance of which vary depending on the type and specific circumstances of the infringement. Among these factors, the nature of the restriction of competition, as well as the role and market representation of the companies involved, are particularly relevant.</w:t>
      </w:r>
    </w:p>
    <w:p>
      <w:r>
        <w:t>238. Regarding the nature of the agreement in question, based on the investigative findings, it is believed that the Parties to the proceedings have established a unique, complex, and continued agreement aimed at setting (and in particular increasing) the level of fees requested for the services in question and at establishing their operating conditions, redistributing them, and dividing the revenues based on the historical shares of the shipowners.</w:t>
      </w:r>
    </w:p>
    <w:p>
      <w:r>
        <w:t>239. It is noted that the agreement involved all the shipping operators active in the reference market, namely the companies Mediterranea Marittima and Medmar Navi, Traspemar, and Servizi Marittimi Liberi Giuffré and Lauro. Based on the evidence collected, it is also believed that the common company GML and the consortium COTRASIR should be considered, during their operational period, as also directly involved in the infringement.</w:t>
      </w:r>
    </w:p>
    <w:p>
      <w:r>
        <w:t>240. It has also emerged from the evidence presented that the behaviors carried out by the Parties constitute very serious violations of the competition protection regulations, representing in particular hard-core restrictions of antitrust law, with the characteristics of restrictions by object.</w:t>
      </w:r>
    </w:p>
    <w:p>
      <w:r>
        <w:t>241. Regarding the duration of the agreement, it should be noted that the evidence on record shows that the shipowners began to share the data necessary for establishing the consortium rules at least starting from February 2018, as evidenced by the inspection documents related to email exchanges aimed at sharing revenue data for the period 2014/2016, on which the mechanism (and the related percentages) for the distribution of revenues among the operators based on historical shares was subsequently based200. At the same time, further inspection documents are also reported in which the representatives of the Parties perform some calculations for setting up the same mechanism201.</w:t>
      </w:r>
    </w:p>
    <w:p>
      <w:r>
        <w:t>242. It can therefore be concluded that this moment, identifiable, in particular, based on the evidence on record, on February 19, 2018, corresponds to the beginning of participation in the agreement for the involved shipping companies (Mediterranea Marittima and Medmar Navi, SMLGL, and Traspemar).</w:t>
      </w:r>
    </w:p>
    <w:p>
      <w:r>
        <w:t>243. Regarding the overall duration of the agreement, it must be considered still ongoing. This conclusion is reached when considering the following elements. Firstly, it is noteworthy that even after the dissolution of the common corporate (GML) and consortium (COTRASIR) instruments, there is still a management of the activities involved in the agreement characterized by the absence of mutual competitive interference among the shipowners in the market and, therefore, by a continuation of the distribution defined during the consortium period and by price levels that remain particularly high (at a level comparable to that reached during the consortium period, net of the slight reduction proposed by the Parties within the commitments presented pursuant to Article 14-ter of Law No. 287 of October 10, 1990, which were then rejected by the Authority)202. These market outcomes are entirely comparable to those achieved until July 2020 through the aforementioned concerted modalities and consistent with the agreements that had been reached among the companies during the consortium period. The existence of an established explicit concertation that occurred among the Parties and contested in this context does not allow for evaluating such outcomes as the result of spontaneous and autonomous behavior of each of the shipping companies as instead claimed by the Parties themselves.</w:t>
      </w:r>
    </w:p>
    <w:p>
      <w:r>
        <w:t>244. Secondly, it is evident that the agreement attributed to the Parties does not exhaust itself in the establishment of GML and COTRASIR, but has involved a broader coordination among the individual shipping companies, as established by the investigation and reconstructed in this context, particularly with reference to the mechanisms for the distribution of the revenues and profits, which were subject to the functioning of such common instruments and whose application does not depend on the existence of the same. This means that the dissolution of GML and COTRASIR is not sufficient to represent a discontinuity in the behavior of the companies that, although no longer formally linked to each other through common companies and Consortia, have nevertheless continued to coordinate their competitive activities in accordance with the pre-established plan.</w:t>
      </w:r>
    </w:p>
    <w:p>
      <w:r>
        <w:t>245. The participation of GML and COTRASIR in the agreement, on the other hand, coincides with the time frame in which these entities were active, namely from the date of their establishment (respectively, May 18, 2018, and July 24, 2018) to the date of dissolution (which occurred for both on July 27, 2020).</w:t>
      </w:r>
    </w:p>
    <w:p>
      <w:r>
        <w:t>VII. QUANTIFICATION OF SANCTIONS</w:t>
      </w:r>
    </w:p>
    <w:p>
      <w:r>
        <w:t>246. Preliminary, it should be noted that the recipients of the competition regulations are the companies and associations of companies, which are also subject to sanctions in case of violation of the same regulations. The notion of company, as is known, for the purposes of the application of competition law, encompasses any entity that engages in economic activity, regardless of the legal status of that entity and its financing methods203. This notion must be understood in the sense that it designates an economic unit even though, from a legal point of view, such economic unit is constituted by multiple entities.</w:t>
      </w:r>
    </w:p>
    <w:p>
      <w:r>
        <w:rPr>
          <w:b/>
        </w:rPr>
        <w:t>[Pages 70–72]</w:t>
      </w:r>
    </w:p>
    <w:p>
      <w:r>
        <w:t>72 BULLETIN NO. 3 OF JANUARY 17, 2022</w:t>
      </w:r>
    </w:p>
    <w:p>
      <w:r>
        <w:t>persons, whether natural or legal. Where it violates the rules laid down in competition law, such economic entity is required, according to the principle of personal liability, to answer for the infringement.</w:t>
      </w:r>
    </w:p>
    <w:p>
      <w:r>
        <w:t>247. In this case, the companies subject to the sanction are certainly the shipping companies Medmar Navi, SMLGL, and Traspemar. Mediterranea Marittima and Medmar Navi, companies linked by a controlling relationship, will be considered, for the purposes of this provision, a single economic entity (hereinafter Medmar) and a single sanction will be imposed on them, for which they will be held jointly liable. Furthermore, the specific turnover generated by the company GML will be attributed to the parent companies based on their shares in that joint company (50% SMLGL and 50% Medmar).</w:t>
      </w:r>
    </w:p>
    <w:p>
      <w:r>
        <w:t>248. That said, in order to quantify the sanction for the companies Medmar, SMLGL, and Traspemar, it is necessary to take into account the provisions of Article 11 of Law No. 689/1981, as recalled by Article 31 of Law No. 287/90, as well as the interpretative criteria outlined in the "Guidelines on the application of the criteria for quantifying administrative pecuniary sanctions imposed by the Authority in application of Article 15, paragraph 1, of Law No. 287/90" (hereinafter, Guidelines), adopted by the Authority on October 22, 2014.</w:t>
      </w:r>
    </w:p>
    <w:p>
      <w:r>
        <w:t>249. Following points 7 and following of the Guidelines, the base amount of the sanction is obtained by multiplying a percentage of the value of sales, determined based on the level of severity of the infringement, by the duration of each company's participation in the infringement.</w:t>
      </w:r>
    </w:p>
    <w:p>
      <w:r>
        <w:t>250. In this specific case, the duration of the participation of the companies Medmar, SMLGL, and Traspemar in the agreement is deemed to be 3 years, 10 months, and 2 days (from February 19, 2018, to December 21, 2021).</w:t>
      </w:r>
    </w:p>
    <w:p>
      <w:r>
        <w:t>251. Based on the criteria set forth in the Guidelines, to calculate the base amount of the sanction, the value of sales of the services concerned attributable to the Parties is taken as a reference, namely the turnover derived from the activity of selling special maritime transport services for flammables and waste to and from the islands of the Gulf of Naples, in the last full year of participation in the infringement, net of VAT and other taxes. Consequently, for all three companies Medmar, SMLGL, and Traspemar, the turnover for the year 2020 will be considered, as indicated in the following table.</w:t>
      </w:r>
    </w:p>
    <w:p>
      <w:r>
        <w:t>Company Relevant turnover (euros)</w:t>
        <w:br/>
        <w:t>Medmar 1,546,965</w:t>
        <w:br/>
        <w:t>SMLGL 1,125,115</w:t>
        <w:br/>
        <w:t>Traspemar 1,622,242</w:t>
      </w:r>
    </w:p>
    <w:p>
      <w:r>
        <w:t>252. For the purposes of determining the base amount of the sanction, a specific percentage may be applied to the base value as determined above, based on the severity of the violation. According to the Guidelines, in particular, the proportion considered must be set at a level that can reach 30% of the value of sales, "based on the degree of severity of the violation" (point 11).</w:t>
      </w:r>
    </w:p>
    <w:p>
      <w:r>
        <w:t>253. In light of the above, regarding the very serious nature of the agreement in question, it is deemed appropriate to assign a severity coefficient of 25% of the value of sales to the parties responsible for the infringement, given that the Parties engaged in a complex and extremely detailed concertation, including price-fixing conduct, route allocation, and overall distribution of revenues and costs of the service.</w:t>
      </w:r>
    </w:p>
    <w:p>
      <w:r>
        <w:t>254. Therefore, due to the severity and duration of the unlawful conduct established in this provision, the base amount of the sanction is defined in the table below. Since no aggravating or mitigating circumstances are found in this case, pursuant to points 19 and 21 of the Guidelines, this base amount also coincides with the base sanction attributable to each company.</w:t>
      </w:r>
    </w:p>
    <w:p>
      <w:r>
        <w:t>Company Base sanction (euros)</w:t>
        <w:br/>
        <w:t>Medmar 1,484,657</w:t>
        <w:br/>
        <w:t>SMLGL 1,079,798</w:t>
        <w:br/>
        <w:t>Traspemar 1,556,902</w:t>
      </w:r>
    </w:p>
    <w:p>
      <w:r>
        <w:t>255. The base sanctions indicated in the table above are in all three cases above the maximum penalty equal to 10% of the total turnover achieved by each company in the reference year. Therefore, a reduction must be made to bring them within the maximum penalty provided by Law 287/90 (see table below, last column).</w:t>
      </w:r>
    </w:p>
    <w:p>
      <w:r>
        <w:t>Base sanction</w:t>
        <w:br/>
        <w:t>Base sanction as</w:t>
        <w:br/>
        <w:t>Total turnover reported to</w:t>
        <w:br/>
        <w:t>Company % of turnover</w:t>
        <w:br/>
        <w:t>2020 (euros) maximum penalty</w:t>
        <w:br/>
        <w:t>of 10% (euros)</w:t>
        <w:br/>
        <w:t>Medmar 14,752,594 10.064% 1,475,259</w:t>
        <w:br/>
        <w:t>SMLGL 1,160,518 93.044% 116,052</w:t>
        <w:br/>
        <w:t>Traspemar 1,774,656 87.730% 177,466</w:t>
      </w:r>
    </w:p>
    <w:p>
      <w:r>
        <w:t>256. Finally, considering the specific circumstances in which the infringement took place, particularly related to the significant difficulties of the pandemic period, the Authority deems it appropriate to apply Article 34 of the Guidelines in this case. Given the objective difficulties faced by companies in the sector due to this event, it is therefore considered appropriate to reduce the amounts of the sanctions by 30%. The table below shows the final value of the sanction obtained by reducing the previously determined sanction amount by 30%.</w:t>
      </w:r>
    </w:p>
    <w:p>
      <w:r>
        <w:t>Final sanction obtained by reducing by 30%</w:t>
        <w:br/>
        <w:t>Company</w:t>
        <w:br/>
        <w:t>Base sanction (euros)</w:t>
        <w:br/>
        <w:t>Medmar 1,032,682</w:t>
        <w:br/>
        <w:t>SMLGL 81,236</w:t>
        <w:br/>
        <w:t>Traspemar 124,226</w:t>
      </w:r>
    </w:p>
    <w:p>
      <w:r>
        <w:t>257. The Authority also believes that both the joint company GML and the Consortium COTRASIR had, for the duration of their respective validity, an independent relevance for the establishment of the pervasive collusion among the shipping companies Medmar Navi, SMLGL, and Traspemar. This role of instrument and coordination of the companies' behavior assumes an independent sanctioning relevance. Considering the difficulties due to the pandemic, as well as the fact that GML and COTRASIR have since been dissolved and placed in liquidation, the Authority deems, pursuant to point 33 of the Guidelines, to impose a symbolic sanction of 10,000 euros each on GML and COTRASIR.</w:t>
      </w:r>
    </w:p>
    <w:p>
      <w:r>
        <w:t>THEREFORE, it is deemed that Mediterranea Marittima S.p.A., Medmar Navi S.p.A., Servizi Marittimi Liberi Giuffré e Lauro S.r.l., Traspemar S.r.l., GML Servizi Marittimi S.r.l., and the Consortium for Special Transport of Flammables and Waste have engaged in a unique and complex agreement, in violation of Article 2 of Law No. 287/1990, aimed at fixing (and, in particular, increasing) the level of fees charged for the transport services of flammables and waste in the Gulf of Naples and at establishing the operating conditions, allocating them, and dividing the revenues based on the historical shares of the shipowners.</w:t>
      </w:r>
    </w:p>
    <w:p>
      <w:r>
        <w:t>RESOLVES</w:t>
        <w:br/>
        <w:t>a) that Mediterranea Marittima S.p.A., Medmar Navi S.p.A., Servizi Marittimi Liberi Giuffré e Lauro S.r.l., Traspemar S.r.l., GML Servizi Marittimi S.r.l., and the Consortium for Special Transport of Flammables and Waste have engaged in a unique and complex agreement, in violation of Article 2 of Law No. 287/1990, consisting of fixing the level of fees charged for the transport services subject to investigation and the operating conditions, in the allocation of services and in the division of revenues and costs of the service based on the historical shares of the shipowners;</w:t>
        <w:br/>
        <w:t>b) that the subjects mentioned in the previous point a) immediately cease the cited behaviors and refrain in the future from engaging in similar behaviors to those subject to the infringements established in the preceding points;</w:t>
        <w:br/>
        <w:t>c) that, in light of what is indicated in the motivation, the subjects referred to in point a) be imposed the following administrative pecuniary sanctions:</w:t>
      </w:r>
    </w:p>
    <w:p>
      <w:r>
        <w:rPr>
          <w:b/>
        </w:rPr>
        <w:t>[Pages 73–75]</w:t>
      </w:r>
    </w:p>
    <w:p>
      <w:r>
        <w:t>BULLETIN NO. 3 OF JANUARY 17, 2022 75</w:t>
        <w:br/>
        <w:t>Party Fine (euros)</w:t>
        <w:br/>
        <w:t>Medmar Navi S.p.A. jointly and severally with Mediterranea Marittima S.p.A. 1,032,682</w:t>
        <w:br/>
        <w:t>Servizi Marittimi Liberi Giuffré e Lauro S.r.l. 81,236</w:t>
        <w:br/>
        <w:t>Traspemar S.r.l. 124,226</w:t>
        <w:br/>
        <w:t>GML Servizi Marittimi S.r.l. 10,000</w:t>
        <w:br/>
        <w:t>Consorzio Trasporti Speciali Infiammabili e Rifiuti 10,000</w:t>
        <w:br/>
        <w:t>The administrative fines referred to in the previous letter c) must be paid within ninety days from the notification of this provision, using the tax codes indicated in the attached model F24 with identifying elements, pursuant to Legislative Decree No. 241/1997. Payment must be made electronically with a debit from one's bank or postal account, through the home banking and CBI services provided by banks or by Poste Italiane S.p.A., or by using the telematic services of the Revenue Agency, available on the website www.agenziaentrate.gov.it. After the aforementioned deadline, for a delay period of less than six months, late payment interest must be paid at the legal rate starting from the day after the payment deadline until the date of payment. In case of further delay in compliance, pursuant to Article 27, paragraph 6, of Law No. 689/81, the amount due for the imposed fine is increased by one-tenth for each semester starting from the day after the payment deadline until the date on which the role is transmitted to the collector for collection; in this case, the increase absorbs the late payment interest accrued during the same period. Immediate communication of the payments made must be given to the Authority, through the sending of a copy of the model certifying the payment made. Pursuant to Article 26 of the same law, companies in economically disadvantaged conditions may request the installment payment of the fine. This provision will be notified to the interested parties and published in the Bulletin of the Authority for Competition and the Market. Against this provision, an appeal may be filed with the TAR of Lazio, pursuant to Article 135, paragraph 1, letter b), of the Code of Administrative Procedure (Legislative Decree of July 2, 2010, No. 104),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paragraph 2, of the Decree of the President of the Republic of November 24, 1971, No. 1199, within one hundred and twenty days from the date of notification of the provision itself.</w:t>
        <w:br/>
        <w:t>p. THE SECRETARY GENERAL THE PRESIDENT</w:t>
        <w:br/>
        <w:t>THE DEPUTY SECRETARY GENERAL Roberto Rustichelli</w:t>
        <w:br/>
        <w:t>Serena Stella</w:t>
      </w:r>
    </w:p>
    <w:p>
      <w:r>
        <w:t>BULLETIN NO. 3 OF JANUARY 17, 2022 77</w:t>
        <w:br/>
        <w:t>CONCENTRATION OPERATIONS</w:t>
        <w:br/>
        <w:t>C12410B - CINVEN CAPITAL MANAGEMENT-FRESSNAPF BETEILIGUNGS/AGRIFARMA - MAXI ZOO ITALIA</w:t>
        <w:br/>
        <w:t>Provision No. 29966</w:t>
        <w:br/>
        <w:t>THE AUTHORITY FOR COMPETITION AND THE MARKET</w:t>
        <w:br/>
        <w:t>IN ITS MEETING of January 11, 2022;</w:t>
        <w:br/>
        <w:t>HEARD the Rapporteur, President Roberto Rustichelli;</w:t>
        <w:br/>
        <w:t>SEEN Regulation (EC) No. 139/2004;</w:t>
        <w:br/>
        <w:t>SEEN Law No. 287 of October 10, 1990;</w:t>
        <w:br/>
        <w:t>SEEN the D.P.R. No. 217 of April 30, 1998;</w:t>
        <w:br/>
        <w:t>SEEN the act received on August 23, 2021, from the European Commission (hereinafter "Commission"), concerning the request made to it on the same date by the companies Cinven Capital Management (VII) General Partner Limited and Fressnapf Beteiligungs GmbH pursuant to Article 4, paragraph 4, of Regulation (EC) No. 139/2004;</w:t>
        <w:br/>
        <w:t>SEEN the act sent by the Authority to the Commission on September 9, 2021, in which the Authority expressed its consent to refer the operation back to Italy for evaluation based on national competition legislation, in application of Article 4, paragraph 4 of Regulation (EC) No. 139/2004;</w:t>
        <w:br/>
        <w:t>SEEN the act from the European Commission sent on September 20, 2021, in which the Commission decided to refer, pursuant to the same article, the examination of the operation in its entirety back to Italy;</w:t>
        <w:br/>
        <w:t>SEEN the communication from the companies Cinven Capital Management (VII) General Partner Limited and Fressnapf Beteiligungs GmbH, received on October 19, 2021, subsequently supplemented on October 26, 2021;</w:t>
        <w:br/>
        <w:t>SEEN the Authority's resolution of November 16, 2021, which initiated an investigation pursuant to Article 16, paragraph 4, of Law No. 287/90, against the companies Cinven Capital Management (VII) General Partner Limited and Fressnapf Beteiligungs GmbH;</w:t>
        <w:br/>
        <w:t>SEEN the Authority's resolution of December 21, 2021, in which the Authority, considering the new information transmitted by the Parties on November 30, 2021, acknowledged the substantial changes in the factual elements of the concentration operation as communicated on October 19, 2021, and subsequently supplemented on October 26, 2021, and resolved that there was no need to act, requesting the Parties a new communication pursuant to Article 16, paragraph 1, of Law No. 287/90;</w:t>
        <w:br/>
        <w:t>SEEN the new communication from the companies Cinven Capital Management (VII) General Partner Limited and Fressnapf Beteiligungs GmbH, received on December 24, 2021;</w:t>
        <w:br/>
        <w:t>SEEN the documentation on record;</w:t>
      </w:r>
    </w:p>
    <w:p>
      <w:r>
        <w:rPr>
          <w:b/>
        </w:rPr>
        <w:t>[Pages 76–78]</w:t>
      </w:r>
    </w:p>
    <w:p>
      <w:r>
        <w:t>78 BULLETIN NO. 3 OF JANUARY 17, 2022</w:t>
      </w:r>
    </w:p>
    <w:p>
      <w:r>
        <w:t>CONSIDERING the following:</w:t>
      </w:r>
    </w:p>
    <w:p>
      <w:r>
        <w:t>I. THE PARTIES</w:t>
      </w:r>
    </w:p>
    <w:p>
      <w:r>
        <w:t>1. Cinven Capital Management (VII) General Partner Limited is a private equity company of the Cinven group (hereinafter also "Cinven"), which provides management and advisory services in investment matters to numerous investment funds. The funds managed by Cinven hold controlling interests in various companies active in a wide range of sectors, including commercial services, consumer goods, financial services, healthcare, industry, and technology, media, and telecommunications. In particular, Cinven is active in the production and sale of pet food and snacks, both private label and branded, in Italy through the Hungarian company Partner in Pet Food (hereinafter "PPF") and the recently acquired Italian company Landini Giuntini S.p.A.1 (hereinafter "Giuntini"). In 2020, Cinven achieved a turnover of approximately [2-3]* billion euros in Italy.</w:t>
      </w:r>
    </w:p>
    <w:p>
      <w:r>
        <w:t>2. Fressnapf Beteiligungs GmbH is a company controlled by Fressnapf Holding SE, the holding company at the head of the Fressnapf group (hereinafter also "Fressnapf"), which is exclusively controlled by an individual. The group is active in the retail distribution of products for the feeding, care, hygiene, and entertainment of pets (hereinafter also "pet products") in several European countries; in Italy, Fressnapf is present with the controlled company Maxi Zoo Italia S.p.A. The group is also active in the production of private label pet food and accessories, which are sold in its network of stores and online platforms. Fressnapf achieved a turnover of approximately [100-511] million euros in Italy in 2020.</w:t>
      </w:r>
    </w:p>
    <w:p>
      <w:r>
        <w:t>3. Agrifarma S.p.A. (hereinafter also "Arcaplanet") is a company indirectly controlled by the private equity firm Permira; it is active in the retail distribution of pet products through a chain of approximately 390 specialized points of sale (hereinafter also "pv") under the Arcaplanet brand present in 17 Italian regions. In the last three years, Arcaplanet has acquired four specialized distribution chains in the same sector, which previously held a total of over 100 stores, branded Fortesan, Zoodom, Fauna Food, and La Città degli Animali. Arcaplanet controls three companies active, respectively, in the retail distribution of pet products in Lombardy, Veneto, and Piedmont (Arcawip S.r.l.), in Switzerland (Arcaplanet S.A.), and in consulting in the pet food sector (First One S.r.l.). The turnover generated by Arcaplanet in Italy in 2020 amounts to approximately [100-511] million euros.</w:t>
      </w:r>
    </w:p>
    <w:p>
      <w:r>
        <w:t xml:space="preserve">1 See C12332 – ARTEMIS ACQUISITIONS/LANDINI GIUNTINI, decision no. 28472 of December 1, 2020, in Bulletin no. 50/2020. </w:t>
        <w:br/>
        <w:t>* In this version, some data are omitted, as there were deemed to be elements of confidentiality or secrecy of the information.</w:t>
      </w:r>
    </w:p>
    <w:p>
      <w:r>
        <w:t>BULLETIN NO. 3 OF JANUARY 17, 2022 79</w:t>
      </w:r>
    </w:p>
    <w:p>
      <w:r>
        <w:t>4. Maxi Zoo Italia S.p.A. (hereinafter also "Maxi Zoo") is a company active in the retail distribution of pet products through a chain of approximately 135 specialized stores under the Maxi Zoo brand, spread across the national territory. Maxi Zoo is wholly controlled by Fressnapf. The company's turnover was approximately [100-511] million euros in 2020.</w:t>
      </w:r>
    </w:p>
    <w:p>
      <w:r>
        <w:t>II. DESCRIPTION OF THE OPERATION</w:t>
      </w:r>
    </w:p>
    <w:p>
      <w:r>
        <w:t>5. The operation in question (hereinafter, the "Operation") consists of the joint acquisition of control by Cinven and Fressnapf, through the newly established company Shiba Bidco S.p.A., over Arcaplanet and Maxi Zoo.</w:t>
      </w:r>
    </w:p>
    <w:p>
      <w:r>
        <w:t>6. The Operation will be implemented pursuant to two share purchase agreements, under which Cinven will hold [65-70%] and Fressnapf [30-35%] of the shares of the newly established company Shiba Bidco S.p.A., which in turn will hold the entire share capital of Arcaplanet and Maxi Zoo.</w:t>
      </w:r>
    </w:p>
    <w:p>
      <w:r>
        <w:t>7. Based on the governance agreements entered into between the Parties, Cinven will be able to appoint and remove the majority of the Board of Directors for each acquired company, which will have full power to direct and control the affairs and activities of the company. The agreements also provide that both Cinven and Fressnapf must approve the initial business plan of the post-merger entity before the closing of the Operation. Finally, Fressnapf will have veto rights in relation to certain essential decisions to determine the strategic directions of the business.</w:t>
      </w:r>
    </w:p>
    <w:p>
      <w:r>
        <w:t>8. In light of the governance mechanisms described above, following the Operation, Cinven and Fressnapf will jointly control Arcaplanet and Maxi Zoo2.</w:t>
      </w:r>
    </w:p>
    <w:p>
      <w:r>
        <w:t>III. QUALIFICATION OF THE OPERATION</w:t>
      </w:r>
    </w:p>
    <w:p>
      <w:r>
        <w:t>9. The Operation, as it involves the acquisition of joint control over multiple companies, constitutes a concentration within the meaning of Article 3, paragraph 1, letter b), of EC Regulation No. 139/04 and falls within the scope of application of that Regulation, as it meets the conditions set out in Article 1, paragraph 2, of the same. Based on the referral decision of the Commission adopted pursuant to Article 4, paragraph 4, of the aforementioned Regulation, received by the Authority on September 20, 2021, the concentration is subject to Law No. 287/90.</w:t>
      </w:r>
    </w:p>
    <w:p>
      <w:r>
        <w:t>IV. ASSESSMENT OF THE OPERATION</w:t>
      </w:r>
    </w:p>
    <w:p>
      <w:r>
        <w:t>IV.I. The relevant sector</w:t>
      </w:r>
    </w:p>
    <w:p>
      <w:r>
        <w:t>10. The sector affected by the Operation is that of the retail distribution of products for the feeding, care, hygiene, and entertainment of pets, collectively also referred to as "pet products." These products can be divided based on the type of animal they are intended for (dogs, cats, fish, reptiles, rodents, and birds) and the specific need they aim to satisfy (feeding, play, hygiene, and care); furthermore, with reference to the specific organoleptic and nutritional characteristics, pet food for dogs and cats can be further divided into dry food and wet food.</w:t>
      </w:r>
    </w:p>
    <w:p>
      <w:r>
        <w:t>11. According to the Parties' estimates, total sales of pet products in Italy in 2020 amounted to approximately 3.4 billion euros (including VAT), after years of steady growth. The pet food segment constitutes about 80% of the total, with an estimated value of approximately 2.7 billion euros, of which almost all relates to products for the feeding of dogs and cats. Euromonitor3 estimates an annual growth rate for the sector of 2.7% for the period 2020-25.</w:t>
      </w:r>
    </w:p>
    <w:p>
      <w:r>
        <w:t>12. In the sector of pet product distribution, various categories of operators operate, which differ in relation to the breadth and depth of the assortment, price positioning, number, and quality of services offered to consumers: i) large specialized surfaces organized in chains ("pet shop chains"), such as those managed by the Parties, which channel – based on estimates provided by the Parties themselves – about [15-20%] of national sales in value; ii) traditional specialized stores, with a national share of [25-30%]; iii) points of sale of large organized distribution (GDO), with a share of approximately [30-35%] at the national level; iv) online operators, with a share of about [5-10%]. Additionally, other types of operators specialized in different merchandise categories (household hygiene, health and beauty, gardening, etc.) operate in the sector, albeit to a marginal extent.</w:t>
      </w:r>
    </w:p>
    <w:p>
      <w:r>
        <w:t>13. Among the pet shop chains are also specialized points of sale attributable to various GDO operators (e.g., Amici di Casa Coop, Petstore Conad, Animali Che Passione, Joe Zampetti, Pet Elite di Selex, and Ayoka di Végé), which, aware of the development potential of the specialized chain formula, have recently opened numerous stores exclusively dedicated to pet products, marked by a specific brand (hereinafter also referred to as "GDO pet shops").</w:t>
      </w:r>
    </w:p>
    <w:p>
      <w:r>
        <w:t>14. The performance of the various sales channels is extremely differentiated: specialized chains show the most marked development, confirming the double-digit growth dynamic that has characterized them in recent years (+19.7% in value and +13.8% in volume in the period July 2020-June 2021); GDO shows a decent overall growth (+6.2% in value and +4.5% in volume)4; traditional pet stores manage to maintain their positioning, with a slight increase in sales (+1.3% in volume and +0.3% in value)5. Furthermore, there is a strong acceleration in the growth of the online channel, also driven by the restrictions on movement that occurred during the Covid-19 health emergency.</w:t>
      </w:r>
    </w:p>
    <w:p>
      <w:r>
        <w:t>15. All the different types of points of sale described have an assortment that covers the various categories of food (pet food) and care products (pet care) for pets, although there are significant differences between the various channels.</w:t>
      </w:r>
    </w:p>
    <w:p>
      <w:r>
        <w:t>16. Table No. 1 highlights some characteristics of the different categories of points of sale (average number of references, average turnover, average price per kg), with exclusive reference to the sector of dog and cat food, for which there are official data from IRI.</w:t>
      </w:r>
    </w:p>
    <w:p>
      <w:r>
        <w:t xml:space="preserve">3 Euromonitor International, Pet Care in Italy, May 2020. </w:t>
        <w:br/>
        <w:t xml:space="preserve">4 The data includes, in addition to GDO (hypermarkets, supermarkets, convenience stores, and discount stores), also points of sale of non-specialized trade with an area of less than 100 square meters. </w:t>
        <w:br/>
        <w:t>5 Source: Assalco – Zoomark Report, XIV edition, 2021.</w:t>
      </w:r>
    </w:p>
    <w:p>
      <w:r>
        <w:rPr>
          <w:b/>
        </w:rPr>
        <w:t>[Pages 79–81]</w:t>
      </w:r>
    </w:p>
    <w:p>
      <w:r>
        <w:t xml:space="preserve">BULLETIN NO. 3 OF JANUARY 17, 2022 81  </w:t>
        <w:br/>
        <w:t xml:space="preserve">Table 1 – Characteristics of the main distribution channels  </w:t>
        <w:br/>
        <w:t xml:space="preserve">Stores  </w:t>
        <w:br/>
        <w:t xml:space="preserve">Chains Hypermarkets Traditional Supermarkets Specialized  </w:t>
        <w:br/>
        <w:t xml:space="preserve">Average No.  </w:t>
        <w:br/>
        <w:t xml:space="preserve">2,601 1,850 871 322  </w:t>
        <w:br/>
        <w:t xml:space="preserve">References  </w:t>
        <w:br/>
        <w:t xml:space="preserve">Average Revenue  </w:t>
        <w:br/>
        <w:t xml:space="preserve">756 135 390 76  </w:t>
        <w:br/>
        <w:t xml:space="preserve">pv (000 euros)*  </w:t>
        <w:br/>
        <w:t xml:space="preserve">Average Price  </w:t>
        <w:br/>
        <w:t xml:space="preserve">6.7 6.9 2.7**  </w:t>
        <w:br/>
        <w:t xml:space="preserve">per unit (€/kg)  </w:t>
        <w:br/>
        <w:t xml:space="preserve">* The data refers only to sales of dog and cat food.  </w:t>
        <w:br/>
        <w:t xml:space="preserve">** The data refers to the entire GDO sector and to non-specialized retail outlets with an area of less than 100 sqm.  </w:t>
        <w:br/>
        <w:t xml:space="preserve">Source: AGCM processing on Assalco/IRI data in Assalco Report 2021.  </w:t>
        <w:br/>
        <w:t xml:space="preserve">17. As emerges from the table, specialized stores (both independent and organized in chains6) offer a much wider and deeper assortment compared to that of the GDO, especially with reference to smaller GDO retail outlets, which represent the predominant part of sales in this channel. The assortment of specialized retail outlets, in particular, includes niche products and/or those aimed at meeting specific nutritional and care needs of animals (dietary, for animals suffering from diseases, etc.).  </w:t>
        <w:br/>
        <w:t xml:space="preserve">18. Furthermore, specialized stores appear to be more focused on the premium product range, which has a higher unit value. The average price of a kilogram of food sold by pet shops is more than double that of the GDO. The assortment of the GDO, on the other hand, appears to be predominantly oriented towards the medium-low price range, with an offer aimed primarily at ensuring greater convenience, in terms of cost and speed of purchase.  </w:t>
        <w:br/>
        <w:t xml:space="preserve">19. Additionally, the offer of specialized retail outlets, and especially that of traditional stores, is not limited to the sale of pet items, often extending to the sale of live animals and, almost always, to the provision of additional services related to the care and management of the animal (grooming, dog/cat sitting, boarding, consultations for feeding and choosing a veterinarian, etc.).  </w:t>
        <w:br/>
        <w:t xml:space="preserve">20. Another differentiating element between the channels is given by the presence and quality of the sales assistance service offered to the consumer. In this regard, in particular, the traditional store is the channel where the trust relationship of the customer with the retail outlet is most significant: in most cases, in fact, it is the store owner who provides a qualified sales assistance service, interfacing directly with the end consumer: this allows for the easier transfer of the added value of higher-end products, justifying the price positioning of certain items. Aware of the need to respond to this demand, even large chains are equipping themselves to ensure that consumers have access to staff with specific and in-depth sector expertise.  </w:t>
        <w:br/>
        <w:t>6 GDO pet shops offer an assortment comparable to that of non-GDO pet shop chains: the average number of references of the former is, in fact, equal to 2,332, compared to the average of 2,601 references of the other pet shop chains. GDO pet shops also present a distribution of product categories and a price positioning aligned with those of the other chains. Source: Assalco – Zoomark Report, XIV edition, 2021.</w:t>
      </w:r>
    </w:p>
    <w:p>
      <w:r>
        <w:t xml:space="preserve">82 BULLETIN NO. 3 OF JANUARY 17, 2022  </w:t>
        <w:br/>
        <w:t xml:space="preserve">IV.II. Relevant markets  </w:t>
        <w:br/>
        <w:t xml:space="preserve">21. For the purposes of evaluating the present operation, the markets for the retail sale and procurement of products for the feeding, care, hygiene, and entertainment of pets, collectively referred to as pet products, are relevant.  </w:t>
        <w:br/>
        <w:t xml:space="preserve">a) The retail markets for pet products  </w:t>
        <w:br/>
        <w:t xml:space="preserve">22. In its previous C12139 - Noah 2/Mondial Pet Distribution7, the Authority, within the sector of distribution of pet products, identified a relevant product market composed solely of specialized retail outlets, both traditional stores and chains.  </w:t>
        <w:br/>
        <w:t xml:space="preserve">23. The investigation carried out had, in fact, highlighted the existence of rather limited substitutability between specialized stores and GDO retail outlets. Within this channel, only the hypermarket segment (retail outlets with areas equal to or greater than 2,500 sqm) was found to exert some competitive pressure on specialized surfaces entirely dedicated to pet products, although insufficient to consider the two types of channel as part of the same relevant market. However, due to the rapid and marked evolutionary trends currently underway in the sector, from a precautionary perspective, the effects of this operation were also evaluated taking into account the competitive pressure exerted by hypermarkets, as a future greater substitutability between the latter and pet shops could not be excluded.  </w:t>
        <w:br/>
        <w:t xml:space="preserve">24. The online channel, which at the time represented a relatively insignificant share of sales, was also not considered part of the relevant market.  </w:t>
        <w:br/>
        <w:t xml:space="preserve">25. The effects of the operation under examination differ significantly in the cases of inclusion or exclusion of the GDO channel (or some of its segments) and/or the online channel in the relevant product market. Given the high dynamism of the sector in question, it therefore appears necessary in this investigation to further explore the existing substitutability relationship (i.e., the degree of mutual competition) between retail outlets of such types and specialized stores.  </w:t>
        <w:br/>
        <w:t xml:space="preserve">26. From a geographical perspective, the markets for pet products have a local dimension, considering consumer purchasing behaviors and the importance they attribute to the proximity of retail outlets. In the aforementioned previous case, the geographical extent of the relevant market was identified within the area delimited by isochrones of 20 minutes of driving, constructed around the retail outlets in question. However, the geographical definition of the relevant market may also be subject to further investigation during the inquiry.  </w:t>
        <w:br/>
        <w:t xml:space="preserve">b) The markets for the procurement of pet products  </w:t>
        <w:br/>
        <w:t xml:space="preserve">27. The procurement markets pertain to purchases made by pet shop chains and other types of operators active in the retail distribution of pet products, which represent the demand side, directly from the manufacturing companies of pet products, which constitute the supply side.  </w:t>
        <w:br/>
        <w:t>7 C12139 - NOAH 2/MONDIAL PET DISTRIBUTION, provision no. 27148 of April 24, 2018 in Bulletin no. 18/2018.</w:t>
      </w:r>
    </w:p>
    <w:p>
      <w:r>
        <w:t xml:space="preserve">BULLETIN NO. 3 OF JANUARY 17, 2022 83  </w:t>
        <w:br/>
        <w:t xml:space="preserve">28. The product definition of the procurement markets for pet articles should, in principle, mirror the definition of the markets for the production of such articles, based on the type of animal and the specific need for which they are intended8.  </w:t>
        <w:br/>
        <w:t xml:space="preserve">29. From a geographical perspective, the procurement markets have at least a national dimension, considering the breadth of the operational basin of suppliers and the uniformity of sales and purchasing conditions throughout the national territory.  </w:t>
        <w:br/>
        <w:t xml:space="preserve">IV.III. The effects of the operation  </w:t>
        <w:br/>
        <w:t xml:space="preserve">a) The retail markets for pet products  </w:t>
        <w:br/>
        <w:t xml:space="preserve">30. Arcaplanet and Maxi Zoo represent, at the national level, the first and third specialized chains in the marketing of pet articles, with 388 and 136 retail outlets, respectively. The main competing chain is Isola dei Tesori, with about 200 owned retail outlets. Following, at a considerable distance, is the GDO pet shop chain Petstore Conad (84 retail outlets) and other smaller chains, predominantly of a subnational nature. The wide and capillary network of retail outlets, along with the promotional capacity and the brand recognized by consumers, represent the distinguishing elements of specialized chains. The concentration under examination, by eliminating one of the few subjects that nationally possesses such characteristics, would remove a significant competitive constraint from the market.  </w:t>
        <w:br/>
        <w:t xml:space="preserve">31. Within the distribution of pet articles through specialized retail outlets (including both large surface chains and traditional pet shops), Arcaplanet holds a share of [20-25%] and Maxi Zoo [5-10%]: the new operator would therefore reach, at the national level, a share of specialized sales of approximately [30-35%]. Specifically, in the segment of pet shop chains, the post-merger entity would hold a share of about [60-65%] at the national level.  </w:t>
        <w:br/>
        <w:t xml:space="preserve">32. At the local level, the notified operation results in significant horizontal overlaps between the activities of the Parties in almost all the retail markets considered.  </w:t>
        <w:br/>
        <w:t xml:space="preserve">33. Based on the available information, significant horizontal overlaps have indeed been identified, at present, in 123 local markets of specialized retail outlets (out of the 136 overall subject to communication), constituted by the isochrones centered on the Maxi Zoo retail outlets listed in the appendix. In these local markets, the post-merger shares of the Parties9, calculated on isochrones of 20 minutes of driving, constructed around the retail outlets in question, and considering the channel of the  </w:t>
        <w:br/>
        <w:t xml:space="preserve">8 In previous community cases, the European Commission divided the wholesale markets of pet food based on the different types of animals for which it is intended and, in the case of dog and cat food, further divided dry products from wet ones. The Commission also considered that private label pet products and branded products, although part of the same relevant retail market, constitute two separate wholesale markets. See Commission decisions of July 27, 2001 Case COMP/M2337, Nestlé/Ralston Purina and February 15, 2002 Case COMP/M.2544 Masterfoods/Royal Canin.  </w:t>
        <w:br/>
        <w:t>9 The value shares were calculated based on the data provided by the Parties regarding the revenue generated in 2020 by each of their own retail outlets (actual data) and competitors (estimated data). For newly opened retail outlets, an estimate of annual revenue was provided.</w:t>
      </w:r>
    </w:p>
    <w:p>
      <w:r>
        <w:rPr>
          <w:b/>
        </w:rPr>
        <w:t>[Pages 82–84]</w:t>
      </w:r>
    </w:p>
    <w:p>
      <w:r>
        <w:t>84 BULLETIN NO. 3 OF JANUARY 17, 2022</w:t>
        <w:br/>
        <w:t xml:space="preserve">GDO and the online channel as not belonging to the relevant market, are positioned at levels above 25%10, with increases attributable to the concentration in question that are not negligible11.  </w:t>
        <w:br/>
        <w:t xml:space="preserve">Table 2 – Post-merger market shares in local markets  </w:t>
        <w:br/>
        <w:t xml:space="preserve">Combined Market Share &gt;25% Combined Market Share &gt;40% Combined Market Share &gt;50% Combined Market Share &gt;60%  </w:t>
        <w:br/>
        <w:t xml:space="preserve">No. of local markets 123 108 60 10  </w:t>
        <w:br/>
        <w:t xml:space="preserve">34. Considering the aggregated level of shares - which stand, in almost half of the areas, above 50% (see Table 2) - together with the significant and widespread presence of retail outlets of the new entity across the national territory and the importance and notoriety of the brands subject to concentration, it is believed that the operation in question may significantly hinder effective competition in the retail markets for pet products, to the detriment of consumers, resulting in the strengthening or establishment of a dominant position.  </w:t>
        <w:br/>
        <w:t xml:space="preserve">35. It is highlighted that competitive concerns do not significantly diminish even in the case of including hypermarkets in the relevant market (i.e., GDO outlets with a surface area starting from 2,500 square meters): in this case, in fact, the post-merger market share would exceed 25%, with increases attributable to the concentration that are not negligible, in 122 local markets.  </w:t>
        <w:br/>
        <w:t xml:space="preserve">b) The markets for the supply of pet products  </w:t>
        <w:br/>
        <w:t xml:space="preserve">36. Regarding the supply markets, the position of the Parties following the concentration can be approximated by the sum of the shares of sales made at the national level by them. Taking as a reference a definition of the market restricted to specialized operators and the national territory, the share of the post-merger entity in the supply market is estimated, based on the data provided by the Parties, to be around [30-35%], allowing the new entity to become the leading operator in the market.  </w:t>
        <w:br/>
        <w:t xml:space="preserve">37. The market power of the new entity in the supply markets must also be assessed taking into account the market shares it holds in the local retail markets. The distribution of sales shares across the territory can, in fact, influence the bargaining power during the purchasing phase: a producing company that wants to ensure a widespread presence in all geographical areas, for example, is somewhat "obliged" to engage with distribution companies that hold strong positions even in a few downstream markets.  </w:t>
        <w:br/>
        <w:t xml:space="preserve">38. Considering that the post-merger entity, as a result of the concentration, will constitute the leading operator in the supply markets and will hold particularly significant shares in numerous local retail markets, the operation in question  </w:t>
        <w:br/>
        <w:t xml:space="preserve">10 See Council Regulation (EC) No. 139/2004 of January 20, 2004, concerning the control of concentrations between undertakings, para. 32: "Concentrations may be presumed compatible with the common market where, given the modest market share of the undertakings concerned, they are not such as to impede effective competition. Subject to Articles 81 [101 TFEU] and 82 [102 TFEU] of the Treaty, an indication in this sense exists where the market share of the undertakings concerned does not exceed 25% either in the common market or in a substantial part thereof."  </w:t>
        <w:br/>
        <w:t>11 Increases below 2% have been considered negligible.</w:t>
      </w:r>
    </w:p>
    <w:p>
      <w:r>
        <w:t xml:space="preserve">BULLETIN NO. 3 OF JANUARY 17, 2022 85  </w:t>
        <w:br/>
        <w:t xml:space="preserve">is likely to raise competitive concerns regarding the possible strengthening or establishment of a dominant position in the supply markets.  </w:t>
        <w:br/>
        <w:t xml:space="preserve">CONSIDERING, therefore, that the operation in question is likely to create or strengthen a dominant position in the supply and retail markets for pet products, such as to eliminate or substantially and durably reduce competition in the same markets;  </w:t>
        <w:br/>
        <w:t xml:space="preserve">RESOLVES  </w:t>
        <w:br/>
        <w:t xml:space="preserve">a) to initiate the investigation, pursuant to Article 16, paragraph 4, of Law No. 287/90, against the companies Cinven Capital Management (VII) General Partner Limited and Fressnapf Beteiligungs GmbH;  </w:t>
        <w:br/>
        <w:t xml:space="preserve">b) to set a deadline of ten days, starting from the date of notification of this provision, for the exercise by the legal representatives of the Parties, or by persons delegated by them, of the right to be heard, pursuant to Article 14, paragraph 1, of Law No. 287/90, specifying that the request for a hearing must be received by the Agro-food, Pharmaceutical and Transport Directorate of the Directorate General for Competition of this Authority at least three days before the expiration of the aforementioned deadline;  </w:t>
        <w:br/>
        <w:t xml:space="preserve">c) that the person responsible for the procedure is Dr. Bianca Maria Cammino;  </w:t>
        <w:br/>
        <w:t xml:space="preserve">d) that the documents of the procedure can be viewed at the Agro-food, Pharmaceutical and Transport Directorate of the Directorate General for Competition of this Authority by the legal representatives of the Parties, as well as by persons with a legally relevant interest or by persons delegated by them;  </w:t>
        <w:br/>
        <w:t xml:space="preserve">e) that the procedure must be concluded within forty-five days from the date of resolution of this provision.  </w:t>
        <w:br/>
        <w:t xml:space="preserve">This provision will be notified to the interested parties and published in the Bulletin of the Antitrust Authority.  </w:t>
        <w:br/>
        <w:t xml:space="preserve">THE DEPUTY SECRETARY GENERAL THE PRESIDENT  </w:t>
        <w:br/>
        <w:t>Serena Stella Roberto Rustichelli</w:t>
      </w:r>
    </w:p>
    <w:p>
      <w:r>
        <w:t xml:space="preserve">86 BULLETIN NO. 3 OF JANUARY 17, 2022  </w:t>
        <w:br/>
        <w:t xml:space="preserve">Appendix  </w:t>
        <w:br/>
        <w:t xml:space="preserve">Local markets of specialized retail outlets where significant overlaps between the Parties occur  </w:t>
        <w:br/>
        <w:t xml:space="preserve">Share of  </w:t>
        <w:br/>
        <w:t xml:space="preserve">Share of Share of  </w:t>
        <w:br/>
        <w:t xml:space="preserve">Isochrones built around the outlets Maxi Zoo market  </w:t>
        <w:br/>
        <w:t xml:space="preserve">No. market market  </w:t>
        <w:br/>
        <w:t xml:space="preserve">(address) aggregated  </w:t>
        <w:br/>
        <w:t xml:space="preserve">Arcaplanet MaxiZoo  </w:t>
        <w:br/>
        <w:t xml:space="preserve">Parties  </w:t>
        <w:br/>
        <w:t xml:space="preserve">1 [omitted] (CN) [25-30%] [15-20%] [45-50%]  </w:t>
        <w:br/>
        <w:t xml:space="preserve">2 [omitted] (VB) [45-50%] [5-10%] [55-60%]  </w:t>
        <w:br/>
        <w:t xml:space="preserve">3 [omitted] (TO) [25-30%] [5-10%] [35-40%]  </w:t>
        <w:br/>
        <w:t xml:space="preserve">4 [omitted] (TO) [25-30%] [10-15%] [40-45%]  </w:t>
        <w:br/>
        <w:t xml:space="preserve">5 [omitted] (MI) [25-30%] [10-15%] [35-40%]  </w:t>
        <w:br/>
        <w:t xml:space="preserve">6 [omitted] (MI) [30-35%] [20-25%] [55-60%]  </w:t>
        <w:br/>
        <w:t xml:space="preserve">7 [omitted] (PR) [20-25%] [10-15%] [30-35%]  </w:t>
        <w:br/>
        <w:t xml:space="preserve">8 [omitted] (MI) [20-25%] [15-20%] [35-40%]  </w:t>
        <w:br/>
        <w:t xml:space="preserve">9 [omitted] (SV) [25-30%] [15-20%] [40-45%]  </w:t>
        <w:br/>
        <w:t xml:space="preserve">10 [omitted] (PV) [15-20%] [30-35%] [50-55%]  </w:t>
        <w:br/>
        <w:t xml:space="preserve">11 [omitted] (CO) [25-30%] [20-25%] [50-55%]  </w:t>
        <w:br/>
        <w:t xml:space="preserve">12 [omitted] (CO) [25-30%] [20-25%] [50-55%]  </w:t>
        <w:br/>
        <w:t xml:space="preserve">13 [omitted] (TO) [30-35%] [10-15%] [45-50%]  </w:t>
        <w:br/>
        <w:t xml:space="preserve">14 [omitted] (VC) [20-25%] [30-35%] [50-55%]  </w:t>
        <w:br/>
        <w:t xml:space="preserve">15 [omitted] (SO) [15-20%] [30-35%] [45-50%]  </w:t>
        <w:br/>
        <w:t xml:space="preserve">16 [omitted] (MC) [30-35%] [10-15%] [45-50%]  </w:t>
        <w:br/>
        <w:t xml:space="preserve">17 [omitted] (BS) [10-15%] [35-40%] [50-55%]  </w:t>
        <w:br/>
        <w:t xml:space="preserve">18 [omitted] (MI) [20-25%] [20-25%] [40-45%]  </w:t>
        <w:br/>
        <w:t xml:space="preserve">19 [omitted] (RM) [45-50%] [1-5%] [50-55%]  </w:t>
        <w:br/>
        <w:t xml:space="preserve">20 [omitted] (VA) [30-35%] [10-15%] [45-50%]  </w:t>
        <w:br/>
        <w:t>21 [omitted] (LO) [25-30%] [20-25%] [50-55%]</w:t>
      </w:r>
    </w:p>
    <w:p>
      <w:r>
        <w:rPr>
          <w:b/>
        </w:rPr>
        <w:t>[Pages 85–87]</w:t>
      </w:r>
    </w:p>
    <w:p>
      <w:r>
        <w:t>BULLETIN NO. 3 OF JANUARY 17, 2022 87</w:t>
        <w:br/>
        <w:t>Local markets of specialized retail outlets where significant overlaps between the Parties occur</w:t>
        <w:br/>
        <w:t>Share of</w:t>
        <w:br/>
        <w:t>Share of Share of</w:t>
        <w:br/>
        <w:t>Isochrones built around the pv Maxi Zoo market</w:t>
        <w:br/>
        <w:t>no. market market</w:t>
        <w:br/>
        <w:t>(address) aggregated</w:t>
        <w:br/>
        <w:t>Arcaplanet MaxiZoo</w:t>
        <w:br/>
        <w:t>Parties</w:t>
        <w:br/>
        <w:t>22 [omissis] (MI) [30-35%] [15-20%] [50-55%]</w:t>
        <w:br/>
        <w:t>23 [omissis] (BS) [20-25%] [30-35%] [50-55%]</w:t>
        <w:br/>
        <w:t>24 [omissis] (VI) [1-5%] [55-60%] [60-65%]</w:t>
        <w:br/>
        <w:t>25 [omissis] (BG) [10-15%] [30-35%] [45-50%]</w:t>
        <w:br/>
        <w:t>26 [omissis] (VE) [25-30%] [25-30%] [55-60%]</w:t>
        <w:br/>
        <w:t>27 [omissis] (AL) [30-35%] [15-20%] [50-55%]</w:t>
        <w:br/>
        <w:t>28 [omissis] (MB) [30-35%] [20-25%] [50-55%]</w:t>
        <w:br/>
        <w:t>29 [omissis] (VA) [35-40%] [20-25%] [55-60%]</w:t>
        <w:br/>
        <w:t>30 [omissis] (VE) [10-15%] [20-25%] [35-40%]</w:t>
        <w:br/>
        <w:t>31 [omissis] (MI) [30-35%] [15-20%] [45-50%]</w:t>
        <w:br/>
        <w:t>32 [omissis] (MI) [20-25%] [15-20%] [35-40%]</w:t>
        <w:br/>
        <w:t>33 [omissis] (CR) [40-45%] [10-15%] [50-55%]</w:t>
        <w:br/>
        <w:t>34 [omissis] (FC) [10-15%] [20-25%] [35-40%]</w:t>
        <w:br/>
        <w:t>35 [omissis] (VE) [20-25%] [30-35%] [55-60%]</w:t>
        <w:br/>
        <w:t>36 [omissis] (MI) [25-30%] [15-20%] [45-50%]</w:t>
        <w:br/>
        <w:t>37 [omissis] (VE) [20-25%] [30-35%] [55-60%]</w:t>
        <w:br/>
        <w:t>38 [omissis] (PC) [5-10%] [40-45%] [45-50%]</w:t>
        <w:br/>
        <w:t>39 [omissis] (BG) [10-15%] [30-35%] [45-50%]</w:t>
        <w:br/>
        <w:t>40 [omissis] (VE) [30-35%] [35-40%] [70-75%]</w:t>
        <w:br/>
        <w:t>41 [omissis] (BS) [35-40%] [10-15%] [55-60%]</w:t>
        <w:br/>
        <w:t>42 [omissis] (PD) [15-20%] [30-35%] [50-55%]</w:t>
        <w:br/>
        <w:t>43 [omissis] (LI) [30-35%] [10-15%] [40-45%]</w:t>
        <w:br/>
        <w:t>44 [omissis] (RE) [10-15%] [10-15%] [25-30%]</w:t>
      </w:r>
    </w:p>
    <w:p>
      <w:r>
        <w:t>88 BULLETIN NO. 3 OF JANUARY 17, 2022</w:t>
        <w:br/>
        <w:t>Local markets of specialized retail outlets where significant overlaps between the Parties occur</w:t>
        <w:br/>
        <w:t>Share of</w:t>
        <w:br/>
        <w:t>Share of Share of</w:t>
        <w:br/>
        <w:t>Isochrones built around the pv Maxi Zoo market</w:t>
        <w:br/>
        <w:t>no. market market</w:t>
        <w:br/>
        <w:t>(address) aggregated</w:t>
        <w:br/>
        <w:t>Arcaplanet MaxiZoo</w:t>
        <w:br/>
        <w:t>Parties</w:t>
        <w:br/>
        <w:t>45 [omissis] (VA) [35-40%] [10-15%] [50-55%]</w:t>
        <w:br/>
        <w:t>46 [omissis] (BZ) [15-20%] [25-30%] [40-45%]</w:t>
        <w:br/>
        <w:t>47 [omissis] (VR) [25-30%] [20-25%] [50-55%]</w:t>
        <w:br/>
        <w:t>48 [omissis] (BS) [30-35%] [20-25%] [50-55%]</w:t>
        <w:br/>
        <w:t>49 [omissis] (BG) [10-15%] [30-35%] [45-50%]</w:t>
        <w:br/>
        <w:t>50 [omissis] (MI) [30-35%] [15-20%] [50-55%]</w:t>
        <w:br/>
        <w:t>51 [omissis] (CO) [20-25%] [20-25%] [40-45%]</w:t>
        <w:br/>
        <w:t>52 [omissis] (VI) [10-15%] [30-35%] [45-50%]</w:t>
        <w:br/>
        <w:t>53 [omissis] (MI) [20-25%] [20-25%] [40-45%]</w:t>
        <w:br/>
        <w:t>54 [omissis] (RM) [35-40%] [1-5%] [40-45%]</w:t>
        <w:br/>
        <w:t>55 [omissis] (AT) [40-45%] [5-10%] [50-55%]</w:t>
        <w:br/>
        <w:t>56 [omissis] (FE) [20-25%] [10-15%] [35-40%]</w:t>
        <w:br/>
        <w:t>57 [omissis] (MI) [30-35%] [10-15%] [45-50%]</w:t>
        <w:br/>
        <w:t>58 [omissis] (CO) [25-30%] [25-30%] [50-55%]</w:t>
        <w:br/>
        <w:t>59 [omissis] (BS) [15-20%] [35-40%] [50-55%]</w:t>
        <w:br/>
        <w:t>60 [omissis] (PE) [30-35%] [1-5%] [35-40%]</w:t>
        <w:br/>
        <w:t>61 [omissis] (UD) [35-40%] [10-15%] [50-55%]</w:t>
        <w:br/>
        <w:t>62 [omissis] (VE) [25-30%] [20-25%] [45-50%]</w:t>
        <w:br/>
        <w:t>63 [omissis] (VI) [1-5%] [40-45%] [45-50%]</w:t>
        <w:br/>
        <w:t>64 [omissis] (MI) [30-35%] [15-20%] [50-55%]</w:t>
        <w:br/>
        <w:t>65 [omissis] (GE) [40-45%] [1-5%] [40-45%]</w:t>
        <w:br/>
        <w:t>66 [omissis] (PD) [20-25%] [15-20%] [40-45%]</w:t>
        <w:br/>
        <w:t>67 [omissis] (BS) [25-30%] [20-25%] [50-55%]</w:t>
      </w:r>
    </w:p>
    <w:p>
      <w:r>
        <w:t>BULLETIN NO. 3 OF JANUARY 17, 2022 89</w:t>
        <w:br/>
        <w:t>Local markets of specialized retail outlets where significant overlaps between the Parties occur</w:t>
        <w:br/>
        <w:t>Share of</w:t>
        <w:br/>
        <w:t>Share of Share of</w:t>
        <w:br/>
        <w:t>Isochrones built around the pv Maxi Zoo market</w:t>
        <w:br/>
        <w:t>no. market market</w:t>
        <w:br/>
        <w:t>(address) aggregated</w:t>
        <w:br/>
        <w:t>Arcaplanet MaxiZoo</w:t>
        <w:br/>
        <w:t>Parties</w:t>
        <w:br/>
        <w:t>68 [omissis] (VR) [25-30%] [30-35%] [55-60%]</w:t>
        <w:br/>
        <w:t>69 [omissis] (AP) [35-40%] [10-15%] [45-50%]</w:t>
        <w:br/>
        <w:t>70 [omissis] (MI) [20-25%] [20-25%] [40-45%]</w:t>
        <w:br/>
        <w:t>71 [omissis] (MN) [25-30%] [20-25%] [50-55%]</w:t>
        <w:br/>
        <w:t>72 [omissis] (PN) [20-25%] [30-35%] [50-55%]</w:t>
        <w:br/>
        <w:t>73 [omissis] (RM) [45-50%] [5-10%] [50-55%]</w:t>
        <w:br/>
        <w:t>74 [omissis] (BG) [10-15%] [30-35%] [45-50%]</w:t>
        <w:br/>
        <w:t>75 [omissis] (TS) [10-15%] [15-20%] [30-35%]</w:t>
        <w:br/>
        <w:t>76 [omissis] (BG) [15-20%] [30-35%] [45-50%]</w:t>
        <w:br/>
        <w:t>77 [omissis] (BS) [30-35%] [20-25%] [50-55%]</w:t>
        <w:br/>
        <w:t>78 [omissis] (CO) [35-40%] [15-20%] [55-60%]</w:t>
        <w:br/>
        <w:t>79 [omissis] (BG) [15-20%] [30-35%] [45-50%]</w:t>
        <w:br/>
        <w:t>80 [omissis] (AL) [30-35%] [15-20%] [50-55%]</w:t>
        <w:br/>
        <w:t>81 [omissis] (PR) [10-15%] [15-20%] [30-35%]</w:t>
        <w:br/>
        <w:t>82 [omissis] (VA) [35-40%] [5-10%] [40-45%]</w:t>
        <w:br/>
        <w:t>83 [omissis] (NO) [30-35%] [15-20%] [45-50%]</w:t>
        <w:br/>
        <w:t>84 [omissis] (NO) [50-55%] [20-25%] [70-75%]</w:t>
        <w:br/>
        <w:t>85 [omissis] (PR) [20-25%] [10-15%] [30-35%]</w:t>
        <w:br/>
        <w:t>86 [omissis] (GO) [20-25%] [30-35%] [50-55%]</w:t>
        <w:br/>
        <w:t>87 [omissis] (VR) [30-35%] [30-35%] [60-65%]</w:t>
        <w:br/>
        <w:t>88 [omissis] (MI) [30-35%] [20-25%] [55-60%]</w:t>
        <w:br/>
        <w:t>89 [omissis] (MI) [30-35%] [20-25%] [50-55%]</w:t>
        <w:br/>
        <w:t>90 [omissis] (BG) [25-30%] [10-15%] [40-45%]</w:t>
      </w:r>
    </w:p>
    <w:p>
      <w:r>
        <w:rPr>
          <w:b/>
        </w:rPr>
        <w:t>[Pages 88–90]</w:t>
      </w:r>
    </w:p>
    <w:p>
      <w:r>
        <w:t xml:space="preserve">90 BULLETIN NO. 3 OF JANUARY 17, 2022  </w:t>
        <w:br/>
        <w:t xml:space="preserve">Local markets of specialized retail outlets where significant overlaps between the Parties occur  </w:t>
        <w:br/>
        <w:t xml:space="preserve">Share of  </w:t>
        <w:br/>
        <w:t xml:space="preserve">Share of Share of  </w:t>
        <w:br/>
        <w:t xml:space="preserve">Isochrones built around the pv Maxi Zoo market  </w:t>
        <w:br/>
        <w:t xml:space="preserve">No. market market  </w:t>
        <w:br/>
        <w:t xml:space="preserve">(address) aggregated  </w:t>
        <w:br/>
        <w:t xml:space="preserve">Arcaplanet MaxiZoo  </w:t>
        <w:br/>
        <w:t xml:space="preserve">Parties  </w:t>
        <w:br/>
        <w:t xml:space="preserve">91 [omissis] (BG) [30-35%] [20-25%] [55-60%]  </w:t>
        <w:br/>
        <w:t xml:space="preserve">92 [omissis] (TV) [10-15%] [30-35%] [45-50%]  </w:t>
        <w:br/>
        <w:t xml:space="preserve">93 [omissis] (PV) [25-30%] [20-25%] [45-50%]  </w:t>
        <w:br/>
        <w:t xml:space="preserve">94 [omissis] (TO) [35-40%] [5-10%] [45-50%]  </w:t>
        <w:br/>
        <w:t xml:space="preserve">95 [omissis] (MB) [25-30%] [20-25%] [50-55%]  </w:t>
        <w:br/>
        <w:t xml:space="preserve">96 [omissis] (PN) [5-10%] [55-60%] [65-70%]  </w:t>
        <w:br/>
        <w:t xml:space="preserve">97 [omissis] (TV) [20-25%] [25-30%] [50-55%]  </w:t>
        <w:br/>
        <w:t xml:space="preserve">98 [omissis] (MI) [25-30%] [15-20%] [45-50%]  </w:t>
        <w:br/>
        <w:t xml:space="preserve">99 [omissis] (TO) [35-40%] [5-10%] [45-50%]  </w:t>
        <w:br/>
        <w:t xml:space="preserve">100 [omissis] (FI) [30-35%] [5-10%] [35-40%]  </w:t>
        <w:br/>
        <w:t xml:space="preserve">101 [omissis] (VR) [35-40%] [25-30%] [60-65%]  </w:t>
        <w:br/>
        <w:t xml:space="preserve">102 [omissis] (MB) [25-30%] [25-30%] [50-55%]  </w:t>
        <w:br/>
        <w:t xml:space="preserve">103 [omissis] (LC) [35-40%] [15-20%] [50-55%]  </w:t>
        <w:br/>
        <w:t xml:space="preserve">104 [omissis] (BS) [20-25%] [45-50%] [65-70%]  </w:t>
        <w:br/>
        <w:t xml:space="preserve">105 [omissis] (MI) [25-30%] [10-15%] [40-45%]  </w:t>
        <w:br/>
        <w:t xml:space="preserve">106 [omissis] (PV) [5-10%] [40-45%] [50-55%]  </w:t>
        <w:br/>
        <w:t xml:space="preserve">107 [omissis] (MB) [15-20%] [30-35%] [50-55%]  </w:t>
        <w:br/>
        <w:t xml:space="preserve">108 [omissis] (BZ) [10-15%] [15-20%] [30-35%]  </w:t>
        <w:br/>
        <w:t xml:space="preserve">109 [omissis] (VI) [10-15%] [30-35%] [40-45%]  </w:t>
        <w:br/>
        <w:t xml:space="preserve">110 [omissis] (TV) [20-25%] [45-50%] [65-70%]  </w:t>
        <w:br/>
        <w:t xml:space="preserve">111 [omissis] (MI) [25-30%] [20-25%] [45-50%]  </w:t>
        <w:br/>
        <w:t xml:space="preserve">112 [omissis] (TO) [40-45%] [20-25%] [60-65%]  </w:t>
        <w:br/>
        <w:t>113 [omissis] (MB) [25-30%] [25-30%] [50-55%]</w:t>
      </w:r>
    </w:p>
    <w:p>
      <w:r>
        <w:t xml:space="preserve">BULLETIN NO. 3 OF JANUARY 17, 2022 91  </w:t>
        <w:br/>
        <w:t xml:space="preserve">Local markets of specialized retail outlets where significant overlaps between the Parties occur  </w:t>
        <w:br/>
        <w:t xml:space="preserve">Share of  </w:t>
        <w:br/>
        <w:t xml:space="preserve">Share of Share of  </w:t>
        <w:br/>
        <w:t xml:space="preserve">Isochrones built around the pv Maxi Zoo market  </w:t>
        <w:br/>
        <w:t xml:space="preserve">No. market market  </w:t>
        <w:br/>
        <w:t xml:space="preserve">(address) aggregated  </w:t>
        <w:br/>
        <w:t xml:space="preserve">Arcaplanet MaxiZoo  </w:t>
        <w:br/>
        <w:t xml:space="preserve">Parties  </w:t>
        <w:br/>
        <w:t xml:space="preserve">114 [omissis] (VA) [35-40%] [20-25%] [55-60%]  </w:t>
        <w:br/>
        <w:t xml:space="preserve">115 [omissis] (MI) [25-30%] [15-20%] [40-45%]  </w:t>
        <w:br/>
        <w:t xml:space="preserve">116 [omissis] (BG) [5-10%] [40-45%] [50-55%]  </w:t>
        <w:br/>
        <w:t xml:space="preserve">117 [omissis] (VA) [25-30%] [20-25%] [45-50%]  </w:t>
        <w:br/>
        <w:t xml:space="preserve">118 [omissis] (TO) [30-35%] [5-10%] [40-45%]  </w:t>
        <w:br/>
        <w:t xml:space="preserve">119 [omissis] (TV) [30-35%] [15-20%] [45-50%]  </w:t>
        <w:br/>
        <w:t xml:space="preserve">120 [omissis] (VI) [1-5%] [15-20%] [45-50%]  </w:t>
        <w:br/>
        <w:t xml:space="preserve">121 [omissis] (MI) [25-30%] [15-20%] [45-50%]  </w:t>
        <w:br/>
        <w:t xml:space="preserve">122 [omissis] (TV) [15-20%] [15-20%] [60-65%]  </w:t>
        <w:br/>
        <w:t xml:space="preserve">123 [omissis] (VR) [15-20%] [25-30%] [40-45%]  </w:t>
        <w:br/>
        <w:t>Source: AGCM processing on data from the Parties.</w:t>
      </w:r>
    </w:p>
    <w:p>
      <w:r>
        <w:t xml:space="preserve">92 BULLETIN NO. 3 OF JANUARY 17, 2022  </w:t>
        <w:br/>
        <w:t xml:space="preserve">UNFAIR COMMERCIAL PRACTICES  </w:t>
        <w:br/>
        <w:t xml:space="preserve">PS11681 - WIPOT-BULLETINS TRADEMARK PROTECTION SERVICE  </w:t>
        <w:br/>
        <w:t xml:space="preserve">Notice of adoption of the closure of the proceedings  </w:t>
        <w:br/>
        <w:t xml:space="preserve">ANTITRUST AUTHORITY  </w:t>
        <w:br/>
        <w:t xml:space="preserve">Notice of adoption of the closure of the proceedings, pursuant to Article 19, paragraph 2, of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 in relation to the proceedings PS11681 – Wipot - Bulletins trademark protection service.  </w:t>
        <w:br/>
        <w:t xml:space="preserve">The publication of this notice in the weekly Bulletin of the Antitrust Authority, followed by the closure of the proceedings with which the unfairness of the commercial practice was determined, is carried out pursuant to and for the effects of Article 19, paragraph 2 of the Regulation, given the unsuccessful outcome of the attempt to transmit the same closure of the proceedings, carried out through the Ministry of Justice on August 6, 2021, prot. no. 0064868, and the reminder sent by the same Ministry to the Serbian authorities on December 3, 2021 (see prot. 90701 of 6/12/2021).  </w:t>
        <w:br/>
        <w:t>For any communication addressed to the Authority regarding the case in question, please refer to Direction C of the General Directorate for Consumer Protection and the reference PS11681. Information regarding the payment methods for fines is provided in the "payment of fines" section of the Authority's website (www.agcm.it).</w:t>
      </w:r>
    </w:p>
    <w:p>
      <w:r>
        <w:rPr>
          <w:b/>
        </w:rPr>
        <w:t>[Pages 91–93]</w:t>
      </w:r>
    </w:p>
    <w:p>
      <w:r>
        <w:t>BULLETIN NO. 3 OF JANUARY 17, 2022 93</w:t>
      </w:r>
    </w:p>
    <w:p>
      <w:r>
        <w:t>PS11681 - WIPOT-BULLETINS TRADEMARK PROTECTION SERVICE</w:t>
      </w:r>
    </w:p>
    <w:p>
      <w:r>
        <w:t>Provision No. 29804</w:t>
      </w:r>
    </w:p>
    <w:p>
      <w:r>
        <w:t>THE ANTITRUST AUTHORITY</w:t>
      </w:r>
    </w:p>
    <w:p>
      <w:r>
        <w:t>IN ITS MEETING of August 3, 2021;</w:t>
      </w:r>
    </w:p>
    <w:p>
      <w:r>
        <w:t>HEARD the Rapporteur, President Roberto Rustichelli;</w:t>
      </w:r>
    </w:p>
    <w:p>
      <w:r>
        <w:t>HAVING REGARD to Part II, Title III of Legislative Decree No. 206 of September 6, 2005, containing the "Consumer Code" and subsequent amendments (hereinafter, Consumer Code);</w:t>
      </w:r>
    </w:p>
    <w:p>
      <w: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r>
    </w:p>
    <w:p>
      <w:r>
        <w:t>HAVING REGARD to the acts of the proceedings;</w:t>
      </w:r>
    </w:p>
    <w:p>
      <w:r>
        <w:t>I. THE PARTY</w:t>
      </w:r>
    </w:p>
    <w:p>
      <w:r>
        <w:t>1. WIPOT d.o.o. (hereinafter also WIPOT) as a professional, pursuant to Article 18, paragraph 1, letter b), of the Consumer Code. The company WIPOT, based in Serbia, manages a paid "database" consisting of an integrated system of information from national, community, and international registers accessible to the public.</w:t>
      </w:r>
    </w:p>
    <w:p>
      <w:r>
        <w:t>II. THE CONDUCT SUBJECT TO THE PROCEEDINGS</w:t>
      </w:r>
    </w:p>
    <w:p>
      <w:r>
        <w:t>2. The proceedings concern the conduct carried out by the professional consisting of (i) sending to Italian companies and micro-enterprises a communication whose graphic design and related content appear suitable to induce the recipients to believe, contrary to the truth, that it comes from an institutionally designated entity to manage a public register of intellectual property rights, concealing from the recipients the exclusively commercial nature of the initiative, the identity of the professional, the nature and characteristics of the service offered; (ii) the immediate request for payment contained in the aforementioned communication, for an amount of 949 euros, for an unsolicited service.</w:t>
      </w:r>
    </w:p>
    <w:p>
      <w:r>
        <w:t>III. THE OUTCOMES OF THE PROCEEDINGS</w:t>
      </w:r>
    </w:p>
    <w:p>
      <w:r>
        <w:t>1) The course of the proceedings</w:t>
      </w:r>
    </w:p>
    <w:p>
      <w:r>
        <w:t>3. In relation to the conduct described above, with act of October 23, 20201, the party was notified of the initiation of investigative proceedings No. PS11681, for alleged violation of Articles 21, 22, and 26, paragraph 1, letter f), of the Consumer Code. In this context, the misleading nature of the conduct in question was hypothesized, considering that the communications sent by the professional concealed the purely commercial nature of the initiative, the real nature and characteristics of the service offered as well as the identity of the professional itself, leading the micro-enterprise recipients to believe that the communication came from entities (such as WIPO, EUIPO, EPO, UIBM) legally designated to maintain a public register of trademarks and patents and that the requested payment constituted a mandatory fulfillment. It was also hypothesized that the aforementioned conduct constituted a case of aggressive commercial practice per se pursuant to Article 26, paragraph 1, letter f), of the Consumer Code, given that through the aforementioned methods an immediate request for payment for an unsolicited service is determined.</w:t>
      </w:r>
    </w:p>
    <w:p>
      <w:r>
        <w:t>4. With communication of April 23, 20212, the date of conclusion of the investigative phase was communicated to the professional, pursuant to Article 16, paragraph 1, of the Regulation.</w:t>
      </w:r>
    </w:p>
    <w:p>
      <w:r>
        <w:t>5. WIPOT did not request access to the acts of the proceedings nor to be heard in a hearing.</w:t>
      </w:r>
    </w:p>
    <w:p>
      <w:r>
        <w:t>2) The evidence acquired</w:t>
      </w:r>
    </w:p>
    <w:p>
      <w:r>
        <w:t>6. Based on reports received from qualified reporters3 and micro-enterprises from March 2019 to March 2021, as well as in light of the elements acquired during the investigation, it emerged that WIPOT sent by ordinary mail, to companies and micro-enterprises located throughout the national territory, a form through which it requested payment of an amount equal to 949 euros.</w:t>
      </w:r>
    </w:p>
    <w:p>
      <w:r>
        <w:t>7. In particular, at the top of the aforementioned form, the logo "wipot" and the wording "Trademark Protection" are prominently displayed. Further down, a series of information apparently related to the trademark of the company or entity receiving the communication is provided, consisting in particular of: i) "reference number"; ii) "publication date"; iii) "publication number"; iv) "international class". Below this information, centered, the registered trademark of the recipient of the communication is reproduced.</w:t>
      </w:r>
    </w:p>
    <w:p>
      <w:r>
        <w:t>8. In the central part of the form in question, there is a table with the wording "Payment Details," indicating an amount corresponding to the cost of the service, equal to 949 euros. The service is defined as "trademark monitoring service." Following this, the following items are also indicated: "additional fee," "value-added tax," and finally, "total amount" with the repetition of the overall cost of the service of 949 euros.</w:t>
      </w:r>
    </w:p>
    <w:p>
      <w:r>
        <w:t>9. Also in the central section of the form, after the wording "payment method," the elements to proceed with payment by bank transfer or, alternatively, by check are indicated. In some cases, in a special box, with larger characters, in bold and with significant prominence, the indication "Please pay the above amount within 7 days by bank transfer or by means of a payment slip!"4 is included. Following this is the indication "please do not forget to indicate the reference number" followed by the specific number corresponding to the number indicated at the top after the definition "reference number."</w:t>
      </w:r>
    </w:p>
    <w:p>
      <w:r>
        <w:t>2 Communication of conclusion of the investigative phase of April 23, 2021, prot. 39959, published in Bulletin No. 27 of July 5, 2021.</w:t>
      </w:r>
    </w:p>
    <w:p>
      <w:r>
        <w:t>3 University of Naples "L'Orientale," Liguria Region, Chamber of Commerce of Biella and Vercelli.</w:t>
      </w:r>
    </w:p>
    <w:p>
      <w:r>
        <w:t>4 In bold in the text.</w:t>
      </w:r>
    </w:p>
    <w:p>
      <w:r>
        <w:t>BULLETIN NO. 3 OF JANUARY 17, 2022 95</w:t>
      </w:r>
    </w:p>
    <w:p>
      <w:r>
        <w:t>The form always expressly indicates WIPOT d.o.o. as the beneficiary of the requested payment.</w:t>
      </w:r>
    </w:p>
    <w:p>
      <w:r>
        <w:t>10. Only further down, at the bottom of the form in question, in a separate paragraph, with small and difficult-to-read characters, is indicated the content of the proposed service, which would consist of a trademark protection service suitable to prevent copyright infringement. The service is presented in the following terms: "Dear Sir/Madam. The publication of the public registration of your trademark is the basis of our offer. We offer our trademark protection service that prevents your trademark from copyright infringement. Therefore, you will receive timely reports on new trademark applications published in key markets to discover potential conflicts with your trademark. Our offer will be accepted with the payment of the total deposit fee and will become a legally binding contract between you and WIPOT d.o.o. Please note that this service has no connection with the publication of official registrations and is not a registration by a government organization. This offer is not an invoice but a solicitation without obligation to pay, unless our offer is accepted. All further details are indicated in our general contract terms and commercial conditions on the back or on our website. For further information, please contact us at info@wipot.eu or support@wipot.eu."5.</w:t>
      </w:r>
    </w:p>
    <w:p>
      <w:r>
        <w:t>11. From information acquired ex officio6, it also emerged that the official websites of WIPO - World Intellectual Property Organization and EUIPO - European Union Intellectual Property Office list WIPOT among the companies that send misleading communications and invoices to companies filing trademark and patent registration applications with public registers7. These organizations also provide examples of misleading forms8, which appear similar to those attached to the reports. In them, payment of an amount higher than that indicated in the reports, equal to 1,710 euros for the provision of the service offered by WIPOT "up to 2025"9 is sometimes requested. The webpage dedicated to intellectual property protection on the official website of the British government also lists WIPOT, starting from October 2020, among the companies that send misleading communications and illegal payment requests to companies filing trademark and patent registration applications with public registers10.</w:t>
      </w:r>
    </w:p>
    <w:p>
      <w:r>
        <w:t>12. Some Italian Chambers of Commerce also report on their websites warnings regarding the misleading nature of WIPOT's communications11.</w:t>
      </w:r>
    </w:p>
    <w:p>
      <w:r>
        <w:rPr>
          <w:b/>
        </w:rPr>
        <w:t>[Pages 94–96]</w:t>
      </w:r>
    </w:p>
    <w:p>
      <w:r>
        <w:t>96 BULLETIN NO. 3 OF JANUARY 17, 2022</w:t>
      </w:r>
    </w:p>
    <w:p>
      <w:r>
        <w:t>3) The defensive arguments of the party</w:t>
      </w:r>
    </w:p>
    <w:p>
      <w:r>
        <w:t>13. Following the initiation of the proceedings and the communication regarding the conclusion of the investigative phase, the professional did not submit any defensive memorandum.</w:t>
      </w:r>
    </w:p>
    <w:p>
      <w:r>
        <w:t>IV. CONCLUSIVE ASSESSMENTS</w:t>
      </w:r>
    </w:p>
    <w:p>
      <w:r>
        <w:t>14. As a preliminary point, it is noted that the practice under examination is capable of prejudicing the economic behavior of small and medium-sized enterprises, including micro-enterprises, as the analysis of the documentation on record shows that this commercial practice particularly involved micro-enterprises that have the characteristics referred to in Article 18, paragraph 1, letter d-bis, of the Consumer Code.</w:t>
      </w:r>
    </w:p>
    <w:p>
      <w:r>
        <w:t>15. According to what emerged from the proceedings, the communication sent by WIPOT is in its entirety structured in such a way as to appear to come from entities legally authorized to maintain a public register of business data (such as WIPO, EUIPO, EPO, UIBM), implying to the recipient companies that the payment of the requested amount constitutes, contrary to the truth, a mandatory obligation.</w:t>
      </w:r>
    </w:p>
    <w:p>
      <w:r>
        <w:t>16. In particular, the very name WIPOT that appears at the top of the form in question recalls that of WIPO - World Intellectual Property Organization, an intergovernmental agency institutionally tasked with the protection and development of intellectual property rights at the international level. The form also includes the image of the registered trademark of the company receiving the communication sent by the professional, as well as data apparently related to the registration of that trademark, further reinforcing the erroneous belief that the communication comes from an entity legally entitled to protect trademarks.</w:t>
      </w:r>
    </w:p>
    <w:p>
      <w:r>
        <w:t>17. In this context, the motivation for the requested payment ("charge for trademark monitoring service") and the categorical nature of the invitation to make the payment, highlighted in bold in a box and with larger font size ("Please pay the above amount within 7 days by bank transfer or via payment slip!") suggest that it is a mandatory obligation related to the registration of the trademark. The actual intent of sending the form, namely the commercial offer of an IT service proposed by WIPOT at the price of 949 euros, thus appears marginalized at the bottom of the form in question, in a separate paragraph and with nearly imperceptible graphic characters.</w:t>
      </w:r>
    </w:p>
    <w:p>
      <w:r>
        <w:t>18. The graphic design and the content of the communication as a whole thus appear capable of inducing the recipient companies to believe, contrary to the truth, that the form in question was sent by an entity institutionally tasked with managing a public register of intellectual property rights, effectively concealing from the recipients the exclusively commercial nature of the initiative, as well as the identity of the professional, the nature and characteristics of the service offered, in violation of Articles 21 and 22 of the Consumer Code.</w:t>
      </w:r>
    </w:p>
    <w:p>
      <w:r>
        <w:t>19. The deceptive capacity of such communication is also evidenced by the same warnings disseminated by WIPO, EUIPO, the official website of the British government, and some Italian Chambers of Commerce to signal the misleading nature of WIPOT's communications.</w:t>
      </w:r>
    </w:p>
    <w:p>
      <w:r>
        <w:t>20. The aforementioned misleading characteristics of the communication and, in particular, the peremptory nature of the invitation to make the requested payment, also lead the recipients to believe that the requested payment is a necessary obligation to avoid potential legal consequences related to non-compliance, thereby resulting in an immediate request for payment for an unsolicited service, in violation of Article 26, paragraph 1, letter f), of the Consumer Code.</w:t>
      </w:r>
    </w:p>
    <w:p>
      <w:r>
        <w:t>21. For the reasons previously illustrated, the conduct carried out by the professional constitutes an unfair commercial practice in violation of Articles 21, 22, and 26, paragraph 1, letter f), of the Consumer Code, as it is capable of misleading the recipient companies and micro-enterprises regarding the true identity of the advertising operator and the nature of the advertising service, leading them to unwittingly accept the offer of an unsolicited service and unduly conditioning their decision-making process.</w:t>
      </w:r>
    </w:p>
    <w:p>
      <w:r>
        <w:t>V. QUANTIFICATION OF THE SANCTION</w:t>
      </w:r>
    </w:p>
    <w:p>
      <w:r>
        <w:t>22. Pursuant to Article 27, paragraph 9, of the Consumer Code, with the provision that prohibits an unfair commercial practice, the Authority orders the application of an administrative pecuniary sanction from 5,000 to 5,000,000 euros, taking into account the severity and duration of the violation.</w:t>
      </w:r>
    </w:p>
    <w:p>
      <w:r>
        <w:t>23. Regarding the quantification of the sanction, the criteria identified by Article 11 of Law No. 689/81 must be considered, as applicable, by virtue of the reference provided in Article 27, paragraph 13, of the Consumer Code: in particular, the severity of the violation, the actions taken by the company to eliminate or mitigate the infringement, the personality of the agent, as well as the economic conditions of the company itself.</w:t>
      </w:r>
    </w:p>
    <w:p>
      <w:r>
        <w:t>24. There is no data regarding the economic size of the professional, as WIPOT, despite repeated requests, has not provided any accounting data related to its activity.</w:t>
      </w:r>
    </w:p>
    <w:p>
      <w:r>
        <w:t>25. With regard to the severity of the violation, in this case, it is necessary to take into account the particular insidiousness of WIPOT's communications, capable of misleading the recipients on elements of fundamental importance for their purchasing choices such as the identity of the professional, the nature and purpose of the communication itself, as well as unduly conditioning them by demanding immediate payment for an unsolicited service. It is also taken into account, on one hand, that the dissemination of such behaviors occurred throughout the national territory in particularly incisive ways (postal communications capable of directly and personally reaching the recipients); and, on the other hand, the extent of the economic harm caused, considering that the requested expenditure appears significant for the micro-enterprises involved in the commercial practice.</w:t>
      </w:r>
    </w:p>
    <w:p>
      <w:r>
        <w:t>26. Regarding the duration of the violation, from the elements available in the records, it appears that the conduct in question has been carried out since March 2019 and at least until April 2021.</w:t>
      </w:r>
    </w:p>
    <w:p>
      <w:r>
        <w:t>27. Based on these elements, it is deemed appropriate to determine the amount of the administrative pecuniary sanction applicable to WIPOT d.o.o. in the amount of €700,000 (seven hundred thousand euros).</w:t>
      </w:r>
    </w:p>
    <w:p>
      <w:r>
        <w:t>CONSIDERED, therefore, based on the above considerations, that the conduct in question constitutes an unfair commercial practice pursuant to Articles 21, 22, and 26, paragraph 1, letter f), of the Consumer Code, as it is capable of appreciably distorting the economic behavior of micro-enterprises by presenting its commercial offer as a payment request coming from an entity institutionally tasked with the protection of intellectual property rights in relation to the trademark registration carried out by the recipient;</w:t>
      </w:r>
    </w:p>
    <w:p>
      <w:r>
        <w:t>RESOLVES</w:t>
      </w:r>
    </w:p>
    <w:p>
      <w:r>
        <w:t>a) that the conduct described in point II of this provision carried out by WIPOT d.o.o. constitutes, for the reasons and within the limits set forth in the motivation, an unfair commercial practice pursuant to Articles 21, 22, and 26, paragraph 1, letter f), of the Consumer Code;</w:t>
      </w:r>
    </w:p>
    <w:p>
      <w:r>
        <w:t>b) to impose on WIPOT d.o.o. an administrative pecuniary sanction of €700,000 (seven hundred thousand euros);</w:t>
      </w:r>
    </w:p>
    <w:p>
      <w:r>
        <w:t>c) that the professional communicates to the Authority, within sixty days from the notification of this provision, the initiatives taken in compliance with the injunction referred to in point a).</w:t>
      </w:r>
    </w:p>
    <w:p>
      <w:r>
        <w:t>The administrative sanctions imposed must be paid within thirty days from the notification of this provision, by bank transfer (in euros) to the Treasury, using the IBAN code IT04A0100003245348018359214 (BIC code: BITAITRRENT), which corresponds to the accounting number 18/3592/14.</w:t>
      </w:r>
    </w:p>
    <w:p>
      <w:r>
        <w:t>After the aforementioned deadline, for the period of delay of less than six months, late interest must be paid at the legal rate starting from the day following the expiration of the payment deadline until the date of payment. In case of further delay in compliance, pursuant to Article 27, paragraph 6, of Law No. 689/81, the amount due for the imposed sanction is increased by one-tenth for each semester starting from the day following the expiration of the payment deadline until the role is transmitted to the collector for collection; in this case, the increase absorbs the late interest accrued in the same period. Immediate communication of the payment must be given to the Authority through the submission of documentation certifying the payment made.</w:t>
      </w:r>
    </w:p>
    <w:p>
      <w:r>
        <w:t>This provision will be notified to the interested parties and published in the Bulletin of the Antitrust Authority.</w:t>
      </w:r>
    </w:p>
    <w:p>
      <w:r>
        <w:t>Pursuant to Article 27, paragraph 12, of the Consumer Code, in case of non-compliance with the provision, the Authority applies an administrative pecuniary sanction from 10,000 to 5,000,000 euros. In cases of repeated non-compliance, the Authority may order the suspension of business activity for a period not exceeding thirty days.</w:t>
      </w:r>
    </w:p>
    <w:p>
      <w:r>
        <w:t>Against this provision, an appeal may be filed with the TAR of Lazio, pursuant to Article 135, paragraph 1, letter b), of the Code of Administrative Procedure (Legislative Decree No. 2</w:t>
      </w:r>
    </w:p>
    <w:p>
      <w:r>
        <w:rPr>
          <w:b/>
        </w:rPr>
        <w:t>[Pages 97–99]</w:t>
      </w:r>
    </w:p>
    <w:p>
      <w:r>
        <w:t>BULLETIN NO. 3 OF JANUARY 17, 2022 99</w:t>
        <w:br/>
        <w:t>July 2, 2010, n. 104), within sixty days from the date of notification of the provision itself, without prejudice to the longer terms referred to in Article 41, paragraph 5, of the Code of Administrative Procedure, or an extraordinary appeal may be filed with the President of the Republic, pursuant to Article 8 of the Decree of the President of the Republic of November 24, 1971, n. 1199, within one hundred and twenty days from the date of notification of the provision itself.</w:t>
        <w:br/>
        <w:t>THE SECRETARY GENERAL THE PRESIDENT</w:t>
        <w:br/>
        <w:t>Filippo Arena Roberto Rustichelli</w:t>
      </w:r>
    </w:p>
    <w:p>
      <w:r>
        <w:t>100 BULLETIN NO. 3 OF JANUARY 17, 2022</w:t>
        <w:br/>
        <w:t>PS11885 - COMMERCIAL GUIDE EXPOGUIDE</w:t>
        <w:br/>
        <w:t>Notice of adoption of the closure of the proceedings</w:t>
        <w:br/>
        <w:t>ANTITRUST AUTHORITY</w:t>
        <w:br/>
        <w:t>Notice of adoption of the closure of the proceedings, pursuant to Article 19, paragraph 2, of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 in relation to the proceedings PS11885 – Commercial Guide Expoguide.</w:t>
        <w:br/>
        <w:t>The publication of this notice in the weekly Bulletin of the Antitrust Authority, followed by the provision for the closure of the proceedings which declared the unfairness of the commercial practice, is carried out pursuant to and for the effects of Article 19, paragraph 2 of the Regulation, given the failure of the attempt to transmit the same closure provision to Inversiones DGSM srl, carried out on October 14, 2021, prot. 0078475, via international courier1 and the unsuccessful outcome of the attempt to transmit the same provision to C.L. Business Conflict Solutions Management Ltd.2, carried out through the Embassy of Italy in Nicosia (Republic of Cyprus) on October 14, 2021, prot. n. 0078498.</w:t>
        <w:br/>
        <w:t>For any communication addressed to the Authority regarding the case in question, please refer to Directorate C of the Directorate General for Consumer Protection and the reference PS11885. Information regarding the payment methods for penalties is provided in the "payment of penalties" section of the Authority's website (www.agcm.it).</w:t>
        <w:br/>
        <w:t>1 See communication received on 10/25/2021, prot. 0080991.</w:t>
        <w:br/>
        <w:t>2 The attempt to transmit the same provision to Credit Intelligence kft. appears to have been successful.</w:t>
      </w:r>
    </w:p>
    <w:p>
      <w:r>
        <w:t>BULLETIN NO. 3 OF JANUARY 17, 2022 101</w:t>
        <w:br/>
        <w:t>PS11885 - COMMERCIAL GUIDE EXPOGUIDE</w:t>
        <w:br/>
        <w:t>Provision No. 29833</w:t>
        <w:br/>
        <w:t>THE ANTITRUST AUTHORITY</w:t>
        <w:br/>
        <w:t>IN ITS MEETING of September 21, 2021;</w:t>
        <w:br/>
        <w:t>HEARD the Rapporteur Professor Michele Ainis;</w:t>
        <w:br/>
        <w:t>HAVING REGARD to Part II, Title III of Legislative Decree No. 206 of September 6, 2005, containing the "Consumer Code" and subsequent amendments (hereinafter, Consumer Code);</w:t>
        <w:b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br/>
        <w:t>HAVING REGARD to its provision of December 22, 2020, with which the adoption of the precautionary measure was decided ex officio pursuant to Article 27, paragraph 3, of the Consumer Code against the companies INVERSIONES DGSM S.r.l. and C.L. BUSINESS CONFLICT SOLUTIONS MANAGEMENT Ltd., as well as the subsequent provisions of February 16 and April 13, 2021, with which the confirmation of such precautionary measure was decided against, respectively, C.L. BUSINESS CONFLICT SOLUTIONS MANAGEMENT Ltd. and INVERSIONES DGSM S.r.l., pursuant to Article 27, paragraph 3, of the Consumer Code;</w:t>
        <w:br/>
        <w:t>HAVING REGARD to its provisions of July 1 and July 27, 2021, with which, pursuant to Article 7, paragraph 3, of the Regulation, the deadline for concluding the proceedings was extended, to ensure the full exercise of the right of defense of the parties;</w:t>
        <w:br/>
        <w:t>HAVING REGARD to the acts of the proceedings;</w:t>
        <w:br/>
        <w:t>I. THE PARTIES</w:t>
        <w:br/>
        <w:t>1. INVERSIONES DGSM S.r.l. (hereinafter also INVERSIONES) as a professional, pursuant to Article 18, letter b), of the Consumer Code. The company, based in Costa Rica, is active in the field of online database management and is currently the publisher1 of the website http://www.expo-guide.com and the "Expo Guide," an activity in which it has taken over from Expo Guide S.C.</w:t>
        <w:br/>
        <w:t>2. CREDIT INTELLIGENCE Kft (hereinafter also CREDIT INTELLIGENCE) as a professional, pursuant to Article 18, letter b), of the Consumer Code. The company, based in Budapest (Hungary), provides business consulting services and acts as the beneficiary of payments related to advertisements published in the "Expo Guide" database.</w:t>
        <w:br/>
        <w:t xml:space="preserve">3. C.L. BUSINESS CONFLICT SOLUTIONS MANAGEMENT Ltd (hereinafter also CLBCS) as a professional, pursuant to Article 18, letter b), of the Consumer Code. The company, based in </w:t>
        <w:br/>
        <w:t>1 See the webpage http://www.expo-guide.com/imprint.php, recorded ex officio on November 9, 2020.</w:t>
      </w:r>
    </w:p>
    <w:p>
      <w:r>
        <w:rPr>
          <w:b/>
        </w:rPr>
        <w:t>[Pages 100–102]</w:t>
      </w:r>
    </w:p>
    <w:p>
      <w:r>
        <w:t>102 BULLETIN NO. 3 OF JANUARY 17, 2022</w:t>
      </w:r>
    </w:p>
    <w:p>
      <w:r>
        <w:t>a Limassol (Cyprus)2, operates in the debt collection sector and claims to act, among other things, on behalf of EXPO-GUIDE S.C.3.</w:t>
      </w:r>
    </w:p>
    <w:p>
      <w:r>
        <w:t>II. THE COMMERCIAL PRACTICE</w:t>
      </w:r>
    </w:p>
    <w:p>
      <w:r>
        <w:t>4. The proceedings concern the conduct carried out by the Parties towards a large number of Italian micro-enterprises consisting of: i) the sending, by the publisher of expo-guide.com, of ambiguous and contradictory communications capable of inducing the recipients to unwittingly subscribe to a paid advertising service, concealing its commercial nature and origin, as well as ii) the collection of improperly claimed debts as payment for the unsolicited advertising service through aggressive methods that include requests for payment of progressively increasing amounts, harassing reminders, intimidating expressions, and threats of costly and reckless international legal actions.</w:t>
      </w:r>
    </w:p>
    <w:p>
      <w:r>
        <w:t>III. THE OUTCOMES OF THE PROCEEDINGS</w:t>
      </w:r>
    </w:p>
    <w:p>
      <w:r>
        <w:t>1) The course of the proceedings</w:t>
      </w:r>
    </w:p>
    <w:p>
      <w:r>
        <w:t>5. In relation to the conduct described above, on December 22, 2020, the investigative procedure PS11885 was initiated against the Parties for possible violations of Articles 20, 21, 22, 24, 25, paragraph 1, letters d) and e), as well as 26, paragraph 1, letter f), of the Consumer Code.</w:t>
      </w:r>
    </w:p>
    <w:p>
      <w:r>
        <w:t>6. Concurrently with the communication of the initiation of the proceedings, a request for information was also sent to the professionals, pursuant to Article 12, paragraph 1, of the Regulation.</w:t>
      </w:r>
    </w:p>
    <w:p>
      <w:r>
        <w:t>7. By order of December 22, 2020, no. 28512, the Authority deemed the existence of extreme gravity, urgency, and non-deferrability, such as to justify the adoption of a precautionary measure, inaudita altera parte, pursuant to the combined provisions of Article 27, paragraph 3, of the Consumer Code and Article 8, paragraph 3, of the Regulation, and decided against INVERSIONES and CLBCS to suspend all activities related to the transmission of non-transparent offers for the purchase of paid advertising services connected to Expo-guide and the collection of improperly claimed debts, also threatening to resort to the competent judicial authorities for interests and legal costs.</w:t>
      </w:r>
    </w:p>
    <w:p>
      <w:r>
        <w:t>8. The precautionary measure and the communication of initiation were notified to CLBCS on January 15, 2021. On March 15, 2021, the notice of receipt of the precautionary measure and the communication of initiation was received by INVERSIONES. CREDIT INTELLIGENCE is reported to have received both documents on January 6, 2021. The precautionary measure was also published in the Authority's Bulletin no. 2 of January 11, 2021.</w:t>
      </w:r>
    </w:p>
    <w:p>
      <w:r>
        <w:t>9. The Parties did not submit any communication regarding the measures possibly taken to comply with the precautionary measure.</w:t>
      </w:r>
    </w:p>
    <w:p>
      <w:r>
        <w:t>10. By order of February 16, 2021, no. 28584, the Authority, in light of the continuation of the debt collection activity, confirmed the suspension of all activities carried out by CLBCS aimed at the collection of improperly claimed debts in relation to the unwitting purchase of the paid advertising service on expo-guide.com, also threatening to resort to the competent judicial authorities. This order was notified to CLBCS on March 17, 2021, and was published in Bulletin no. 13 of March 29, 2021.</w:t>
      </w:r>
    </w:p>
    <w:p>
      <w:r>
        <w:t>11. The Authority, by order no. 29635 of April 13, 2021, also confirmed the precautionary measure adopted by resolution of December 22, 2020, against INVERSIONES, establishing the suspension of all activities carried out by INVERSIONES aimed at the transmission of non-transparent offers for the purchase of the paid IT service described in the initiation order, as well as related to the collection of improperly claimed debts through the activity performed by CLBCS. Due to the impossibility of notifying it, order no. 29635 of April 13, 2021, was published in Bulletin no. 24 of June 14, 2021.</w:t>
      </w:r>
    </w:p>
    <w:p>
      <w:r>
        <w:t>12. On June 24, 2021, the Parties were informed of the deadline for concluding the investigative phase. This communication was received by CREDIT INTELLIGENCE on June 28, 2021. Due to the lack of responses to the notification attempts to CLBCS and INVERSIONES, the Authority ordered the publication of the communication regarding the closure of the investigation in Bulletin no. 31 of August 2, 2021.</w:t>
      </w:r>
    </w:p>
    <w:p>
      <w:r>
        <w:t>13. On July 1 and July 27, 2021, the deadline for closing the proceedings was extended, respectively, to September 18 and October 18, 2021, to ensure a full exercise of the Parties' defense rights.</w:t>
      </w:r>
    </w:p>
    <w:p>
      <w:r>
        <w:t>2) The evidence acquired</w:t>
      </w:r>
    </w:p>
    <w:p>
      <w:r>
        <w:t>14. According to reports received since February 20204, numerous Italian micro-enterprises5 have received repeated and pressing payment requests from CLBCS aimed at recovering a debt claimed in relation to the installments of a three-year subscription to an IT service for advertising announcements in the online database "Expo-guide" (www.expo-guide.com), which was never consciously subscribed.</w:t>
      </w:r>
    </w:p>
    <w:p>
      <w:r>
        <w:t>15. The unwitting subscription dates back to the receipt by the reporters of a communication requesting them to verify a pre-filled form containing the business data and the scope of activity of the recipient enterprise. This communication originated from the publisher of the website www.expo-guide.com (currently INVERSIONES, which took over this activity from the company EXPO GUIDE S.C.6) which, unbeknownst to the operators, had entered their data into a database of exhibitors at national and international trade fairs connected to the aforementioned site.</w:t>
      </w:r>
    </w:p>
    <w:p>
      <w:r>
        <w:t>16. The communication received by the reporting micro-enterprises ambiguously bears, in its heading and in the attached form, the name of the trade fair in which the micro-enterprises had participated shortly before and the name of its organizer, thus implying that the communication came from the organizer itself. The communication warned of the danger of the cancellation of the business data from the database in case of failure to update the data contained in the pre-filled form that was requested to be verified.</w:t>
      </w:r>
    </w:p>
    <w:p>
      <w:r>
        <w:t>17. The communication and the attached form also contained ambiguous references to a paid insertion, without, however, explicitly stating the intent to offer a paid advertising service7. In the final part of the form, after the partially pre-filled sections with the data relating to the company and its activity, in significantly smaller and less legible characters appears the following wording: “Order: We subscribe to the publication of our company's data indicated in this form and request Expo Guide S.C. to publish them for the next three years in the form of a complete paid advertisement (see reverse) on www.expo-guide.com. The order is payable and irrevocable unless canceled by registered letter within twelve days from the date thereof. The date of the postmark is considered valid. The three-year duration will begin with the date of the first invoice. The annual amount is 1271 Euros or equivalent in Mexican pesos […] Upon the expiration of the third year, the order will automatically renew year by year unless cancellation is received by registered letter three months prior to the expiration of the contractual terms.”</w:t>
      </w:r>
    </w:p>
    <w:p>
      <w:r>
        <w:t>18. The form concludes with two boxes intended for the insertion of place, date, signature, and stamp by the recipient micro-enterprise.</w:t>
      </w:r>
    </w:p>
    <w:p>
      <w:r>
        <w:t>19. Only upon receiving invoices and payment requests from CLBCS did the reporting micro-enterprises learn that they had subscribed to a three-year subscription for a paid service that, in reality, they had no intention of requesting.</w:t>
      </w:r>
    </w:p>
    <w:p>
      <w:r>
        <w:t>20. In these payment requests in Italian, generally sent by CLBCS via fax and/or email at close intervals, the recipients were presented with an alleged contractual default for the advertising services rendered by the publisher of Expo-Guide8 and were requested to pay amounts allegedly "due" and not paid by the micro-enterprises for the three annual installments of the subscription to the service in question (for a total of 3,813 euros) plus recovery costs, amounting to 395 euros and reminder costs amounting to 89.40 euros9.</w:t>
      </w:r>
    </w:p>
    <w:p>
      <w:r>
        <w:t>21. In the communications sent to the reporting micro-enterprises, CLBCS emphatically reminds them of the alleged contractual default with statements of the following tenor: “the undersigned</w:t>
      </w:r>
    </w:p>
    <w:p>
      <w:r>
        <w:t>7 In the communication, without any emphasis and in the context of the request to verify and correct the data, it is stated “if it is your intention to place a paid advertisement, please use the attached form.” On the form, at the top, in small unhighlighted characters, it is stated “This form is solely for the correct insertion of your data in the form of a paid advertisement.”</w:t>
      </w:r>
    </w:p>
    <w:p>
      <w:r>
        <w:t>8 INVERSIONES, which took over from Expo Guide S.C. In the payment requests sent to the companies, the company INVERSIONES DGSM srl, following the takeover of the contracts of EXPO GUIDE S.C., also uses the following corporate name: “EXPOGUIDE S.C./INVERSIONES DGSM srl” (see, for example, the reports of November 4, 2020, prot. 81672 and October 20, 2020, prot. 77387).</w:t>
      </w:r>
    </w:p>
    <w:p>
      <w:r>
        <w:t>9 See, for example, the report of July 9, prot. 54453, the report of July 15, 2020, prot. 56135 mentioned above, the report of November 3, 2020, prot. 81565, the report of February 3, 2021, prot. 18071, the report of April 26, 2021, prot. 40302.</w:t>
      </w:r>
    </w:p>
    <w:p>
      <w:r>
        <w:rPr>
          <w:b/>
        </w:rPr>
        <w:t>[Pages 103–105]</w:t>
      </w:r>
    </w:p>
    <w:p>
      <w:r>
        <w:t>BULLETIN NO. 3 OF JANUARY 17, 2022 105</w:t>
        <w:br/>
        <w:t>The debt collection agency CLBCS Management Ltd […] has received the MANDATE FOR RECOVERY of the credit related to the position better outlined in the subject […] In compliance with the order received, our principal has created and maintained the advertising announcement […] to date, despite numerous previous reminders aimed at avoiding legal action, the payment of EUR 3813.00 (Three Thousand Eight Hundred Thirteen/00) for unpaid dues remains outstanding. In addition to recovery costs and reminder fees. Breakdown of amounts: - Unpaid dues: EUR 3813.00 - Recovery costs: EUR 395.00 - Reminder fees: EUR 89.40. For the above reasons, we inform you that the undersigned has been instructed to proceed before the Judicial Authority for the recovery of the unpaid amounts and solely to avoid the aggravation of your debt position with the addition of legal and court costs, […] to make the payment of EUR 4297.40 (Four Thousand Two Hundred Ninety-Seven/40) by no later than […]. We are obliged to inform you that, if the above-mentioned peremptory deadline passes without payment being made and without a banking resolution of the dispute being agreed with the undersigned, we will be forced, regrettably, to protect the interests of our principal by requesting the issuance of an international payment order from the competent Court for the contract and in compliance with international provisions regarding commercial debts”10.</w:t>
      </w:r>
    </w:p>
    <w:p>
      <w:r>
        <w:t>22. Subsequently, in the event of an unfruitful response and failure to pay the amounts indicated in the aforementioned reminders, CLBCS sent further reminders informing that, in case of non-payment of the requested amounts, “coercive collection” of the same will be contemplated. These subsequent communications particularly included the wording “Notice of coercive collection” and, in insolent tones, suggested that the judicial discussion of the case would entail “an additional burden of legal costs of EUR 1500.00 (for a total of EUR 5797.40) in addition to procedural costs that will be determined at the conclusion of the proceedings. The Tribunal Superior de Justicia del Distrito Federal de la Ciudad de México will issue the International Payment Order based on the evidence provided by Expo Guide (contract and invoices) […] We also inform you that the cost of an International Judicial Dispute (estimated based on previous disputes) ranges between EUR 10,000.00 and EUR 20,000.00 and lasts from 3 to 5 years”11.</w:t>
      </w:r>
    </w:p>
    <w:p>
      <w:r>
        <w:t>23. In light of the objections raised by some micro-enterprises regarding the legitimacy of CLBCS's credit claims, in light of the previous sanctioning interventions by the Authority in cases related to “Expo Guide”12, CLBCS, in some reminders, stated: “Regarding the reference to AGCM, we must point out that the Authority - given its purely administrative nature and powers - has no interference regarding the validity of the contract. This consideration certainly does not allow for references to Antitrust to infer the nullity of the contract itself sic et simpliciter. This power is exclusively entrusted to the competent Judicial Authority in compliance with contractual provisions”13.</w:t>
      </w:r>
    </w:p>
    <w:p>
      <w:r>
        <w:t>10 See, for example, the report received on July 8, 2020, prot. 54004 and the report received on November 18, 2020, prot. 85502. See also the reports of February 23, 2021, prot. 23427, March 9, 2021, prot. n. 27360, and April 26, 2021, prot. 40302.</w:t>
      </w:r>
    </w:p>
    <w:p>
      <w:r>
        <w:t>11 See particularly the reports received on July 9, 2020, prot. 54453, July 15, 2020, prot. n. 56135, January 14, 2021, prot. 12776, January 21, 2021, prot. 14737, March 18, 2021, prot. 30391.</w:t>
      </w:r>
    </w:p>
    <w:p>
      <w:r>
        <w:t>12 See particularly case no. PS9026, provision no. 24788 of February 5, 2014, case no. IP230 provision no. 25557 of July 9, 2015, case no. IP245 provision no. 25999 of April 28, 2016.</w:t>
      </w:r>
    </w:p>
    <w:p>
      <w:r>
        <w:t>13 See, in this sense, the reports received on June 17, 2020, prot. 47384, April 26, 2021, prot. 40302, and, lastly, on May 14, 2021, prot. 45302.</w:t>
      </w:r>
    </w:p>
    <w:p>
      <w:r>
        <w:t>106 BULLETIN NO. 3 OF JANUARY 17, 2022</w:t>
      </w:r>
    </w:p>
    <w:p>
      <w:r>
        <w:t>24. From the so-called “invoices” attached to the reminders14, it emerges that the amounts requested were to be paid into an account held by the Hungarian company CREDIT INTELLIGENCE Kft, for which the IBAN is provided: “We, Expo Guide S.C. // Inversiones DGSM s.r.l., delegate the collection of this invoice [CLBCS] having financial administration at Credit Intelligence Kft”15.</w:t>
      </w:r>
    </w:p>
    <w:p>
      <w:r>
        <w:t>25. The debt collection activity appears to still be ongoing, as the Parties have not provided proof of its cessation.</w:t>
      </w:r>
    </w:p>
    <w:p>
      <w:r>
        <w:t>3) The defensive arguments of the Party</w:t>
      </w:r>
    </w:p>
    <w:p>
      <w:r>
        <w:t>26. The professionals did not submit any defensive memorandum during the proceedings.</w:t>
      </w:r>
    </w:p>
    <w:p>
      <w:r>
        <w:t>27. Neither INVERSIONES nor CLBCS sent reports on the measures taken to comply with the precautionary measure adopted on December 22, 2020, and subsequently confirmed by resolutions of February 16, 2021, and April 13, 2021.</w:t>
      </w:r>
    </w:p>
    <w:p>
      <w:r>
        <w:t>IV. ASSESSMENTS</w:t>
      </w:r>
    </w:p>
    <w:p>
      <w:r>
        <w:t>28. Preliminary, it must be noted that the practice under examination is capable of prejudicing the economic behavior of small and medium-sized enterprises, including micro-enterprises, as the examination of the documentation on record shows that this commercial practice has mostly involved those enterprises that have the characteristics referred to in Article 18, paragraph 1, letter d-bis, of the Consumer Code. Therefore, the behaviors described in point II of this communication constitute an unfair commercial practice, in violation of Articles 21, 22, 24, 25, paragraph 1, letters d) and e), as well as 26, paragraph 1, letter f), of the Consumer Code, as they are directed at the micro-enterprises referred to in Article 18, paragraph 1, letter d-bis of the same Code.</w:t>
      </w:r>
    </w:p>
    <w:p>
      <w:r>
        <w:t>29. The subject of this proceeding is a commercial practice articulated in a plurality of behaviors aimed at inducing the unsuspecting subscription of a three-year subscription, the payment of which is demanded through harassing reminders, intimidating expressions, and threats of costly and reckless international legal actions. This practice is based on the collection of business data from small and micro-enterprises registered at trade fairs and the subsequent unilateral and unsolicited registration of such information in the database linked to the website http://www.expo-guide.com. This activity is carried out by the publisher of the site, INVERSIONES. The collection of such information and its insertion into the database constitute the means by which the professional directs communications to micro-enterprises containing ambiguous and contradictory information that misleadingly suggests that they come from the organizer of the trade fair and that it is necessary to verify the business data and respond to the communication to avoid being removed from the registers of that fair. The commercial nature of such communications is marginalized in a section lacking prominence and written in extremely small characters of the above-described form, in order to hinder understanding by the recipients.</w:t>
      </w:r>
    </w:p>
    <w:p>
      <w:r>
        <w:t>30. This misleading presentation of the actual purpose of the communication induces micro-enterprises to fear the cancellation of their data from what they believed to be the database of the trade fair, resulting in their exclusion from the event and related activities, and thus pushes them to unwittingly subscribe to an unsolicited paid service by completing the form containing the verified data. The behaviors implemented by INVERSIONES thus appear capable of misleading the recipients regarding the commercial nature of the communications coming from the publisher of expo-guide.com and the actual consequences of returning the signed form16, in violation of Articles 21 and 22 of the Consumer Code.</w:t>
      </w:r>
    </w:p>
    <w:p>
      <w:r>
        <w:t>31. INVERSIONES and CLBCS, indicating CREDIT INTELLIGENCE as the beneficiary of the payments, have persistently requested and demanded payment for the advertising service unwittingly subscribed to and not requested by the micro-enterprises.</w:t>
      </w:r>
    </w:p>
    <w:p>
      <w:r>
        <w:t>32. The collection methods adopted by CLBCS and INVERSIONES for the recovery of the credits improperly claimed by INVERSIONES in relation to the unsolicited and unwittingly subscribed advertising service, carried out through pressing requests for increasingly large amounts, as well as through harassing reminders, intimidating expressions (“notice of coercive collection”), threats of costly (“between EUR 10,000 and 20,000”) and reckless international actions, are capable of unduly conditioning the recipients to pay for unsolicited services, as well as other amounts for legal fees.</w:t>
      </w:r>
    </w:p>
    <w:p>
      <w:r>
        <w:t>33. The undue conditioning of enterprises and micro-enterprises is further aggravated by the misleading references to the interventions of the Authority expressed by CLBCS in the repeated payment reminders, aimed at forming in the recipients the conviction of being in default and unprotected, thus conditioning them to adhere to an “amicable resolution of the dispute,” paying what was improperly demanded.</w:t>
      </w:r>
    </w:p>
    <w:p>
      <w:r>
        <w:t>34. The collection methods described above, implemented by CLBCS on behalf of INVERSIONES, as they aim to unduly condition the recipient micro-enterprises also through the threat of reckless legal actions, appear to be in violation of Articles 24, 25, paragraph 1, letters d) and e), of the Consumer Code.</w:t>
      </w:r>
    </w:p>
    <w:p>
      <w:r>
        <w:t>35. For the reasons previously stated, the behaviors described above appear to constitute an unfair commercial practice, in violation of Articles 21, 22, 24, 25, paragraph 1, letters d) and e), and 26, paragraph 1, letter f), of the Consumer Code, as they are capable of misleading the recipients regarding the origin and commercial nature of the communications coming from the publisher of expo-guide.com, thus determining the unwitting adherence to an unsolicited paid service, as well as unduly conditioning the decision-making process of the recipient enterprises, through the demand for payment for the unsolicited service, the continuous reminders, and the threat of resorting to reckless legal actions for the international recovery of credits, the high cost of which is suggested for the victim micro-enterprises.</w:t>
      </w:r>
    </w:p>
    <w:p>
      <w:r>
        <w:t>36. This unfair commercial practice, implemented by INVERSIONES and, with regard to the collection of the allegedly claimed credits, by CLBCS, has benefited CREDIT INTELLIGENCE, the beneficiary of the demanded payments.</w:t>
      </w:r>
    </w:p>
    <w:p>
      <w:r>
        <w:t>16 This conduct has already been deemed an unfair commercial practice in the past by the Authority in the investigative proceedings PB628, PS9026, IP230, and IP245.</w:t>
      </w:r>
    </w:p>
    <w:p>
      <w:r>
        <w:rPr>
          <w:b/>
        </w:rPr>
        <w:t>[Pages 106–108]</w:t>
      </w:r>
    </w:p>
    <w:p>
      <w:r>
        <w:t>108 BULLETIN NO. 3 OF JANUARY 17, 2022</w:t>
      </w:r>
    </w:p>
    <w:p>
      <w:r>
        <w:t>V. QUANTIFICATION OF THE SANCTION</w:t>
      </w:r>
    </w:p>
    <w:p>
      <w:r>
        <w:t>37. Pursuant to Article 27, paragraph 9, of the Consumer Code, with the provision that prohibits an unfair commercial practice, the Authority orders the application of an administrative pecuniary sanction from €5,000 to €5,000,000, taking into account the severity and duration of the violation.</w:t>
      </w:r>
    </w:p>
    <w:p>
      <w:r>
        <w:t>38. Regarding the quantification of the sanction, account must be taken, as applicable, of the criteria identified by Article 11 of Law No. 689/81, by virtue of the reference provided in Article 27, paragraph 13, of the Consumer Code: in particular, the severity of the violation, the efforts made by the company to eliminate or mitigate the infringement, the personality of the agent, as well as the economic conditions of the company itself.</w:t>
      </w:r>
    </w:p>
    <w:p>
      <w:r>
        <w:t>39. With regard to the economic size of the Parties, none of them provided the requested accounting data. The activity of INVERSIONES appears to have an international dimension: the professional states on the website www.expo-guide.com that it has a database containing the business data of 3,000,000 Italian and foreign exhibitors participating in trade events worldwide, a portion of whom are clients of the paid advertising service.</w:t>
      </w:r>
    </w:p>
    <w:p>
      <w:r>
        <w:t>40. Regarding the severity of the violation, it should also be taken into account in the case at hand the spread of the commercial practice across the national territory, as the communications described above were sent to businesses and micro-enterprises located in various Italian Regions. The communications subject to this proceeding may have been sent to a number of businesses well above that of the complainants, considering the breadth of the INVERSIONES database.</w:t>
      </w:r>
    </w:p>
    <w:p>
      <w:r>
        <w:t>41. The severity of the practice is also appreciated by considering the type of means used to transmit the commercial communication to businesses, consisting of postal communications, faxes, and emails capable of reaching the recipients directly and personally, the insidious methods adopted to induce businesses and micro-enterprises to pay the requested amounts by undermining their good faith, as well as the significant economic harm that arises from the implementation of such a commercial practice to the detriment of the recipient businesses. This economic harm is determined by the high price of the service offered, even in relation to the economic-financial dimensions of the recipient micro-enterprises: for the three annual subscriptions to the service, the amount requested is indeed €3,813 plus recovery costs of €395 and reminder costs of €89.40. Furthermore, additional charges applied to the originally requested amount through the sending of so-called "notices of enforced collection" for a total amount of €5,797.40 must also be taken into consideration.</w:t>
      </w:r>
    </w:p>
    <w:p>
      <w:r>
        <w:t>42. Finally, the role played in the implementation of the practice by CLBCS must be considered, which intervened in the collection phase of the credits allegedly claimed by INVERSIONES by implementing the intimidating behaviors described, and by CREDIT INTELLIGENCE, which appears to be only the beneficiary of the payments demanded by INVERSIONES and CLBCS.</w:t>
      </w:r>
    </w:p>
    <w:p>
      <w:r>
        <w:t>43. Regarding the duration of the violation, from the available elements in the records, it appears that the commercial practice has been in place at least since February 202017 and is still ongoing, as the Parties have not provided proof of its cessation.</w:t>
      </w:r>
    </w:p>
    <w:p>
      <w:r>
        <w:t>44. Based on these elements, given the primarily deterrent effectiveness attributed to the administrative pecuniary sanction, it is deemed appropriate to determine the amount of the administrative pecuniary sanction applicable to INVERSIONES DGSM S.r.l. in the amount of €300,000 (three hundred thousand euros), to C.L. BUSINESS CONFLICT SOLUTIONS MANAGEMENT Ltd in the amount of €300,000 (three hundred thousand euros), and to CREDIT INTELLIGENCE Kft in the amount of €300,000 (three hundred thousand euros).</w:t>
      </w:r>
    </w:p>
    <w:p>
      <w:r>
        <w:t>THEREFORE, it is deemed, based on the considerations set forth above, that the commercial practice under examination is unfair under Articles 21, 22, 24, 25, paragraph 1, letters d) and e), as well as 26, paragraph 1, letter f), of the Consumer Code, as it is contrary to professional diligence and capable, through the undue conditioning of micro-enterprises regarding the decision to subscribe to an unsolicited paid advertising service, of appreciably distorting their economic behavior;</w:t>
      </w:r>
    </w:p>
    <w:p>
      <w:r>
        <w:t>RESOLVES</w:t>
      </w:r>
    </w:p>
    <w:p>
      <w:r>
        <w:t>a) that the commercial practice described in point II of this provision, carried out by INVERSIONES DGSM S.r.l., C.L. BUSINESS CONFLICT SOLUTIONS MANAGEMENT Ltd, and CREDIT INTELLIGENCE Kft constitutes, for the reasons and within the limits set forth in the motivation, an unfair commercial practice pursuant to Articles 21, 22, 24, 25, paragraph 1, letters d) and e), as well as 26, paragraph 1, letter f), of the Consumer Code, and prohibits its dissemination or continuation;</w:t>
      </w:r>
    </w:p>
    <w:p>
      <w:r>
        <w:t>b) to impose on the company INVERSIONES DGSM S.r.l. an administrative pecuniary sanction of €300,000 (three hundred thousand euros);</w:t>
      </w:r>
    </w:p>
    <w:p>
      <w:r>
        <w:t>c) to impose on the company C.L. BUSINESS CONFLICT SOLUTIONS MANAGEMENT Ltd an administrative pecuniary sanction of €300,000 (three hundred thousand euros);</w:t>
      </w:r>
    </w:p>
    <w:p>
      <w:r>
        <w:t>d) to impose on the company CREDIT INTELLIGENCE Kft an administrative pecuniary sanction of €300,000 (three hundred thousand euros);</w:t>
      </w:r>
    </w:p>
    <w:p>
      <w:r>
        <w:t>e) that the professionals communicate to the Authority, within sixty days from the notification of this provision, the initiatives taken in compliance with the injunction referred to in point a).</w:t>
      </w:r>
    </w:p>
    <w:p>
      <w:r>
        <w:t>The imposed administrative sanctions must be paid within thirty days from the notification of this provision, via bank transfer (in euros) to the Treasury, using the IBAN code IT04A0100003245348018359214 (BIC code: BITAITRRENT), which corresponds to the accounting number 18/3592/14.</w:t>
      </w:r>
    </w:p>
    <w:p>
      <w:r>
        <w:t>After the aforementioned deadline, for the period of delay of less than six months, late interest must be paid at the legal rate starting from the day following the expiration of the payment deadline until the date of payment. In case of further delay in compliance, pursuant to Article 27, paragraph 6, of Law No. 689/81, the amount due for the imposed sanction is increased by one-tenth for each semester starting from the day following the expiration of the payment deadline until the role is transmitted to the concessionaire for collection; in this case, the increase absorbs the late interest accrued in the same period. Immediate communication of the payment must be given to the Authority by sending the documentation certifying the payment made.</w:t>
      </w:r>
    </w:p>
    <w:p>
      <w:r>
        <w:t>This provision will be notified to the interested parties and published in the Bulletin of the Authority for Competition and the Market.</w:t>
      </w:r>
    </w:p>
    <w:p>
      <w:r>
        <w:t>Pursuant to Article 27, paragraph 12, of the Consumer Code, in case of non-compliance with the provision, the Authority applies an administrative pecuniary sanction from €10,000 to €5,000,000. In cases of repeated non-compliance, the Authority may order the suspension of business activity for a period not exceeding thirty days.</w:t>
      </w:r>
    </w:p>
    <w:p>
      <w:r>
        <w:t>Against this provision, an appeal may be submitted to the TAR of Lazio, pursuant to Article 135, paragraph 1, letter b), of the Code of Administrative Procedure (Legislative Decree No. 104 of July 2, 2010),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No. 1199 of November 24, 1971, within one hundred and twenty days from the date of notification of the provision itself.</w:t>
      </w:r>
    </w:p>
    <w:p>
      <w:r>
        <w:t>THE SECRETARY GENERAL THE PRESIDENT</w:t>
      </w:r>
    </w:p>
    <w:p>
      <w:r>
        <w:t>Filippo Arena Roberto Rustichelli</w:t>
      </w:r>
    </w:p>
    <w:p>
      <w:r>
        <w:rPr>
          <w:b/>
        </w:rPr>
        <w:t>[Pages 109–111]</w:t>
      </w:r>
    </w:p>
    <w:p>
      <w:r>
        <w:t xml:space="preserve">BULLETIN NO. 3 OF JANUARY 17, 2022 111  </w:t>
        <w:br/>
        <w:t xml:space="preserve">IP343 - MULPOR–INTERNATIONAL FAIRS DIRECTORY  </w:t>
        <w:br/>
        <w:t xml:space="preserve">Notice of adoption of the closure of the proceedings  </w:t>
        <w:br/>
        <w:t xml:space="preserve">ANTITRUST AUTHORITY  </w:t>
        <w:br/>
        <w:t xml:space="preserve">Information on the adoption of the closure of the proceedings, pursuant to Article 19, paragraph 2, of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 in relation to the proceedings IP343 – Mulpor – International Fairs Directory.  </w:t>
        <w:br/>
        <w:t xml:space="preserve">The publication of this notice in the weekly Bulletin of the Antitrust Authority, followed by the closure of the proceedings with which non-compliance with resolution no. 27552 of February 6, 2019, which had ascertained the unfairness of the commercial practice carried out by Mulpor Company s.r.l. and International Business Convention Management Ltd., is made pursuant to and for the effects of Article 19, paragraph 2 of the Regulation, given the unsuccessful outcome of the attempt to transmit the closure of the proceedings to International Business Convention Management Ltd.1, carried out through the Embassy of Italy in Nicosia (Republic of Cyprus) on November 2, 2021, prot. no. 0082502.  </w:t>
        <w:br/>
        <w:t xml:space="preserve">For any communication addressed to the Authority regarding the case in question, please refer to Directorate C of the General Directorate for Consumer Protection and the reference IP343. The section "payment of fines" on the Authority's website (www.agcm.it) contains information regarding the payment methods for fines.  </w:t>
        <w:br/>
        <w:t>1 The attempt to transmit the same provision to Mulpor Company s.r.l. appears to have been successful.</w:t>
      </w:r>
    </w:p>
    <w:p>
      <w:r>
        <w:t xml:space="preserve">112 BULLETIN NO. 3 OF JANUARY 17, 2022  </w:t>
        <w:br/>
        <w:t xml:space="preserve">IP343 - MULPOR-INTERNATIONAL FAIRS DIRECTORY  </w:t>
        <w:br/>
        <w:t xml:space="preserve">Provision no. 29848  </w:t>
        <w:br/>
        <w:t xml:space="preserve">THE ANTITRUST AUTHORITY  </w:t>
        <w:br/>
        <w:t xml:space="preserve">IN ITS MEETING of October 12, 2021;  </w:t>
        <w:br/>
        <w:t xml:space="preserve">HEARD the Rapporteur, Professor Michele Ainis;  </w:t>
        <w:br/>
        <w:t xml:space="preserve">VIEWED Part II, Title III, of Legislative Decree September 6, 2005, no. 206, containing the "Consumer Code" and subsequent amendments (hereinafter, Consumer Code);  </w:t>
        <w:br/>
        <w:t xml:space="preserve">VIEWED, in particular, Article 27, paragraph 12, of the Consumer Code, according to which in the event of non-compliance with urgent measures or those prohibiting or removing effects, the Authority applies an administrative pecuniary sanction from 10,000 to 5,000,000 euros and in cases of repeated non-compliance, the Authority may order the suspension of business activity for a period not exceeding thirty days;  </w:t>
        <w:br/>
        <w:t xml:space="preserve">VIEWED Law no. 689 of November 24, 1981;  </w:t>
        <w:br/>
        <w:t xml:space="preserve">VIEWED its resolution no. 27552 of February 6, 2019 (PS11138), with which the Authority ascertained the unfairness, pursuant to Articles 21, 22, 24, 25, paragraph 1, letters d) and e), and 26, paragraph 1, letter f), of the Consumer Code, of the commercial practice carried out by Mulpor Company S.A., Mulpor Company s.r.l., Connect Publisher S.C., PayTrac Lda, Finad Economy Lda, IBCM International Business Convention Management Ltd and Credit Collection Factoring s.r.o., consisting in promoting the offer of a paid advertising service on the International Fairs Directory as a request for verification of the business data present in a database, erroneously implying that it came from the organizing body of a trade fair and that the failure to update the database would result in the cancellation from such a relevant advertising channel. The possible refusal to pay the amounts invoiced by PayTrac and Finad Economy on behalf of Mulpor and Connect Publisher for the unsolicited advertising service led to incessant solicitations from IBCM and CCF, appointed by Mulpor and Connect Publisher for the collection of the claimed amounts, with a simultaneous threat to initiate international legal actions for the forced recovery of the allegedly claimed credits;  </w:t>
        <w:br/>
        <w:t xml:space="preserve">VIEWED its resolution no. 28625 of March 30, 2021, with which the Authority decided to initiate the investigative proceedings IP343, contesting to the Companies Mulpor Company s.r.l. (hereinafter, also Mulpor) and I.B.C.M. International Business Convention Management Ltd. (hereinafter, also IBCM) the violation of Article 27, paragraph 12, of the Consumer Code, for failing to comply with the warning referred to in letter a) of the device of resolution no. 27552 of February 6, 2019 (PS11138), which prohibited the further dissemination of the commercial practice ascertained to be unfair;  </w:t>
        <w:br/>
        <w:t xml:space="preserve">VIEWED the acts of the proceedings;  </w:t>
        <w:br/>
        <w:t xml:space="preserve">CONSIDERED the following:  </w:t>
        <w:br/>
        <w:t xml:space="preserve">I. PREMISE  </w:t>
        <w:br/>
        <w:t>1. With provision no. 27552 of February 6, 2019, the Authority closed the proceedings PS11138, ascertaining the unfairness, pursuant to Articles 21, 22, 24, 25, paragraph 1, letters d) and e), and 26, paragraph</w:t>
      </w:r>
    </w:p>
    <w:p>
      <w:r>
        <w:t xml:space="preserve">BULLETIN NO. 3 OF JANUARY 17, 2022 113  </w:t>
        <w:br/>
        <w:t xml:space="preserve">1, letter f), of the Consumer Code, of the commercial practice carried out against Italian micro-enterprises by Mulpor Company S.A., Mulpor Company s.r.l. (jointly, "Mulpor"), Connect Publisher S.C., PayTrac Lda, Finad Economy Lda, IBCM International Business Convention Management Ltd ("IBCM") and Credit Collection Factoring s.r.o ("CCF"). This practice consisted in presenting the offer of a paid advertising service as a request for verification of the business data present in a database, misleadingly implying - contrary to the truth - that it was a database linked to a trade fair and its organizing body and that its failure to update could lead to the cancellation of the business from it and, therefore, exclusion from a fundamental advertising channel in the sector. In this way, the businesses and micro-enterprises involved were ambiguously induced to quickly sign and return a pre-filled form with their business data, unwittingly committing to the purchase of an advertisement on the International Fairs Directory for three years, at a cost of approximately 1,200 euros/year. Upon refusal to pay such amounts, unjustly claimed by PayTrac and Finad Economy on behalf of Mulpor and Connect Publisher, there followed persistent and repeated solicitations from the collection companies (IBCM and CCF), up to the threat of initiating international legal actions for the forced recovery of the claimed credits, which were announced to incur significant costs.  </w:t>
        <w:br/>
        <w:t>2. In particular, the Authority ascertained that Connect Publisher, publisher of the Directory until February 2016, and Mulpor Company S.A., which took over this role, had built, unbeknownst to the businesses and micro-enterprises participating in national and international trade events, a database containing their business data as well as information on the trade fairs they had participated in. The businesses and micro-enterprises listed became aware of being included in this list only after receiving a letter and a form containing their business data. The letter and the related form prominently featured the reference to the trade fair they had recently participated in and the corresponding organizing body. The text of the aforementioned letter referred to a "Data Report 201x-201x" and the need to verify and update the business data to avoid cancellation. The description of the commercial service actually offered, the three-year subscription to the paid advertisement service on the International Fair Guide, and the related price to be paid were instead marginalized in a small portion of the communication, written in tiny and almost illegible characters, where it was indicated that the return of the signed form would imply acceptance of the offer. The communication in question, due to its overall presentation, was capable of inducing numerous businesses and micro-enterprises to believe it came, contrary to the truth, from the organizing body of the trade fair and/or was nonetheless aimed at the need to verify business data (which notoriously represent a fundamental contact channel with potential customers and organizers of other trade events), in order to avoid cancellation from the records of a specific fair. The emphasis placed on the risk of cancellation from the aforementioned database and the overall misleading context of the message were suitable to divert the attention of the recipient businesses and micro-enterprises from the actual consequences of affixing their signature and company stamp on the aforementioned form, pushing them to sign the form and thus unwittingly subscribe to the offer of the publisher of the International Fairs Directory.</w:t>
      </w:r>
    </w:p>
    <w:p>
      <w:r>
        <w:rPr>
          <w:b/>
        </w:rPr>
        <w:t>[Pages 112–114]</w:t>
      </w:r>
    </w:p>
    <w:p>
      <w:r>
        <w:t>114 BULLETIN NO. 3 OF JANUARY 17, 2022</w:t>
      </w:r>
    </w:p>
    <w:p>
      <w:r>
        <w:t>The companies and micro-enterprises, in fact, became aware of the unintentional activation, and therefore not voluntarily requested, of the paid advertising service only upon receiving the invoices issued by PayTrac and, later, by Finad, when the deadlines for any request for withdrawal had already long expired. In light of the denial of the intention to activate such a service and the unfoundedness of such credit claims noted by the companies and micro-enterprises involved, Mulpor reiterated its payment requests (also related to contracts concluded by Connect Publisher in which it had taken over) and commissioned two debt collection companies, CCF and IBCM, to carry out all necessary activities for the collection of the allegedly claimed credits, including the possibility of extrajudicial settlement of the dispute through a settlement agreement. CCF and IBCM initiated the collection procedures for the credits claimed by Mulpor by proceeding with numerous and pressing reminders and threatening to initiate costly international debt recovery actions to obtain payment of the credits claimed by Mulpor if the micro-enterprises did not accept the proposed settlement solutions. In this context, CCF and IBCM disseminated, solely to induce the contacted companies and micro-enterprises to accept the proposed settlement solution, misleading information about the characteristics of international procedures and the alleged irrelevance of any ruling of unfairness by the Authority in a civil proceeding concerning the nullity or annulment of the contract between Mulpor and the companies and micro-enterprises subject to the commercial practice.</w:t>
      </w:r>
    </w:p>
    <w:p>
      <w:r>
        <w:t>3. The Authority therefore deemed that the aforementioned conduct, carried out jointly by Mulpor and Connect Publisher, with the contribution and cooperation of PayTrac and Finad in managing payment requests and of CCF and IBCM in the collection of the allegedly claimed credits, constituted an unfair commercial practice, in violation of Articles 21, 22, 24, 25 paragraph 1, letters d) and e) and 26, paragraph 1, letter f) of the Consumer Code, as it was capable of misleading companies and micro-enterprises regarding the true identity of the advertising operator, the nature and economic conditions of the advertised offer, leading them to unwittingly subscribe to unsolicited services, unduly conditioning them through continuous reminders and the threat of resorting to international legal actions for payment of the unsolicited and unwittingly subscribed service. The Authority prohibited the further dissemination of the commercial practice and imposed overall monetary sanctions against the aforementioned Companies amounting to approximately 2.7 million euros.</w:t>
      </w:r>
    </w:p>
    <w:p>
      <w:r>
        <w:t>4. Provision No. 27552 of February 6, 2019 (PS11138) was notified to IBCM on March 27, 2019, and to the other professionals by notice in Bulletin No. 27/2019 published on July 8, 2019, due to the difficulties encountered in notification.</w:t>
      </w:r>
    </w:p>
    <w:p>
      <w:r>
        <w:t>5. Starting from January 2021, numerous requests for intervention have been received aimed at highlighting the recurrence of the commercial practice subject to the aforementioned provision. In particular, from the aforementioned reports, it appears that Mulpor Company s.r.l., now publisher of the International Fairs Directory, has sent at least since November 2020 the same misleading forms described in the provision of February 6, 2019, in which it apparently requests to verify the information already entered in the International Fairs Directory database. The form is presented in such a way that it can be easily confused with the database of the Fair to which the recipient of the communication has recently participated, and its signature for the certification of the verification actually entails adherence to a three-year offer for the publication of an advertisement in the Directory at a cost of over 1200 euros/year. Mulpor Company s.r.l. has continued to request payment for unsolicited services by sending so-called "invoices" and payment notices from appointed companies. In response to the objections of the companies and micro-enterprises receiving such requests, Mulpor Company s.r.l. has responded by dogmatically denying the misleading nature of its commercial offer. From the reports received, it also emerges that IBCM has sent payment reminders and notices of forced collection in which it threatens to initiate unspecified international litigation for the recovery of credits claimed by "Mulpor Company" for the unsolicited and unwittingly purchased advertising services over the years by the reporters. In such reminders and notices, moreover, a bank account registered to IBCM at a Hungarian bank is indicated for payment.</w:t>
      </w:r>
    </w:p>
    <w:p>
      <w:r>
        <w:t>6. Such commercial practices, carried out by Mulpor Company s.r.l. and IBCM International Business Convention Management Ltd, therefore present the same profiles of unfairness already established.</w:t>
      </w:r>
    </w:p>
    <w:p>
      <w:r>
        <w:t>7. Therefore, with provision No. 28625 of March 30, 2021, the Authority contested to the professionals Mulpor and IBCM the violation of resolution No. 27552 of February 6, 2019.</w:t>
      </w:r>
    </w:p>
    <w:p>
      <w:r>
        <w:t>II. THE FINDINGS OF THE PROCEEDING</w:t>
      </w:r>
    </w:p>
    <w:p>
      <w:r>
        <w:t>8. Provision No. 28625 of March 30, 2021, initiating the investigation for the ascertainment of non-compliance with the aforementioned resolution of February 6, 2019, was notified to IBCM International Business Convention Management Ltd., with legal headquarters in the Republic of Cyprus, on May 12, 2021, through the Italian Embassy in Nicosia. Given the lack of responses to attempts to communicate with Mulpor Company S.r.l., with legal headquarters in Costa Rica, the communication of the initiation of the investigation was instead made by notice in the Authority's Bulletin No. 24/2021 of June 14, 2021, as provided for by Article 19 of AGCM Resolution April 1, 2015, No. 25411 containing Regulations on investigative procedures regarding consumer protection (hereinafter, Regulations). The communication of the deadline for the conclusion of the investigative phase pursuant to Article 16, paragraph 1, of the Regulations was sent to the parties on July 21, 2021, together with the extension of the deadline for the conclusion of the proceeding by 60 days, decided by the Authority on July 13, 2021. Considering the absence of responses to attempts to notify the aforementioned communication to the Companies Mulpor Company S.r.l. and IBCM International Business Convention Management Ltd., a specific notice was therefore published in the weekly Bulletin of the Italian Competition Authority No. 35 of September 6, 2021, pursuant to and for the effects of Article 19, paragraph 2, of the Regulations, while communicating that, in the meetings of July 13, 2021, and August 31, 2021, the Authority had respectively extended the deadline for the conclusion of the proceeding by sixty and thirty days, definitively setting it for October 26, 2021, in order to ensure a full exercise of the defense rights of the parties.</w:t>
      </w:r>
    </w:p>
    <w:p>
      <w:r>
        <w:t>9. After the initiation of the investigation and until September 2021, dozens of reports have been received complaining that IBCM continued to demand payment for subscriptions unwittingly signed for Mulpor's services, through reminders, warnings, and threats of international legal actions. From these reports, it also emerges how Mulpor continued to send misleading communications even after the publication of resolution No. 27552 of February 6, 2019.</w:t>
      </w:r>
    </w:p>
    <w:p>
      <w:r>
        <w:t>III. THE ARGUMENTS OF THE PARTIES</w:t>
      </w:r>
    </w:p>
    <w:p>
      <w:r>
        <w:t>10. Both professionals, during the proceedings, did not submit any defensive memorandum.</w:t>
      </w:r>
    </w:p>
    <w:p>
      <w:r>
        <w:t>IV. ASSESSMENTS</w:t>
      </w:r>
    </w:p>
    <w:p>
      <w:r>
        <w:t>11. The elements acquired appear to demonstrate the recurrence of the conduct already deemed by the Authority in violation of Articles 21, 22, 24, 25, paragraph 1, letters d) and e), and 26, paragraph 1, letter f), of the Consumer Code with resolution No. 27552 of February 6, 2019, which closed proceeding PS11138.</w:t>
      </w:r>
    </w:p>
    <w:p>
      <w:r>
        <w:t>12. From the documentation on record, it indeed appears that Mulpor continued to disseminate misleadingly structured communications, in form and content, as if coming, contrary to the truth, from the organizing body of one or more trade fairs, the commercial purpose of which was concealed behind the apparent request to verify the business data entered in a database apparently related to the aforementioned event, in order to avoid the cancellation of the micro-enterprise from it. Such communications have the same graphic design and the same misleading and omissive content as those already subject to censure in proceeding PS11138. The professionals have solicited payment for the unsolicited and unwittingly subscribed service. IBCM, in particular, has continued to send deceived micro-enterprises reminders, warnings, and threats to proceed with the forced collection of what was unjustly claimed, stating, in particularly threatening and aggressive tones, that it could legitimately resort to legal action under private international law against the companies and micro-enterprises in case of any default and representing the high costs of an international judicial procedure. The literal tenor and content of IBCM's communications appear substantially identical to those of the communications already censured by the Authority in the aforementioned resolution of February 6, 2019.</w:t>
      </w:r>
    </w:p>
    <w:p>
      <w:r>
        <w:rPr>
          <w:b/>
        </w:rPr>
        <w:t>[Pages 115–117]</w:t>
      </w:r>
    </w:p>
    <w:p>
      <w:r>
        <w:t>BULLETIN NO. 3 OF JANUARY 17, 2022 117</w:t>
      </w:r>
    </w:p>
    <w:p>
      <w:r>
        <w:t>13. In light of all the above, the conduct carried out by the professionals Mulpor and IBCM constitutes non-compliance with the aforementioned resolution no. 27552 of February 6, 2019.</w:t>
      </w:r>
    </w:p>
    <w:p>
      <w:r>
        <w:t>IV. QUANTIFICATION OF THE SANCTION</w:t>
      </w:r>
    </w:p>
    <w:p>
      <w:r>
        <w:t>14. Pursuant to Article 27, paragraph 12, of the Consumer Code, the Authority orders the application of an administrative pecuniary sanction from €10,000 to €5,000,000, taking into account the severity and duration of the violation.</w:t>
      </w:r>
    </w:p>
    <w:p>
      <w:r>
        <w:t>15. Regarding the quantification of the sanction, account must be taken, where applicable, of the criteria identified by Article 11 of Law no. 689/81, by virtue of the reference provided in Article 27, paragraph 13, of the Consumer Code: in particular, the severity of the violation, the efforts made by the company to eliminate or mitigate the infringement, as well as the economic conditions of the company itself.</w:t>
      </w:r>
    </w:p>
    <w:p>
      <w:r>
        <w:t>16. The severity of the non-compliance must be assessed, first and foremost, with reference to the nature of the infringement, as it involves the continuation of a practice consisting in artfully inducing the subscription to an unsolicited service and then demanding payment through continuous reminders and the pressing and aggressive threat of resorting to unspecified international legal actions. Secondly, account must be taken of the significant harm to the recipients due to the relevance of the financial commitments to which the companies and micro-enterprises are unwittingly induced to bind themselves. Finally, the means used is relevant, as it directly and personally reaches the recipients.</w:t>
      </w:r>
    </w:p>
    <w:p>
      <w:r>
        <w:t>17. As for the duration, the documentary evidence on record shows that the failure to comply with the warning, as described above, has been in effect at least since January 2021 and is still ongoing.</w:t>
      </w:r>
    </w:p>
    <w:p>
      <w:r>
        <w:t>18. Considering these elements, it is deemed appropriate to impose on Mulpor Company S.r.l. an administrative pecuniary sanction of €1,500,000 (one million five hundred thousand euros) and on IBCM International Business Convention Management Ltd. an administrative pecuniary sanction of €1,000,000 (one million euros).</w:t>
      </w:r>
    </w:p>
    <w:p>
      <w:r>
        <w:t>All of the above having been stated and considered:</w:t>
      </w:r>
    </w:p>
    <w:p>
      <w:r>
        <w:t>RESOLVES</w:t>
      </w:r>
    </w:p>
    <w:p>
      <w:r>
        <w:t>a) that the conduct carried out by Mulpor Company S.r.l. and by IBCM International Business Convention Management Ltd., consisting of violating resolution no. 27552 of February 6, 2019, constitutes non-compliance with the latter;</w:t>
      </w:r>
    </w:p>
    <w:p>
      <w:r>
        <w:t>b) to impose on Mulpor Company S.r.l. the administrative pecuniary sanction of €1,500,000 (one million five hundred thousand euros) and on IBCM International Business Convention Management Ltd. the administrative pecuniary sanction of €1,000,000 (one million euros);</w:t>
      </w:r>
    </w:p>
    <w:p>
      <w:r>
        <w:t>The administrative sanction imposed must be paid within thirty days from the notification of this provision, via bank transfer (in euros) to the Treasury, using the IBAN code IT04A0100003245348018359214 (BIC code: BITAITRRENT), which corresponds to the accounting number 18/3592/14.</w:t>
      </w:r>
    </w:p>
    <w:p>
      <w:r>
        <w:t>After the aforementioned deadline, for a delay period of less than six months, late interest must be paid at the legal rate starting from the day following the expiration of the payment deadline until the date of payment. In case of further delay in compliance, pursuant to Article 27, paragraph 6, of Law no. 689/81, the amount due for the imposed sanction is increased by one-tenth for each semester starting from the day following the expiration of the payment deadline until the role is transmitted to the collector for collection; in this case, the increase absorbs the late interest accrued during the same period.</w:t>
      </w:r>
    </w:p>
    <w:p>
      <w:r>
        <w:t>Notification of the payment must be immediately communicated to the Authority by sending the documentation certifying the payment made.</w:t>
      </w:r>
    </w:p>
    <w:p>
      <w:r>
        <w:t>This provision will be notified to the interested parties and published in the Bulletin of the Authority for Competition and the Market.</w:t>
      </w:r>
    </w:p>
    <w:p>
      <w:r>
        <w:t>Against this provision, an appeal may be filed with the TAR for Lazio, pursuant to Article 135, paragraph 1, letter b), of the Code of Administrative Procedure (Legislative Decree of July 2, 2010, no. 104),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of November 24, 1971, no. 1199 within one hundred and twenty days from the date of notification of the provision itself.</w:t>
      </w:r>
    </w:p>
    <w:p>
      <w:r>
        <w:t>THE SECRETARY GENERAL THE PRESIDENT</w:t>
      </w:r>
    </w:p>
    <w:p>
      <w:r>
        <w:t>Filippo Arena Roberto Rustichelli</w:t>
      </w:r>
    </w:p>
    <w:p>
      <w:r>
        <w:t>BULLETIN NO. 3 OF JANUARY 17, 2022 119</w:t>
      </w:r>
    </w:p>
    <w:p>
      <w:r>
        <w:t>IP342 - SEO MARKETING</w:t>
      </w:r>
    </w:p>
    <w:p>
      <w:r>
        <w:t>Provision no. 29862</w:t>
      </w:r>
    </w:p>
    <w:p>
      <w:r>
        <w:t>THE AUTHORITY FOR COMPETITION AND THE MARKET</w:t>
      </w:r>
    </w:p>
    <w:p>
      <w:r>
        <w:t>IN ITS MEETING OF OCTOBER 19, 2021;</w:t>
      </w:r>
    </w:p>
    <w:p>
      <w:r>
        <w:t>HEARD the Rapporteur Professor Michele Ainis;</w:t>
      </w:r>
    </w:p>
    <w:p>
      <w:r>
        <w:t>VIEWED Part II, Title III and Part III, Title III of Legislative Decree of September 6, 2005, no. 206, containing the "Consumer Code" and subsequent amendments (hereinafter, Consumer Code);</w:t>
      </w:r>
    </w:p>
    <w:p>
      <w:r>
        <w:t>VIEWED, in particular, Article 27, paragraph 12, of the Consumer Code, according to which in case of non-compliance with urgent measures or those prohibiting or removing effects, the Authority applies an administrative pecuniary sanction from €10,000 to €5,000,000 and in cases of repeated non-compliance, the Authority may order the suspension of business activity for a period not exceeding thirty days;</w:t>
      </w:r>
    </w:p>
    <w:p>
      <w:r>
        <w:t>VIEWED Law no. 689 of November 24, 1981;</w:t>
      </w:r>
    </w:p>
    <w:p>
      <w:r>
        <w:t>VIEWED its resolution no. 26608 of May 4, 2017, with which the Authority established the unfairness of the commercial practice carried out by SEO Marketing S.L. in violation of Articles 20, 24, 25 paragraph 1, letters d) and e), as well as Article 26 paragraph 1, letter f), of the Consumer Code, articulated in a plurality of conducts consisting of: a) the transmission of a communication whose graphic design and content were such as to prevent the recipient from understanding its nature as a commercial proposal, with the identity of the professional completely absent and the indications regarding the nature, characteristics, and price of the service offered rendered in a confusing manner; b) the demand for payment for an advertising service that the recipient micro-enterprises had never consciously requested; c) the sending of pressing and repeated payment notices and reminders, sometimes accompanied by threats of legal action for the coercive recovery of the amounts deemed due;</w:t>
      </w:r>
    </w:p>
    <w:p>
      <w:r>
        <w:t>VIEWED its resolution no. 28624 of March 30, 2021, with which the Authority contested to SEO Marketing S.L. the violation of Article 27, paragraph 12, of the Consumer Code, for failing to comply with the aforementioned resolution no. 26608 of May 4, 2017;</w:t>
      </w:r>
    </w:p>
    <w:p>
      <w:r>
        <w:t>VIEWED the documents of the proceedings;</w:t>
      </w:r>
    </w:p>
    <w:p>
      <w:r>
        <w:t>CONSIDERED the following:</w:t>
      </w:r>
    </w:p>
    <w:p>
      <w:r>
        <w:t>I. PREMISE</w:t>
      </w:r>
    </w:p>
    <w:p>
      <w:r>
        <w:t>1. With provision no. 26608 of May 4, 2017, the Authority closed the proceedings PS10609, establishing the unfairness of the commercial practice carried out by SEO MARKETING S.L. (hereinafter also "SEO") against Italian micro-enterprises, in violation of Articles 20, 24, 25 paragraph 1 letters d) and e), as well as Article 26 paragraph 1, letter f) of the Consumer Code, and prohibited its dissemination or continuation.</w:t>
      </w:r>
    </w:p>
    <w:p>
      <w:r>
        <w:t>2. The Authority considered, in particular, that the practice carried out by SEO was articulated in a plurality of conducts aimed at inducing the contacted micro-enterprises, through undue conditioning of their decision-making process, to subscribe and pay for an unsolicited advertising subscription.</w:t>
      </w:r>
    </w:p>
    <w:p>
      <w:r>
        <w:rPr>
          <w:b/>
        </w:rPr>
        <w:t>[Pages 118–120]</w:t>
      </w:r>
    </w:p>
    <w:p>
      <w:r>
        <w:t>120 BULLETIN NO. 3 OF JANUARY 17, 2022</w:t>
      </w:r>
    </w:p>
    <w:p>
      <w:r>
        <w:t>The reporting micro-enterprises had received communications that, disguising the true nature of a commercial proposal, presented themselves as a simple request, formulated in English, for the insertion/update of company data in private databases, including the one accessible at the website www.eu-businessregister.com1. The publisher of such sites appeared to be the company EU Business Services Ltd, of which, however, there were no traces in the international chambers of commerce registers. The communications sent were confusing and omissive regarding the nature and characteristics of the service offered. In fact, the form included in such communications featured the logo "EU Business Register," which evoked an official European register. The description of the commercial service actually offered and the corresponding price to be paid were instead marginalized in a small portion of the form with tiny and substantially illegible characters. The recipient micro-enterprises were thus artfully induced to fill in their company data and to sign the received communications, unwittingly binding themselves to a burdensome three-year contract (with an annual price of 995 euros). Only once the deadline for exercising the right of withdrawal contractually granted had passed did the micro-enterprises receive a new communication in which the existence of a contractual obligation was clearly revealed, and payment of the alleged debt for the provision of the unsolicited advertising service was requested. In case of non-payment of the requested amount, the micro-enterprises received repeated notices and reminders, sometimes accompanied by the threat of legal action for the coercive recovery of the claimed amounts. For the reminders in question, the professional relied on an alleged debt collection company, Waldberg &amp; Hirsh Global Collections Ltd. The beneficiary of the requested payments was always SEO Marketing S.L.</w:t>
      </w:r>
    </w:p>
    <w:p>
      <w:r>
        <w:t>In light of the above, the Authority deemed SEO Marketing S.L. responsible for the unfair commercial practice under investigation and sanctioned this professional, prohibiting the further dissemination of the commercial practice.</w:t>
      </w:r>
    </w:p>
    <w:p>
      <w:r>
        <w:t>3. Provision No. 26608 of May 4, 2017, was communicated to the professional on May 22, 20172.</w:t>
      </w:r>
    </w:p>
    <w:p>
      <w:r>
        <w:t>4. With intervention requests received in January3 and March 20214, the Consumers' Association AECI reported the recurrence of the commercial practice subject to the aforementioned provision, complaining about the receipt, by Italian micro-enterprises, of payment requests related to the alleged subscription of a service for advertising announcements included in databases accessible via the website www.eu-businessregister.com.</w:t>
      </w:r>
    </w:p>
    <w:p>
      <w:r>
        <w:t>5. This commercial practice, carried out by SEO MARKETING S.L., presents the same profiles of unfairness already established with the provision of May 4, 2017. Therefore, with provision No. 28624 of March 30, 2021, the Authority decided to contest SEO Marketing S.L. for failing to comply with resolution No. 26608 of May 4, 2017.</w:t>
      </w:r>
    </w:p>
    <w:p>
      <w:r>
        <w:t>1 Other communications concerned the insertion/update of data accessible in private databases accessible to the websites www.europeancompanynetwork.com and www.worldbusinesslist.net.</w:t>
      </w:r>
    </w:p>
    <w:p>
      <w:r>
        <w:t>2 The provision was communicated via notice in Bulletin No. 19 of May 22, 2017, published on the Authority's institutional website.</w:t>
      </w:r>
    </w:p>
    <w:p>
      <w:r>
        <w:t>3 See report of January 7, 2021, prot. 10722.</w:t>
      </w:r>
    </w:p>
    <w:p>
      <w:r>
        <w:t>4 See report and information of March 11, 2021, prot. 28197.</w:t>
      </w:r>
    </w:p>
    <w:p>
      <w:r>
        <w:t>BULLETIN NO. 3 OF JANUARY 17, 2022 121</w:t>
      </w:r>
    </w:p>
    <w:p>
      <w:r>
        <w:t>II. THE RESULTS OF THE PROCEEDING</w:t>
      </w:r>
    </w:p>
    <w:p>
      <w:r>
        <w:t>6. Following the unsuccessful attempt to notify the initiation provision, it was communicated to the Party by publication in Bulletin No. 24 of June 14, 2021.</w:t>
      </w:r>
    </w:p>
    <w:p>
      <w:r>
        <w:t>7. Similarly, the communication of the deadline for the submission of concluding memoranda was communicated to the Party by publication in Bulletin No. 35 of September 6, 2021.</w:t>
      </w:r>
    </w:p>
    <w:p>
      <w:r>
        <w:t>8. SEO continued to send payment reminders to micro-enterprises for the unsolicited registration in the Eu Business Register database at least until June 20215.</w:t>
      </w:r>
    </w:p>
    <w:p>
      <w:r>
        <w:t>9. From the examined reports, it emerged that the graphic layout of the commercial communication received by the micro-enterprises is identical to that already subject to investigation in provision No. 26608 of May 4, 2017 (case PS/10609). In particular, in the header of the communication, at the top right, the logo "Eu business register" is displayed. Also at the top, in a central position, the following text appears: "We are compiling information for the EU BUSINESS REGISTER. We wish to be able to inform other EU companies about your activities. In order to list your company on the Internet for EU businesses, just fill in and return the form. Any additional material of your company that can make your profile up to date is very welcome. We thank you for your cooperation."6. It continues: "To update your company profile, please print, complete and return this form. Updating is free of charge!7 Only sign if you want to place an insertion."</w:t>
      </w:r>
    </w:p>
    <w:p>
      <w:r>
        <w:t>The central part of the page is occupied by two boxes. In the left box, some sectors of economic activity are indicated among which the enterprise must specify its belonging. On the right, however, there is the box containing the fields related to company data ("name of the company," "address," "country," "telephone," "e-mail," "web address," "contact person"), sometimes already pre-filled, in other cases to be filled in or supplemented.</w:t>
      </w:r>
    </w:p>
    <w:p>
      <w:r>
        <w:t>At the bottom of the page, with tiny and closely spaced graphic characters, after the wording "ORDER," the following indications are contained: "THE SIGNING OF THIS DOCUMENT REPRESENTS THE ACCEPTANCE OF THE FOLLOWING CONDITIONS AND THE CONDITIONS STATED IN 'THE TERMS AND CONDITIONS FOR INSERTION' ON THE WEB PAGE WWW.EUBUSINESSREGISTER.NET. THE SIGNING IS LEGALLY BINDING AND GIVES YOU THE RIGHT OF AN INSERTION IN THE ONLINE DATABASE OF THE EU BUSINESS REGISTER WHICH CAN BE ACCESSED VIA THE INTERNET ALL IN ACCORDANCE WITH THE CONTRACTUAL CONDITIONS STATED ON THE TERMS AND CONDITIONS FOR INSERTION ON WEBPAGE WWW.EUBUSINESSREGISTER.NET. THE VALIDATION TIME OF THE CONTRACT IS THREE YEARS AND STARTS ON THE EIGHTH DAY AFTER SIGNING THE CONTRACT. THE INSERTION IS GRANTED AFTER SIGNING AND RECEIVING THIS DOCUMENT BY THE SERVICE PROVIDER. I HEREBY ORDER A SUBSCRIPTION WITH THE SERVICE PROVIDER EU BUSINESS SERVICE LTD. 'EU BUSINESS REGISTER' I WILL HAVE AN INSERTION INTO ITS DATABASE FOR THREE YEARS, THE PRICE FOR YEAR IS EURO 995. THE SUBSCRIPTION WILL BE AUTOMATICALLY EXTENDED EVERY YEAR FOR ANOTHER YEAR, UNLESS SPECIFIC WRITTEN NOTICE IS RECEIVED BY THE SERVICE PROVIDER OR THE SUBSCRIBER TWO MONTHS BEFORE THE EXPIRATION OF THE SUBSCRIPTION. YOUR DATA WILL BE RECORDED. THE PLACE OF JURISDICTION IN ANY DISPUTE ARISING IS THE SERVICE PROVIDER’S ADDRESS. THE AGREEMENT BETWEEN THE SERVICE PROVIDER EU BUSINESS SERVICE LTD AND THE SUBSCRIBER IS GOVERNED BY THE CONDITIONS STATED IN 'THE TERMS AND CONDITIONS FOR INSERTION' ON WEB PAGE WWW.EUBUSINESSREGISTER.NET."8</w:t>
      </w:r>
    </w:p>
    <w:p>
      <w:r>
        <w:t>10. The communication also contains two spaces dedicated, respectively, to the insertion of the date ("date"), the signature, and the stamp of the contacted enterprise ("Legal signature/Company stamp"). It follows the invitation to send the signed and completed form by fax from the enterprise to a Dutch address. The company EU Business Service LTD is indicated as the publisher of the database currently available on the website www.eu-businessregister.com. However, no trace of this company can be found in the international chambers of commerce registers9.</w:t>
      </w:r>
    </w:p>
    <w:p>
      <w:r>
        <w:t>11. According to the reports, after sending the form to the indicated fax, the contacted enterprise receives a payment request defined as "INVOICE" for an amount of 995 euros for an annual subscription ("one year subscription"). In this request, the beneficiary of the payment is indicated as the company SEO MARKETING S.L. based in Spain (Malaga)10; the banking references (IBAN and BIC of Spanish law) to which the requested amount should be paid are also specified.</w:t>
      </w:r>
    </w:p>
    <w:p>
      <w:r>
        <w:t>12. If the contacted enterprises do not pay the requested amount, they receive periodic payment reminders defined as "REMINDER" in which the aforementioned company SEO MARKETING S.L. is always indicated as the beneficiary of the payment. In these reminders, payment is requested not only for the initial amount of 995 euros annually but also for additional fees: a "late payment fee" of 99 euros and an "administration fee" of 35 euros.</w:t>
      </w:r>
    </w:p>
    <w:p>
      <w:r>
        <w:t>13. Sometimes the credit is subsequently claimed with further reminders from an alleged debt collection company, Walberg &amp; Hirsh Global Collections Ltd, which claims to be based in Amsterdam (Netherlands)11, of which, however, there is no trace in the Dutch Business Register. Also in this reminder, the company SEO MARKETING S.L. based in Spain (Malaga) is always indicated as the beneficiary of the payment, and the same banking references are specified. With this reminder, payment of the aforementioned amounts (totaling 1,129 euros, fees included) plus additional fees for "Legal Fee" totaling 1,929 euros is particularly demanded.</w:t>
      </w:r>
    </w:p>
    <w:p>
      <w:r>
        <w:t>III. THE ARGUMENTS OF THE PARTY</w:t>
      </w:r>
    </w:p>
    <w:p>
      <w:r>
        <w:t>14. The company SEO MARKETING S.L. did not produce any defensive memoranda.</w:t>
      </w:r>
    </w:p>
    <w:p>
      <w:r>
        <w:t>8 See, for example, attachments to the report of March 11, 2021, cited above, as well as to the report prot. 55819 of June 30, 2021.</w:t>
      </w:r>
    </w:p>
    <w:p>
      <w:r>
        <w:t>9 In this sense, the Guardia di Finanza also expressed itself with a note received on February 11, 2021, prot. 92301.</w:t>
      </w:r>
    </w:p>
    <w:p>
      <w:r>
        <w:t>10 The company SEO MARKETING SL is registered with the Spanish Chamber of Commerce with the tax identification code (CIF) B93386654.</w:t>
      </w:r>
    </w:p>
    <w:p>
      <w:r>
        <w:t>11 See report of March 11, 2021, cited above.</w:t>
      </w:r>
    </w:p>
    <w:p>
      <w:r>
        <w:rPr>
          <w:b/>
        </w:rPr>
        <w:t>[Pages 121–123]</w:t>
      </w:r>
    </w:p>
    <w:p>
      <w:r>
        <w:t>BULLETIN NO. 3 OF JANUARY 17, 2022 123</w:t>
      </w:r>
    </w:p>
    <w:p>
      <w:r>
        <w:t>IV. ASSESSMENTS</w:t>
      </w:r>
    </w:p>
    <w:p>
      <w:r>
        <w:t>15. The elements acquired demonstrate the repetition of the conduct already deemed by the Authority in violation of Articles 20, 24, 25, letters d) and e), and 26, paragraph 1, letter f) of the Consumer Code with resolution no. 26608 of May 4, 2017, which closed the PS10609 proceeding.</w:t>
      </w:r>
    </w:p>
    <w:p>
      <w:r>
        <w:t>16. From the documentation on record, it appears that the professional continued to send misleading communications to Italian micro-enterprises aimed at inducing the recipients to unwittingly subscribe to an advertising service, accessible via the website www.eu-businessregister.com. The professional then demanded payment for the service in question, which the recipient micro-enterprises had never consciously requested, indicating as the beneficiary of the payment the company SEO MARKETING S.L. based in Spain (Malaga). The communications in question have the same graphic design and the same confusing and omissive content regarding the nature and characteristics of the service offered that characterized those already subject to censure in the PS10609 proceeding: the heading and logo "Eu business register," the request for verification of pre-filled business data, and the marginalization of the actual purpose of the communication itself and the price of the service offered.</w:t>
      </w:r>
    </w:p>
    <w:p>
      <w:r>
        <w:t>17. The professional also continued to send the contacted micro-enterprises reminders defined as "REMINDER," requesting payment of an annual amount of 995 euros, indicating as the beneficiary of the payment the company SEO MARKETING S.L. based in Spain (Malaga), with the same banking references (IBAN and BIC) of Spanish law specified. The evidence on record finally attests that the professional continued to send, both directly and through an alleged debt collection company named Walberg &amp; Hirsh Global Collections Ltd, further payment reminders to the deceived micro-enterprises, characterized by a clearly aggressive nature given the insistence and increasingly pressing tone, as well as the presence of threats to take legal action for the forced recovery of the amounts allegedly owed.</w:t>
      </w:r>
    </w:p>
    <w:p>
      <w:r>
        <w:t>18. The communications under examination present the same literal and content characteristics as those censured by the Authority with resolution no. 26608 of May 4, 2017, and are similarly aimed at inducing the recipients to unwittingly subscribe to an unsolicited advertising service. The so-called "invoice" payment requests and subsequent reminders, including the presence of threats of legal action, as well as the indication of the company SEO MARKETING S.L. as the beneficiary of the payment, represent conduct substantially identical to those already subject to verification. The repetition of the practice previously established by the Authority in violation of the rules contained in the Consumer Code is considered particularly insidious for the recipient micro-enterprises, affected by the economic crisis induced by the pandemic, as it is capable of inducing them to pay amounts not due in order to avoid the risk of the threatened legal actions.</w:t>
      </w:r>
    </w:p>
    <w:p>
      <w:r>
        <w:t>19. In light of all the above, the behavior carried out by the professional SEO MARKETING S.L. constitutes non-compliance with the aforementioned resolution of the Authority of May 4, 2017, no. 26608.</w:t>
      </w:r>
    </w:p>
    <w:p>
      <w:r>
        <w:t>124 BULLETIN NO. 3 OF JANUARY 17, 2022</w:t>
      </w:r>
    </w:p>
    <w:p>
      <w:r>
        <w:t>V. QUANTIFICATION OF THE SANCTION</w:t>
      </w:r>
    </w:p>
    <w:p>
      <w:r>
        <w:t>20. Pursuant to Article 27, paragraph 12, of the Consumer Code, the Authority orders the application of an administrative pecuniary sanction from 10,000 to 5,000,000 euros, taking into account the severity and duration of the violation.</w:t>
      </w:r>
    </w:p>
    <w:p>
      <w:r>
        <w:t>21. Regarding the quantification of the sanction, the criteria identified by Article 11 of Law no. 689/81 must be considered, as applicable, by virtue of the reference provided by Article 27, paragraph 13, of the Consumer Code: in particular, the severity of the violation, the efforts made by the company to eliminate or mitigate the infringement, as well as the economic conditions of the company itself.</w:t>
      </w:r>
    </w:p>
    <w:p>
      <w:r>
        <w:t>22. With regard to the severity of the violation, account is taken of the nature of the commercial practice, consisting in artfully inducing the subscription to an unsolicited service and then demanding payment in aggressive ways, as well as the significant economic harm suffered by the recipient micro-enterprises, also due to the weight of the annual amount requested in relation to their economic-financial dimensions.</w:t>
      </w:r>
    </w:p>
    <w:p>
      <w:r>
        <w:t>23. As for the duration of the violation, the available evidence on record shows that the unlawful behavior was carried out by SEO MARKETING S.L. starting from January 2021, the date on which the first report was received in the investigative file12, and is still ongoing, with no knowledge of the cessation of the practice.</w:t>
      </w:r>
    </w:p>
    <w:p>
      <w:r>
        <w:t>24. Considering these elements, it is deemed appropriate to impose on the company SEO MARKETING S.L. an administrative pecuniary sanction of 600,000 € (six hundred thousand euros).</w:t>
      </w:r>
    </w:p>
    <w:p>
      <w:r>
        <w:t>All of the above having been stated and considered</w:t>
      </w:r>
    </w:p>
    <w:p>
      <w:r>
        <w:t>RESOLVES</w:t>
      </w:r>
    </w:p>
    <w:p>
      <w:r>
        <w:t>a) that the behavior of the company SEO MARKETING S.L. consisting in having violated the Authority's resolution no. 26608 of May 4, 2017, constitutes non-compliance with the latter;</w:t>
      </w:r>
    </w:p>
    <w:p>
      <w:r>
        <w:t>b) to impose on the company SEO MARKETING S.L. an administrative pecuniary sanction of 600,000 € (six hundred thousand euros).</w:t>
      </w:r>
    </w:p>
    <w:p>
      <w:r>
        <w:t>The imposed administrative sanction must be paid within thirty days from the notification of this provision, via bank transfer (in euros) to the Treasury, using the IBAN code IT04A0100003245348018359214 (BIC code: BITAITRRENT), which corresponds to the accounting number 18/3592/14.</w:t>
      </w:r>
    </w:p>
    <w:p>
      <w:r>
        <w:t>After the aforementioned deadline, for the period of delay of less than six months, late interest must be paid at the legal rate starting from the day following the expiration of the payment deadline until the date of payment. In case of further delay, pursuant to Article 27, paragraph 6, of Law no. 689/81, the amount due for the imposed sanction is increased by one-tenth for each semester starting from the day following the expiration of the payment deadline until the role is transmitted to the concessionaire for collection; in this case, the increase absorbs the late interest accrued during the same period.</w:t>
      </w:r>
    </w:p>
    <w:p>
      <w:r>
        <w:t>Immediate communication of the payment must be given to the Authority by sending the documentation certifying the payment made.</w:t>
      </w:r>
    </w:p>
    <w:p>
      <w:r>
        <w:t>This provision will be notified to the interested parties and published in the Bulletin of the Authority for Competition and the Market.</w:t>
      </w:r>
    </w:p>
    <w:p>
      <w:r>
        <w:t>Against this provision, an appeal may be submitted to the TAR of Lazio, pursuant to Article 135, paragraph 1, letter b), of the Code of Administrative Procedure (Legislative Decree of July 2, 2010, no. 104),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of November 24, 1971, no. 1199 within the term of one hundred and twenty days from the date of notification of the provision itself.</w:t>
      </w:r>
    </w:p>
    <w:p>
      <w:r>
        <w:t>THE SECRETARY GENERAL THE PRESIDENT</w:t>
      </w:r>
    </w:p>
    <w:p>
      <w:r>
        <w:t>Filippo Arena Roberto Rustichelli</w:t>
      </w:r>
    </w:p>
    <w:p>
      <w:r>
        <w:rPr>
          <w:b/>
        </w:rPr>
        <w:t>[Pages 124–126]</w:t>
      </w:r>
    </w:p>
    <w:p>
      <w:r>
        <w:t xml:space="preserve">126 BULLETIN NO. 3 OF JANUARY 17, 2022  </w:t>
        <w:br/>
        <w:t xml:space="preserve">PS11694 - PEDEMONTANA HIGHWAY - TOLL PAYMENT  </w:t>
        <w:br/>
        <w:t xml:space="preserve">Provision No. 29963  </w:t>
        <w:br/>
        <w:t xml:space="preserve">THE ANTITRUST AUTHORITY  </w:t>
        <w:br/>
        <w:t xml:space="preserve">IN ITS MEETING of December 21, 2021;  </w:t>
        <w:br/>
        <w:t xml:space="preserve">HEARD the Rapporteur, President Roberto Rustichelli;  </w:t>
        <w:br/>
        <w:t xml:space="preserve">VIEWED Part II, Title III, of Legislative Decree No. 206 of September 6, 2005, containing the "Consumer Code" and subsequent amendments (hereinafter, Consumer Code);  </w:t>
        <w:br/>
        <w:t xml:space="preserve">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No. 25411 of April 1, 2015;  </w:t>
        <w:br/>
        <w:t xml:space="preserve">VIEWED its provision of May 4, 2021, which ordered the inspection pursuant to Article 27, paragraphs 2 and 3, of the Consumer Code, at the premises, locations, and offices of Autostrada Pedemontana Lombarda S.p.A. and the companies controlled by it;  </w:t>
        <w:br/>
        <w:t xml:space="preserve">VIEWED the communication received on June 28, 2021, and definitively integrated on September 15, 2021, whereby the company Autostrada Pedemontana Lombarda S.p.A. submitted commitments pursuant to Article 27, paragraph 7, of the Consumer Code and Article 9 of the Regulation;  </w:t>
        <w:br/>
        <w:t xml:space="preserve">VIEWED its decision of August 31, 2021, whereby, pursuant to Article 7, paragraph 3, of the Regulation, a sixty-day extension of the conclusion of the proceedings was ordered, for the evaluation of the commitments proposed by the professional on June 28, 2021, pursuant to Article 27, paragraph 7, of the Consumer Code;  </w:t>
        <w:br/>
        <w:t xml:space="preserve">VIEWED its decision of November 4, 2021, whereby the conclusion of the proceedings, in relation to the commitments presented by Autostrada Pedemontana Lombarda S.p.A., was extended by fifteen days for the request for the opinion provided for by Article 27, paragraph 1 bis, of the Consumer Code, as well as further extended by fifteen days;  </w:t>
        <w:br/>
        <w:t xml:space="preserve">VIEWED the documents of the proceedings;  </w:t>
        <w:br/>
        <w:t xml:space="preserve">I. THE PARTIES  </w:t>
        <w:br/>
        <w:t xml:space="preserve">1. Autostrada Pedemontana Lombarda S.p.A. (hereinafter, also APL or the Company), with its registered office in Assago (MI), as a professional pursuant to Article 18, letter b), of the Consumer Code. The share capital of APL is distributed as follows: Lombardy Region 53.77%, Milano Serravalle - Milano Tangenziali S.p.A. 36.66%, Intesa San Paolo S.p.A. 8.03%, and Unione di Banche Italiane S.p.A. 1.54%1.  </w:t>
        <w:br/>
        <w:t xml:space="preserve">The Company currently operates the following highway sections: i) Highway A36 - from Cassano Magnago (VA) to Lentate sul Seveso (MB), 30.2 Km; ii) Highway A59 - Como Ring Road (1st lot) from Villa Guardia (CO) to the Acquanegra interchange, 4.3 Km; iii) Highway A60 - Varese Ring Road (1st lot) from the interconnection with Highway A8 Milan - Varese to Gazzada Schianno (VA) to the Vedano Olona interchange (VA), 7.0 Km, for a total of 41.5 Km of highway network2.  </w:t>
        <w:br/>
        <w:t xml:space="preserve">2. Consumer and User Research and Protection Center (hereinafter, CRTCU) - as the notifier. CRTCU is the Trentino office provided for by provincial law No. 8 of 1997 for the protection of consumers and users (B.U. April 29, 1997, No. 20), managed under an agreement with the Autonomous Province of Trento3.  </w:t>
        <w:br/>
        <w:t xml:space="preserve">3. A consumer, as a notifier.  </w:t>
        <w:br/>
        <w:t xml:space="preserve">II. THE CONDUCTS SUBJECT TO THE PROCEEDINGS  </w:t>
        <w:br/>
        <w:t xml:space="preserve">4. Based on various reports received between May 2018 and March 2021 from consumers, their representative associations, and the Transport Regulation Authority (hereinafter, also "ART"), as well as based on information acquired for the application of the Consumer Code4, it emerged that APL, in the context of its management of the Autostrada Pedemontana Lombarda, would have engaged in conduct consisting of:  </w:t>
        <w:br/>
        <w:t xml:space="preserve">a) inadequate information provided to users, especially at the time of entry into the highway sections managed by APL, regarding the fact that they are about to travel on a road with a toll payment obligation and that, in particular, since there are no toll booths, the payment of the amount due for transit must occur through methods different from those normally practiced on highways (payment at the toll booth);  </w:t>
        <w:br/>
        <w:t xml:space="preserve">b) issues related to the sending of payment reminders, sent by regular mail (massive), which the professional sends to users of its highway sections in case of non-payment of the toll, which would result in an increase in costs (administrative charges, amounting to €3.50), usually exceeding the amounts actually due and which, in some cases, are received by consumers a considerable time after the transit or not received at all, with these latter receiving payment requests for unpaid tolls directly from credit recovery companies, specifically appointed by APL, with further increases in costs.  </w:t>
        <w:br/>
        <w:t xml:space="preserve">III. THE OUTCOMES OF THE PROCEEDINGS: THE PRESENTATION OF COMMITMENTS  </w:t>
        <w:br/>
        <w:t xml:space="preserve">1) The procedure process  </w:t>
        <w:br/>
        <w:t xml:space="preserve">5. In relation to the conduct described above, on May 4, 2021, the PS11694 investigative procedure was initiated5. In this context, it was hypothesized that the conduct of the Company could constitute distinct violations of Articles 20, 22, 24, and 25 of the Consumer Code, as they are contrary to professional diligence, omissive, and capable of unduly conditioning and limiting the freedom of choice or behavior of the average consumer in relation, on one hand, to the paid highway service offered, and on the other hand, regarding the methods and timing of the procedures adopted to collect the requested payment in case of non-payment of the toll for the highway transit carried out.  </w:t>
        <w:br/>
        <w:t xml:space="preserve">6. In particular, regarding the conduct referred to in the previous letter a), the information regarding the absence of toll booths at the exit and the necessity to pay the toll using different methods (online, at assistance points, via app, etc.) compared to those normally known by users of the highway service (payment at the toll booth) could be considered inadequate at the entry phase into the highway sections managed by the professional; with reference to the conduct referred to in the previous letter b), the methods adopted by APL, consisting of sending reminders by regular mail to its users - even a considerable time after the transit - and subsequently the payment demand by a specific credit recovery company, could be considered inadequate, at the moment when the non-payment of the toll depends on the manager's responsibility regarding payment methods that are difficult to use or due to service disruptions of some normally accepted instruments (as in the circumstances of malfunctioning of the transit detection devices, particularly the Telepass)6.  </w:t>
        <w:br/>
        <w:t xml:space="preserve">7. The initiation of the investigative procedure was communicated to the professional on May 13, 2021, the day on which an inspection was carried out at APL's registered office.  </w:t>
        <w:br/>
        <w:t xml:space="preserve">8. On May 26 and June 18, 2021, APL accessed the documents in the file7.  </w:t>
        <w:br/>
        <w:t xml:space="preserve">9. On June 1, 2021, a consumer submitted a request to participate in the proceedings; the request was accepted and communicated to the notifying consumer and to APL on the same day8.  </w:t>
        <w:br/>
        <w:t xml:space="preserve">10. On June 14 and 18, 2021, the consumer party to the proceedings accessed all accessible documents in the file, except for those already in the possession of the applicant9.  </w:t>
        <w:br/>
        <w:t xml:space="preserve">6 Concurrently with the communication of the initiation of the investigative procedure, in order to acquire useful information for the assessment of the contested conduct, the professional was requested, pursuant to Article 12, paragraph 1, of the Regulation, to provide information and related documentation, among other things, regarding:  </w:t>
        <w:br/>
        <w:t xml:space="preserve">- photographic documentation relating to all road signs placed at each entrance and exit of the highway sections managed by APL, as well as the methods adopted to inform users that the aforementioned sections are without exit toll booths and require payment of a toll according to alternative methods;  </w:t>
        <w:br/>
        <w:t xml:space="preserve">- quantitative data for each of the aforementioned highway sections, such as the number of recorded transits, payment reminders sent, total value of tolls paid and unpaid, those recovered following payment reminders or the activities carried out by credit recovery companies, value of amounts charged to consumers as administrative expenses;  </w:t>
        <w:br/>
        <w:t xml:space="preserve">- description of the procedures adopted by the Company to send the payment reminder(s), their methods (regular mail, etc.), and related timing;  </w:t>
        <w:br/>
        <w:t xml:space="preserve">- standard copy of the model(s) of payment reminder(s) sent to users and the model(s) of payment demand sent by the credit recovery companies appointed by APL;  </w:t>
        <w:br/>
        <w:t xml:space="preserve">- number of complaints received from users, management procedures, and standard responses provided.  </w:t>
        <w:br/>
        <w:t xml:space="preserve">7 See documents No. 35, 36, and 68, as listed in the file index.  </w:t>
        <w:br/>
        <w:t xml:space="preserve">8 See documents No. 59, 60, and 61, as listed in the file index.  </w:t>
        <w:br/>
        <w:t>9 See documents No. 64, 65, and 69, as listed in the file index.</w:t>
      </w:r>
    </w:p>
    <w:p>
      <w:r>
        <w:rPr>
          <w:b/>
        </w:rPr>
        <w:t>[Pages 127–129]</w:t>
      </w:r>
    </w:p>
    <w:p>
      <w:r>
        <w:t>BULLETIN NO. 3 OF JANUARY 17, 2022 129</w:t>
      </w:r>
    </w:p>
    <w:p>
      <w:r>
        <w:t>11. On June 14, 2021, APL submitted its defensive memorandum, accompanied by a technical memorandum, and the following day, a DVD containing the requested informational elements in the context of the communication initiating the investigative proceedings10.</w:t>
      </w:r>
    </w:p>
    <w:p>
      <w:r>
        <w:t>12. On June 28, 2021, APL presented commitments pursuant to Article 27, paragraph 7, of the Consumer Code and Article 9 of the Regulation, subsequently supplemented, definitively, on September 15, 2021, and transmitted, in consolidated version, on October 19, 202111.</w:t>
      </w:r>
    </w:p>
    <w:p>
      <w:r>
        <w:t>13. On August 31, 2021, pursuant to Article 7, paragraph 3, of the Regulation, a sixty-day extension of the deadline for concluding the proceedings for the evaluation of the commitments proposed by the professional was ordered; on November 4, 2021, this deadline was further extended by fifteen days for the completion of the procedural phase of acquiring and evaluating the opinion requested from ART, pursuant to Article 27, paragraph 1-bis, of the Consumer Code, as well as extended by an additional fifteen days, pursuant to Article 16, paragraph 5, of the Regulation12.</w:t>
      </w:r>
    </w:p>
    <w:p>
      <w:r>
        <w:t>14. APL was heard in a hearing on September 6, 2021, conducted via telematic means due to the situation arising from the containment measures of the COVID-19 epidemiological emergency13.</w:t>
      </w:r>
    </w:p>
    <w:p>
      <w:r>
        <w:t>15. On September 15, 2021, APL submitted a supplementary memorandum14.</w:t>
      </w:r>
    </w:p>
    <w:p>
      <w:r>
        <w:t>16. On October 12, 2021, the date of conclusion of the investigative phase was communicated to the Parties, pursuant to Article 16, paragraph 1, of the Regulation15.</w:t>
      </w:r>
    </w:p>
    <w:p>
      <w:r>
        <w:t>17. On December 16, 2021, the opinion from the Transport Regulatory Authority, requested on November 5, 2021, pursuant to Article 27, paragraph 6, of the Consumer Code, was received16.</w:t>
      </w:r>
    </w:p>
    <w:p>
      <w:r>
        <w:t>2) The elements acquired and the commitments of the professional</w:t>
      </w:r>
    </w:p>
    <w:p>
      <w:r>
        <w:t>Overview of the toll collection system implemented by Autostrada Pedemontana Lombarda</w:t>
      </w:r>
    </w:p>
    <w:p>
      <w:r>
        <w:t>18. Autostrada Pedemontana Lombarda S.p.A. is the concessionaire currently operating the motorway sections A36, A60 - Varese Bypass, and A59 - Como Bypass, for a total of 41.54 km of toll road network.</w:t>
      </w:r>
    </w:p>
    <w:p>
      <w:r>
        <w:t>19. APL is the first motorway in Italy to have the Free Flow Multi Lane (FFML) toll collection system, which allows the toll amount to be calculated based on actual use of the infrastructure, avoiding the need for toll booths and physical barriers, both at entry and exit, without channeling traffic at the moment of leaving the motorway17.</w:t>
      </w:r>
    </w:p>
    <w:p>
      <w:r>
        <w:t>20. This toll collection system has been implemented in accordance with the prescriptions formulated by the Interministerial Committee for Economic Planning (CIPE), competent to approve – pursuant to Article 1, Law No. 443/200118 – the program for the realization of public infrastructure of primary national interest, such as the motorway granted in concession to the professional19.</w:t>
      </w:r>
    </w:p>
    <w:p>
      <w:r>
        <w:t>21. The FFML toll collection system is characterized by specific metal infrastructures, called "portals," that cover the entire roadway, on which specific field detectors (cameras, classifiers, antennas, illuminators, etc.) are installed that allow for the detection of vehicle passage, both via on-board equipment (e.g., Telepass) and via license plate registration, as well as to assign the corresponding volumetric class (light or heavy vehicles) and determine the toll due20.</w:t>
      </w:r>
    </w:p>
    <w:p>
      <w:r>
        <w:t>22. Each motorway section is divided into elementary segments that go from interchange to interchange, and in each of them, there is a portal on which the detection devices are installed. Each passage under a portal constitutes a toll transaction.</w:t>
      </w:r>
    </w:p>
    <w:p>
      <w:r>
        <w:t>The main elements acquired and the commitments of APL</w:t>
      </w:r>
    </w:p>
    <w:p>
      <w:r>
        <w:t>23. During the inspection carried out at APL's legal headquarters on May 13, 2021, and with the memoranda (defensive, technical, and supplementary) submitted by the professional on June 14 and September 15, 2021, the main elements related to the specific case and the information requested in the communication initiating the investigative proceedings concerning, on one hand, the information to users about the characteristics of the motorway and, on the other hand, the documentation related to issues concerning payment reminders were acquired.</w:t>
      </w:r>
    </w:p>
    <w:p>
      <w:r>
        <w:t>24. In a note received on June 28, 2021, the professional submitted a proposal for commitments, pursuant to Article 27, paragraph 7, of the Consumer Code and Article 9 of the Regulation, subsequently supplemented, definitively, on September 15, 2021, and transmitted, in consolidated version, on October 19, 202121.</w:t>
      </w:r>
    </w:p>
    <w:p>
      <w:r>
        <w:t>25. In this proposal, the Company, in order to definitively overcome the concerns outlined in the communication initiating the investigative proceedings, presented the set of commitments reported below:</w:t>
      </w:r>
    </w:p>
    <w:p>
      <w:r>
        <w:t>I. Specification of information regarding the methods of payment of the motorway toll in case of use of the infrastructure granted in concession to APL</w:t>
      </w:r>
    </w:p>
    <w:p>
      <w:r>
        <w:t>I.1. Include among the messages provided to users through the illuminated signage of the Variable Message Panels, information regarding toll collection, with the following textual content22: "Toll payment by users within 15 days"; "Charges for the assessment of missed payments at the expense of users"; "Recovery of missed payments"; "Payment methods on the Pedemontana website." This measure will be implemented within one month from the date of acceptance of the commitments proposed by APL pursuant to Article 27, paragraph 7 of the Consumer Code.</w:t>
      </w:r>
    </w:p>
    <w:p>
      <w:r>
        <w:t>Furthermore, in order to ensure that information regarding the absence of barriers and the use of a toll road is characterized by "greater immediacy and visual impact for motorists who are about to enter the motorway," APL - subject to prior approval by the Toponymy Committee established at AISCAT - has committed to:</w:t>
      </w:r>
    </w:p>
    <w:p>
      <w:r>
        <w:t>I.2. Modify the vertical signage positioned on the entry ramps of the motorway, inserting at the top of the signage, in the largest font size permitted, the wording "TOLL MOTORWAY WITHOUT BARRIERS." In the section of the aforementioned signage relating to payment methods, symbols will also be inserted regarding the possibility of making payment for transit via cash and debit/credit cards, methods accessible through the Company's Website or at dedicated points. Below, the image of the signage in its existing version and the modified version, subject to the commitment, with the proposed textual and graphic changes is reported (see Image No. 1).</w:t>
      </w:r>
    </w:p>
    <w:p>
      <w:r>
        <w:t>22 The Variable Message Panels installed along the motorway already display the following messages: i) "Obligation to pay toll within 15 days"; ii) "Info payment methods pedemontana.com"; iii) "Toll motorway without barriers"; iv) "Assessment of missed payments," connected to the pictogram of the Traffic Police.</w:t>
      </w:r>
    </w:p>
    <w:p>
      <w:r>
        <w:rPr>
          <w:b/>
        </w:rPr>
        <w:t>[Pages 130–132]</w:t>
      </w:r>
    </w:p>
    <w:p>
      <w:r>
        <w:t xml:space="preserve">132 BULLETIN NO. 3 OF JANUARY 17, 2022  </w:t>
        <w:br/>
        <w:t xml:space="preserve">Image No. 1  </w:t>
        <w:br/>
        <w:t xml:space="preserve">Regarding the timing of the implementation of the commitment, the process of modifying the above-described highway signage will take twelve months, due to the need to involve third parties and the timelines that have, to date, been recorded in similar cases, as it is necessary to: i) obtain approval of the modification from the Ministry of Infrastructure and Sustainable Mobility; ii) obtain approval from the granting authority Concessioni Autostradali Lombarde S.p.A.; iii) prepare and carry out the tender procedure for the assignment of the works for the installation and the consequent implementation times.  </w:t>
        <w:br/>
        <w:t xml:space="preserve">II. Reduction of the time required for toll payment following non-payment by the user  </w:t>
        <w:br/>
        <w:t xml:space="preserve">II.1 Reduce by one third the timelines related to the duration of the production activities and the sending of the second payment reminder.  </w:t>
        <w:br/>
        <w:t>23 APL, in the Commitment Form, specified that – pursuant to Articles 35 and 37 of Legislative Decree No. 542/1992, concerning the "New Highway Code" – any modification to the information provided through signage positioned along the highway route is subject to the approval of the competent offices of the Ministry of Infrastructure and Sustainable Mobility and to the determinations of the Permanent Committee for Signage – Subcommittee for Toponymy of the Italian Association of Highway and Tunnel Concessionaires, as well as the granting authority Concessioni Autostradali Lombarde S.p.A.</w:t>
      </w:r>
    </w:p>
    <w:p>
      <w:r>
        <w:t xml:space="preserve">BULLETIN NO. 3 OF JANUARY 17, 2022 133  </w:t>
        <w:br/>
        <w:t xml:space="preserve">Currently, the ordinary process for managing non-payments implemented by the Company provides, with reference to the production of the second payment reminder, that at least 90 days have passed since the production of the first payment reminder.  </w:t>
        <w:br/>
        <w:t xml:space="preserve">The Company therefore commits to initiate the production and sending of the second payment reminder after 60 days – and no longer 90 – from the production of the first reminder that remained unpaid.  </w:t>
        <w:br/>
        <w:t xml:space="preserve">This measure will be implemented within one month from the date of acceptance of the commitments proposed by APL pursuant to Article 27, paragraph 7, of the Consumer Code.  </w:t>
        <w:br/>
        <w:t xml:space="preserve">IV. OPINION OF THE TRANSPORT REGULATORY AUTHORITY  </w:t>
        <w:br/>
        <w:t xml:space="preserve">26. Since the commercial practice subject to this provision concerns the road transport sector, on November 5, 2021, an opinion was requested from the ART, pursuant to and for the effects of Article 27, paragraph 1-bis, of the Consumer Code, introduced by Article 1, paragraph 6, letter a), of Legislative Decree No. 21/2014.  </w:t>
        <w:br/>
        <w:t xml:space="preserve">27. In an opinion received on December 16, 2021, the aforementioned Authority made the following considerations.  </w:t>
        <w:br/>
        <w:t xml:space="preserve">28. In particular, the ART, with specific reference to the regulatory profile, after preliminarily representing what the competencies attributed to it by Article 37, paragraph 2, of Decree-Law No. 201/2011 are, announced that the Authority has, among other things, adopted Resolution No. 106/2020 concerning "Approval of the toll tariff system related to the Single Convention Concessioni Autostradali Lombarde S.p.a. – Autostrada Pedemontana Lombarda S.p.a."  </w:t>
        <w:br/>
        <w:t xml:space="preserve">29. This tariff system provides for both some penalty/reward mechanisms, with reference to the evaluation of the quality of services offered to users, and the principles that the grantor will be required to apply to evaluate the performance of the highway concessionaire.  </w:t>
        <w:br/>
        <w:t xml:space="preserve">30. These mechanisms, which have a direct impact on the annual update of the tariffs, correlating them to the levels of service provided to users, are focused, among other things, on qualitative factors, such as: i) fluidity at the toll booths (for example, availability of automatic cashiers at the toll booths and efficiency of the Telepass system); ii) dynamic updating of information via variable message panels; iii) the use of free flow technologies for the collection of highway tolls capable of evolving towards interoperable solutions at the community level; iv) the use of Intelligent Transportation Systems (ITS), also in order to enhance logistics and pursue the optimization of infrastructure use by heavy and light vehicles.  </w:t>
        <w:br/>
        <w:t xml:space="preserve">31. From the perspective of temporal application, it is provided that the new tariff system will take effect from January 1, 2021; however, it has not yet been applied to date.  </w:t>
        <w:br/>
        <w:t xml:space="preserve">32. With specific reference to the profiles subject to the proceedings, the ART observed, regarding Commitment No. 1, how it encourages the use of "Smart Road" technologies that represent best practices in the highway sector, generally promoting the development of such technologies in the form of rewards from a tariff perspective.  </w:t>
        <w:br/>
        <w:t xml:space="preserve">33. In this perspective, the ART believes that APL's commitment to modify the vertical signage positioned on the entry ramps of the highway route could represent an improvement initiative aimed at allowing users to have a more evident perception of entering a toll highway without barriers, thus enabling users themselves to consciously make the related choice.  </w:t>
        <w:br/>
        <w:t xml:space="preserve">34. With reference, then, to the further commitment by APL aimed at reducing the timing related to the activities of sending payment reminders, the ART observed that any action aimed at reduction can only be favorably received, also highlighting that for episodes of non-payment of the toll due to the responsibility of the operator (service disruptions or malfunctioning of the transit detection devices), a simple and immediate method should be guaranteed to allow the user to communicate the payment made, as well as to file complaints in case of errors.  </w:t>
        <w:br/>
        <w:t xml:space="preserve">35. The ART concluded by observing that the proposed commitments are overall suitable to ensure highway users greater awareness regarding the onerous nature of the highway sections subject to the concession to APL and the peculiar forms of toll collection.  </w:t>
        <w:br/>
        <w:t xml:space="preserve">V. EVALUATION OF THE COMMITMENTS  </w:t>
        <w:br/>
        <w:t xml:space="preserve">36. The Authority believes that the commitments proposed by the professional are suitable to overcome the possible profiles of illegitimacy of the conduct hypothesized in the initiation communication of May 4, 2021.  </w:t>
        <w:br/>
        <w:t xml:space="preserve">37. In particular, regarding the information to users about the characteristics of the Pedemontana highway (absence of barriers) and the type of road signage currently existing on its routes [case referred to in letter a)], it is noted that APL has committed to modify the signage present on the entry ramps of the highway, inserting, at the top of the sign, the entire wording TOLL HIGHWAY WITHOUT BARRIERS, instead of in the central part of the sign (see image No. 1).  </w:t>
        <w:br/>
        <w:t xml:space="preserve">38. This modification could therefore offer greater immediacy and visual impact to motorists regarding the peculiar characteristics of the highway, the related payment methods, and the associated expected timelines (within fifteen days from the transit made), as they are provided clearly and in appropriate characters.  </w:t>
        <w:br/>
        <w:t xml:space="preserve">39. The information provided to users in this manner, together with the signage already placed along all ordinary roads that directly connect to the toll sections and that prepared at the entrances from ordinary roads to the toll highway sections via interchanges, provides, overall, an informative framework suitable to allow users, in such cases, to make informed decisions.  </w:t>
        <w:br/>
        <w:t xml:space="preserve">25 The ART observed that this purpose is effectively pursued by providing the relevant information to users, in this specific case, on the road sections preceding the entry ramps to the highway infrastructure. In this regard, the Authority, in carrying out its functions as the national body responsible for the execution of European Union regulations on passenger protection in rail transport, road transport by bus, and by sea and for inland waterways, has been able to ascertain the particular effectiveness of passenger protection through information provided before the journey is undertaken. Regarding, then, the timelines highlighted by the professional for the execution of the necessary activities for the execution of the proposed commitment (minimum duration of 12 months), the ART observed, regarding the timing of the tender procedure for the assignment of the works for realization and installation, that the regulations provide for exceptions to the ordinary tender deadlines set forth in the Contracts Code when there are duly justified urgent reasons.  </w:t>
        <w:br/>
        <w:t>26 This procedure could also provide for a temporary suspension of the credit recovery activity possibly initiated by the concessionaire, pending appropriate verifications.</w:t>
      </w:r>
    </w:p>
    <w:p>
      <w:r>
        <w:rPr>
          <w:b/>
        </w:rPr>
        <w:t>[Pages 133–135]</w:t>
      </w:r>
    </w:p>
    <w:p>
      <w:r>
        <w:t>BULLETIN NO. 3 OF JANUARY 17, 2022 135</w:t>
        <w:br/>
        <w:t>road sections, to make an informed choice regarding the possibility of entering or not entering the toll highway.</w:t>
        <w:br/>
        <w:t>40. Furthermore, the commitment to expand the messaging provided to users through the PMS placed both at the entrance and along the highway route, introducing new and additional informational messages beyond those already existing, regarding the alternative methods of toll collection adopted by APL, is suitable to allow users in transit to more clearly recognize that the highway section traveled is "toll," "barrier-free," that there is an "obligation to pay the toll within 15 days," and that "checks will be carried out on missed payments."</w:t>
        <w:br/>
        <w:t>41. With regard to the case referred to in letter b), it is believed that the reduction of one third (from ninety to sixty days) of the timelines related to the duration of production activities and the sending of the second payment reminder in cases of non-payment of the toll, should be considered suitable to reduce the time gap that is recorded between the receipt of the second payment reminder and the actual date of transit on the APL highway sections by the user.</w:t>
        <w:br/>
        <w:t>42. The proposed reduction, in fact, undoubtedly brings an advantage to the user at the moment it avoids excessive delays between the receipt of the payment reminder and the actual date of transit and contains the timing of credit recovery actions by shortening the duration of the overall reminder sending process.</w:t>
        <w:br/>
        <w:t>43. This commitment, moreover, appears significant when considering the peculiar methods of toll collection prepared by the company, the complexity of the procedures adopted that must take into account issues of various natures, both technical and compliance with privacy regulations (particularly concerning the management of unpaid tolls), as well as the particular structure of the procedures for detecting MPP that also involve third parties, a circumstance that inevitably affects the timing of the realization of the process itself placing it outside the direct control of the professional.</w:t>
        <w:br/>
        <w:t>44. Regarding the missed detections via the OBE ("On-Board Equipment"), it is highlighted that APL has already implemented some initiatives aimed at the preventive management of electronically unrecorded transits (use of an algorithm, to ensure the correct association to the OBE device of transits carried out within a short time frame), in order to ensure the charge to the Telepass account of the tolls related to transits recorded only by license plate and carried out by a vehicle associated with a Telepass contract, consequently excluding credit recovery actions that can only be confined to the owners of vehicles without OBE.</w:t>
        <w:br/>
        <w:t>45. Moreover, in this regard, the established dialogue between APL and Telepass S.p.A. is relevant precisely in the perspective of preventive control before the initiation of the payment recovery procedure due from the user, should there be erroneous functioning or failure to read the OBE device.</w:t>
        <w:br/>
        <w:t>46. In light of the above considerations, it is believed that the commitments presented meet the requirements set forth in Article 27, paragraph 7, of the Consumer Code.</w:t>
        <w:br/>
        <w:t>THEREFORE, in accordance with the opinion rendered by ART, it is deemed that the commitments presented by Autostrada Pedemontana Lombarda S.p.A., in the terms outlined above, are suitable to eliminate the possible profiles of illegality of the conduct subject to investigation;</w:t>
        <w:br/>
        <w:t>IT IS DEEMED to impose the obligation of the aforementioned commitments on Autostrada Pedemontana Lombarda S.p.A.;</w:t>
      </w:r>
    </w:p>
    <w:p>
      <w:r>
        <w:t>136 BULLETIN NO. 3 OF JANUARY 17, 2022</w:t>
        <w:br/>
        <w:t>IT IS DEEMED, therefore, that the procedure can be closed without establishing the infringement;</w:t>
        <w:br/>
        <w:t>RESOLUTION</w:t>
        <w:br/>
        <w:t>a) to make mandatory, towards Autostrada Pedemontana Lombarda S.p.A., pursuant to Article 27, paragraph 7, of the Consumer Code and Article 9, paragraph 2, letter a), of the Regulation, the commitments proposed by the company in their final version on October 19, 2021, as described in the declaration attached to this provision;</w:t>
        <w:br/>
        <w:t>b) to close the procedure without establishing the infringement, pursuant to Article 27, paragraph 7, of the Consumer Code and Article 9, paragraph 2, letter a), of the Regulation;</w:t>
        <w:br/>
        <w:t>c) that Autostrada Pedemontana Lombarda S.p.A., within ninety days from the date of notification of this resolution, with reference to the commitments referred to in points I.1. and II.1, and within forty-five days from the date set for the implementation of the commitment referred to in point I.2, shall inform the Authority of the implementation of the commitments.</w:t>
        <w:br/>
        <w:t>Pursuant to Article 9, paragraph 3, of the Regulation, the procedure may be reopened ex officio, where:</w:t>
        <w:br/>
        <w:t>a) the professional does not implement the commitments;</w:t>
        <w:br/>
        <w:t>b) the factual situation changes regarding one or more elements on which the decision is based;</w:t>
        <w:br/>
        <w:t>c) the decision to accept commitments is based on information provided by the Party that is incomplete, inaccurate, or misleading.</w:t>
        <w:br/>
        <w:t>Pursuant to Article 27, paragraph 12, of the Consumer Code, in case of non-compliance with this resolution, the Authority applies an administrative pecuniary sanction from €10,000 to €5,000,000. In cases of repeated non-compliance, the Authority may order the suspension of business activities for a period not exceeding thirty days.</w:t>
        <w:br/>
        <w:t>This provision will be notified to the interested parties and published in the Bulletin of the Antitrust Authority.</w:t>
      </w:r>
    </w:p>
    <w:p>
      <w:r>
        <w:t>p. THE SECRETARY GENERAL THE PRESIDENT</w:t>
        <w:br/>
        <w:t>THE DEPUTY SECRETARY GENERAL Roberto Rustichelli</w:t>
        <w:br/>
        <w:t>Serena Stella</w:t>
      </w:r>
    </w:p>
    <w:p>
      <w:r>
        <w:t>BULLETIN NO. 3 OF JANUARY 17, 2022 137</w:t>
        <w:br/>
        <w:t>ANNEX 1</w:t>
        <w:br/>
        <w:t>COMMITMENT STATEMENT</w:t>
        <w:br/>
        <w:t>In the context of procedure PS11694, initiated by the Antitrust Authority on May 4, 2021, concerning the conduct of Autostrada Pedemontana Lombarda S.p.A., related to: a) the inadequate information provided to users, especially at the time of entry into the highway sections under APL's jurisdiction, regarding the fact that they are about to travel on a road with a toll payment obligation and that, in particular, since there are no toll barriers, the payment of the amount due for transit must occur through methods different from those normally practiced on highways (payment at the toll booth) and b) the issues related to the sending of payment reminders, sent by ordinary mail (mass), which the professional forwards to users of its highway sections, in case of non-payment of the toll, which would entail a significant increase in costs (administrative charges, amounting to €3.50), usually well above the amounts actually due and which, very often, arrive to consumers a considerable time after the transit or do not arrive at all, receiving, in these cases, payment requests for unpaid tolls directly from the credit recovery companies, specifically appointed by APL, with further, and more substantial, increases in costs, pursuant to and for the effects of Article 27, paragraph 7, of the "Consumer Code" (Legislative Decree September 6, 2005, no. 206 and subsequent amendments) Autostrada Pedemontana Lombarda S.p.A. commits, starting from the date of communication of the Authority's provision, to implement the following measures in the manner and within the times indicated below:</w:t>
      </w:r>
    </w:p>
    <w:p>
      <w:r>
        <w:rPr>
          <w:b/>
        </w:rPr>
        <w:t>[Pages 136–138]</w:t>
      </w:r>
    </w:p>
    <w:p>
      <w:r>
        <w:t>138 BULLETIN NO. 3 OF JANUARY 17, 2022</w:t>
      </w:r>
    </w:p>
    <w:p>
      <w:r>
        <w:t>FORM FOR THE SUBMISSION OF COMMITMENTS PURSUANT TO ART. 27, PARAGRAPH 7, OF THE CONSUMER CODE, ART. 8, PARAGRAPH 7, OF LEGISLATIVE DECREE NO. 145/2007 AND ART. 9 OF THE AGCM REGULATION</w:t>
      </w:r>
    </w:p>
    <w:p>
      <w:r>
        <w:t>CONSOLIDATED VERSION</w:t>
      </w:r>
    </w:p>
    <w:p>
      <w:r>
        <w:t>1) CASE NUMBER, DATE OF RECEIPT OF THE COMMUNICATION OF INITIATION OF THE PROCEEDINGS BY THE PROFESSIONAL</w:t>
      </w:r>
    </w:p>
    <w:p>
      <w:r>
        <w:t xml:space="preserve">Case number: PS11694  </w:t>
        <w:br/>
        <w:t>Date of receipt of the Communication of initiation of the proceedings: May 13, 2021</w:t>
      </w:r>
    </w:p>
    <w:p>
      <w:r>
        <w:t>2) PROFESSIONAL SUBMITTING THE COMMITMENTS</w:t>
      </w:r>
    </w:p>
    <w:p>
      <w:r>
        <w:t xml:space="preserve">COMPANY NAME  </w:t>
        <w:br/>
        <w:t>Autostrada Pedemontana Lombarda S.p.A. (tax code and VAT number 08558150150),</w:t>
      </w:r>
    </w:p>
    <w:p>
      <w:r>
        <w:t xml:space="preserve">LEGAL HEADQUARTERS  </w:t>
        <w:br/>
        <w:t>City of Assago (MI) Via del Bosco Rinnovato No. 4/A ZIP 20057</w:t>
      </w:r>
    </w:p>
    <w:p>
      <w:r>
        <w:t>3) ADVERTISING OR COMMERCIAL PRACTICE SUBJECT OF THE COMMUNICATION OF INITIATION OF THE PROCEEDINGS</w:t>
      </w:r>
    </w:p>
    <w:p>
      <w:r>
        <w:t xml:space="preserve">The Italian Competition Authority (hereinafter “AGCM” or the “Authority”) has initiated proceedings against Autostrada Pedemontana Lombarda S.p.A. (hereinafter “Pedemontana”) aimed at ascertaining alleged conduct contrary to professional diligence, constituting asserted violations of Legislative Decree No. 206 of September 6, 2005 (hereinafter also the “Consumer Code”), consisting of:  </w:t>
        <w:br/>
        <w:t xml:space="preserve">- in the “inadequate information provided to users, especially at the moment of entering the highway sections under the jurisdiction of APL, regarding the fact that they are about to travel on a road with a toll payment obligation” and that “since no toll booths are provided, the payment of the amount due for transit must occur through means different from those normally practiced on highways (toll booth)” (“Conduct a”);  </w:t>
        <w:br/>
        <w:t>- in the “issues related to the sending of payment reminders […] which would entail a significant increase in costs (administrative charges, amounting to €3.50)” and that “very often, they arrive to consumers a considerable time after the transit or do not arrive at all, with the latter receiving payment requests for unpaid tolls directly from the credit recovery companies specifically appointed by APL” (“Conduct b”).</w:t>
      </w:r>
    </w:p>
    <w:p>
      <w:r>
        <w:t xml:space="preserve">At the outset, the Authority hypothesized that the aforementioned conducts could be traced to:  </w:t>
        <w:br/>
        <w:t xml:space="preserve">- as for Conduct a, to alleged misleading omissions, pursuant to Articles 20 and 22 of the Consumer Code, because the Company would not have correctly fulfilled the informational obligation incumbent on the professional, with the consequence that “inadequate signage could plausibly lead to the belief that it is a toll-free section and thus cause consumers in good faith not to proceed with the payment of the toll itself”;  </w:t>
        <w:br/>
        <w:t>- as for Conduct b, to practices contrary to professional diligence, pursuant to Article 20 of the Consumer Code, “where the failure to pay the toll depends on the manager's responsibility regarding payment instruments that are difficult to use or due to service disruptions of some normally accepted instruments” and even qualifying as aggressive conduct, pursuant to Articles 24 and 25 of the Consumer Code, “insofar as they are capable of unduly limiting the consumer's freedom of choice or behavior, considering the methods and timing related to payment reminders, inducing them to pay the requested amount even in cases where this is not actually due in whole or in part.”</w:t>
      </w:r>
    </w:p>
    <w:p>
      <w:r>
        <w:t xml:space="preserve">While contesting the existence of any profile of professional misconduct, on June 28, 2021, in the broader spirit of collaboration, Pedemontana submitted a proposal for commitments pursuant to Article 27, paragraph 7, of the Consumer Code.  </w:t>
        <w:br/>
        <w:t xml:space="preserve">On September 15, 2021, the Company then submitted an integration to the commitments themselves.  </w:t>
        <w:br/>
        <w:t>This form replaces previous ones and constitutes the consolidated version of the proposal for commitments submitted by the Company pursuant to Article 27, paragraph 7, of the Consumer Code.</w:t>
      </w:r>
    </w:p>
    <w:p>
      <w:r>
        <w:t>4) TEXTUAL CONTENT OF THE PROPOSED COMMITMENTS AND ANY VALIDITY PERIOD IN RELATION TO THE INDIVIDUAL PROFILES SUBJECT OF THE COMMUNICATION OF INITIATION OF THE PROCEEDINGS</w:t>
      </w:r>
    </w:p>
    <w:p>
      <w:r>
        <w:t xml:space="preserve">I. Specification of information regarding the payment methods for the highway toll in case of use of the infrastructure granted in concession to Pedemontana  </w:t>
        <w:br/>
        <w:t>Pedemontana has extensively illustrated in the memorandum and in the technical memorandum, filed in the proceedings on June 14, 2021, the reasons and circumstances that exclude any profile of professional misconduct on the part of the Company regarding the information provided to users about traveling on a toll highway section and the related payment methods (reference is made, for these profiles, to what has already been stated in the memorandum, par. 3, and in the technical memorandum, par. 2, as well as to all the attached documentation cited therein).</w:t>
      </w:r>
    </w:p>
    <w:p>
      <w:r>
        <w:t>In any case, even without acknowledging the validity of the allegations made, in a spirit of maximum collaboration with the Authority and with a view to definitively overcoming the concerns outlined in the Communication of initiation of the proceedings, the Company presents two commitments aimed at specifying the information regarding the payment methods for the highway toll, in case of use of the infrastructure granted in concession to Pedemontana, characterized by the peculiar barrier-free toll collection system, better described in the technical memorandum of June 14, 2021.</w:t>
      </w:r>
    </w:p>
    <w:p>
      <w:r>
        <w:t>In this regard, it should be noted that – pursuant to Articles 35 and 37 of Legislative Decree No. 542/1992, concerning the “New Highway Code” – any modification to the information provided through signage positioned along the highway route is subject to the approval of the competent offices of the Ministry of Infrastructure and Sustainable Mobility and the determinations of the Permanent Committee for Signage – Subcommittee for Toponymy of the Italian Association of Highway and Tunnel Concessionaires, as well as of the granting authority Concessioni Autostradali Lombarde S.p.A.</w:t>
      </w:r>
    </w:p>
    <w:p>
      <w:r>
        <w:t xml:space="preserve">Subject to this necessary premise, Pedemontana commits to:  </w:t>
        <w:br/>
        <w:t xml:space="preserve">I.1. include among the messages provided to users through the illuminated signage of the Variable Message Panels (for the operation and positioning of the Variable Message Panels, reference is made to the technical memorandum of June 14, 2021, par. 2) information regarding toll collection, with the following textual content27:  </w:t>
        <w:br/>
        <w:t xml:space="preserve">˗ “Toll payment by users within 15 days”;  </w:t>
        <w:br/>
        <w:t xml:space="preserve">˗ “Charges for non-payments at the expense of users”;  </w:t>
        <w:br/>
        <w:t xml:space="preserve">˗ “Recovery of unpaid tolls”;  </w:t>
        <w:br/>
        <w:t>˗ “Payment methods on the Pedemontana website”</w:t>
      </w:r>
    </w:p>
    <w:p>
      <w:r>
        <w:t>Implementation timing of the commitment: 1 month from the date of approval of the commitments pursuant to Article 27, paragraph 7 of the Consumer Code.</w:t>
      </w:r>
    </w:p>
    <w:p>
      <w:r>
        <w:t xml:space="preserve">In order to definitively overcome the issues related to the completeness of the information provided to users, as highlighted in the Communication of initiation of the proceedings, and taking into account the need to ensure that information regarding the absence of barriers and the travel on a toll road is characterized by “greater immediacy and visual impact for motorists who are about to enter the highway route,” as represented in the hearing of September 6, last, the following Commitment is proposed:  </w:t>
        <w:br/>
        <w:t>I.2. Modify the vertical signage positioned on the entry ramps of the highway route, inserting at the top of the signage, in the largest font size allowed, the wording “TOLL HIGHWAY WITHOUT BARRIERS.”</w:t>
      </w:r>
    </w:p>
    <w:p>
      <w:r>
        <w:t xml:space="preserve">In this way, it is believed that the immediacy and visual impact of the communication will be further improved – subject to prior approval by the Toponymy Committee established at AISCAT.  </w:t>
        <w:br/>
        <w:t xml:space="preserve">In the section of the aforementioned signage related to payment methods, moreover, symbols will be inserted regarding the possibility of making payment for transit via cash and debit/credit cards, methods accessible through the Company's website or at dedicated points.  </w:t>
        <w:br/>
        <w:t>The textual and graphic modifications can be fully appreciated in the attached document (Annex 1), where the sign is represented in its existing version and the modified one, subject of the commitment, with the further indications described above.</w:t>
      </w:r>
    </w:p>
    <w:p>
      <w:r>
        <w:t>Implementation timing of the commitment: the process of modifying the highway signage described above has a duration of 12 months, due to the need to involve third parties and the timing that, to date, have been recorded in similar cases, requiring: i) the approval of the modification by the Ministry of Infrastructure and Sustainable Mobility; ii) the approval by the granting authority Concessioni Autostradali Lombarde S.p.A.; iii) the preparation and execution of the tender procedure for the assignment of the installation works and the consequent timing of the realization itself.</w:t>
      </w:r>
    </w:p>
    <w:p>
      <w:r>
        <w:t>27 Note: The Variable Message Panels installed along the highway route are already disseminating the following messages: i) “Toll payment obligation within 15 days”; ii) “Info payment methods pedemontana.com”; iii) “Toll highway without barriers”; iv) “Verification of unpaid tolls,” connected to the pictogram of the Highway Police. The messages contained in these panels have been filed in the records, Annexes A11-A23 and 25 to the technical memorandum of June 14, 2021.</w:t>
      </w:r>
    </w:p>
    <w:p>
      <w:r>
        <w:rPr>
          <w:b/>
        </w:rPr>
        <w:t>[Pages 139–141]</w:t>
      </w:r>
    </w:p>
    <w:p>
      <w:r>
        <w:t>BULLETIN NO. 3 OF JANUARY 17, 2022 141</w:t>
      </w:r>
    </w:p>
    <w:p>
      <w:r>
        <w:t>II. Reduction of the time for requesting payment of the toll following non-payment by the user</w:t>
      </w:r>
    </w:p>
    <w:p>
      <w:r>
        <w:t>Pedemontana believes that the procedures for requesting payment of tolls not paid promptly by users and the corresponding verification methods implemented to identify the parties liable for payment do not constitute practices contrary to professional diligence, nor can they be classified as aggressive conduct, for the reasons already outlined in the memorandum (par. 4) and in the technical memorandum (par. 6) of June 14, 2021, to which reference is made.</w:t>
      </w:r>
    </w:p>
    <w:p>
      <w:r>
        <w:t>With this premise, Pedemontana, in a spirit of maximum cooperation with the Authority and in view of a definitive overcoming of the concerns outlined in the Communication initiating the proceedings, presents a commitment aimed at shortening the timeframes related to the duration of the collection activities for tolls not voluntarily paid by users.</w:t>
      </w:r>
    </w:p>
    <w:p>
      <w:r>
        <w:t>Pedemontana therefore commits to:</w:t>
      </w:r>
    </w:p>
    <w:p>
      <w:r>
        <w:t>II.1. reduce by one third the timeframes related to the duration of the production and sending of the 2nd payment reminder.</w:t>
      </w:r>
    </w:p>
    <w:p>
      <w:r>
        <w:t>As illustrated in the technical memorandum of June 14, 2021, par. 6.2.4, to which reference is made on this point, the ordinary process for managing non-payments implemented by the Company currently provides that at least 90 days must have elapsed since the production of the 1st payment reminder for the production of the 2nd payment reminder.</w:t>
      </w:r>
    </w:p>
    <w:p>
      <w:r>
        <w:t>In order to contain the duration of the actions for recovering debts related to the non-payment of tolls, a reduction of the aforementioned term is proposed, by an amount equal to one third.</w:t>
      </w:r>
    </w:p>
    <w:p>
      <w:r>
        <w:t>The Company therefore undertakes to initiate the production and sending of the 2nd payment reminder after 60 days – and no longer 90 – from the production of the 1st reminder that remained unpaid.</w:t>
      </w:r>
    </w:p>
    <w:p>
      <w:r>
        <w:t>Implementation timeframe for the commitment: 1 month from the date of approval of the commitments pursuant to Article 27, paragraph 7 of the Consumer Code.</w:t>
      </w:r>
    </w:p>
    <w:p>
      <w:r>
        <w:t>5) CONSIDERATIONS ON THE ADMISSIBILITY AND SUITABILITY OF THE COMMITMENTS TO REMOVE THE ALLEGED ILLEGITIMACY CONTESTED IN THE INITIATION OF THE INQUIRY</w:t>
      </w:r>
    </w:p>
    <w:p>
      <w:r>
        <w:t>Pedemontana believes that its actions are fully compliant with the provisions of the Consumer Code, also regarding the specific aspects contested in the Communication initiating the proceedings, as already represented in the memorandum and in the technical memorandum of June 14, 2021. The Company therefore believes that the commitments are all the more suitable to eliminate any remaining concerns of this esteemed Authority.</w:t>
      </w:r>
    </w:p>
    <w:p>
      <w:r>
        <w:t>The proposed commitments are also clearly admissible pursuant to Article 27, paragraph 7, of the Consumer Code, since in the case under discussion it is certain that the conduct contested in the Communication initiating the proceedings is not "manifestly incorrect and serious." Pedemontana believes that the proposed commitments are specific, concrete, feasible, and easily monitorable ex post by this esteemed Authority.</w:t>
      </w:r>
    </w:p>
    <w:p>
      <w:r>
        <w:t>142 BULLETIN NO. 3 OF JANUARY 17, 2022</w:t>
      </w:r>
    </w:p>
    <w:p>
      <w:r>
        <w:t>As for the informational aspects, in fact, the proposed commitments under I.1. and I.2 allow for providing additional information to users that is suitable to eliminate any remaining doubt – denied in any case by the Company – regarding the use, by the users themselves, of a motorway route to which toll charges are connected, thus definitively overcoming the concerns expressed by this esteemed Authority regarding the information provided to consumers on this aspect.</w:t>
      </w:r>
    </w:p>
    <w:p>
      <w:r>
        <w:t>Regarding the methods of collecting and sending payment reminders related to tolls not voluntarily paid by users, the proposed commitment under II.1 is suitable to determine a compression of the timeframes – which are already adequate today and in line with those typical of the motorway concessionaire sector – within which users are ensured the receipt of payment reminders.</w:t>
      </w:r>
    </w:p>
    <w:p>
      <w:r>
        <w:t>In light of the preceding considerations, it is believed that the proposed commitments are fully suitable to alleviate the concerns expressed by this esteemed Authority in the Communication initiating the proceedings.</w:t>
      </w:r>
    </w:p>
    <w:p>
      <w:r>
        <w:t>Pedemontana therefore trusts that this esteemed Authority will conclude the Proceedings with a decision to accept the Commitments, "without proceeding to ascertain the infringement" pursuant to Article 27, paragraph 7, of the Consumer Code.</w:t>
      </w:r>
    </w:p>
    <w:p>
      <w:r>
        <w:t xml:space="preserve">Signature </w:t>
        <w:br/>
        <w:t xml:space="preserve">The General Director </w:t>
        <w:br/>
        <w:t xml:space="preserve">Ing. [omissis]* </w:t>
        <w:br/>
        <w:t>* In this version, some data are omitted, as elements of confidentiality or secrecy of the information were deemed to exist.</w:t>
      </w:r>
    </w:p>
    <w:p>
      <w:r>
        <w:t>BULLETIN NO. 3 OF JANUARY 17, 2022 143</w:t>
      </w:r>
    </w:p>
    <w:p>
      <w:r>
        <w:t>ANNEX 1 to the form</w:t>
      </w:r>
    </w:p>
    <w:p>
      <w:r>
        <w:rPr>
          <w:b/>
        </w:rPr>
        <w:t>[Pages 142–144]</w:t>
      </w:r>
    </w:p>
    <w:p>
      <w:r>
        <w:t>144 BULLETIN NO. 3 OF JANUARY 17, 2022</w:t>
      </w:r>
    </w:p>
    <w:p>
      <w:r>
        <w:t>PS11913 - TIRRENIA - CANCELLATION INSURANCE</w:t>
        <w:br/>
        <w:t>Provision No. 29964</w:t>
        <w:br/>
        <w:t>THE ANTITRUST AUTHORITY</w:t>
      </w:r>
    </w:p>
    <w:p>
      <w:r>
        <w:t>IN ITS MEETING of December 21, 2021;</w:t>
      </w:r>
    </w:p>
    <w:p>
      <w:r>
        <w:t>HEARD the Rapporteur Professor Michele Ainis;</w:t>
      </w:r>
    </w:p>
    <w:p>
      <w:r>
        <w:t>HAVING REGARD to Part II, Title III of Legislative Decree No. 206 of September 6, 2005, and subsequent amendments (hereinafter, Consumer Code);</w:t>
      </w:r>
    </w:p>
    <w:p>
      <w: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No. 25411 of April 1, 2015;</w:t>
      </w:r>
    </w:p>
    <w:p>
      <w:r>
        <w:t>HAVING REGARD to its provision of September 7, 2021, with which, pursuant to Article 7, paragraph 3, of the Regulation, the deadline for concluding the proceedings was extended for specific investigative needs;</w:t>
      </w:r>
    </w:p>
    <w:p>
      <w:r>
        <w:t>HAVING REGARD to the acts of the proceedings;</w:t>
      </w:r>
    </w:p>
    <w:p>
      <w:r>
        <w:t>I. THE PARTIES</w:t>
      </w:r>
    </w:p>
    <w:p>
      <w:r>
        <w:t>1. Compagnia Italiana di Navigazione S.p.A. (hereinafter also CIN or the Professional) as a professional, pursuant to Article 18, letter b), of the Consumer Code, holder of the Tirrenia shipping line. The company operates as a maritime carrier for the sea transport of passengers and vehicles on the main national routes, such as the connections with Sicily and/or Sardinia, either directly or through its subsidiaries. The company reported a turnover of 279,000,000 euros as of December 31, 2019.</w:t>
      </w:r>
    </w:p>
    <w:p>
      <w:r>
        <w:t>2. Grimaldi Group S.p.A., as the notifier.</w:t>
      </w:r>
    </w:p>
    <w:p>
      <w:r>
        <w:t>II. COMMERCIAL PRACTICES</w:t>
      </w:r>
    </w:p>
    <w:p>
      <w:r>
        <w:t>3. Based on the evidence acquired, it has emerged that the professional has engaged in the following commercial conduct during the promotional activity for the sale of tickets for the summer season 2021.</w:t>
      </w:r>
    </w:p>
    <w:p>
      <w:r>
        <w:t>4. In particular, on the website www.Tirrenia.it, CIN advertised, during the period of November - December 2020, the opening of reservations for ferry services to Sardinia and Sicily for the summer season 2021, offering a complimentary insurance policy covering ticket cancellation for tickets purchased by December 31, 2020.</w:t>
      </w:r>
    </w:p>
    <w:p>
      <w:r>
        <w:t>5. The advertisement of the aforementioned policy, valid for both outbound and return tickets, claims to include in coverage "the impossibility of undertaking the journey due to infection from Covid-19 of the passenger or their family members." However, such coverage appears to be excluded by the same policy conditions, which state in Article 15 "that all coverages are not due for claims arising from epidemics or pandemics, it being understood that this exclusion shall not apply to all events directly linked to the currently circulating virus known as Covid-19" and in the subsequent paragraph of the same article that "benefits are not due for claims resulting from quarantines."</w:t>
      </w:r>
    </w:p>
    <w:p>
      <w:r>
        <w:t>6. An additional aspect concerns the reference, contained on the Tirrenia website, to the qualifications of the professional. In fact, the cited website states that Tirrenia, by virtue of the agreement signed with the Italian State, is the holder of the public service connecting the islands of Sardinia and Sicily and, by virtue of this, would apply the agreed tariffs.</w:t>
      </w:r>
    </w:p>
    <w:p>
      <w:r>
        <w:t>7. In reality, the aforementioned circumstance would not be correct, as the Convention, signed on July 18, 2012, between Tirrenia and the Ministry of Infrastructure, expired on July 18, 2020, and does not appear to be in the process of renewal.</w:t>
      </w:r>
    </w:p>
    <w:p>
      <w:r>
        <w:t>III. FINDINGS OF THE PROCEEDINGS</w:t>
      </w:r>
    </w:p>
    <w:p>
      <w:r>
        <w:t>1) Preliminary Investigation</w:t>
      </w:r>
    </w:p>
    <w:p>
      <w:r>
        <w:t>8. Following a request for intervention submitted on August 13, 2020, and subsequently supplemented on November 25, 2020, by Grimaldi Group S.p.A., on February 22, 2021, a request for information was made to CIN, to which a response was provided on April 14, 2021.</w:t>
      </w:r>
    </w:p>
    <w:p>
      <w:r>
        <w:t>2) The course of the proceedings</w:t>
      </w:r>
    </w:p>
    <w:p>
      <w:r>
        <w:t>9. Based on the information contained in the aforementioned requests for intervention and the information provided by the professional, on May 27, 2021, the Parties were notified of the initiation of investigative proceedings No. PS11913 for the alleged violation of Articles 20, 21, 22, and 23 of Legislative Decree No. 206 of September 6, 2005, containing the "Consumer Code" (hereinafter also "CdC") and, at the same time, further information was requested.</w:t>
      </w:r>
    </w:p>
    <w:p>
      <w:r>
        <w:t>10. On July 7, 2021, the Professional's responses to the information request made at the outset were received, along with a preliminary defensive memorandum.</w:t>
      </w:r>
    </w:p>
    <w:p>
      <w:r>
        <w:t>11. On September 2, 2021, a request for information was sent to the insurance company Nobis S.p.A., which responded on September 22, 2021.</w:t>
      </w:r>
    </w:p>
    <w:p>
      <w:r>
        <w:t>12. On September 7, 2021, pursuant to Article 7, paragraph 3, of the Regulation, a provision was adopted to extend the deadline for concluding the proceedings, for specific investigative needs.</w:t>
      </w:r>
    </w:p>
    <w:p>
      <w:r>
        <w:t>13. On October 20, 2021, the date of conclusion of the investigative phase was communicated to the Parties, pursuant to Article 16, paragraph 1, of the Regulation.</w:t>
      </w:r>
    </w:p>
    <w:p>
      <w:r>
        <w:t>14. On November 9, 2021, CIN submitted a final memorandum.</w:t>
      </w:r>
    </w:p>
    <w:p>
      <w:r>
        <w:t>3) The evidence acquired</w:t>
      </w:r>
    </w:p>
    <w:p>
      <w:r>
        <w:t>15. The advertised policy is indeed recognized as a complimentary offer to the consumer who purchases a maritime transport ticket. This policy is a multi-risk travel insurance that - in addition to covering the consumer in case of trip cancellation for unforeseen and non-pre-existing circumstances - offers a series of additional guarantees against harmful and unforeseen events that may occur before and during the trip. In particular, the insurance policy covers passengers from a variety of risks and offers a range of assistance services to the insured.</w:t>
      </w:r>
    </w:p>
    <w:p>
      <w:r>
        <w:t>16. In particular, the contractual conditions of the policy offered by Tirrenia provide for:</w:t>
        <w:br/>
        <w:t>- reimbursement of the penalties contractually provided in cases of ticket cancellation for unforeseen circumstances and not pre-existing at the time of booking the ticket, determined by any unforeseen and objectively documentable event that makes it impossible to undertake the journey or by the objective and unavoidable necessity to provide assistance to sick and injured family members. This guarantee provides for the reimbursement of the penalty applied.</w:t>
      </w:r>
    </w:p>
    <w:p>
      <w:r>
        <w:rPr>
          <w:b/>
        </w:rPr>
        <w:t>[Pages 145–147]</w:t>
      </w:r>
    </w:p>
    <w:p>
      <w:r>
        <w:t>BULLETIN NO. 3 OF JANUARY 17, 2022 147</w:t>
        <w:br/>
        <w:t>contractually by the insured and also includes the impossibility of undertaking the journey due to confirmed Covid infection of the insured and their family members;</w:t>
        <w:br/>
        <w:t>- reimbursement of medical expenses incurred during the journey for urgent care or interventions that occurred during the validity period of the insurance coverage;</w:t>
        <w:br/>
        <w:t>- a flat-rate allowance (daily) for each day of hospitalization at a care facility as a direct and exclusive consequence of Covid 19 infection (with recognition of a convalescence allowance in case of discharge following hospitalization in intensive care);</w:t>
        <w:br/>
        <w:t>- personal assistance services (telephone medical consultation, sending a doctor, psychological consultation in case of Covid 19 infection, second opinion in case of Covid 19 infection, monitoring of hospital admission, organized medical transport, pickup of family members and travel companions, extension of stay, advance of essential expenses, blocking and replacement of credit cards, etc.);</w:t>
        <w:br/>
        <w:t>- various vehicle-related assistance services (roadside assistance and towing, sending spare parts, covering vehicle recovery expenses, hotel expenses, driver, advance of bail, etc.);</w:t>
        <w:br/>
        <w:t>- compensation in cases of fire, theft, robbery, loss, damage, and failure to return luggage;</w:t>
        <w:br/>
        <w:t>- compensation for cases of interruption of stay due to quarantine, with reimbursement of penalties charged for the hotel stay booked and not used and of hotel/accommodation expenses incurred by the insured if the quarantine cannot take place at the insured's home.</w:t>
        <w:br/>
        <w:t>17. The policy does not cover cases of trip cancellation due to quarantine. This particular circumstance is mentioned only in the contractual documentation3.</w:t>
        <w:br/>
        <w:t>3 See Cancellation policy conditions Tirrenia, Article 15 – EXCLUSIONS AND LIMITS VALID FOR ALL WARRANTIES</w:t>
        <w:br/>
        <w:t>All benefits are not due for claims arising from:</w:t>
        <w:br/>
        <w:t>- state of war, revolution, riots or popular movements, looting, vandalism, strikes, acts of terrorism;</w:t>
        <w:br/>
        <w:t>- travel on road or air routes that do not constitute the shortest route from the insured's residence to the port of embarkation and from the port of disembarkation to the residence;</w:t>
        <w:br/>
        <w:t>- travel on maritime routes other than those having as destination or departure a place other than Sardinia, Sicily, and Corsica;</w:t>
        <w:br/>
        <w:t>- earthquakes, tsunamis, tidal waves, floods, volcanic eruptions, and other atmospheric phenomena declared natural disasters as well as phenomena occurring in connection with transformations or energy adjustments of the atom, whether natural or artificially induced;</w:t>
        <w:br/>
        <w:t>- willful misconduct or gross negligence of the Contractor or the Insured;</w:t>
        <w:br/>
        <w:t>- travel undertaken against medical advice or, in any case, with acute pathologies or for the purpose of undergoing medical/surgical treatments;</w:t>
        <w:br/>
        <w:t>- travel to a territory where a prohibition or limitation (even temporary) issued by a competent public authority is in effect;</w:t>
        <w:br/>
        <w:t>- extreme travel in remote areas, accessible only by special rescue means;</w:t>
        <w:br/>
        <w:t>- pollution of any kind, infiltrations, contamination of air, water, soil, subsoil, or any environmental damage;</w:t>
        <w:br/>
        <w:t>- bankruptcy of the Carrier, the travel organizer, or any supplier;</w:t>
        <w:br/>
        <w:t>- errors or omissions during booking or inability to obtain a visa or passport;</w:t>
        <w:br/>
        <w:t>- suicide or attempted suicide;</w:t>
        <w:br/>
        <w:t>- diseases that are the expression or direct consequence of chronic or pre-existing pathological situations, already known to the Insured at the time of purchasing the ticket for the "Ticket Cancellation" guarantee and the departure of the journey for the "Reimbursement of medical expenses" and "Personal assistance" guarantees;</w:t>
        <w:br/>
        <w:t>- pathologies attributable to complications of pregnancy beyond the 24th week;</w:t>
        <w:br/>
        <w:t>- voluntary interruption of pregnancy, organ removal and/or transplantation;</w:t>
        <w:br/>
        <w:t>- non-therapeutic use of drugs or narcotic substances, alcohol and drug dependencies, HIV-related pathologies, AIDS, mental disorders and psychological disorders in general, including psychotic behaviors and/or neurotic;</w:t>
        <w:br/>
        <w:t>- pandemics and/or epidemics and/or measures by Authorities (including Health Authorities), it being expressly understood that this exclusion will not apply in relation to facts directly attributable to the virus currently in circulation known as "Covid-19";</w:t>
        <w:br/>
        <w:t>- quarantines that are the cause of Ticket Cancellation, concerning the place of residence and/or that of departure and/or that of transit and/or that of destination of the journey purchased by the Insured, with the exception of the guarantee provided in the Chapter "Interruption of stay due to quarantine";</w:t>
        <w:br/>
        <w:t>- practice of sports such as: mountaineering with climbs above the third degree, free climbing, ski or water ski jumps, acrobatic and extreme skiing, archery, cycling activities, caving, off-piste skiing, ski mountaineering, freestyle skiing, water skiing, bobsleigh, whitewater canoeing beyond the third degree, descent of rapids of watercourses, rafting, canyoning, kite-surfing, hydrospeed, bungee jumping, parachuting, hang gliding, aerial sports in general, boxing, wrestling, martial arts, American football, beach soccer, snowboarding, rugby, ice hockey, scuba diving, heavy athletics, equestrian activities, karting, jet skiing, sled driving, trekking at altitudes above 3000 meters above sea level, hunting, shooting with rifles;</w:t>
        <w:br/>
        <w:t>- acts of recklessness;</w:t>
        <w:br/>
        <w:t>- sports activities carried out professionally and/or participation in sports competitions, including trials and training carried out under the auspices of federations;</w:t>
        <w:br/>
        <w:t>- car, motorcycle, and motorboat racing events, including jet ski, sled driving, and related trials and training;</w:t>
        <w:br/>
        <w:t>- infectious diseases if the assistance intervention is impeded by national or international health regulations;</w:t>
        <w:br/>
        <w:t>- childbirth (premature, early or otherwise) occurring during the journey;</w:t>
        <w:br/>
        <w:t>- carrying out activities that involve the direct use of explosives or firearms.</w:t>
        <w:br/>
        <w:t>The issuance of multiple applications to guarantee the same risk in order to raise the limits of the specific guarantees and the contractual risk accumulations provided is not permitted.</w:t>
        <w:br/>
        <w:t>This policy cannot in any way be used to extend a risk (i.e., the journey) already in progress and it is expressly understood that this policy must be automatically included in the passenger's ticket exclusively at the time of booking the ticket.</w:t>
        <w:br/>
        <w:t>4 See Response to the request for information prot. n. 57542 of July 7, 2021.</w:t>
      </w:r>
    </w:p>
    <w:p>
      <w:r>
        <w:t>BULLETIN NO. 3 OF JANUARY 17, 2022 149</w:t>
        <w:br/>
        <w:t>benefiting from the cancellation policy offered as a gift, the same type of policy offered for payment by all major competitors during the booking process and this without ever emphasizing or in any way relating the insurance coverage to the hypothesis of trip cancellation due to Covid 19 infection or quarantine, and thus without giving any impression to the recipient of the message that such policy could also operate in relation to the latter hypothesis.</w:t>
        <w:br/>
        <w:t>24. According to CIN, it has not incurred any omission of relevant information, as the advertisement referred to a specific page dedicated to the initiative, accessible by clicking on the advertising banner, which contained an excerpt of the insurance conditions, where it was positively specified that "The impossibility of undertaking the journey due to confirmed Covid 19 infection is included in the guarantee," which made, already at a purely lexical level, the operation of the coverage referable only to the hypothesis of Covid infection and not to the (different) hypothesis of quarantine. Moreover, according to the company, the peculiar particularity and complexity of insurance products – which present numerous hypotheses of exclusion and limitation of insurance coverage – makes it impossible to provide such information in the context of a single advertising message, especially if characterized by limited space objectives.</w:t>
        <w:br/>
        <w:t>25. The professional also observes that the cases concerning the hypothesis of quarantine, compared to the total number of tickets assisted by the Nobis policy (27,810), represent 0.01% of the cases, and this demonstrates the inadequacy of the practice to distort the consumer's choice process; in fact, the rejected claims related to the quarantine cause – whether considered in absolute terms (n. 3 claims) or in relative terms (compared to other claims received) – demonstrate how the exclusion of quarantine was not essential information to be provided to the consumer, but one of the numerous causes of exclusion of coverage that, for reasons of space and limits related to the medium used, could not be represented in the advertising message positioned on the homepage. The professional nonetheless points out that – in a spirit of effective collaboration – he has contacted the affected customers, asking them to provide their bank details for the reimbursement of amounts previously denied by the Insurance Company.</w:t>
        <w:br/>
        <w:t>26. With reference to the qualification of public service operator, CIN states that it has continued to operate as such under an extension regime on some routes in Sicily and Sardinia, except for the routes Naples-Palermo and Genoa-Olbia, following the expiration of the Convention.</w:t>
        <w:br/>
        <w:t>27. Furthermore, CIN notes that the reference to the qualification of public service operator appears in the part related to the description of the corporate profile of Tirrenia, reported on a peripheral page of the company website in an institutional section that has nothing to do with the online ticket booking process. This section of the site has limited views, equal to 0.16% of the total views of the Tirrenia site, which renders the conduct entirely devoid of any potential harmfulness.</w:t>
        <w:br/>
        <w:t>28. The company therefore requests that no sanction be imposed for the violation of Articles 20, 21, paragraph 1, letters b) and f), of the Consumer Code.</w:t>
      </w:r>
    </w:p>
    <w:p>
      <w:r>
        <w:rPr>
          <w:b/>
        </w:rPr>
        <w:t>[Pages 148–150]</w:t>
      </w:r>
    </w:p>
    <w:p>
      <w:r>
        <w:t>150 BULLETIN NO. 3 OF JANUARY 17, 2022</w:t>
      </w:r>
    </w:p>
    <w:p>
      <w:r>
        <w:t>IV. OPINION OF THE AUTHORITY FOR GUARANTEES IN COMMUNICATIONS</w:t>
      </w:r>
    </w:p>
    <w:p>
      <w:r>
        <w:t>29. Since the commercial practice subject to this provision was disseminated via the internet, on November 11, 2021, the opinion of the Authority for Guarantees in Communications was requested, pursuant to Article 27, paragraph 6, of the Consumer Code.</w:t>
      </w:r>
    </w:p>
    <w:p>
      <w:r>
        <w:t>30. In a communication received on December 14, 2021, the aforementioned Authority expressed the requested opinion, limiting its evaluations to the suitability of the specific means of communication used to disseminate the commercial practices to affect and amplify any misleading and/or unfair nature of the same practice.</w:t>
      </w:r>
    </w:p>
    <w:p>
      <w:r>
        <w:t>31. In the opinion, the Authority considered that the means of communication employed in this case "is suitable to develop a significant impact on consumers who, based on the information contained on the Professional's website, could be induced to make a commercial decision that they otherwise would not have made, thus concretely developing the full promotional potential of online communication."</w:t>
      </w:r>
    </w:p>
    <w:p>
      <w:r>
        <w:t>32. Therefore, the Authority deemed that "the internet is a tool capable of significantly influencing the realization" of the commercial practices subject to the opinion.</w:t>
      </w:r>
    </w:p>
    <w:p>
      <w:r>
        <w:t>V. OPINION OF THE TRANSPORT REGULATORY AUTHORITY</w:t>
      </w:r>
    </w:p>
    <w:p>
      <w:r>
        <w:t>33. Since the commercial practice subject to this provision concerns the maritime transport sector, on November 12, 2021, the opinion of the Transport Regulatory Authority (ART) was requested, pursuant to and for the effects of Article 27, paragraph 1-bis, of the Consumer Code, introduced by Article 1, paragraph 6, letter a), of Legislative Decree No. 21/2014. In an opinion received on December 3, 2021, the aforementioned Authority expressed the cited opinion, based on the following considerations reported below.</w:t>
      </w:r>
    </w:p>
    <w:p>
      <w:r>
        <w:t>34. The contested conduct, although referable to a generic right of passenger-consumers to informational transparency from the carrier-professional, does not pertain to hypotheses regulated by the Regulation – with respect to which ART is vested with specific supervisory functions – nor to cases contemplated by the regulatory acts. Neither the Regulation nor the regulatory acts, in fact, address the specific information to be provided to passengers regarding any insurance products proposed by carriers at the time of entering into the transport contract. Therefore, the Authority intends to provide contextual elements aimed at identifying the provisions related to its area of competence that can serve as normative reference parameters for the assessment of the diligence standards required of a professional in the sector under examination.</w:t>
      </w:r>
    </w:p>
    <w:p>
      <w:r>
        <w:t>35. With reference to the ambiguity and opacity of the information provided by the carrier regarding the free insurance policy linked to the travel ticket, covering the potential cancellation of the trip by the passenger, ART notes that this information pertains to the phase immediately preceding the conclusion of the contract. Regarding this phase of the relationship between passenger and carrier, consumer protection regulations assist in safeguarding the consumer, as the weaker party in the contract. Without delving into the insurance-related aspects, ART notes that the multi-risk policy offered free of charge to passengers does not appear to restrict the specific rights recognized to passengers by the Regulation, in which the refund of the ticket in cases of cancellation by the passenger is not regulated.</w:t>
      </w:r>
    </w:p>
    <w:p>
      <w:r>
        <w:t>BULLETIN NO. 3 OF JANUARY 17, 2022 151</w:t>
      </w:r>
    </w:p>
    <w:p>
      <w:r>
        <w:t>36. With reference to the issue of the non-truthfulness of the professional's qualification as a public service operator for connections with the major islands, recalling that the related contestation concerns the period between July 2020 and March 2, 2021, ART observes the following.</w:t>
      </w:r>
    </w:p>
    <w:p>
      <w:r>
        <w:t>37. The mixed passenger-cargo cabotage services with the major islands and the Tremiti Islands were entrusted to CIN with Convention No. 54 of July 18, 2012, concluded between the shipping company and the Ministry of Infrastructure and Transport (now the Ministry of Infrastructure and Sustainable Mobility, "MIMS"), with an expiration date set for July 18, 2020 (Article 4 of the Convention). As the expiration date of the Convention approached, a series of regulatory interventions aimed at extending its effectiveness ensued.</w:t>
      </w:r>
    </w:p>
    <w:p>
      <w:r>
        <w:t>38. With specific reference to the routes Naples-Palermo, Ravenna-Brindisi-Catania, Livorno-Cagliari, and Genoa-Olbia-Arbatax, considering the established presence of competing operators and their declared interest in meeting the identified needs, a liberalization of the market was achieved starting from December 2020.</w:t>
      </w:r>
    </w:p>
    <w:p>
      <w:r>
        <w:t>39. Following the decision of MIMS to impose horizontal public service obligations for the Civitavecchia-Olbia connection, the companies Grandi Navi Veloci S.p.A., Grimaldi Euromed S.p.A., and Compagnia Italiana di Navigazione S.p.A. began operating under horizontal OSP starting in May 2021 (only for the winter period October-May).</w:t>
      </w:r>
    </w:p>
    <w:p>
      <w:r>
        <w:t>40. MIMS also decided to proceed, instead, with awarding contracts through a tender for the services Cagliari-Napoli, Cagliari-Palermo, Genoa-Porto Torres, Civitavecchia-Cagliari-Arbatax, and Termoli-Tremiti. The tender procedures concluded with the awarding of the service on the connections Naples-Cagliari and Palermo-Cagliari to the shipping company Grimaldi Euromed S.p.A. starting from June 1, 2021, and on the Termoli-Tremiti connection to the company Navigazione Libera del Golfo S.r.l. starting from July 1, 2021. Following two unsuccessful tender procedures, the services on the Civitavecchia-Arbatax-Cagliari line were awarded for a period of six months to Grimaldi Euromed S.p.A. starting from September 23, 2021. Finally, the Genoa-Porto Torres connection was awarded to CIN starting from October 1, 2021 (only for the winter period October-May).</w:t>
      </w:r>
    </w:p>
    <w:p>
      <w:r>
        <w:t>VI. CONCLUSIVE ASSESSMENTS</w:t>
      </w:r>
    </w:p>
    <w:p>
      <w:r>
        <w:t>41. The procedure under examination concerns the evaluation of the behaviors carried out by CIN, in relation to the methods of promoting the sale of tickets for the summer season 2021, a promotion carried out during a period (November - December 2020) in which the pandemic situation was still in a full emergency phase and where the phenomenon of quarantine for individuals who, although not infected, had come into contact with a positive subject was equally, if not more, widespread, precisely to limit the spread of contagion.</w:t>
      </w:r>
    </w:p>
    <w:p>
      <w:r>
        <w:t>42. In fact, as evidenced by the statistical data on the pandemic published daily on the website of the Ministry of Health5, the number of people in home quarantine for preventive purposes was nearly equal to the number of people who tested positive for Covid, with the consequence that potentially a high number of consumers could have found themselves in the position of having purchased a ticket based on a reassuring possibility of insurance coverage in case of trip cancellation. The investigative findings, however, confirmed that the cancellation of the trip due to quarantine was not a cause for activating the aforementioned insurance coverage.</w:t>
      </w:r>
    </w:p>
    <w:p>
      <w:r>
        <w:t>43. Before delving into the merits of the behaviors under evaluation, it is necessary to clarify that the fact that only a small and reduced number of passengers requested insurance coverage for quarantine does not exclude the configuration of the case of unfair commercial practice, given the nature of the illicit danger of the same.</w:t>
      </w:r>
    </w:p>
    <w:p>
      <w:r>
        <w:t>44. In this regard, the consistent jurisprudence of the administrative judges notes that they have repeatedly affirmed the principle according to which "it is not necessary to identify a concrete prejudice to the reasons of consumers, as it is the very potential for harm, in order to avoid even abstract conditioning and/or deceptive orientations, that allows the conduct to be classified within the framework of the illicit of 'mere danger' as it is intrinsically capable of configuring the consequences that the Consumer Code intended to avert"6.</w:t>
      </w:r>
    </w:p>
    <w:p>
      <w:r>
        <w:t>45. Likewise, the objection raised by the professional regarding the circumstance that the complexity of the policy conditions and the limitations of space would not have made it possible to include all relevant information in the banner used to promote the commercial offer in question is without merit. In this regard, it is worth recalling what was established by the Council of State, according to which: "the principle of clarity and completeness in advertising communications is imposed from the very first contact with the consumer, with the consequence that referring to further sources of information, among which consultation is only eventual, does not allow for the ex post remedy of the failure to comply with the informational obligation imposed on the operator"7.</w:t>
      </w:r>
    </w:p>
    <w:p>
      <w:r>
        <w:t>46. In the context in which the promotion in question was inserted, the lack of an explicit indication of quarantine as excluded from the insurance coverage in case of ticket cancellation represents for the consumer an alteration of the informational set that significantly and seriously affects their decision to purchase or not purchase the ticket, at a time very far in advance of the date of use of the same.</w:t>
      </w:r>
    </w:p>
    <w:p>
      <w:r>
        <w:t>47. In fact, at a time when the health emergency situation was still present and where possible restrictions on the movement of people could quickly affect the possibility of travel, it is essential for consumers to know the main situations and exclusions related to the promotion offered regarding the possibility of canceling purchased tickets.</w:t>
      </w:r>
    </w:p>
    <w:p>
      <w:r>
        <w:t>48. In conclusion, the absence of clear and complete information regarding the characteristics of the promotion offered by CIN is likely to compromise the process of informed choice and adherence by consumers to the same.</w:t>
      </w:r>
    </w:p>
    <w:p>
      <w:r>
        <w:t>49. The methods used by CIN to indicate these limitations, abstractly derivable based on the elements that fell within the coverage and without expressly indicating what did not fall within it, are, moreover, not compliant with the diligence standard required of a professional in the sector, as they do not allow the customer to view these limitations comprehensively and immediately.</w:t>
      </w:r>
    </w:p>
    <w:p>
      <w:r>
        <w:t xml:space="preserve">6 See TAR Lazio Judgment No. 6446 of July 3, 2009 and Judgment No. 218 of January 10, 2017 and TAR Lazio February 20, 2020 No. 2245; Council of State February 27, 2020 No. 01425  </w:t>
        <w:br/>
        <w:t>7 Council of State Judgment VI, March 12, 2020, No. 01751.</w:t>
      </w:r>
    </w:p>
    <w:p>
      <w:r>
        <w:rPr>
          <w:b/>
        </w:rPr>
        <w:t>[Pages 151–153]</w:t>
      </w:r>
    </w:p>
    <w:p>
      <w:r>
        <w:t>BULLETIN NO. 3 OF JANUARY 17, 2022 153</w:t>
      </w:r>
    </w:p>
    <w:p>
      <w:r>
        <w:t>50. Also regarding the qualifications of the professional, CIN's behavior is found to be incorrect and misleading. As emerged from the investigative findings, the Convention signed on July 18, 2012, between Tirrenia and the Ministry of Infrastructure expired on July 18, 2020. The professional refers to the extension of the operation and the granting by the Ministry of Infrastructure of the related subsidies for the period July – December 2020. As of the date of initiation of the proceedings, therefore, CIN – contrary to what it claimed – was no longer under an extension; while only on the Termoli-Tremiti and Civitavecchia-Arbatax-Cagliari lines, as well as on the remaining four lines (Civitavecchia\Olbia, Genoa\Porto Torres, Naples\Cagliari, Cagliari\Palermo), the continuation of essential maritime continuity services was allowed.</w:t>
      </w:r>
    </w:p>
    <w:p>
      <w:r>
        <w:t>51. The issue as presented by the professional has characteristics of a technical specificity that is difficult for the average consumer to understand. The fact is that CIN received additional subsidies until December 2020 and that for some routes – decidedly disadvantaged – it continued to ensure the service of territorial continuity. From a communication standpoint to the consumer, however, the qualification of public service operator has a wide image and service guarantee scope. This aspect is particularly relevant in contrast to other carriers that perform the same activity under a private-commercial regime.</w:t>
      </w:r>
    </w:p>
    <w:p>
      <w:r>
        <w:t>52. The assertion therefore presents profiles of untruthfulness and incorrectness, as it suggests a qualification no longer held by the professional, despite its limited scope given its presence on a secondary page of the website. In this regard, it is also noted that the professional, as of March 2, 2021, removed this reference from the company website.</w:t>
      </w:r>
    </w:p>
    <w:p>
      <w:r>
        <w:t>53. In conclusion, the dissemination of promotional messages aimed at inducing consumers to purchase tickets well in advance of their use and concerning the possibility of canceling said tickets as an insurance policy was offered that would cover any penalties, without indicating the exclusion for consumers who were in quarantine, as well as the reference to the qualifications of the professional as the holder of the convention for the routes in question, constitutes a misleading commercial practice, in violation of Articles 20 and 21, paragraph 1, letters b) and f), of the Consumer Code.</w:t>
      </w:r>
    </w:p>
    <w:p>
      <w:r>
        <w:t>VII. QUANTIFICATION OF THE SANCTION</w:t>
      </w:r>
    </w:p>
    <w:p>
      <w:r>
        <w:t>54. Pursuant to Article 27, paragraph 9, of the Consumer Code, with the provision that prohibits the unfair commercial practice, the Authority orders the application of an administrative pecuniary sanction from €5,000 to €5,000,000, taking into account the severity and duration of the violation.</w:t>
      </w:r>
    </w:p>
    <w:p>
      <w:r>
        <w:t>55. Regarding the quantification of the sanction, account must be taken, as applicable, of the criteria identified by Article 11 of Law No. 689/81, by virtue of the reference provided in Article 27, paragraph 13, of the Consumer Code: in particular, the severity of the violation, the efforts made by the company to eliminate or mitigate the infringement, the personality of the agent, as well as the economic conditions of the company itself.</w:t>
      </w:r>
    </w:p>
    <w:p>
      <w:r>
        <w:t>56. For the purposes of the severity of the infringement, account is taken of: i) the economic size of the Professional as it is one of the main maritime carriers operating in the market; ii) the widespread nature of the commercial practice which, through the means of dissemination used, is capable of reaching a large number of consumers; iii) the extent of the economic harm caused to them by the potential attractiveness of an innovative commercial formula.</w:t>
      </w:r>
    </w:p>
    <w:p>
      <w:r>
        <w:t>57. Furthermore, regarding the commercial practice, in assessing the severity of the violation, account is taken of the specificity of the sector, in which the purchasing consumer finds themselves in a position of inevitable informational asymmetry compared to the professional; the manner of dissemination of the offer made through the website, a tool capable of reaching a multitude of consumers; the overall extent of the potential economic harm to consumers.</w:t>
      </w:r>
    </w:p>
    <w:p>
      <w:r>
        <w:t>58. As for the duration of the violation, the elements acquired in the records show that the aforementioned commercial practice was carried out by Compagnia Italiana di Navigazione S.p.A., starting from July 2020 and ceased on March 2, 2021.</w:t>
      </w:r>
    </w:p>
    <w:p>
      <w:r>
        <w:t>59. In determining the sanction, account is also taken of the economic situation in which the professional finds themselves, who has submitted to the records the decree of the Court of Milan that admitted the company MOBY S.p.A. - the parent company - to the preventive arrangement procedure.</w:t>
      </w:r>
    </w:p>
    <w:p>
      <w:r>
        <w:t>60. In light of the above, it is deemed appropriate to set the amount of the administrative pecuniary sanction applicable to Compagnia Italiana di Navigazione S.p.A. at €100,000 (one hundred thousand euros).</w:t>
      </w:r>
    </w:p>
    <w:p>
      <w:r>
        <w:t>CONSIDERING, therefore, based on the aforementioned considerations, and taking into account the opinion of the Transport Authority and the opinion of the Authority for Guarantees in Communications, that the commercial practice carried out by Compagnia Italiana di Navigazione S.p.A. is found to be in violation of Articles 20 and 21, paragraph 1, letters b) and f), of the Consumer Code, as it omits relevant information regarding the price and economic convenience of the advertised offer;</w:t>
      </w:r>
    </w:p>
    <w:p>
      <w:r>
        <w:t>RESOLVES</w:t>
      </w:r>
    </w:p>
    <w:p>
      <w:r>
        <w:t>a) that the commercial practice described in point II of this provision, carried out by the company Compagnia Italiana di Navigazione S.p.A., constitutes, for the reasons and within the limits set out in the motivation, an unfair commercial practice pursuant to Articles 20 and 21, paragraph 1, letters b) and f), of the Consumer Code, and prohibits its dissemination or continuation;</w:t>
      </w:r>
    </w:p>
    <w:p>
      <w:r>
        <w:t>b) to impose on the company Compagnia Italiana di Navigazione S.p.A., an administrative pecuniary sanction of €100,000 (one hundred thousand euros);</w:t>
      </w:r>
    </w:p>
    <w:p>
      <w:r>
        <w:t>The administrative sanctions imposed must be paid within thirty days from the notification of this provision, using the tax codes indicated in the attached F24 model with identifying elements, pursuant to Legislative Decree No. 241/1997.</w:t>
      </w:r>
    </w:p>
    <w:p>
      <w:r>
        <w:t>The payment must be made electronically by debiting the bank or postal account, through home banking and CBI services provided by banks or Poste Italiane S.p.A., or by using the telematic services of the Revenue Agency, available on the website www.agenziaentrate.gov.it.</w:t>
      </w:r>
    </w:p>
    <w:p>
      <w:r>
        <w:t>After the aforementioned deadline, for the period of delay of less than six months, late interest must be paid at the legal rate starting from the day after the payment deadline until the date of payment. In case of further delay in compliance, pursuant to Article 27, paragraph 6, of Law No. 689/81, the amount due for the imposed sanction is increased by one-tenth for each semester starting from the day after the payment deadline until the role is transmitted to the collector for collection; in this case, the increase absorbs the late interest accrued in the same period.</w:t>
      </w:r>
    </w:p>
    <w:p>
      <w:r>
        <w:t>to the Authority by sending the documentation certifying the payment made.</w:t>
      </w:r>
    </w:p>
    <w:p>
      <w:r>
        <w:t>This provision will be notified to the interested parties and published in the Bulletin of the Authority for Competition and the Market.</w:t>
      </w:r>
    </w:p>
    <w:p>
      <w:r>
        <w:t>Pursuant to Article 27, paragraph 12, of the Consumer Code, in case of non-compliance with the provision, the Authority applies an administrative pecuniary sanction from €10,000 to €5,000,000. In cases of repeated non-compliance, the Authority may order the suspension of business activity for a period not exceeding thirty days.</w:t>
      </w:r>
    </w:p>
    <w:p>
      <w:r>
        <w:t>Against this provision, an appeal may be submitted to the TAR of Lazio, pursuant to Article 135, paragraph 1, letter b), of the Code of Administrative Procedure (Legislative Decree No. 104 of July 2, 2010),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No. 1199 of November 24, 1971, within one hundred and twenty days from the date of notification of the provision itself.</w:t>
      </w:r>
    </w:p>
    <w:p>
      <w:r>
        <w:t>p. THE SECRETARY GENERAL THE PRESIDENT THE DEPUTY SECRETARY GENERAL Roberto Rustichelli Serena Stella</w:t>
      </w:r>
    </w:p>
    <w:p>
      <w:r>
        <w:rPr>
          <w:b/>
        </w:rPr>
        <w:t>[Pages 154–154]</w:t>
      </w:r>
    </w:p>
    <w:p>
      <w:r>
        <w:t xml:space="preserve">Antitrust Authority Weekly Bulletin  </w:t>
        <w:br/>
        <w:t xml:space="preserve">of Competition and Market Year XXXII - No. 3 - 2022  </w:t>
        <w:br/>
        <w:t xml:space="preserve">Editorial Coordination Giulia Antenucci  </w:t>
        <w:br/>
        <w:t xml:space="preserve">Editorial Team Valerio Ruocco, Simonetta Schettini, Manuela Villani  </w:t>
        <w:br/>
        <w:t xml:space="preserve">Antitrust Authority for Competition and Market  </w:t>
        <w:br/>
        <w:t xml:space="preserve">Statistics and IT Applications Office  </w:t>
        <w:br/>
        <w:t xml:space="preserve">Piazza Giuseppe Verdi, 6/a - 00198 Rome  </w:t>
        <w:br/>
        <w:t xml:space="preserve">Tel.: 06-858211 Fax: 06-85821256  </w:t>
        <w:br/>
        <w:t xml:space="preserve">Web: https://www.agcm.it  </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