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https://www.agcm.it/dotcmsdoc/bollettini/2025/3-25.pdf</w:t>
      </w:r>
    </w:p>
    <w:p>
      <w:r>
        <w:t>Pages translated : 25</w:t>
      </w:r>
    </w:p>
    <w:p/>
    <w:p>
      <w:r>
        <w:rPr>
          <w:b/>
        </w:rPr>
        <w:t>[Pages 1–3]</w:t>
      </w:r>
    </w:p>
    <w:p>
      <w:r>
        <w:t>Bulletin</w:t>
        <w:br/>
        <w:t>Weekly</w:t>
        <w:br/>
        <w:t>Year XXXV - No. 3</w:t>
        <w:br/>
        <w:t>Published on the website www.agcm.it</w:t>
        <w:br/>
        <w:t>January 27, 2025</w:t>
      </w:r>
    </w:p>
    <w:p>
      <w:r>
        <w:t>SUMMARY</w:t>
        <w:br/>
        <w:t>CONCENTRATION OPERATIONS 5</w:t>
        <w:br/>
        <w:t>C12697 - DUFERCO ITALIA HOLDING/COMAL</w:t>
        <w:br/>
        <w:t>Provision No. 31434 5</w:t>
        <w:br/>
        <w:t>REPORTING AND CONSULTATIVE ACTIVITIES 10</w:t>
        <w:br/>
        <w:t>AS2047 – REGULATION OF THE ACTIVITIES OF TECHNOLOGICAL PLATFORMS FOR</w:t>
        <w:br/>
        <w:t>INTERMEDIATION BETWEEN SUPPLY AND DEMAND OF NON-LINEAR PUBLIC TRANSPORT SERVICES 10</w:t>
        <w:br/>
        <w:t>AS2048 - MUNICIPALITY OF GINOSA (TA) - MARITIME CONCESSIONS FOR</w:t>
        <w:br/>
        <w:t>TOURIST-RECREATIONAL PURPOSES 17</w:t>
        <w:br/>
        <w:t>UNFAIR TRADE PRACTICES 19</w:t>
        <w:br/>
        <w:t>IP367 - MULPOR-INTERNATIONAL FAIRS DIRECTORY</w:t>
        <w:br/>
        <w:t>Notice of adoption of closure provision of the procedure 19</w:t>
        <w:br/>
        <w:t>IP367 - MULPOR-INTERNATIONAL FAIRS DIRECTORY</w:t>
        <w:br/>
        <w:t>Provision No. 31435 20</w:t>
      </w:r>
    </w:p>
    <w:p>
      <w:r>
        <w:t>BULLETIN NO. 3 OF JANUARY 27, 2025 5</w:t>
        <w:br/>
        <w:t>CONCENTRATION OPERATIONS</w:t>
        <w:br/>
        <w:t>C12697 - DUFERCO ITALIA HOLDING/COMAL</w:t>
        <w:br/>
        <w:t>Provision No. 31434</w:t>
        <w:br/>
        <w:t>THE ANTITRUST AUTHORITY</w:t>
        <w:br/>
        <w:t>IN ITS MEETING of January 9, 2025;</w:t>
        <w:br/>
        <w:t>HEARD the Rapporteur, Saverio Valentino;</w:t>
        <w:br/>
        <w:t>HAVING REGARD TO Regulation (EC) No. 139/2004;</w:t>
        <w:br/>
        <w:t>HAVING REGARD TO Law No. 287 of October 10, 1990;</w:t>
        <w:br/>
        <w:t>HAVING REGARD TO Presidential Decree No. 217 of April 30, 1998;</w:t>
        <w:br/>
        <w:t>HAVING REGARD TO the communication from Duferco Italia Holding S.p.A., received on December 30,</w:t>
        <w:br/>
        <w:t>2024;</w:t>
        <w:br/>
        <w:t>HAVING REGARD TO the documentation on file;</w:t>
        <w:br/>
        <w:t>CONSIDERED the following:</w:t>
        <w:br/>
        <w:t>I. THE PARTIES</w:t>
        <w:br/>
        <w:t>1. Duferco Italia Holding S.p.A. (hereinafter, “DIH”) is the Italian holding company of the Duferco group, an</w:t>
        <w:br/>
        <w:t>international group traditionally active in the steel sector that has diversified its activities into the production and marketing of electricity, logistics and transportation, and environmental services. The Duferco group is ultimately controlled by the Luxembourg company GIA Finance S.A.</w:t>
        <w:br/>
        <w:t>DIH achieved a turnover in Italy of over [1-5]* billion euros in 2023 and over [1-5] billion euros worldwide.</w:t>
        <w:br/>
        <w:t>2. Comal S.p.A. (hereinafter, “Comal” or “Target”) is an Italian company active (directly and through its subsidiary Tirreno Impianti S.r.l.) in the design, construction, installation, testing, commissioning, maintenance, and management of photovoltaic plants - in particular utility-scale ground-mounted photovoltaic plants - through the EPC-M contractual formula (Engineering, Purchase, Construction and Management), as well as in the production and marketing of sun trackers (mobile support structures for photovoltaic modules) and in the maintenance of conventional power plants.</w:t>
        <w:br/>
        <w:t>The shares of Comal are admitted to trading on Euronext Growth Milan, a multilateral trading system organized and managed by Borsa Italiana S.p.A. The main shareholders of the Target are the company Virtutis Solaris S.r.l. (hereinafter, “VS”) with a share of the capital equal to 23.39% and an individual with a share of 9.23%. Other shareholders include Savio Consulting S.r.l. with 5.32%, Sam S.r.l. with 4.25%, Teamlab S.r.l. with 2.49%, and the company Duferco Travi e Profilati S.p.A. (part of the Duferco group) with 2.13%. Over half of the share capital is floating and the main shareholders are not bound by shareholders' agreements.</w:t>
        <w:br/>
        <w:t>* In this version, some data are omitted, as it was deemed that there were elements of confidentiality or secrecy of the information.</w:t>
      </w:r>
    </w:p>
    <w:p>
      <w:r>
        <w:rPr>
          <w:b/>
        </w:rPr>
        <w:t>[Pages 4–6]</w:t>
      </w:r>
    </w:p>
    <w:p>
      <w:r>
        <w:t>6 BULLETIN NO. 3 OF JANUARY 27, 2025</w:t>
      </w:r>
    </w:p>
    <w:p>
      <w:r>
        <w:t>Comal achieved a consolidated turnover of approximately [100-567] million euros in 2023, almost entirely in Italy.</w:t>
      </w:r>
    </w:p>
    <w:p>
      <w:r>
        <w:t>II. DESCRIPTION OF THE TRANSACTION</w:t>
      </w:r>
    </w:p>
    <w:p>
      <w:r>
        <w:t>3. The transaction under examination (hereinafter, "Transaction") consists of the acquisition of exclusive control of Comal by DIH, through the company Duferco Solar Projects S.r.l. (hereinafter "DSP") of which DIH holds exclusive control.</w:t>
      </w:r>
    </w:p>
    <w:p>
      <w:r>
        <w:t>4. The acquisition will occur through the promotion, by DSP, of a voluntary total public tender offer (hereinafter, "PTO") aimed at acquiring all the ordinary shares issued by Comal (excluding the shares already held by the Duferco group) and obtaining their delisting from trading on Euronext Growth Milan (so-called Delisting). At the same time, through the definition of a framework agreement with DIH, VS has committed to tender all shares it owns in the PTO.</w:t>
      </w:r>
    </w:p>
    <w:p>
      <w:r>
        <w:t>5. The communication regarding the voluntary total public tender offer promoted by DPS on the ordinary shares of Target was published on December 11, 2024. In the event of failure to achieve the Delisting as a result of the PTO and/or the fulfillment of the purchase obligation pursuant to Article 108, paragraph 2, of Legislative Decree 58/1998 (so-called TUF), DPS reserves the right to achieve the Delisting through the merger by incorporation of Comal into DPS.</w:t>
      </w:r>
    </w:p>
    <w:p>
      <w:r>
        <w:t>6. Concurrently with the signing of the Framework Agreement, DIH, DSP, and the two main shareholders of VS, Alba Service S.r.l. and Urania S.r.l., signed an Investment Agreement aimed at regulating, among other things: (i) the terms and conditions of the acquisition of a minority stake in DSP by Alba Service S.r.l. and Urania S.r.l. as a result of the Offer; (ii) the composition of the administrative body of Comal in the event of completion of the Offer; and (iii) the signing of directorship agreements by Alfredo Balletti, the current CEO of Comal, and Fabio Rubeo, the current director and investor relator of Comal, aimed at regulating the terms and conditions of the positions of directors with delegations that they will hold in Comal in the event of completion of the offer.</w:t>
      </w:r>
    </w:p>
    <w:p>
      <w:r>
        <w:t>Based on this Investment Agreement, DIH will appoint the majority of the members of the Board of Directors of Comal, in which Mr. Balletti and Mr. Rubeo (or other persons possibly appointed by each of the two) will also sit. The Agreement does not grant Mr. Balletti and Mr. Rubeo (or any other directors attributable to them) any veto rights on strategic matters.</w:t>
      </w:r>
    </w:p>
    <w:p>
      <w:r>
        <w:t>7. The directorship agreements provide for a non-competition and non-solicitation commitment on the part of Mr. Balletti and Mr. Rubeo, under which [omitted].</w:t>
      </w:r>
    </w:p>
    <w:p>
      <w:r>
        <w:t>III. QUALIFICATION OF THE TRANSACTION</w:t>
      </w:r>
    </w:p>
    <w:p>
      <w:r>
        <w:t>8. The communicated Transaction, as it involves the acquisition of control of a company, constitutes a concentration pursuant to Article 5, paragraph 1, letter b), of Law No. 287/1990. It falls within the scope of application of Law No. 287/1990, as the conditions set out in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over 567 million euros and the total turnover achieved individually, in the last financial year at the national level, by at least two of the companies involved was over 35 million euros.</w:t>
      </w:r>
    </w:p>
    <w:p>
      <w:r>
        <w:t>9. The non-competition and non-solicitation agreements on the part of Mr. Balletti and Mr. Rubeo can be considered necessary ancillary restrictions to the communicated concentration Transaction only if limited in terms of products and services to those subject to the economic activity of the acquired company and geographically to the area of activity of the latter at the time of the transfer of control, with the sole exception of the territories in which the seller planned to penetrate at the time of the Transaction, provided that it had already made investments in view of such a project. As for the duration of the aforementioned agreements, they are ancillary as long as they are limited to a duration of two years from the acquisition of exclusive control by DIH, as there is no transfer of know-how, the buyer already operating in the relevant market. It is also noted that the non-competition agreement must be considered ancillary provided that it does not prevent the sellers from acquiring or holding shares solely for financial investment purposes, without this resulting, directly or indirectly, in the conferment of management assignments or substantial influence in the competing company.</w:t>
      </w:r>
    </w:p>
    <w:p>
      <w:r>
        <w:t>IV. EVALUATIONS</w:t>
      </w:r>
    </w:p>
    <w:p>
      <w:r>
        <w:t>10. Due to the operations of the Parties, the markets involved in the Transaction are: (i) the market for the realization and operational management of utility-scale photovoltaic plants; (ii) the market for the production and marketing of components for photovoltaic plants; and (iii) the market for the production and wholesale supply of electricity.</w:t>
      </w:r>
    </w:p>
    <w:p>
      <w:r>
        <w:t>11. The market for the realization and operational management of utility-scale photovoltaic plants includes all activities necessary for the realization of a utility-scale plant (design, procurement of components, assembly, execution of works) and its integration into the relevant electrical grid, as well as subsequent maintenance, performance monitoring, and possible modernization/upgrading. These services are offered by specialized operators, based on EPC-M contracts, and are distinguished by their complexity from services related to small or domestic plants. It has at least a national geographical dimension.</w:t>
      </w:r>
    </w:p>
    <w:p>
      <w:r>
        <w:t>12. In this market, Comal holds a position of limited relevance, having realized and managed about forty plants that represent, according to the Parties' estimates, approximately [10-15%] of the installed utility-scale photovoltaic power in Italy. The Duferco group operates in the realization of photovoltaic plants essentially on a captive basis, building and managing plants on the roofs of its own facilities, exclusively serving the latter, and only residually for third parties.</w:t>
      </w:r>
    </w:p>
    <w:p>
      <w:r>
        <w:t>13. The Transaction does not therefore appear likely to significantly alter the competitive structure of the market, due to the limited share held by the Target and the negligible share held by the Duferco group in third-party sales of such services. The Parties, moreover,</w:t>
      </w:r>
    </w:p>
    <w:p>
      <w:r>
        <w:t>14. In the market for the production and marketing of components for photovoltaic plants, Comal is present only through the production and marketing of sun trackers and transformation cabins to be paired with inverters, while the Duferco group does not operate in this market. The Transaction does not therefore appear likely to produce any change in the competitive structure of the market, resulting in the replacement of one operator with another.</w:t>
      </w:r>
    </w:p>
    <w:p>
      <w:r>
        <w:t>15. The Duferco group is also present in the downstream market for the production and wholesale supply of electricity. According to the established decision-making practice of the Authority, this market includes both the production and wholesale supply of electricity, regardless of the source of production. The market includes, in Italy, both forward transactions and spot transactions (so-called "day-ahead market" or "MGP" and "intraday market" or "MI") concluded through the platforms managed by the Energy Market Operator S.p.A., as well as bilateral contracts (so-called "over-the-counter"). As for the geographical dimension of this market, in the Authority's practice, it is considered supra-regional, as macro-network constraints, under certain circumstances, could lead to the separation of the market into different zones characterized by different equilibrium prices in the day-ahead market. In its practice, the Authority identifies four macro-areas constituting four distinct geographical markets: macro-area North, macro-area South, macro-area Sicily, and macro-area Sardinia.</w:t>
      </w:r>
    </w:p>
    <w:p>
      <w:r>
        <w:t>16. Through its subsidiary Duferco Energia S.p.A., the Duferco group manages in Italy several hydroelectric plants and photovoltaic plants for a total annual production exceeding 30 GWh of electricity, less than 1% of the national electricity production. In particular, the group owns photovoltaic plants located in the macro-areas North, South, and Sicily and hydroelectric plants located in the macro-areas North and South; overall, in each of the macro-areas in which the group is active, the respective market shares are well below 5%.</w:t>
      </w:r>
    </w:p>
    <w:p>
      <w:r>
        <w:t>17. In light of the marginal share held by the Duferco group in this market and that held by Comal in the upstream market for the realization and management of photovoltaic plants, the Duferco group does not appear to have either the capacity or the incentive to exclude its competitors in the wholesale electricity market from accessing the services provided by Comal.</w:t>
      </w:r>
    </w:p>
    <w:p>
      <w:r>
        <w:t>CONSIDERING, therefore, that the Transaction under examination does not significantly impede effective competition in the relevant markets pursuant to Article 6, paragraph 1, of Law No. 287/1990 and does not result in the establishment or strengthening of a dominant position;</w:t>
      </w:r>
    </w:p>
    <w:p>
      <w:r>
        <w:t>CONSIDERING, furthermore, that the non-competition and non-solicitation clauses described above can be considered ancillary to the Transaction only within the indicated limits and that the Authority reserves the right to evaluate, where the conditions exist, the aforementioned clauses that may be realized beyond those limits;</w:t>
      </w:r>
    </w:p>
    <w:p>
      <w:r>
        <w:t>RESOLVES</w:t>
      </w:r>
    </w:p>
    <w:p>
      <w:r>
        <w:t>not to initiate the investigation referred to in Article 16, paragraph 4, of Law No. 287/1990.</w:t>
      </w:r>
    </w:p>
    <w:p>
      <w:r>
        <w:rPr>
          <w:b/>
        </w:rPr>
        <w:t>[Pages 7–9]</w:t>
      </w:r>
    </w:p>
    <w:p>
      <w:r>
        <w:t>BULLETIN NO. 3 OF JANUARY 27, 2025</w:t>
      </w:r>
    </w:p>
    <w:p>
      <w:r>
        <w:t>The above conclusions will be communicated, pursuant to Article 16, paragraph 4, of Law No. 287/1990, to the interested companies and to the Minister of Enterprises and Made in Italy. This provision will be published in the Bulletin of the Antitrust Authority.</w:t>
      </w:r>
    </w:p>
    <w:p>
      <w:r>
        <w:t>THE SECRETARY GENERAL THE PRESIDENT</w:t>
        <w:br/>
        <w:t>Guido Stazi Roberto Rustichelli</w:t>
      </w:r>
    </w:p>
    <w:p>
      <w:r>
        <w:t>10 BULLETIN NO. 3 OF JANUARY 27, 2025</w:t>
      </w:r>
    </w:p>
    <w:p>
      <w:r>
        <w:t>ACTIVITY OF REPORTING AND CONSULTATION</w:t>
      </w:r>
    </w:p>
    <w:p>
      <w:r>
        <w:t>AS2047 – REGULATION OF THE ACTIVITIES OF TECHNOLOGICAL PLATFORMS FOR INTERMEDIATION BETWEEN DEMAND AND SUPPLY OF NON-LINEAR PUBLIC TRANSPORT SERVICES</w:t>
      </w:r>
    </w:p>
    <w:p>
      <w:r>
        <w:t>Rome, November 4, 2024</w:t>
      </w:r>
    </w:p>
    <w:p>
      <w:r>
        <w:t>President of the Council of Ministers</w:t>
        <w:br/>
        <w:t>Ministry of Infrastructure and Transport</w:t>
        <w:br/>
        <w:t>Ministry of Enterprises and Made in Italy</w:t>
      </w:r>
    </w:p>
    <w:p>
      <w:r>
        <w:t>With reference to the request for an opinion from the Ministry of Infrastructure and Transport (hereinafter, "MIT"), received on October 3, 2024, regarding the draft decree of the President of the Council of Ministers entitled "Regulation of the activities of technological platforms for intermediation between demand and supply of non-linear public transport services pursuant to Article 10-bis, paragraph 8, of Decree-Law No. 135 of December 14, 2018, converted with amendments by Law No. 12 of February 11, 2019" (hereinafter, "DPCM"), the Antitrust Authority, in its meeting on October 29, 2024, resolved to carry out, pursuant to Article 22 of Law No. 287 of October 10, 1990, the following considerations, which have already been formulated in the joint report of June 12, 2024, with the Transport Regulatory Authority.</w:t>
      </w:r>
    </w:p>
    <w:p>
      <w:r>
        <w:t>In particular, the competitive issues arising from the DPCM, which is the subject of the request for an opinion, concern:</w:t>
        <w:br/>
        <w:t>(i) Article 5, paragraph 2, second sentence, according to which: “[i]n the case of requests for NCC services related to the first available departure time, the carrier indicates a user pickup time compatible with the transfer times from the depot or, in the case of departure from a location other than the depot, not less than twenty minutes, as provided for by the decree adopted pursuant to Article 11, paragraph 4, of the framework law”;</w:t>
        <w:br/>
        <w:t>(ii) Article 6, paragraph 1, where it establishes that “[…] the technological platforms that carry out intermediation activities concerning both taxi services and NCC services adopt appropriate mechanisms aimed at ensuring that, before sending each request for intermediation service, the user exercises an express option for the taxi or NCC service they intend to activate for the transport service subject to intermediation.” Paragraph 2 of the same Article 6, according to which “the arrival times of the taxi or NCC carrier and the estimated fee for the service are communicated to the user only following the option made by the user pursuant to paragraph 1.” Article 4, paragraph 3, second sentence, which states that “the managing entities adopt appropriate measures aimed at ensuring that the user's destination is communicated to the taxi carrier only at the time of user pickup and that the estimated fare for the ride is not communicated to the carrier,” without, however, providing for provisions suitable for facilitating the verification by local authorities of the correct fulfillment of public service obligations;</w:t>
        <w:br/>
        <w:t>(iii) the lack of provisions in the aforementioned draft DPCM aimed at protecting the freedom to provide services by different carriers in favor of a plurality of intermediation platforms.</w:t>
      </w:r>
    </w:p>
    <w:p>
      <w:r>
        <w:t>The Ministry requesting this opinion, in the communication received on June 13 in response to the aforementioned report AS1990, considered that the provisions under (i) and (ii) are justified by the purpose set by the legislator to ensure the constitutive differences between the two services of taxi and NCC, which under current primary legislation are not fully interchangeable due to the different authorization and regulatory framework that characterizes them.</w:t>
      </w:r>
    </w:p>
    <w:p>
      <w:r>
        <w:t>On the minimum waiting time</w:t>
      </w:r>
    </w:p>
    <w:p>
      <w:r>
        <w:t>Before any substantive consideration, it is appropriate to clarify that the provisions of the DPCM are situated and should be evaluated in a market context in which, compared to the past, there is, especially from the demand side, a greater substitutability of the taxi service with that of NCC. In this sense, the Court of Justice, the Constitutional Court, as well as the EU Commission have expressed themselves recently.</w:t>
      </w:r>
    </w:p>
    <w:p>
      <w:r>
        <w:t>In the judgment of June 8, 2023, C-50-21, Prestige-Limousine, the Court of Justice held that the subjection of the taxi service to regulation concerning license quotas, fares, the obligation of universal transport, and accessibility for persons with reduced mobility is not sufficient to “demonstrate that the interest that this activity represents has […] specific characteristics compared to that of other economic activities, […]” also observing that “the objective of ensuring the economic viability of taxi services must be considered […] a reason of purely economic nature” and not an imperative reason of general interest that could justify restrictions on competition and the freedom of establishment under Article 49 TFEU.</w:t>
      </w:r>
    </w:p>
    <w:p>
      <w:r>
        <w:t>The Court of Justice also highlighted the crucial role that NCC services can play in achieving the goal of efficient and inclusive mobility, precisely thanks to the use of technological innovation and flexibility in service provision.</w:t>
      </w:r>
    </w:p>
    <w:p>
      <w:r>
        <w:t>The Constitutional Court in the judgment of July 19, 2024, No. 137 noted that, “despite ‘the different configuration of non-linear public services,’ the ‘demand for non-linear mobility largely considers taxi and NCC services interchangeable,’” emphasizing that non-linear transport services contribute “to giving ‘effectiveness’ to the freedom of movement, ‘which is the condition for the exercise of other rights’ (judgment No. 36 of 2024), so that the strong shortage of supply […] generated by public conforming power has resulted in serious discomfort caused to entire segments of the population and to economic development opportunities,” harming “the elderly and vulnerable population,” compromising “the needs for access to fast mobility, often essential for those traveling for work reasons” as well as tourism and Italy's international image. The Constitutional Court also reiterated, recalling the previously cited EU jurisprudence, that restrictions on the freedom of establishment may be permitted provided that they respect, among other things, the principle of proportionality, which must ensure, in a coherent and systematic manner, the achievement of the pursued objective and not exceed what is necessary for its satisfaction. Particular importance has also been recognized to the need, already highlighted in other rulings, for there to be a “rational connection between the means provided by the legislator […] and the end that it intends to pursue.” In the “Communication from the Commission concerning local passenger transport on demand (taxis and rental vehicles</w:t>
      </w:r>
    </w:p>
    <w:p>
      <w:r>
        <w:rPr>
          <w:b/>
        </w:rPr>
        <w:t>[Pages 10–12]</w:t>
      </w:r>
    </w:p>
    <w:p>
      <w:r>
        <w:t>12 BULLETIN NO. 3 OF JANUARY 27, 2025</w:t>
      </w:r>
    </w:p>
    <w:p>
      <w:r>
        <w:t>with driver) well-functioning and sustainable 2022/C 62/01” it is stated that today in the market the "NCC system" competes with the "taxi system", as users perceive traditional taxi services and NCC services as two very similar types, with their interest focused on availability and price for transportation from one point to another. Furthermore, after noting that in many Member States there are differences between the taxi service and the NCC service, the Commission recommended that regulatory frameworks be adjusted to "fully exploit the advantages offered by digitalization and other innovative technologies, which will lead to efficiency increases such as better vehicle utilization, shorter waiting times, and the reduction of kilometers traveled without passengers on board," in order to ensure that "passengers have access to sustainable, smart, and resilient mobility services that are available, affordable, accessible, reliable, of good quality, safe, and governed by rules compliant with Union law."</w:t>
      </w:r>
    </w:p>
    <w:p>
      <w:r>
        <w:t>As for the burdens that NCC drivers face, the Commission, specifically regarding the imposition of a mandatory time interval between the booking of an NCC and the start of the service, considered it a measure that prevents the provision of the service immediately after booking and that results in a comparative disadvantage for NCC services, causing, among other things, "an inefficient use of the working hours of NCC drivers." Therefore, any rule of this kind must be justified by imperative reasons of general interest, must ensure the achievement of the pursued objective, and must not go beyond what is necessary to satisfy it.</w:t>
      </w:r>
    </w:p>
    <w:p>
      <w:r>
        <w:t>It is also interesting to note the observation that "Cities could [...] designate spaces in the most central areas where drivers can wait during breaks between rides, with the aim of minimizing empty rides, which represent an inefficient use of the working hours of the vehicle and the driver and are harmful to the environment, as they contribute to increased congestion and emissions."</w:t>
      </w:r>
    </w:p>
    <w:p>
      <w:r>
        <w:t>Turning to the analysis of the provisions of the DPCM, particular criticalities arise from Article 5, paragraph 2, of the draft DPCM, which imposes on NCCs the obligation to wait at least twenty minutes from the booking to provide a service departing from a location other than the garage, as this provision is suitable for erecting an unjustified barrier to market access and the development of NCC activity that - in light of the previously outlined framework - exceeds the strict necessity and lacks the requirements of reasonableness and proportionality concerning the objective set by the legislator to ensure that the NCC service is aimed at a specific and not undifferentiated clientele. In fact, this objective is already fully guaranteed by the provisions in the framework law concerning the obligation to receive requests for services and bookings at the garage or headquarters, even using technological tools, as well as the obligation to compile and maintain an electronic service sheet: these rules constitute adequate measures to ensure the effectiveness of the prohibition for NCCs to address an undifferentiated clientele, enabling the operator to demonstrate having a (subsequent) booking, and, at the same time, impose burdens on NCCs proportional to the characteristics of the service offered, which indeed presupposes a booking.</w:t>
      </w:r>
    </w:p>
    <w:p>
      <w:r>
        <w:t>In the scenario defined by the DPCM norm, instead, the NCC carrier, unable to accept new requests with less than twenty minutes' notice, will, in fact, have to return to the garage before being able to perform any other transport service, and will be prevented from adequately competing with taxi drivers in meeting the mobility demand that requires a timely provision of the service.</w:t>
      </w:r>
    </w:p>
    <w:p>
      <w:r>
        <w:t>Moreover, by effectively eliminating one of the main advantages derived from the use of booking apps for non-line transport services, a serious blow is dealt to innovation, consumer welfare, and other general interests, including the freedom of establishment under Article 49 TFEU, as well as to the economic development of the country, in a context of high scarcity of supply compared to demand. Consumers will indeed be limited in their ability to turn to the NCC service, also to address the serious inconveniences they have been facing for years, and, on the supply side, the free provision of non-line transport services by NCCs will be strongly hindered, burdened by unjustified operational costs.</w:t>
      </w:r>
    </w:p>
    <w:p>
      <w:r>
        <w:t>In this regard, it must be reiterated that the restriction in question is introduced in a market where, at least in the most populous municipalities in Italy, supply is significantly lower than demand, with protective effects for the taxi category but, above all, with the concrete risk of further aggravating this situation.</w:t>
      </w:r>
    </w:p>
    <w:p>
      <w:r>
        <w:t>It should also be noted that, in any case, from the perspective of users' mobility needs, as has already been widely demonstrated, there is no demand directed solely at taxi services, but a broader request for on-demand services (non-line), which can be effectively intermediated through digital platforms, even extending beyond municipal boundaries.</w:t>
      </w:r>
    </w:p>
    <w:p>
      <w:r>
        <w:t>Finally, the provision, which is the subject of this opinion, appears to be in contrast with Article 117, first paragraph, of the Constitution, in relation to Article 49 TFEU on the freedom of establishment, as interpreted by the Court of Justice in the Prestige-Limousine SL ruling. The Court of Justice, regarding the application of Article 49 TFEU, clarified that this provision guarantees the freedom of establishment even in relations between companies providing taxi services and companies authorized for NCC services and that it opposes a regulatory framework that restricts NCC activity, unless it is demonstrated that such a restrictive measure is suitable to ensure the achievement of general interest objectives and that it does not exceed what is necessary to achieve those objectives.</w:t>
      </w:r>
    </w:p>
    <w:p>
      <w:r>
        <w:t>NCC: "With reference to the NCC sector, this Court recently stated that 'the prohibitions and obligations imposed on companies authorized for NCC services, to be legitimate, must be [...] adequate and proportional to the purpose to be pursued' (ruling no. 36 of 2024) and equally emphasized the need for a 'rational connection between the means provided by the legislator [...] and the end that it intends to pursue'" (see ruling no. 8 of 2024, par. 6.2).</w:t>
      </w:r>
    </w:p>
    <w:p>
      <w:r>
        <w:t>Based on this case law and the principles established therein, which have also been reiterated by the Constitutional Court in the aforementioned ruling no. 137/2024, the provision, which is the subject of this opinion, that imposes a limitation on NCC activity, therefore appears to affect the freedom of establishment without any imperative reason of general interest being identifiable to safeguard it nor a close relationship with the interest identified by the legislator. On the contrary, the norm not only seems aimed at guaranteeing an interest that, in light of the cited EU case law, appears to have purely economic characteristics, but also seems likely to harm a plurality of general interests, including the interest in ensuring a containment of car traffic from which evident benefits for the environment would derive (consider, in this sense, not only the reduction of private transport use but also the possible elimination of "empty rides" for NCCs).</w:t>
      </w:r>
    </w:p>
    <w:p>
      <w:r>
        <w:t>Since the norm in question imposes an unjustified barrier to entry and the development of NCC activity in the market, significantly reducing its competitiveness, the Authority - also in light of the aforementioned recent case law of the EU Court of Justice and the Constitutional Court - believes that it is in conflict with Articles 3, 41, paragraphs 1 and 2, and 117, first paragraph, of the Constitution, the latter in relation to Article 49 TFEU on the freedom of establishment, as interpreted by the same Court of Justice.</w:t>
      </w:r>
    </w:p>
    <w:p>
      <w:r>
        <w:t>On the methods of using intermediary apps for booking a transport service via taxi or NCC</w:t>
      </w:r>
    </w:p>
    <w:p>
      <w:r>
        <w:t>The provision of Article 6, paragraph 1, of the draft DPCM establishes that users who are about to use apps to book a transport service via taxi or NCC must select whether to use the taxi service or the NCC service before knowing the arrival times of the carrier and the estimated fee for the service.</w:t>
      </w:r>
    </w:p>
    <w:p>
      <w:r>
        <w:t>In this regard, the Authority reiterates that this provision prejudices effective competitive play between taxi service providers and NCC service providers: in fact, on the one hand, this ex ante choice seems capable of directing users towards taxi services rather than NCC services, which are generally considered more expensive than taxi services due to higher quality standards; on the other hand, NCC service providers will be less willing to adjust the price of their services to that (tendentially lower) of taxi services, with negative consequences for end users.</w:t>
      </w:r>
    </w:p>
    <w:p>
      <w:r>
        <w:t>At the same time, this provision seems to be in contrast with the need to stimulate competition between taxis and NCCs for consumers who indiscriminately turn to both types of service, also utilizing the opportunities offered by technology and particularly by intermediary platforms, which should be able to guarantee a quick search and comparison of services.</w:t>
      </w:r>
    </w:p>
    <w:p>
      <w:r>
        <w:t>At the consumer protection level, moreover, the ex ante choice of whether to turn to the taxi service or the NCC service to meet a single need, namely obtaining a transport service, is not suitable to ensure the realization of the objectives of proper management of transport, traffic, and public space as well as environmental protection; these latter interests, moreover, are not sacrificed by NCC services but facilitated. Secondly, it was specified that the objective of ensuring the economic viability of taxi services constitutes a reason of purely economic nature, which cannot be qualified as such as an imperative reason of general interest. As for the requirement of proportionality of the measure limiting the number of licenses, the Court of Justice finally noted that there are less restrictive measures to limit the potential impact of the NCC vehicle fleet on transport, traffic, and public space, such as, for example, measures for organizing NCC services, limitations of these services during certain time slots, or restrictions on circulation in certain spaces, as well as to achieve the objective of environmental protection (for example, imposing emission limits applicable to vehicles circulating in the urban environment).</w:t>
      </w:r>
    </w:p>
    <w:p>
      <w:r>
        <w:t>Similar considerations apply to the aforementioned provisions of the MIT decree in the text examined in the AS1990 report where they are reproduced in the text currently under examination by the Ministry of the Interior for the acquisition of the required concert.</w:t>
      </w:r>
    </w:p>
    <w:p>
      <w:r>
        <w:rPr>
          <w:b/>
        </w:rPr>
        <w:t>[Pages 13–15]</w:t>
      </w:r>
    </w:p>
    <w:p>
      <w:r>
        <w:t>BULLETIN NO. 3 OF JANUARY 27, 2025</w:t>
      </w:r>
    </w:p>
    <w:p>
      <w:r>
        <w:t>15</w:t>
        <w:br/>
        <w:t>personalized and at preferred times, does not allow the user to clearly know and at a single moment (in the specific context, a single screen in the app) all the essential elements in order to clearly perceive the scope of the offer and make an informed economic choice. Nor is it understood how this provision can interfere with the objective set by the legislator to ensure that the NCC service is aimed at a specific user who books the service, given that the taxi is not subject to reservation, even in the event that the service is delayed compared to the request.</w:t>
      </w:r>
    </w:p>
    <w:p>
      <w:r>
        <w:t>Furthermore, the text of the draft DPCM provides in Article 4, paragraph 3, second sentence that "the managing entities adopt appropriate measures to ensure that the user's destination is communicated to the taxi driver only at the time of the user's pickup and that the estimated fare for the ride is not communicated to the driver." The provision appears evidently aimed at preventing taxi drivers from refusing rides that they consider less appealing from an economic point of view, but it does not constitute an adequate guarantee of the proper fulfillment of the public service obligations to which they are subject, not preventing an unjustified refusal from occurring nonetheless. In this regard, considering the obligation to provide the service on the part of taxi drivers, it is necessary that any refusals to accept the ride be communicated along with the relevant cause of objective impediment to the competent territorial authority for the service, through the managing entity for the exercise of supervisory functions.</w:t>
      </w:r>
    </w:p>
    <w:p>
      <w:r>
        <w:t>On the non-exclusive use of platforms by carriers</w:t>
      </w:r>
    </w:p>
    <w:p>
      <w:r>
        <w:t>The effectiveness of the intermediation mechanisms between the demand and supply of taxis and NCC, in compliance with the principles and criteria that differentiate the various sectors, is subject to the respect of the principle of freedom in the provision of services by the subjects referred to in Article 7, paragraph 1, letter a) of Law No. 21 of January 15, 1992. Therefore, the Authority reiterates that it would be desirable to expressly provide, at the time of the adoption of the DPCM, specific provisions aimed at allowing taxi and NCC operators to adhere to more than one technological platform, providing that any clause or other contractual provision that prohibits the adherence of the subjects referred to in Article 7 of Law No. 21 of January 15, 1992 to more than one technological platform is considered null.</w:t>
      </w:r>
    </w:p>
    <w:p>
      <w:r>
        <w:t>The suggested measure appears to relate to the "regulation of the activity of technological platforms for intermediation between demand and supply of non-scheduled public transport services" subject to the delegation, as it is functional to guarantee access to the market (and thus the exercise of economic initiative) by multiple platforms and, in this way, an adequate competitive comparison among them. Conversely, in the absence of such a measure, especially in a context like the Italian one characterized by a scarcity of supply of the services in question, platforms would have difficulty accessing the necessary resources to operate in the market and to stimulate greater competition, with positive effects in terms of rates, services, and quality. As highlighted by the Council of State in the ruling of December 14, 2020, No. 7991, exclusive clauses that prevent taxi drivers from adhering to multiple intermediation platforms indeed have the effect of hindering market entry or obstructing the activity of new operators, resulting in a reduction in the quantity and quality of the service provided to users, as well as an increase in the purchase prices of the intermediated service.</w:t>
      </w:r>
    </w:p>
    <w:p>
      <w:r>
        <w:t>Based on the considerations made, the Authority respectfully invites the Government and the relevant Ministries to:</w:t>
      </w:r>
    </w:p>
    <w:p>
      <w:r>
        <w:t>10 Elements deemed necessary also by the Council of State (see Council of State, Section VI, 11/24/2011, No. 6204).</w:t>
      </w:r>
    </w:p>
    <w:p>
      <w:r>
        <w:t>16 BULLETIN NO. 3 OF JANUARY 27, 2025</w:t>
      </w:r>
    </w:p>
    <w:p>
      <w:r>
        <w:t>(i) modify the draft DPCM subject to this opinion by eliminating the provisions that require NCC to wait at least twenty minutes before providing the requested service, in order to avoid substantially precluding the activity of technological platforms for intermediation of NCC services;</w:t>
      </w:r>
    </w:p>
    <w:p>
      <w:r>
        <w:t>(ii) remove from the draft DPCM the provision that requires users who are about to use apps to book a transport service via taxi or NCC to select whether they wish to use the taxi service or the NCC service before knowing the arrival times of the carrier and the estimated fare for the service, and allow for the verification of the proper fulfillment of public service obligations;</w:t>
      </w:r>
    </w:p>
    <w:p>
      <w:r>
        <w:t>(iii) introduce specific provisions aimed at allowing taxi and NCC carriers to adhere to more than one technological intermediation platform, providing that any clause contrary to this principle is considered null.</w:t>
      </w:r>
    </w:p>
    <w:p>
      <w:r>
        <w:t>THE PRESIDENT</w:t>
      </w:r>
    </w:p>
    <w:p>
      <w:r>
        <w:t>Roberto Rustichelli</w:t>
      </w:r>
    </w:p>
    <w:p>
      <w:r>
        <w:t>BULLETIN NO. 3 OF JANUARY 27, 2025</w:t>
      </w:r>
    </w:p>
    <w:p>
      <w:r>
        <w:t>17</w:t>
      </w:r>
    </w:p>
    <w:p>
      <w:r>
        <w:t>AS2048 - MUNICIPALITY OF GINOSA (TA) - MARITIME STATE CONCESSIONS FOR TOURIST-RECREATIONAL PURPOSES</w:t>
      </w:r>
    </w:p>
    <w:p>
      <w:r>
        <w:t>Rome, January 10, 2025</w:t>
      </w:r>
    </w:p>
    <w:p>
      <w:r>
        <w:t>Municipality of Ginosa</w:t>
      </w:r>
    </w:p>
    <w:p>
      <w:r>
        <w:t>The Antitrust Authority, in its meeting of January 9, 2025, also following the receipt of a report, has resolved to formulate some observations, pursuant to Article 21 of Law No. 287/1990, regarding some competitive criticalities arising from the procedure for the assignment of twenty maritime state concessions for tourist-recreational purposes in the Municipality of Ginosa.</w:t>
      </w:r>
    </w:p>
    <w:p>
      <w:r>
        <w:t>In particular, while favorably acknowledging the ongoing activities by this Municipality aimed at the assignment through a public evidence procedure of maritime state concessions, the Authority believes that the tender documentation reveals, first and foremost, a clear preference granted to holders of maritime state concessions over other economic operators. This is evident from the requirement among the participation requirements of the minimum requirement of registration, at the time of application submission, to the CC.II.AA. for the management of beach establishments, as well as from the provision among the evaluation criteria of the technical offer of attributing a maximum of 10 points to the professionalism gained in managing areas of the maritime state and the patrimonial incidence of income derived from the management of a maritime concession in the five years preceding the start of the notice.</w:t>
      </w:r>
    </w:p>
    <w:p>
      <w:r>
        <w:t>Furthermore, the tender documents show how the ten-year duration of the concession granted as a result of the procedure is disconnected from the investments proposed by the economic operator at the time of application submission and subject to technical evaluation within the same procedure.</w:t>
      </w:r>
    </w:p>
    <w:p>
      <w:r>
        <w:t>In this regard, the Authority wishes to remind this Municipality of the evaluations made in the general report AS2029.</w:t>
      </w:r>
    </w:p>
    <w:p>
      <w:r>
        <w:t>On that occasion, in fact, the Authority recalled the competitive restrictions that may arise from the participation requirement or from the evaluation criterion of the application related to technical and professional capacity, where the possibility is not provided that the required experience and professionalism may have been gained by the operator also in carrying out extra-1 The Determination of the Head of the VIII Sector - Area Productive Activities and Heritage of the Municipality of Ginosa of November 15, 2024, No. 2441 (Reg. Sett. No. 1 of 15-11-2024), concerning "Approval of the Notice for the procedure for the assignment of maritime state concessions concerning No. 20 concessions of maritime state assets located in the Municipality of Ginosa for tourist-recreational purposes pursuant to Articles 36 and 37 of the Navigation Code and Regional Law No. 17/2015 and subsequent amendments, of which No. 12 for BEACH ESTABLISHMENT (SB), No. 2 for BEACH ESTABLISHMENT WITH DOG AREA (AAA), No. 4 for FREE BEACH WITH SERVICES (SLS), No. 2 for MOORING POINTS (CPO)", the Notice for the assignment procedure and the related attachments, published on December 19, 2024.</w:t>
      </w:r>
    </w:p>
    <w:p>
      <w:r>
        <w:t>2 AS2029 - Extension of maritime, lacustrine, and fluvial state concessions for tourist-recreational and sports purposes, sent to ANCI and the Permanent Conference for relations between the State, Regions, and the Autonomous Provinces of Trento and Bolzano, published in the Authority Bulletin No. 32/2024.</w:t>
      </w:r>
    </w:p>
    <w:p>
      <w:r>
        <w:rPr>
          <w:b/>
        </w:rPr>
        <w:t>[Pages 16–18]</w:t>
      </w:r>
    </w:p>
    <w:p>
      <w:r>
        <w:t>18 BULLETIN NO. 3 OF JANUARY 27, 2025</w:t>
      </w:r>
    </w:p>
    <w:p>
      <w:r>
        <w:t>concession. Such a requirement could indeed prove to be unjustifiably restrictive and lacking the characteristics of necessity and proportionality, as it precludes the possibility of participation in the procedure by new entrants and is capable of integrating a preference in favor of operators already active in the market. Similar preclusions for new entrants may arise from the attribution of an excessive score to previous professional experience or in the event of a possible inclusion, among the selection criteria, of a right of first refusal in favor of the outgoing concessionaire.</w:t>
      </w:r>
    </w:p>
    <w:p>
      <w:r>
        <w:t>With reference to the duration of the concession and investments, assuming the legitimacy of the granting administration's choice to require the realization of investments, even substantial, the Authority reiterated that, in order not to nullify the recourse to competitive assignment procedures, the duration of the concession should be commensurate with its value and organizational complexity and should not exceed the time reasonably necessary for the recovery of the authorized investments and a fair remuneration of the invested capital.</w:t>
      </w:r>
    </w:p>
    <w:p>
      <w:r>
        <w:t>Finally, with specific reference to the enhancement in the tender of investment programs and the services that will be provided to users, also in terms of the ability to interact with the tourism-territorial system, the Authority invites the municipal administration, as the granting entity, to identify methods that, according to the principles of transparency, fairness, non-discrimination, reasonableness, and proportionality, ensure price containment and adequate accessibility for the various categories of end users.</w:t>
      </w:r>
    </w:p>
    <w:p>
      <w:r>
        <w:t>The Authority invites the Municipality of Ginosa to communicate, within thirty days from the receipt of this notification, the initiatives taken regarding the highlighted competitive criticalities.</w:t>
      </w:r>
    </w:p>
    <w:p>
      <w:r>
        <w:t>This notification will be published in the Bulletin of the Competition and Market Authority.</w:t>
      </w:r>
    </w:p>
    <w:p>
      <w:r>
        <w:t>THE PRESIDENT</w:t>
        <w:br/>
        <w:t>Roberto Rustichelli</w:t>
      </w:r>
    </w:p>
    <w:p>
      <w:r>
        <w:t>BULLETIN NO. 3 OF JANUARY 27, 2025</w:t>
      </w:r>
    </w:p>
    <w:p>
      <w:r>
        <w:t>UNFAIR TRADE PRACTICES</w:t>
      </w:r>
    </w:p>
    <w:p>
      <w:r>
        <w:t>IP367 - MULPOR-INTERNATIONAL FAIRS DIRECTORY</w:t>
      </w:r>
    </w:p>
    <w:p>
      <w:r>
        <w:t>Notice of adoption of the closure of the procedure</w:t>
      </w:r>
    </w:p>
    <w:p>
      <w:r>
        <w:t>COMPETITION AND MARKET AUTHORITY</w:t>
      </w:r>
    </w:p>
    <w:p>
      <w:r>
        <w:t>Notification of the adoption of the closure of the procedure, pursuant to Article 20, paragraph 2, of the "Regulation on investigative procedures in matters of consumer protection and misleading and comparative advertising" (hereinafter, Regulation), adopted by the Authority with resolution of November 5, 2024, no. 31356, in relation to procedure IP 367.</w:t>
      </w:r>
    </w:p>
    <w:p>
      <w:r>
        <w:t>The publication of this notice in the weekly Bulletin of the Competition and Market Authority, followed by the closure of the procedure with which the repeated non-compliance with its resolution no. 27552 of February 6, 2019, was deliberated, is carried out pursuant to and for the effects of Article 20, paragraph 2, of the Regulation, given the lack of receipt of feedback to the attempt to transmit the communication of the initiation of the procedure, made on December 14, 2023, prot. no. 103362.</w:t>
      </w:r>
    </w:p>
    <w:p>
      <w:r>
        <w:t>For any communication addressed to the Authority regarding the case in question, please refer to the Directorate of credit, insurance, postal services, tourism, and sports of the Consumer Protection Department - 2 and the reference IP367.</w:t>
      </w:r>
    </w:p>
    <w:p>
      <w:r>
        <w:t>In the "payment of fines" section of the Authority's website (www.agcm.it), information regarding the payment methods of fines, updated compared to what is reported in the provision, is provided.</w:t>
      </w:r>
    </w:p>
    <w:p>
      <w:r>
        <w:t>In particular, for payments in currencies other than the euro and in euros in countries not adhering to the SEPA area, the payment order, to be made to IBAN no. IT17H0100003245BE00000002RO, must contain all the necessary information for the correct finalization of the payment, including the currency of payment, the account identifier, and the identification of the beneficiary's bank (the beneficiary's bank can be identified with a BIC code or with the respective name and address), as well as the indication of the bank or intermediary banks where necessary for the finalization of the payment.</w:t>
      </w:r>
    </w:p>
    <w:p>
      <w:r>
        <w:t>IP367 - MULPOR-INTERNATIONAL FAIRS DIRECTORY</w:t>
      </w:r>
    </w:p>
    <w:p>
      <w:r>
        <w:t>Provision no. 31435</w:t>
      </w:r>
    </w:p>
    <w:p>
      <w:r>
        <w:t>THE COMPETITION AND MARKET AUTHORITY</w:t>
      </w:r>
    </w:p>
    <w:p>
      <w:r>
        <w:t>IN ITS MEETING of January 14, 2025;</w:t>
      </w:r>
    </w:p>
    <w:p>
      <w:r>
        <w:t>HEARD the Rapporteur, Saverio Valentino;</w:t>
      </w:r>
    </w:p>
    <w:p>
      <w:r>
        <w:t>VIEWING Part II, Title III of Legislative Decree September 6, 2005, no. 206, and subsequent amendments (hereinafter, Consumer Code);</w:t>
      </w:r>
    </w:p>
    <w:p>
      <w:r>
        <w:t>NOTING in particular Article 27, paragraph 12, of the Consumer Code, according to which in the event of non-compliance with urgent measures or those prohibiting or removing effects, the Authority applies an administrative pecuniary sanction from 10,000 to 10,000,000 euros and in cases of repeated non-compliance, the Authority may order the suspension of business activity for a period not exceeding thirty days;</w:t>
      </w:r>
    </w:p>
    <w:p>
      <w:r>
        <w:t>VIEWING Law November 24, 1981, no. 689;</w:t>
      </w:r>
    </w:p>
    <w:p>
      <w:r>
        <w:t>VIEWING the "Regulation on investigative procedures in matters of misleading and comparative advertising, unfair commercial practices, violation of consumer rights in contracts, violation of the prohibition of discrimination and unfair clauses," adopted by the Authority with resolution of April 1, 2015, in force ratione temporis and subsequently replaced by the "Regulation on investigative procedures in matters of consumer protection and misleading and comparative advertising," adopted by the Authority with resolution of November 5, 2024, no. 31356;</w:t>
      </w:r>
    </w:p>
    <w:p>
      <w:r>
        <w:t>VIEWING its provision of February 6, 2019, no. 27552, with which the Authority established the unfairness, pursuant to Articles 21, 22, 24, 25, paragraph 1, letters d) and e), and 26, paragraph 1, letter f), of the Consumer Code, of the commercial practice carried out by Mulpor Company S.A., Mulpor Company S.r.l. (jointly, "the Mulpor companies"), Connect Publisher S.C., PayTrac Lda, Finad Economy Lda, IBCM International Business Convention Management Ltd (hereinafter also "IBCM") and Credit Collection Factoring s.r.o. (hereinafter also "CCF"), consisting of requesting Italian micro-enterprises to verify the business data present in a database in order to obtain misleadingly and aggressively the subscription to a paid advertising service on the website International Fairs Directory, erroneously implying that the request came from the organizing body of a trade fair event and that the failure to update the database would result in cancellation from such a significant advertising channel. The possible refusal to pay the amounts invoiced by PayTrac and Finad Economy on behalf of Mulpor and Connect Publisher for the unsolicited advertising service resulted in incessant solicitations from the companies IBCM and CCF, commissioned by Mulpor and Connect Publisher for the collection of the claimed amounts, with a simultaneous threat to initiate international legal actions for the coercive recovery of the allegedly claimed credits;</w:t>
      </w:r>
    </w:p>
    <w:p>
      <w:r>
        <w:t>VIEWING its provision of October 12, 2021, no. 29848 with which the Authority established the violation of Article 27, paragraph 12, of the Consumer Code, for failure to comply with the aforementioned resolution of February 6, 2019, no. 27552, sanctioning Mulpor Company S.r.l. (hereinafter, also "Mulpor") and IBCM International Business Convention Management Ltd;</w:t>
      </w:r>
    </w:p>
    <w:p>
      <w:r>
        <w:t>VIEWING its resolution of November 28, 2023, no. 30995, with which the Authority contested to Mulpor and IBCM the violation of Article 27, paragraph 12, of the Consumer Code, for failing to comply with the aforementioned resolution of February 6, 2019, no. 27552, with reference to the profiles of unfairness contested therein;</w:t>
      </w:r>
    </w:p>
    <w:p>
      <w:r>
        <w:rPr>
          <w:b/>
        </w:rPr>
        <w:t>[Pages 19–21]</w:t>
      </w:r>
    </w:p>
    <w:p>
      <w:r>
        <w:t>BULLETIN NO. 3 OF JANUARY 27, 2025</w:t>
      </w:r>
    </w:p>
    <w:p>
      <w:r>
        <w:t>21</w:t>
      </w:r>
    </w:p>
    <w:p>
      <w:r>
        <w:t>HAVING REGARD to its decisions of March 26, 2024, May 21, 2024, July 23, 2024, September 17, 2024, and November 5, 2024, with which, pursuant to Article 7, paragraph 3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no. 25411, in force ratione temporis, the extension of the deadline for the conclusion of the procedure was ordered;</w:t>
      </w:r>
    </w:p>
    <w:p>
      <w:r>
        <w:t>HAVING REGARD to the acts of the procedure;</w:t>
      </w:r>
    </w:p>
    <w:p>
      <w:r>
        <w:t>CONSIDERED the following:</w:t>
      </w:r>
    </w:p>
    <w:p>
      <w:r>
        <w:t>I. THE PARTIES</w:t>
      </w:r>
    </w:p>
    <w:p>
      <w:r>
        <w:t>1. The company Mulpor Company S.r.l., with registered office in Costa Rica, as a professional, pursuant to Article 18, paragraph 1, letter b), of the Consumer Code.</w:t>
      </w:r>
    </w:p>
    <w:p>
      <w:r>
        <w:t>2. The company acts as a contact for correspondence with the companies whose names appear in the International Fair Directory; moreover, its Legal Department manages disputes with the exhibiting companies listed in the Directory.</w:t>
      </w:r>
    </w:p>
    <w:p>
      <w:r>
        <w:t>3. The professional did not provide its accounting data during the procedure.</w:t>
      </w:r>
    </w:p>
    <w:p>
      <w:r>
        <w:t>4. The company IBCM International Business Convention Management Ltd, as a professional, pursuant to Article 18, paragraph 1, letter b), of the Consumer Code.</w:t>
      </w:r>
    </w:p>
    <w:p>
      <w:r>
        <w:t>5. The company carries out "international debt collection" activities in case of non-payment of invoices issued by professionals for the purchase of paid listings in the International Fair Directory. The professional did not provide its accounting data during the procedure.</w:t>
      </w:r>
    </w:p>
    <w:p>
      <w:r>
        <w:t>6. The Parties will hereinafter be referred to collectively as "Professionals" or the "Companies."</w:t>
      </w:r>
    </w:p>
    <w:p>
      <w:r>
        <w:t>II. PREMISE</w:t>
      </w:r>
    </w:p>
    <w:p>
      <w:r>
        <w:t>A. The sanctioning procedure (PS11138)</w:t>
      </w:r>
    </w:p>
    <w:p>
      <w:r>
        <w:t>7. With resolution of February 6, 2019, no. 27552, the Authority ordered the closure of procedure PS11138, ascertaining the unfairness pursuant to Articles 21, 22, 24, 25 paragraph 1, letters d) and e), and 26, paragraph 1, letter f), of the Consumer Code, of the commercial practice carried out against Italian micro-enterprises by Mulpor Company S.A., Mulpor Company S.r.l., Connect Publisher S.C., PayTrac Lda, Finad Economy Lda, IBCM International Business Convention Management Ltd, and Credit Collection Factoring s.r.o. and imposing the related sanctions on the aforementioned companies.</w:t>
      </w:r>
    </w:p>
    <w:p>
      <w:r>
        <w:t>8. This practice consisted of presenting the offer of a paid advertising service as a request for verification of the business data present in a database, misleadingly implying that it was a database linked to a trade fair and the organizing body and that failure to update could result in the cancellation of the company from it and, therefore, exclusion from an important advertising channel. In this way, businesses and micro-enterprises were induced to verify, sign, and quickly return a pre-filled form with business data, thereby unwittingly committing to the purchase of an advertisement in the International Fairs Directory for three years, at a cost of approximately 1,200 euros per year. Following the refusal to pay such amounts, unjustly demanded by PayTrac and Finad Economy on behalf of Mulpor and Connect Publisher, persistent reminders from the collection companies (IBCM and CCF) ensued, up to the threat of initiating international actions for the forced recovery of the claimed debts, which were announced to incur significant costs.</w:t>
      </w:r>
    </w:p>
    <w:p>
      <w:r>
        <w:t>9. The resolution of February 6, 2019, no. 27552 (PS11138), was notified to IBCM on March 27, 2019, and to the other professionals by notice in Bulletin no. 27/2019, published on July 8, 2019, due to the lack of feedback on the successful outcome of the notification, pursuant to and for the effects of Article 19, paragraph 2,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no. 25411, in force ratione temporis.</w:t>
      </w:r>
    </w:p>
    <w:p>
      <w:r>
        <w:t>B. The non-compliance procedure (IP343)</w:t>
      </w:r>
    </w:p>
    <w:p>
      <w:r>
        <w:t>10. With resolution of October 12, 2021, no. 29848 (closing of procedure IP343), the Authority ascertained that the companies Mulpor Company S.r.l. and IBCM International Business Convention Management Ltd had repeated the same conduct subject to the aforementioned sanctioning procedure PS11138.</w:t>
      </w:r>
    </w:p>
    <w:p>
      <w:r>
        <w:t>11. The aforementioned resolution of October 12, 2021, no. 29848 (IP343), ascertaining the failure to comply with the resolution of February 6, 2019, no. 27552, was notified to Mulpor Company S.r.l. on November 8, 2021, and to IBCM International Business Convention Management Ltd, by notice in the Authority's Bulletin no. 3/2022, published on January 17, 2022, pursuant to and for the effects of Article 19, paragraph 2,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no. 25411 and in force at the time, due to the lack of feedback on the successful outcome of the notification.</w:t>
      </w:r>
    </w:p>
    <w:p>
      <w:r>
        <w:t>III. THE AUTHORITY'S RESOLUTION OF NOVEMBER 28, 2023, NO. 30995</w:t>
      </w:r>
    </w:p>
    <w:p>
      <w:r>
        <w:t>12. With resolution of November 28, 2023, no. 30995, the Authority decided to initiate investigative procedure IP367, contesting to the Companies Mulpor Company S.r.l. and IBCM International Business Convention Management Ltd the violation of Article 27, paragraph 12, of the Consumer Code, for having continued to fail to comply with the aforementioned resolution of the Authority of February 6, 2019, no. 27552.</w:t>
      </w:r>
    </w:p>
    <w:p>
      <w:r>
        <w:t>13. The resolution was notified to Mulpor Company S.r.l. on December 18, 2023, and to IBCM, instead, by notice in the Authority's Bulletin no. 11/2024 of March 18, 2024, as provided for by Article 19, paragraph 2,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no. 25411 and in force ratione temporis, given the unsuccessful outcome of the notification attempt, carried out on December 14, 2023, by requesting collaboration from the Embassy of Italy in Nicosia (Cyprus).</w:t>
      </w:r>
    </w:p>
    <w:p>
      <w:r>
        <w:t>14. The deadline for concluding the procedure was subsequently extended on March 26, 2024, May 21, 2024, July 23, 2024, September 17, 2024, and November 5, 2024, pursuant to Article 7, paragraph 3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 no. 25411 and in force ratione temporis.</w:t>
      </w:r>
    </w:p>
    <w:p>
      <w:r>
        <w:t>15. On December 5, 2024, the Notice of contestation of charges was sent to Mulpor Company and to IBCM pursuant to Article 17, paragraph 1, of the "Regulation on investigative procedures in matters of consumer protection and misleading and comparative advertising," adopted by the Authority with resolution of November 5, 2024, no. 31356.</w:t>
      </w:r>
    </w:p>
    <w:p>
      <w:r>
        <w:t>IV. THE OUTCOMES OF THE PROCEDURE</w:t>
      </w:r>
    </w:p>
    <w:p>
      <w:r>
        <w:t>16. With intervention requests received starting from June 2023, some small and medium-sized enterprises reported the recurrence of the commercial practice subject to the aforementioned resolution of February 6, 2019, no. 27552, consisting of sending misleading communications aimed at misleading recipients regarding the true identity of the advertising operator, the nature and economic conditions of the advertised offer, leading the businesses and micro-enterprises recipients to unwittingly subscribe to unsolicited services and unduly conditioning them, through IBCM International Business Convention Management Ltd, with the demand for payment for an unsolicited service unwittingly subscribed, through continuous reminders and the threat of resorting to international legal actions.</w:t>
      </w:r>
    </w:p>
    <w:p>
      <w:r>
        <w:rPr>
          <w:b/>
        </w:rPr>
        <w:t>[Pages 22–24]</w:t>
      </w:r>
    </w:p>
    <w:p>
      <w:r>
        <w:t>24 BULLETIN NO. 3 OF JANUARY 27, 2025</w:t>
      </w:r>
    </w:p>
    <w:p>
      <w:r>
        <w:t>17. Furthermore, following the initiation of proceedings against Mulpor and IBCM, as per the aforementioned provision of November 28, 2023, no. 30995, requests for intervention continue to be received by the Authority from businesses and micro-enterprises reporting the receipt of communications of the same nature as those subject to procedure PS11138, from Mulpor and requests for payment of amounts from the company IBCM.</w:t>
      </w:r>
    </w:p>
    <w:p>
      <w:r>
        <w:t>V. ARGUMENTS OF THE PARTIES</w:t>
      </w:r>
    </w:p>
    <w:p>
      <w:r>
        <w:t>18. Both Professionals did not participate in the proceedings nor did they submit any defensive memorandum during the proceedings.</w:t>
      </w:r>
    </w:p>
    <w:p>
      <w:r>
        <w:t>VI. EVALUATIONS</w:t>
      </w:r>
    </w:p>
    <w:p>
      <w:r>
        <w:t>19. In light of the investigative findings, it is believed that the behavior exhibited by the Professionals constitutes non-compliance with the resolution of February 6, 2019, no. 27552.</w:t>
      </w:r>
    </w:p>
    <w:p>
      <w:r>
        <w:t>20. In fact, from the examination of the complaints and the related attachments, it emerges that Mulpor Company s.r.l. continued to send the same misleading communications aimed at misleading the recipients regarding the true identity of the advertising operator, the nature and economic conditions of the advertised offer, leading the businesses and micro-enterprises recipients to unwittingly subscribe to unsolicited services and, through IBCM International Business Convention Management Ltd, improperly conditioning them through the demand for payment of an unsolicited service unwittingly subscribed to through continuous reminders and the threat of resorting to unspecified international legal actions.</w:t>
      </w:r>
    </w:p>
    <w:p>
      <w:r>
        <w:t>21. Based on the acquired elements, the repetition of the conduct has been ongoing since at least June 2023 and is still ongoing.</w:t>
      </w:r>
    </w:p>
    <w:p>
      <w:r>
        <w:t>VII. QUANTIFICATION OF THE SANCTION</w:t>
      </w:r>
    </w:p>
    <w:p>
      <w:r>
        <w:t>22. Pursuant to Article 27, paragraph 12, of the Consumer Code, the Authority orders the application of an administrative pecuniary sanction from €10,000 to €10,000,000, taking into account the severity and duration of the violation.</w:t>
      </w:r>
    </w:p>
    <w:p>
      <w:r>
        <w:t>23. Regarding the quantification of the sanction, the criteria identified by Article 11 of Law no. 689/1981 must be considered, as applicable, by virtue of the reference provided in Article 27, paragraph 13, of the Consumer Code: in particular, the severity of the violation, the efforts made by the company to eliminate or mitigate the infringement, as well as the economic conditions of the company itself.</w:t>
      </w:r>
    </w:p>
    <w:p>
      <w:r>
        <w:t>24. The severity of the non-compliance must be assessed, first and foremost, with reference to the nature of the infringement, as it involves the repeated continuation of a practice consisting of artfully inducing the subscription of an unsolicited service and then demanding payment through continuous reminders and the pressing and aggressive threat of resorting to unspecified international legal actions. Secondly, account must be taken of the significant harm to the recipients due to the relevance of the financial commitments to which businesses and micro-enterprises are unwittingly induced to bind themselves. Finally, the means used is relevant, as it directly and personally reaches the recipients.</w:t>
      </w:r>
    </w:p>
    <w:p>
      <w:r>
        <w:t>25. As for the duration, the documentary evidence on file shows that the failure to comply with the warning, within the aforementioned terms, has been ongoing since at least June 2023 and is still ongoing.</w:t>
      </w:r>
    </w:p>
    <w:p>
      <w:r>
        <w:t>All of the above having been stated and considered;</w:t>
      </w:r>
    </w:p>
    <w:p>
      <w:r>
        <w:t>RESOLVES</w:t>
      </w:r>
    </w:p>
    <w:p>
      <w:r>
        <w:t>a) that the behavior of the companies Mulpor Company S.r.l. and IBCM International Business Convention Management Ltd, consisting of violating the resolution of February 6, 2019, no. 27552, constitutes non-compliance with the latter;</w:t>
      </w:r>
    </w:p>
    <w:p>
      <w:r>
        <w:t>b) to impose on the company Mulpor Company S.r.l. an administrative pecuniary sanction of €2,000,000 (two million euros) and on IBCM International Business Convention Management Ltd an administrative pecuniary sanction of €1,500,000 (one million five hundred thousand euros).</w:t>
      </w:r>
    </w:p>
    <w:p>
      <w:r>
        <w:t>The imposed administrative sanctions must be paid within thirty days from the notification of this provision, via bank transfer (in euros) to the Treasury, using the IBAN code IT04A0100003245348018359214 (BIC code: BITAITRRENT), which corresponds to accounting number 18/3592/14.</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689/1981, the amount due for the imposed sanction is increased by one-tenth for each semester starting from the day following the payment deadline until the role is transmitted to the concessionaire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the administrative pecuniary sanction from €10,000 to €10,000,000. In cases of repeated non-compliance, the Authority may order the suspension of business activity for a period not exceeding thirty days.</w:t>
      </w:r>
    </w:p>
    <w:p>
      <w:r>
        <w:t>26 BULLETIN NO. 3 OF JANUARY 27, 2025</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Guido Stazi Roberto Rustichelli</w:t>
      </w:r>
    </w:p>
    <w:p>
      <w:r>
        <w:rPr>
          <w:b/>
        </w:rPr>
        <w:t>[Pages 25–25]</w:t>
      </w:r>
    </w:p>
    <w:p>
      <w:r>
        <w:t>Antitrust Authority Weekly Bulletin</w:t>
        <w:br/>
        <w:t>of Competition and Market Year XXXV - No. 3 - 2025</w:t>
        <w:br/>
        <w:t>Editorial Coordination Giulia Antenucci</w:t>
        <w:br/>
        <w:t>Editorial Staff Angela D’Auria, Valerio Ruocco, Manuela Villani</w:t>
        <w:br/>
        <w:t>Antitrust Authority for Competition and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