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https://www.agcm.it/dotcmsdoc/bollettini/2019/30-19.pdf</w:t>
      </w:r>
    </w:p>
    <w:p>
      <w:r>
        <w:t>Pages translated : 23</w:t>
      </w:r>
    </w:p>
    <w:p/>
    <w:p>
      <w:r>
        <w:rPr>
          <w:b/>
        </w:rPr>
        <w:t>[Pages 1–3]</w:t>
      </w:r>
    </w:p>
    <w:p>
      <w:r>
        <w:t>Bulletin</w:t>
        <w:br/>
        <w:t>Weekly</w:t>
        <w:br/>
        <w:t>Year XXIX - No. 30</w:t>
        <w:br/>
        <w:t>Published on the website www.agcm.it</w:t>
        <w:br/>
        <w:t>29 July 2019</w:t>
      </w:r>
    </w:p>
    <w:p>
      <w:r>
        <w:t>SUMMARY</w:t>
        <w:br/>
        <w:t>AGREEMENTS AND ABUSE OF DOMINANT POSITION 5</w:t>
        <w:br/>
        <w:t>I833 - CONSIP TENDERS FOR THE ACQUISITION OF GOODS AND SERVICES FOR IT AND</w:t>
        <w:br/>
        <w:t>TELECOMMUNICATIONS</w:t>
        <w:br/>
        <w:t>Decision No. 27843 5</w:t>
        <w:br/>
        <w:t>REPORTING AND CONSULTATIVE ACTIVITIES 11</w:t>
        <w:br/>
        <w:t>AS1599 - PUBLIC-PRIVATE PARTNERSHIP CONTRACT CONCERNING A</w:t>
        <w:br/>
        <w:t>“PROJECT FOR THE ENHANCEMENT, DEVELOPMENT, AND MANAGEMENT OF THE ABBEY OF SANT'URBANO AND THE MUNICIPAL HERITAGE LOCATED IN THE MUNICIPALITY OF APIRO” 11</w:t>
        <w:br/>
        <w:t>UNFAIR TRADE PRACTICES 13</w:t>
        <w:br/>
        <w:t>PS11065 - B-RENT-SECURITY DEPOSIT</w:t>
        <w:br/>
        <w:t>Decision No. 27837 13</w:t>
      </w:r>
    </w:p>
    <w:p>
      <w:r>
        <w:t>BULLETIN NO. 30 OF 29 JULY 2019 5</w:t>
        <w:br/>
        <w:t>AGREEMENTS AND ABUSE OF DOMINANT POSITION</w:t>
        <w:br/>
        <w:t>I833 - CONSIP TENDERS FOR THE ACQUISITION OF GOODS AND SERVICES FOR IT AND</w:t>
        <w:br/>
        <w:t>TELECOMMUNICATIONS</w:t>
        <w:br/>
        <w:t>Decision No. 27843</w:t>
        <w:br/>
        <w:t>THE ANTITRUST AUTHORITY</w:t>
        <w:br/>
        <w:t>IN ITS MEETING of 17 July 2019;</w:t>
        <w:br/>
        <w:t>HEARD the Rapporteur Professor Michele Ainis;</w:t>
        <w:br/>
        <w:t>HAVING REGARD to Law No. 287 of 10 October 1990;</w:t>
        <w:br/>
        <w:t>HAVING REGARD to Article 101 of the Treaty on the Functioning of the European Union (TFEU);</w:t>
        <w:br/>
        <w:t>HAVING REGARD to Council Regulation (EC) No. 1/2003 of 16 December 2002;</w:t>
        <w:br/>
        <w:t>HAVING REGARD to the Decree of the President of the Republic No. 217 of 30 April 1998;</w:t>
        <w:br/>
        <w:t>HAVING REGARD to the documentation on file;</w:t>
        <w:br/>
        <w:t>CONSIDERING the following:</w:t>
        <w:br/>
        <w:t>I. INTRODUCTION</w:t>
        <w:br/>
        <w:t>1. On 21 May 2018, the Guardia di Finanza reported to the Authority possible anticompetitive conduct carried out by the companies Converge S.p.A., Italware S.r.l., Zucchetti Informatica S.p.A., and Infordata S.p.A. in the markets for goods and services in IT and telecommunications acquired by the Public Administration.</w:t>
        <w:br/>
        <w:t>2. Specifically, the Guardia di Finanza proposed a hypothesis of a restrictive agreement among the reported companies – in the product sectors of ICT goods and services – aimed at the submission of tender offers, illicitly coordinated, with the ultimate goal of dividing the contracts issued by the Italian Public Administration's purchasing center, Consip S.p.A. (“Consip”).</w:t>
        <w:br/>
        <w:t>II. THE PARTIES</w:t>
        <w:br/>
        <w:t>3. Italware S.r.l. (“Italware”) is a company 100% controlled by Digital Value S.p.A. (which is in turn connected with Sesa S.p.A. and Var Group S.p.A.) that has been operating since 1990 as a system integrator, active in the provision of goods and services for the evolution and security of traditional IT platforms and for the realization of new digital platforms, in partnership with all the main vendors in the sector. One of the main target customers consists of so-called large account clients, including the Public Administration. In 2017, Italware's turnover was approximately 187 million euros. Italware, like Var Group, held a 25% stake in Zucchetti Informatica S.p.A. from 2015 to 2018.</w:t>
        <w:br/>
        <w:t>4. Computer Gross S.p.A. is a company 100% controlled by the Sesa S.p.A. group that has been operating since 1997 in the wholesale distribution of over 180 brands of ICT products and services, for approximately 13,000 resellers. In 2017, Computer Gross's turnover was approximately 1.065 billion euros.</w:t>
      </w:r>
    </w:p>
    <w:p>
      <w:r>
        <w:rPr>
          <w:b/>
        </w:rPr>
        <w:t>[Pages 4–6]</w:t>
      </w:r>
    </w:p>
    <w:p>
      <w:r>
        <w:t>6 BULLETIN NO. 30 OF JULY 29, 2019</w:t>
      </w:r>
    </w:p>
    <w:p>
      <w:r>
        <w:t>5. Zucchetti Informatica S.p.A. (“Zucchetti”) is a company of the Zucchetti S.p.A. group, operational since 1989, headquartered in Lodi, specializing in the design and development of IT infrastructures (from networking to systems, from cybersecurity to related IT services) and in the provision of hardware and software solutions, as well as innovative services created to meet the specific needs of companies, banks, insurance companies, and Public Administration. In 2017, it achieved a turnover of approximately 54 million euros. In 2015, Italware and Var Group S.p.A.1 acquired 50% of the share capital of Zucchetti Informatica, which was transferred in 2018 to the Zucchetti S.p.A. Group.</w:t>
      </w:r>
    </w:p>
    <w:p>
      <w:r>
        <w:t>6. Converge S.p.A. (“Converge”) is a company established in 1993 from the merger between Alesa S.p.A. and Sinergie Roma S.p.A., active in the offering of IT goods and services. Converge holds stakes in Esprinet S.p.A. In 2017, it achieved a production value of approximately 48 million euros.</w:t>
      </w:r>
    </w:p>
    <w:p>
      <w:r>
        <w:t>III. TENDER NOTICES AND REPORTED CONDUCTS</w:t>
      </w:r>
    </w:p>
    <w:p>
      <w:r>
        <w:t>i) Tender notices related to desktop PCs</w:t>
      </w:r>
    </w:p>
    <w:p>
      <w:r>
        <w:t>7. The selective procedures under examination were announced by Consip and concerned the supply of desktop personal computers and related and optional services for Public Administrations in editions No. 14, 15, and 16, held respectively in 2015, 2016, and 2017.</w:t>
      </w:r>
    </w:p>
    <w:p>
      <w:r>
        <w:t>8. In particular, the specific desktop PC contracts No. 14 and 15 were divided into three and two lots, while the desktop PC procedure No. 16 was announced through an open tender divided into five lots. The total of the ten lots, related to all procedures, were awarded to:</w:t>
        <w:br/>
        <w:t>- Zucchetti Informatica S.p.A.2</w:t>
        <w:br/>
        <w:t>- Converge S.p.A.3</w:t>
        <w:br/>
        <w:t>- Italware S.r.l.4</w:t>
      </w:r>
    </w:p>
    <w:p>
      <w:r>
        <w:t>9. Following the liquidation of Olidata S.p.A., all lots were awarded to Converge and Italware, except for one lot awarded to Zucchetti Informatica.</w:t>
      </w:r>
    </w:p>
    <w:p>
      <w:r>
        <w:t>10. The specific desktop PC contract No. 14 was divided into three lots, two of which were awarded to Converge for a total value of approximately 34 million euros, and one to Zucchetti Informatica for nearly 16 million euros. The specific desktop PC contract No. 15 was divided into two lots, both awarded to the RTI Italware/Computer Gross for a total value of approximately 39 million euros.</w:t>
      </w:r>
    </w:p>
    <w:p>
      <w:r>
        <w:t>11. The open tender desktop PC No. 16 was divided into five lots, four of which were awarded to Converge and one to Italware, for total amounts of approximately 46 and 18 million euros, respectively.</w:t>
      </w:r>
    </w:p>
    <w:p>
      <w:r>
        <w:t>12. The awarding methods of the tender were based on the criterion of the economically most advantageous offer, given by the best quality/price ratio. The awarding methods attributed a predominant weight to the economic offer.</w:t>
      </w:r>
    </w:p>
    <w:p>
      <w:r>
        <w:t>1 Var Group S.p.A. is a company 100% controlled by Sesa S.p.A. Var Group holds approximately 3% of the share capital of Digital Value, which is 100% controlling Italware.</w:t>
        <w:br/>
        <w:t>2 Zucchetti Informatica participated individually in editions 14 and 15, and in association with Service Trade S.p.A. in edition 16.</w:t>
        <w:br/>
        <w:t>3 Converge participated individually in editions 14, 15, and 16, and in association with Esprinet S.p.A. in editions 12 and 13.</w:t>
        <w:br/>
        <w:t>4 Italware participated individually in editions 12, 13, and 16, and in association with Computer Gross S.p.A. in editions 14 and 15.</w:t>
      </w:r>
    </w:p>
    <w:p>
      <w:r>
        <w:t>BULLETIN NO. 30 OF JULY 29, 2019 7</w:t>
      </w:r>
    </w:p>
    <w:p>
      <w:r>
        <w:t>ii) The bidding strategy of the parties</w:t>
      </w:r>
    </w:p>
    <w:p>
      <w:r>
        <w:t>13. The following companies participated in the desktop PC tenders (open procedures and AS5), both individually and in association:</w:t>
        <w:br/>
        <w:t>- Olivetti S.p.A.</w:t>
        <w:br/>
        <w:t>- Olidata S.p.A.</w:t>
        <w:br/>
        <w:t>- Italware S.r.l.</w:t>
        <w:br/>
        <w:t>- Computer Gross S.p.A.6</w:t>
        <w:br/>
        <w:t>- Zucchetti Informatica S.p.A.</w:t>
        <w:br/>
        <w:t>- Fujitsu Technology Solutions S.p.A.</w:t>
        <w:br/>
        <w:t>- Converge S.p.A.</w:t>
        <w:br/>
        <w:t>- Infordata S.p.A.</w:t>
      </w:r>
    </w:p>
    <w:p>
      <w:r>
        <w:t>14. Competing offers were recorded from two operators with corporate ties, specifically from Italware, which, at the time of the desktop PC tenders No. 15 and 16, held a 25% stake in Zucchetti. Zucchetti and Italware have always participated overlapping in all lots of the specific contracts (editions 14 and 15) but not in the lots of the open procedure (edition 16). It is noted that, despite the presence of multiple companies capable of submitting offers for the aforementioned Consip tenders, the number of participants was very limited.</w:t>
      </w:r>
    </w:p>
    <w:p>
      <w:r>
        <w:t>15. The market context appears characterized by the existence of commercial agreements between the main global vendors of HW products, the main national wholesale distributors, and between these and the system integrators/resellers. The existence of such vertical agreements, implying more favorable conditions, may have contributed to limiting the number of participants in the tenders in question.</w:t>
      </w:r>
    </w:p>
    <w:p>
      <w:r>
        <w:t>16. The tenders in question appear characterized by a polarization of awards to only three subjects. The number of awardees has further narrowed due to the exit from the market of Olidata.</w:t>
      </w:r>
    </w:p>
    <w:p>
      <w:r>
        <w:t>17. Editions No. 14, 15, and 16 – divided into a total of ten lots – were fully awarded to Converge and Italware7 (except for one lot awarded to Zucchetti).</w:t>
      </w:r>
    </w:p>
    <w:p>
      <w:r>
        <w:t>18. In these editions, the producers Olidata, Olivetti, and Fujitsu played a marginal role, presenting significantly lower discounts compared to those offered by the awardees in previous tenders, such that they did not represent a real competitive threat. The last desktop PC tender No. 16 was played exclusively among the resellers Converge, Infordata, Zucchetti, and Italware.</w:t>
      </w:r>
    </w:p>
    <w:p>
      <w:r>
        <w:t>19. Furthermore, an alternation in the awarding of each type of lot between Converge and Italware was observed, with economic offers from each company being heterogeneous over time for the same type of lot. The alternation is noticeable by observing the offers for the supply tenders of desktop PCs in the different editions. In particular, the companies, in case of award, offered discounts around 30%. However, for homogeneous lots, the same subjects also presented offers on the order of 9%, participating in the tender in a rather ineffective manner. The variations in discounts for the same company and for the same type of product reached peaks of 27% (with values ranging from 9 to 36%).</w:t>
      </w:r>
    </w:p>
    <w:p>
      <w:r>
        <w:t>20. In the last two tender editions (No. 15 and 16), out of 7 lots and 28 possible participations of the four reported resellers (one of which in RTI), it emerged that, despite these resellers having licenses for HW and SW from all the main global vendors, the products of a given brand, which were then awarded, never encountered a competing offer from the same brand.</w:t>
      </w:r>
    </w:p>
    <w:p>
      <w:r>
        <w:t>Tab. 1 – Overview of technical and economic offers for the lots of desktop PC tenders 15 and 16</w:t>
      </w:r>
    </w:p>
    <w:p>
      <w:r>
        <w:t>Desktop PC No. 15 Desktop PC No. 16</w:t>
        <w:br/>
        <w:t>Lot</w:t>
        <w:br/>
        <w:t>Lot 1 Lot 2 Lot 1 Lot 2 Lot 3 Lot 4</w:t>
        <w:br/>
        <w:t>5</w:t>
        <w:br/>
        <w:t>Converge Brand Offer Lenovo Fujitsu Lenovo Lenovo Lenovo Lenovo Dell</w:t>
        <w:br/>
        <w:t>Italware HP8 Lenovo HP HP HP</w:t>
        <w:br/>
        <w:t>Zucchetti Fujitsu Fujitsu Fujitsu Fujitsu</w:t>
        <w:br/>
        <w:t>Infordata - - Acer Acer Acer HP</w:t>
      </w:r>
    </w:p>
    <w:p>
      <w:r>
        <w:t>Source: Consip</w:t>
      </w:r>
    </w:p>
    <w:p>
      <w:r>
        <w:t>IV. EVALUATIONS</w:t>
      </w:r>
    </w:p>
    <w:p>
      <w:r>
        <w:t>i) The relevant market</w:t>
      </w:r>
    </w:p>
    <w:p>
      <w:r>
        <w:t>21. According to consistent jurisprudential orientation, in matters of agreements, the definition of the relevant market is essentially aimed at identifying the characteristics of the economic and legal context in which the agreement or the practice agreed upon between companies is situated. This definition is, therefore, functional to delineating the scope within which the agreement can restrict or distort the competitive mechanism and to deciphering its degree of offensiveness9.</w:t>
      </w:r>
    </w:p>
    <w:p>
      <w:r>
        <w:t>22. The conducts subject to this proceeding concern the supply to Consip of environmentally friendly desktop personal computers and related and optional services.</w:t>
      </w:r>
    </w:p>
    <w:p>
      <w:r>
        <w:t>23. In the case at hand, therefore, and based on the available information, the market can be confined to the geographical and commodity scope of the tender procedures for the supply to Public Administration at the national level of desktop PCs for Consip in editions 14, 15, and 16.</w:t>
      </w:r>
    </w:p>
    <w:p>
      <w:r>
        <w:t>ii) The qualification of the agreement</w:t>
      </w:r>
    </w:p>
    <w:p>
      <w:r>
        <w:t>24. On the occasion of the desktop PC tenders, given the market conditions, the reported resellers may have engaged in a horizontal agreement aimed at the division of the awarded values of the various lots. Such an agreement may have been facilitated by the existing vertical relationships with producers and distributors. Coordination that may have been further facilitated by the structural corporate link existing between at least two of the main operators (Italware and Zucchetti).</w:t>
      </w:r>
    </w:p>
    <w:p>
      <w:r>
        <w:t>25. The existence of coordination among resellers for the division of the aforementioned tenders seems to be inferred from a plurality of symptomatic elements. Firstly, there is the alternation in the awarding of each type of lot between Converge, Zucchetti, Italware, and Computer Gross with economic offers from each company being heterogeneous over time for the same type of lot in different years. As already noted, this participatory strategy of the companies...</w:t>
      </w:r>
    </w:p>
    <w:p>
      <w:r>
        <w:t>8 Italware participated in the tender lots of edition 15 in RTI with Computer Gross.</w:t>
        <w:br/>
        <w:t>9 See, lastly, Council of State 26 January 2017, No. 740, Consip cleaning tenders in schools, as well as Council of State, 3 June 2014, Nos. 2837, 3167, and 3168, International Logistics; Council of State, 24 October 2014, Nos. 4230, 5274, 5276, 5278, Retail sale of cosmetic products.</w:t>
      </w:r>
    </w:p>
    <w:p>
      <w:r>
        <w:rPr>
          <w:b/>
        </w:rPr>
        <w:t>[Pages 7–9]</w:t>
      </w:r>
    </w:p>
    <w:p>
      <w:r>
        <w:t>BULLETIN NO. 30 OF JULY 29, 2019 9</w:t>
      </w:r>
    </w:p>
    <w:p>
      <w:r>
        <w:t>appears inconsistent with the objective of effectively competing for the award of each lot, given that the companies are aware of the order of magnitude of the discounts through which it is plausible to obtain the award in this type of tenders. Secondly, it is noted that the Parties submitted technical offers without ever competing with the products of the same vendors, which were then awarded. In other words, the bidding strategy of the participants would have been to limit intrabrand competition for each individual tender, thus avoiding direct comparison between economic offers. The described circumstances seem difficult to explain outside of a pre-agreed participatory context in the tenders, aimed at the division of the awarded values of the tender lots.</w:t>
      </w:r>
    </w:p>
    <w:p>
      <w:r>
        <w:t>26. In light of the above, from the available elements it seems to emerge that the Parties may have implemented an agreement aimed at dividing the awarded values of the Consip PC desktop tenders in editions 14, 15, and 16, in violation of the competition protection regulations. At this stage, it is not possible to exclude that the agreement has a broader temporal, subjective, and objective scope, so as to involve other companies, further editions of the PC desktop tenders, and other product categories of tenders issued by Consip.</w:t>
      </w:r>
    </w:p>
    <w:p>
      <w:r>
        <w:t>27. Considering the community relevance of the tender procedures in question, the agreement, at this stage, appears capable of hindering trade between Member States. Consequently, the conduct subject to this proceeding must be assessed pursuant to Article 101 of the TFEU.</w:t>
      </w:r>
    </w:p>
    <w:p>
      <w:r>
        <w:t>CONSIDERING, therefore, that the described conduct, carried out by the companies Converge S.p.A., Italware S.r.l., Computer Gross S.p.A., Zucchetti Informatica S.p.A. is likely to constitute an agreement in violation of Article 101 of the TFEU;</w:t>
      </w:r>
    </w:p>
    <w:p>
      <w:r>
        <w:t>RESOLVES</w:t>
      </w:r>
    </w:p>
    <w:p>
      <w:r>
        <w:t>a) to initiate the investigation pursuant to Article 14 of Law No. 287/90, against the companies Converge S.p.A., Italware S.r.l., Computer Gross S.p.A., Zucchetti Informatica S.p.A. to ascertain the existence of an agreement in violation of Article 101 of the TFEU;</w:t>
      </w:r>
    </w:p>
    <w:p>
      <w:r>
        <w:t>b) to set a deadline of sixty days from the notification of this provision for the exercise by the legal representatives of the Parties, or persons delegated by them, of the right to be heard, specifying that the request for a hearing must be received by the Communications Directorate of the Directorate General for Competition of this Authority at least fifteen days before the expiration of the aforementioned deadline;</w:t>
      </w:r>
    </w:p>
    <w:p>
      <w:r>
        <w:t>c) that the person responsible for the procedure is Dr. Giovanni Cazora;</w:t>
      </w:r>
    </w:p>
    <w:p>
      <w:r>
        <w:t>d) that the acts of the procedure can be viewed at the Communications Directorate of the Directorate General for Competition of this Authority by the legal representatives of the Parties, as well as by persons delegated by them;</w:t>
      </w:r>
    </w:p>
    <w:p>
      <w:r>
        <w:t>e) that the procedure must be concluded by July 31, 2020.</w:t>
      </w:r>
    </w:p>
    <w:p>
      <w:r>
        <w:t>This provision will be notified to the interested parties and published in the Bulletin of the Authority for the Protection of Competition and the Market.</w:t>
      </w:r>
    </w:p>
    <w:p>
      <w:r>
        <w:t>10 BULLETIN NO. 30 OF JULY 29, 2019</w:t>
      </w:r>
    </w:p>
    <w:p>
      <w:r>
        <w:t>THE SECRETARY GENERAL THE PRESIDENT</w:t>
      </w:r>
    </w:p>
    <w:p>
      <w:r>
        <w:t>Filippo Arena Roberto Rustichelli</w:t>
      </w:r>
    </w:p>
    <w:p>
      <w:r>
        <w:t>BULLETIN NO. 30 OF JULY 29, 2019 11</w:t>
      </w:r>
    </w:p>
    <w:p>
      <w:r>
        <w:t>REPORTING AND CONSULTATIVE ACTIVITIES</w:t>
      </w:r>
    </w:p>
    <w:p>
      <w:r>
        <w:t>AS1599 - PUBLIC-PRIVATE PARTNERSHIP CONTRACT CONCERNING A "PROJECT FOR THE ENHANCEMENT, DEVELOPMENT, AND MANAGEMENT OF THE ABBEY OF SANT'URBANO AND THE MUNICIPAL HERITAGE LOCATED IN THE MUNICIPALITY OF APIRO"</w:t>
      </w:r>
    </w:p>
    <w:p>
      <w:r>
        <w:t>Rome, 9 May 2019</w:t>
      </w:r>
    </w:p>
    <w:p>
      <w:r>
        <w:t>Municipality of Apiro (MC)</w:t>
      </w:r>
    </w:p>
    <w:p>
      <w:r>
        <w:t>With reference to the report received on 6 March 2019 from a minority councilor of the Municipality of Apiro (MC), the Authority, in its meeting of 30 April 2019, deemed it appropriate to make the following observations pursuant to Article 22 of Law No. 287/90.</w:t>
      </w:r>
    </w:p>
    <w:p>
      <w:r>
        <w:t>As a preliminary point, the Authority notes that the profile of alleged competitive concern reported pertains to an alleged substantial modification by the Municipality of Apiro of a public-private partnership contract concerning a "Project for the enhancement, development, and management of the Abbey of Sant'Urbano and the municipal heritage located in the Municipality of Apiro" (“PPP”). In particular, the Municipality of Apiro is said to have modified the original scope of activities covered by the PPP contract, resulting in an alteration of the initial economic balance.</w:t>
      </w:r>
    </w:p>
    <w:p>
      <w:r>
        <w:t>From a general perspective, regarding the applicable regulations to the PPP contract, the Authority recalls that Legislative Decree No. 50 of April 18, 2016, and subsequent amendments, containing the Public Contracts Code (“CCP”), in Article 179 CCP makes an internal reference to the provisions of Parts I, II, III, V, and VI of the Public Contracts Code to the extent that they are compatible with the public-private partnership contract. In particular, among the rules of the Public Contracts Code applicable to the PPP contract is Article 175 CCP, which in paragraph 7 qualifies as substantial the modification of a concession when it considerably alters the essential elements of the contract originally agreed upon.</w:t>
      </w:r>
    </w:p>
    <w:p>
      <w:r>
        <w:t>In this case, the Authority believes that this Municipality has violated the rules on public evidence to the extent that it appears to have substantially modified a PPP contract without conducting a new public evidence procedure for the selection of the private partner. In fact, as</w:t>
      </w:r>
    </w:p>
    <w:p>
      <w:r>
        <w:t>1 It is recalled that Article 175, paragraph 7, CCP qualifies as substantial the modification occurring under at least one of the following conditions: a) the modification introduces conditions that, if originally provided, would have allowed the admission of candidates other than those initially selected or the acceptance of an offer different from the one accepted, or would have allowed greater participation in the award procedure; b) the modification alters the economic balance of the concession in favor of the concessionaire in a manner not provided for by the initial concession; c) the modification significantly extends the scope of the concession; d) if a new concessionaire replaces the one to whom the contracting authority initially awarded the concession in cases other than those provided for in paragraph 1, letter d).</w:t>
      </w:r>
    </w:p>
    <w:p>
      <w:r>
        <w:rPr>
          <w:b/>
        </w:rPr>
        <w:t>[Pages 10–12]</w:t>
      </w:r>
    </w:p>
    <w:p>
      <w:r>
        <w:t>12 BULLETIN NO. 30 OF JULY 29, 2019</w:t>
      </w:r>
    </w:p>
    <w:p>
      <w:r>
        <w:t>it is also affirmed by community2 and national jurisprudence3, the actions of the Municipality appear to be in contrast with the principles of competition, transparency, publicity, and non-discrimination established by Article 30, paragraph 1, first part, CCP, having unjustifiably and disproportionately compressed the only form of competition provided for in public-private partnership scenarios, namely that for the market, instrumental to the choice of the economic operator to whom to entrust the realization of the project of public interest.</w:t>
      </w:r>
    </w:p>
    <w:p>
      <w:r>
        <w:t>In conclusion, the Authority reminds that the application of public evidence procedures is primarily aimed at ensuring full contestability of the market and equal treatment of all interested economic operators. Therefore, the choice of the private contractor by the awarding entities within public-private partnership operations must necessarily take place according to the logics and principles of public evidence, in order to guarantee as broadly as possible the favor participationis and the respect of all competitive principles of supranational origin.</w:t>
      </w:r>
    </w:p>
    <w:p>
      <w:r>
        <w:t>This opinion will be published in the Bulletin referred to in Article 26 of Law No. 287/90, unless any reasons opposing publication are represented within 30 days from the receipt of this communication.</w:t>
      </w:r>
    </w:p>
    <w:p>
      <w:r>
        <w:t>THE PRESIDENT pro tempore</w:t>
        <w:br/>
        <w:t>Gabriella Muscolo</w:t>
      </w:r>
    </w:p>
    <w:p>
      <w:r>
        <w:t>2 See. Court of Justice of the European Union, Grand Chamber, judgment of April 13, 2010, Wall AG v. The City of Frankfurt am Main and Frankfurter Entsorgungs- und Service (FES) GmbH, C-91/08, RG 2010 I-02815, paras. 30, 37, and 72; Court of Justice of the European Union, Section VIII, judgment of September 7, 2016, Finn Frogne A/S v. Rigspolitiet ved Center for Beredskabskommunikation, C-549/14, Digital Reports, para. 41.</w:t>
      </w:r>
    </w:p>
    <w:p>
      <w:r>
        <w:t>3</w:t>
      </w:r>
    </w:p>
    <w:p>
      <w:r>
        <w:t>BULLETIN NO. 30 OF JULY 29, 2019</w:t>
      </w:r>
    </w:p>
    <w:p>
      <w:r>
        <w:t>UNFAIR TRADE PRACTICES</w:t>
      </w:r>
    </w:p>
    <w:p>
      <w:r>
        <w:t>PS11065 - B-RENT-SECURITY DEPOSIT</w:t>
      </w:r>
    </w:p>
    <w:p>
      <w:r>
        <w:t>Provision No. 27837</w:t>
      </w:r>
    </w:p>
    <w:p>
      <w:r>
        <w:t>THE ANTITRUST AUTHORITY</w:t>
      </w:r>
    </w:p>
    <w:p>
      <w:r>
        <w:t>IN ITS MEETING of July 3, 2019;</w:t>
      </w:r>
    </w:p>
    <w:p>
      <w:r>
        <w:t>HEARD the Rapporteur Dr. Gabriella Muscolo;</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provision of January 10, 2019, which ordered the inspection, pursuant to Article 27, paragraphs 2 and 3, of the Consumer Code, at the premises, locations, and offices of B Rent S.r.l.;</w:t>
      </w:r>
    </w:p>
    <w:p>
      <w:r>
        <w:t>VIEWED its provision of March 27, 2019, which, pursuant to Article 7, paragraph 3, of the Regulation, ordered the extension of the deadline for concluding the procedure, for specific investigative needs;</w:t>
      </w:r>
    </w:p>
    <w:p>
      <w:r>
        <w:t>VIEWED the documents of the procedure;</w:t>
      </w:r>
    </w:p>
    <w:p>
      <w:r>
        <w:t>I. THE PARTY</w:t>
      </w:r>
    </w:p>
    <w:p>
      <w:r>
        <w:t>1. B Rent S.r.l., as a professional, pursuant to Article 18, letter b), of the Consumer Code (hereinafter, also, B Rent). The professional primarily engages in the activity of car rental without a driver and, in light of the accounting documentation related to the fiscal year closed on December 31, 2017, presents a turnover of approximately 6,500,000 euros and is in profit (41,685 euros).</w:t>
      </w:r>
    </w:p>
    <w:p>
      <w:r>
        <w:t>II. THE COMMERCIAL PRACTICES</w:t>
      </w:r>
    </w:p>
    <w:p>
      <w:r>
        <w:t>2. The procedure concerns two conducts, allegedly carried out by the professional, consisting, respectively, in:</w:t>
      </w:r>
    </w:p>
    <w:p>
      <w:r>
        <w:t>PRACTICE A</w:t>
        <w:br/>
        <w:t>- improperly soliciting consumers about to rent the vehicle to purchase ancillary services aimed at limiting liability for damages to the vehicle, exploiting and suggesting the reduction of the security deposit - autonomously identified by it - required on the credit card provided as a guarantee for the rental;</w:t>
      </w:r>
    </w:p>
    <w:p>
      <w:r>
        <w:t>PRACTICE B</w:t>
        <w:br/>
        <w:t>- unjustifiably charging certain customers amounts as reimbursement for damages found on the rented vehicles, for administrative expenses, and for railway charges, with automatic charges through the credit card provided as a guarantee.</w:t>
      </w:r>
    </w:p>
    <w:p>
      <w:r>
        <w:t>III. THE FINDINGS OF THE PROCEDURE</w:t>
      </w:r>
    </w:p>
    <w:p>
      <w:r>
        <w:t>III.1 The course of the procedure</w:t>
      </w:r>
    </w:p>
    <w:p>
      <w:r>
        <w:t>3. In relation to the commercial practices described above, on January 17, 2019, the Party was notified of the initiation of the investigative procedure PS11065 for possible violation of Articles 20, 24, and 25 of the Consumer Code.</w:t>
      </w:r>
    </w:p>
    <w:p>
      <w:r>
        <w:t>4. The company, on February 1 and March 22, 2019, provided the requested information, also presenting its defensive arguments.</w:t>
      </w:r>
    </w:p>
    <w:p>
      <w:r>
        <w:t>5. On April 23, 2019, the Party was notified of the deadline for concluding the investigative phase pursuant to Article 16, paragraph 1, of the Regulation.</w:t>
      </w:r>
    </w:p>
    <w:p>
      <w:r>
        <w:t>6. The company did not submit final statements.</w:t>
      </w:r>
    </w:p>
    <w:p>
      <w:r>
        <w:t>III.2 The evidence acquired</w:t>
      </w:r>
    </w:p>
    <w:p>
      <w:r>
        <w:t>7. From the documentation on file, the following is noted:</w:t>
      </w:r>
    </w:p>
    <w:p>
      <w:r>
        <w:t>a. The rental activity carried out by the professional</w:t>
      </w:r>
    </w:p>
    <w:p>
      <w:r>
        <w:t>8. The rental service is provided by the professional through a network of branches spread nationwide and, regardless of the methods of purchase or reservation of the service, at the time of picking up the vehicle, the customer signs the rental contract (Rental Agreement or RA).</w:t>
      </w:r>
    </w:p>
    <w:p>
      <w:r>
        <w:t>9. The rental contract is governed by general contract conditions - available on the website and an integral part of all rental contracts - which provide, as far as relevant to our purposes, that the customer is obliged to pay the lessor, upon delivery of the vehicle, the rate provided in the rental contract and the security deposit, in a reduced form in case of purchase of insurance coverage and, upon return of the vehicle, in addition to any extras used, any damages caused to the vehicle, which can be limited by purchasing the insurance coverage.</w:t>
      </w:r>
    </w:p>
    <w:p>
      <w:r>
        <w:t>10. The following table represents the revenues derived from the rental service, from the sale of coverages, and from the charging of damages referred to the last year:</w:t>
      </w:r>
    </w:p>
    <w:p>
      <w:r>
        <w:t>2018</w:t>
        <w:br/>
        <w:t>Number of rentals 82,972</w:t>
        <w:br/>
        <w:t>(amounts collected from rentals) 13,065,278</w:t>
        <w:br/>
        <w:t>Rentals with coverages 37,489</w:t>
        <w:br/>
        <w:t>(amounts collected from coverages) 2,683,830</w:t>
        <w:br/>
        <w:t>Rentals with damage charges 3,309</w:t>
        <w:br/>
        <w:t>(amounts collected from damage charges) 842,304</w:t>
      </w:r>
    </w:p>
    <w:p>
      <w:r>
        <w:t>PRACTICE A</w:t>
      </w:r>
    </w:p>
    <w:p>
      <w:r>
        <w:t>b. The rental contract, deductibles, and insurance</w:t>
      </w:r>
    </w:p>
    <w:p>
      <w:r>
        <w:t>11. The rental agent, when the customer presents at the desk for the rental of the vehicle, outlines the details of the service (reporting what is required on the front page of the contract), specifying that the customer participates in the economic damage caused to the vehicle within the limits of the deductibles and that if they wish to limit their participation in such risks, they may purchase suitable ancillary coverages.</w:t>
      </w:r>
    </w:p>
    <w:p>
      <w:r>
        <w:t>12. The rented vehicles are regularly insured for mandatory third-party liability, while the professional does not insure them for other risks, particularly for damages caused by customers.</w:t>
      </w:r>
    </w:p>
    <w:p>
      <w:r>
        <w:t>13. Such risks, typical of the rental activity, are therefore managed and borne by the rental company and regulated in the relationship with the consumer precisely within the rental contract,</w:t>
      </w:r>
    </w:p>
    <w:p>
      <w:r>
        <w:rPr>
          <w:b/>
        </w:rPr>
        <w:t>[Pages 13–15]</w:t>
      </w:r>
    </w:p>
    <w:p>
      <w:r>
        <w:t>BULLETIN NO. 30 OF JULY 29, 2019 15</w:t>
      </w:r>
    </w:p>
    <w:p>
      <w:r>
        <w:t>providing indeed deductibles that define the maximum liability of the consumer, a necessary element to hold customers accountable for paying attention and not causing damage to the vehicle.</w:t>
      </w:r>
    </w:p>
    <w:p>
      <w:r>
        <w:t>14. The amounts of the deductibles, proportionate to the different groups of vehicles, are independently defined by the professional: in particular, the damage deductible provided by B-Rent, for almost all groups, is €750.</w:t>
      </w:r>
    </w:p>
    <w:p>
      <w:r>
        <w:t>c. The credit card as a guarantee: the delayed charge and the security deposit</w:t>
      </w:r>
    </w:p>
    <w:p>
      <w:r>
        <w:t>15. At the time of renting the vehicle, the professional requests the customer's credit card as a guarantee for the car that has been entrusted to them. Specifically, on one hand, the customer is asked to sign an authorization for a possible subsequent charge (so-called delayed charge) for damages within the limits of the deductibles, and on the other hand, the professional proceeds to block an amount as a security deposit.</w:t>
      </w:r>
    </w:p>
    <w:p>
      <w:r>
        <w:t>16. The amount of the security deposit, which impacts the available credit/limit on the various credit cards of customers, is independently defined by the professional and varies in relation to the different groups of vehicles as well as the additional products purchased (partial or total coverage).</w:t>
      </w:r>
    </w:p>
    <w:p>
      <w:r>
        <w:t>17. With reference to the groups of base class cars, which are considered to require attention as they are the lowest cost and most rented, it is noted that the required deposit is €850.</w:t>
      </w:r>
    </w:p>
    <w:p>
      <w:r>
        <w:t>d. The additional products offered</w:t>
      </w:r>
    </w:p>
    <w:p>
      <w:r>
        <w:t>18. The professional therefore offers some "additional" products aimed at limiting the liability of customers specifically concerning those risks for which a deductible has been identified.</w:t>
      </w:r>
    </w:p>
    <w:p>
      <w:r>
        <w:t>19. The coverages have a daily cost and, always based on what is independently defined by the professional, result in a reduction of the required security deposit. Specifically:</w:t>
        <w:br/>
        <w:t>- until January 6, 2019, the “COMFORT COVER” was offered at €19 for one day, with a decreasing price for purchasing multiple days, which lowered the deposit to €490 and the damage deductible to 0; after January 6, the price of this service increased to €24 for one day, still with a decreasing price for purchasing multiple days;</w:t>
        <w:br/>
        <w:t>- also until January 6, 2019, the “FREE TO DRIVE” was offered at €30 for one day, with a decreasing price for purchasing multiple days, which lowered the deposit to €90 and the deductible to 0; after January 6, the price of this service increased to €34 for one day, still with a decreasing price for purchasing multiple days.</w:t>
      </w:r>
    </w:p>
    <w:p>
      <w:r>
        <w:t>20. The general rental conditions specify that “In the event of theft, fire, robbery, or damage to the rented vehicle, the customer is required to pay the deductibles indicated in the rental contract, unless the customer subscribes to the COMFORT COVER or the FREE TO DRIVE described in the special conditions of the lessor”; in this regard, accessing the homepage of the website and then clicking on “deductible reduction,” it is noted that “The Free to Drive formula allows you to reduce the security deposit to only €90 (...), and the charges in case of damages or theft to €0 (...),” and that “The Comfort Cover formula reduces (...) the security deposit, and the charges in case of damages or theft (...).” The “special rental conditions,” which can also be accessed from the homepage, similarly report the aforementioned last specifications.</w:t>
      </w:r>
    </w:p>
    <w:p>
      <w:r>
        <w:t>e. The critical issues in the method of offering products</w:t>
      </w:r>
    </w:p>
    <w:p>
      <w:r>
        <w:t>21. From the documentation acquired in the records, it does not emerge that the professional, in the offer to purchase additional products, has presented and utilized the reduction of the security deposit otherwise required.</w:t>
      </w:r>
    </w:p>
    <w:p>
      <w:r>
        <w:t>16 BULLETIN NO. 30 OF JULY 29, 2019</w:t>
      </w:r>
    </w:p>
    <w:p>
      <w:r>
        <w:t>PRACTICE B</w:t>
      </w:r>
    </w:p>
    <w:p>
      <w:r>
        <w:t>f. Damage verification: analysis of the vehicle (at check-out and check-in)</w:t>
      </w:r>
    </w:p>
    <w:p>
      <w:r>
        <w:t>22. The vehicle is delivered to the customer in the presence of a company representative (check-out). The contract lists pre-existing damages, and the customer is asked to verify in mutual agreement that the listed conditions correspond to the actual condition of the vehicle: in case of detection of any unreported damages, the vehicle's condition is updated in mutual agreement.</w:t>
      </w:r>
    </w:p>
    <w:p>
      <w:r>
        <w:t>23. At the time of returning the vehicle, the contract is closed, and the vehicle's condition is checked. This is the check-in phase, where the internal and external conditions of the vehicle are inspected in mutual agreement with the customer in order to verify and charge for any damages.</w:t>
      </w:r>
    </w:p>
    <w:p>
      <w:r>
        <w:t>24. The general rental conditions provide that “At the time of return, the Lessee has the obligation to verify, in mutual agreement with the Lessor, the condition of the Vehicle, confirming and signing any discrepancies compared to what is indicated in the rental letter at the time of delivery. In case of failure to jointly verify, the Customer expressly authorizes the Lessor to charge for any damages found on the Vehicle even after the return.”</w:t>
      </w:r>
    </w:p>
    <w:p>
      <w:r>
        <w:t>g. (continued) Damage verification: quantification of damages and charges to consumers</w:t>
      </w:r>
    </w:p>
    <w:p>
      <w:r>
        <w:t>25. With reference to the damages found, the company has prepared a “damage valuation table,” aimed at identifying a predetermined amount for each individual and different type of damage and has provided, in the same rental contract, for the charge of administrative expenses for “damage management,” for an amount of €70.</w:t>
      </w:r>
    </w:p>
    <w:p>
      <w:r>
        <w:t>26. In the Operating Manual, with specific reference to internal procedures for verifying and charging for damages, it specifies: that the “Check in/out – Delivery Report,” “document attached to the rental contract, is the fundamental tool that certifies the condition of the vehicle at the time of rental and at the time of return. It is printed directly from the system and must accurately report all damages actually present on the rented vehicle. In case of new damages detected, it is necessary to update the document in the system to avoid unnecessary and unpleasant disputes from customers”; that “Rental invoices must be generated directly at check-out in conjunction with the collection of the rental, including any extras provided for in the contract. At the time of closing the rental, if there are additional costs to be invoiced (… damages found, etc.), the office performing the check-out must charge the customer for these costs and simultaneously issue an invoice, ensuring that the customer signs the check form or the claims declaration form”; that “The counter operator in case of damages or theft (even partial) is required to charge the customer the amounts due, following the following criteria: if the total of the damages exceeds the deductible, the corresponding deductible is charged (...); if the total of the damages is less than the deductible, the total amount of the damages is charged based on the damage table provided by management, with subsequent issuance of the invoice”; and that, regarding the “Financial Responsibility of the Customer for damages and theft,” “During the rental, in the event that the Customer is involved in an accident or suffers total and/or partial theft of the car, they remain responsible for a deductible at their expense and must reimburse B-Rent for the amount as per the table (...). To these amounts, the administrative expense of €70.00 is always added. (...)”.</w:t>
      </w:r>
    </w:p>
    <w:p>
      <w:r>
        <w:t>h. The critical issues found in the damage verification</w:t>
      </w:r>
    </w:p>
    <w:p>
      <w:r>
        <w:t>27. From the documentation acquired in the records, it emerges that the professional has unjustifiably charged certain customers amounts as reimbursement for damages found on the rented vehicles - in some cases charging the entire deductible, in others charging amounts for pre-existing damages, and in others charging for damages without supporting documentation - and administrative expenses.</w:t>
      </w:r>
    </w:p>
    <w:p>
      <w:r>
        <w:t>Specifically, it refers to:</w:t>
        <w:br/>
        <w:t>1) an email from locations support to branches and managers, from May 2018, aimed at representing that “customer service has been receiving a series of reports from various brokers regarding unjustified damage charges to customers. It is unacceptable to think that an entire deductible is charged when the damage reported by the customer is half of what is charged!! In the end, these cases are resolved by crediting the unjustly charged amount back to the customers. This situation generates dissatisfaction from customers and complaints from the brokers. You are all required to adhere to the amounts indicated in the damage charge table, also because anyone who connects to the B Rent website can view the table with the related amounts” (document 29);</w:t>
        <w:br/>
        <w:t>2) a document containing eight credit notes for reversals due to “incorrect damage charges,” also related to pre-existing damages, for the period between July and November 2018, for amounts also significant up to €498, from which it also emerges, in the invoices issued, the charge and subsequent reversal of administrative expenses for damage management and railway charges (document 25);</w:t>
        <w:br/>
        <w:t>3) an email exchange, from September 2018, between reservation and the operations manager, in which the issuance of four credit notes in favor of customers who were erroneously charged for damages is proposed, for amounts also significant, up to €570 (document 23);</w:t>
        <w:br/>
        <w:t>4) an email exchange, between November and December 2018, following the receipt of an email from customer service, between the operations manager and the area manager. The operations manager represents the failure to comply with damage charge procedures highlighting that “after alignment with ownership and management, I ask how such an operational error is possible and why you do not comply with the procedures.” In turn, the area manager confirms the aforementioned problematic aspect stating that “I have delved into the matter with the guys from Rome and Bologna. I am sincerely sorry for these shortcomings and I take my share of responsibility for not having properly checked contract by contract how things were managed. (…) I do not hide from you that in Rome we have had and continue to have several logistical and operational problems that do not justify shortcomings but make them understandable.”</w:t>
      </w:r>
    </w:p>
    <w:p>
      <w:r>
        <w:t>The email exchange arises from some critical episodes reported by customer service “for which attention is requested. CUSTOMER RENTALCARS - Voucher 372450834-1 DEDUCTION RENTALCARS €615.00 (…) Rental period: August 10-15, 2018 The customer did not purchase additional coverages with B-rent The customer in question was charged €877.50 due to damages to the window and the bodywork. Only the photos regarding the damages are uploaded to the system.”</w:t>
      </w:r>
    </w:p>
    <w:p>
      <w:r>
        <w:rPr>
          <w:b/>
        </w:rPr>
        <w:t>[Pages 16–18]</w:t>
      </w:r>
    </w:p>
    <w:p>
      <w:r>
        <w:t>18 BULLETIN NO. 30 OF JULY 29, 2019</w:t>
      </w:r>
    </w:p>
    <w:p>
      <w:r>
        <w:t>the damages to the glass, Rentalcars has repeatedly requested photos to support the damages to the bodywork, but they were not present in the system, and there was no check-in signed by the customer (neither in digital form nor manually uploaded). (…) I confirm proceeding with a partial refund as we cannot demonstrate the total validity of the amount charged to the customer. On 25/10, Rentalcars made a deduction of € 615.00, and we were only able to demonstrate the legitimacy of the charge made for the damage to the glass, having no other documentary evidence. (…) RENTALCARS CUSTOMER - Voucher 377762157 POSSIBLE DEDUCTION: € 458.60 (…) Rental period: July 28 - August 7 The customer did not purchase additional coverage with B-rent A charge of € 458.60 was made to the customer, but we do not have the signed check-in in the system. From the confirmation received (…), there is a manual check-in, not yet uploaded to the system. I will urge the competent office to send me the document or to scan it (even though the procedure requires the collection of documents at the same time as the charge for the new damage). RENTALCARS CUSTOMER - Voucher 344789678 – 1 POSSIBLE DEDUCTION: € 304.50 (…) Rental period: September 28 – October 1 The customer did not purchase additional coverage with B-rent A charge of € 304.50 was made to the customer for a new damage upon return. Photos and the customer's statement have been uploaded to the system, but Rentalcars requests the check-in document, which is not present. Last reminder to the office in Rome Termini on 14/11, I have not received a response, and in previous emails, a problem with the tablet was indicated. Rentalcars writes to us that if we do not provide this document, they will continue to contest the legitimacy of the damage. RENTALCARS CUSTOMER - Voucher 366619734 POSSIBLE DEDUCTION: € 820.00 (…) Rental period: July 13 - July 23 The customer did not purchase additional coverage with B-rent A charge of € 820.00 was made for the broken windshield (the amount is not consistent with the B-rent damage valuation table)” (document 59, emphasis in original).</w:t>
      </w:r>
    </w:p>
    <w:p>
      <w:r>
        <w:t>28. With reference to the damage charges, the professional expressly clarified, among other things, that in the event of non-acceptance of any damage, with the customer's signature, the amount of the same will be charged in any case5, with no form of contradiction with the consumer being provided.</w:t>
      </w:r>
    </w:p>
    <w:p>
      <w:r>
        <w:t>i. Economic incentives for the branches</w:t>
      </w:r>
    </w:p>
    <w:p>
      <w:r>
        <w:t>29. The evidence on file also certifies:</w:t>
        <w:br/>
        <w:t>1) the forecast, by the professional, from March 2018, of a series of economic incentives for the branches for the sale of accessory products and for damage charges, and, in this regard, with reference to the latter, that “for all operators who carry out return activities, a commission of € 8 will be recognized for each damage recovered,” with the precise indication, however, that “To accept damage recovery as commissionable, complete documentation with the customer's signature under the declaration must always be present, and there must be a collection of a damage (…); - This activity is very sensitive to disputes, so each of your skills is crucial to do a 'good job'. (…) attention to this activity that must certainly be increased (currently it is close to absolute zero while we receive from our Sourcing suppliers of cars substantial invoices for damages from End Of Contract) but in no way should it become a reason for serious disputes for non-existent damages,” without resorting to “episodes of friction at the counter due to arrogant attitudes (…) to detect pre-existing damages”6 (emphasis in original);</w:t>
      </w:r>
    </w:p>
    <w:p>
      <w:r>
        <w:t>5 See, in particular, the information provided on March 22, 2019.</w:t>
        <w:br/>
        <w:t>6 See, in particular, doc. 3, acquired during the inspection and attached by the party, with such numbering, in its defensive memos of February 1, 2019.</w:t>
      </w:r>
    </w:p>
    <w:p>
      <w:r>
        <w:t>BULLETIN NO. 30 OF JULY 29, 2019 19</w:t>
      </w:r>
    </w:p>
    <w:p>
      <w:r>
        <w:t>2) an email from the operations manager to branches and various managers, from April 2018, aimed at representing that “this will become a recurring email to analyze projections and consolidated data on the 15th and at the end of the month regarding performance” for the sale of accessory products and for damage charges, which, in this regard, with reference to the latter, the “minimum acceptable level is 4% of total expenses” and that “we are still far from an acceptable figure. I reiterate the importance of the activities examined because they give an idea of the health status of the location and the entire company. The margins for improvement are wide, and I expect a rapid change in all indicators exceeding the minimum performance threshold before starting to make other types of reasoning. (…) A change of pace is urgently needed; otherwise, there is a risk of unsustainability of the Business, also in view of the multiple new openings we are facing and that the ownership is facing with significant financial sacrifices; our mission remains to create value: the ownership is doing it, and now it is time for each of us to do our part”7.</w:t>
      </w:r>
    </w:p>
    <w:p>
      <w:r>
        <w:t>III.3 The defensive arguments of the Party</w:t>
      </w:r>
    </w:p>
    <w:p>
      <w:r>
        <w:t>30. With the submitted memos, the professional noted:</w:t>
        <w:br/>
        <w:t>Practice A)</w:t>
        <w:br/>
        <w:t>- that in the car rental sector, it is market practice to ask the consumer for credit card guarantee to obtain a pre-authorization as a security deposit (to guarantee the compensation for any damages incurred to the vehicle during the rental), that the determination of the security deposit and its amount constitutes a free entrepreneurial choice of the lessor and that it is at the customer's discretion to accept it or not;</w:t>
        <w:br/>
        <w:t>- that the requested security deposit is far from "exhausting the spending capacity" of the customer's credit card;</w:t>
        <w:br/>
        <w:t>- that operators are not encouraged in any way to maintain an aggressive commercial strategy aimed at imposing the purchase of accessory products by leveraging the prospect of "lowering" the cost of the security deposit; - that the incentive policy is also in line with the above, expressly providing that: “we do not expect episodes of friction at the counter, due to arrogant attitudes to sell at all costs”.</w:t>
      </w:r>
    </w:p>
    <w:p>
      <w:r>
        <w:t>Practice B)</w:t>
        <w:br/>
        <w:t>- that the instructions given to operators regarding the closure of the contract are far from soliciting the unjustified charge of damages;</w:t>
        <w:br/>
        <w:t>- that the amounts related to the various hypotheses of damage are precisely determined in advance and that the amounts charged as damages are also lower than due because the lost profits, determined by the impossibility of renting the vehicle for the working days of restoration and by the days of the vehicle's downtime, are not included in the damage item;</w:t>
        <w:br/>
        <w:t>- that the confirmation of caution towards the customer in the detection of any damages and the absolute seriousness in charging them is also found, a) in the incentive plan reserved for operators, where damage recovery is recognized with a commission of only € 8 per damage, with the precise indication, however, that "To accept damage recovery as commissionable, complete documentation with the customer's signature under the declaration must always be present...", without resorting to "episodes of friction at the counter due to arrogant attitudes (…) to detect pre-existing damages" and b) in the fact that, if an error occurred in determining the damages after check-in, the amounts charged in this regard were immediately reversed;</w:t>
      </w:r>
    </w:p>
    <w:p>
      <w:r>
        <w:t>7 See, in particular, doc. 54 of the annex 1 of the inspection report carried out at the registered office of the company.</w:t>
      </w:r>
    </w:p>
    <w:p>
      <w:r>
        <w:t>20 BULLETIN NO. 30 OF JULY 29, 2019</w:t>
      </w:r>
    </w:p>
    <w:p>
      <w:r>
        <w:t>- that the amounts collected from damage charges denote the total marginality of the item for the corporate policy, also noting that it is a loss item, considering that the costs for restoring vehicles are greater than those charged and recovered from customers.</w:t>
      </w:r>
    </w:p>
    <w:p>
      <w:r>
        <w:t>IV. CONCLUDING EVALUATIONS</w:t>
      </w:r>
    </w:p>
    <w:p>
      <w:r>
        <w:t>31. The behaviors described in letters A) and B) of point II of this provision constitute two distinct commercial practices, due to their respective structural autonomy arising from the different ways in which they can concretely influence the normal process of forming the consumer's will and the specific purposes pursued.</w:t>
      </w:r>
    </w:p>
    <w:p>
      <w:r>
        <w:t>32. Regarding the first conduct, sub A), from the elements acquired, it does not appear that the professional has improperly solicited the purchase of accessory services by exploiting and presenting to consumers about to rent the vehicle the reduction of the security deposit, also considering that the amount requested as a security deposit does not appear disproportionate and such as to exhaust the spending capacity of the customer's credit card.</w:t>
      </w:r>
    </w:p>
    <w:p>
      <w:r>
        <w:t>33. Regarding the second conduct, sub B), related to unjustifiably charging certain customers amounts as reimbursement for damages found on the rented vehicles, for administrative expenses of managing damage practices, and for railway charges, with automatic charges on the credit card given as a guarantee, it is noted, however, that the investigative evidence confirms the incorrectness of the contested commercial practice.</w:t>
      </w:r>
    </w:p>
    <w:p>
      <w:r>
        <w:t>34. The elements on file highlight, in fact, that the professional, exploiting the availability of the credit card given as a guarantee at the time of vehicle pickup and the amount blocked therein, has unjustifiably charged certain customers, a) amounts as reimbursement for damages found on the rented vehicles, also considering that, in some cases, the amounts charged do not conform to the damage assessment table and, in other cases, the damages are pre-existing or unproven (see paragraph H), b) administrative expenses for managing damage practices, given that an unjustified charge for pre-existing or unproven damages does not justify any charge for the related administrative expenses (see paragraph H), and c) amounts for "railway charges," not contractually provided for (see paragraphs G and H).</w:t>
      </w:r>
    </w:p>
    <w:p>
      <w:r>
        <w:t>35. From the documentation on file, it emerges that in many cases the professional has proceeded to charge damages unjustifiably, as they are non-compliant, pre-existing, or unproven, and that the operational procedures have not been respected, with various logistical and operational problems being found that appear to exceed individual and isolated service disruptions (see paragraph H), especially since the professional has a strong commercial interest in developing the damage detection activity having set up an incentive system for the branches linked to damage recovery, which provides for the recognition of an economic benefit for each damage recovered and minimum percentage thresholds for damage charges on rentals made (see paragraph I).</w:t>
      </w:r>
    </w:p>
    <w:p>
      <w:r>
        <w:t>36. It should also be noted that charges are made without any form of contradiction with the consumer to verify the existence and quantification of the damage (see paragraph H).</w:t>
      </w:r>
    </w:p>
    <w:p>
      <w:r>
        <w:t>37. From the elements in the above-mentioned documents, an aggressive commercial practice emerges, carried out at the time of return or after the return of the vehicle, consisting of charging, to various customers, unjustified amounts as reimbursement for damages found on the rented vehicles, for administrative expenses of managing damage practices, and for railway charges.</w:t>
      </w:r>
    </w:p>
    <w:p>
      <w:r>
        <w:rPr>
          <w:b/>
        </w:rPr>
        <w:t>[Pages 19–21]</w:t>
      </w:r>
    </w:p>
    <w:p>
      <w:r>
        <w:t>BULLETIN NO. 30 OF JULY 29, 2019 21</w:t>
      </w:r>
    </w:p>
    <w:p>
      <w:r>
        <w:t>38. The conduct of the professional is, therefore, incorrect and capable of unduly conditioning the consumer, leading them to make a commercial decision that they would not have otherwise made, placing them in a position of having to pay, unjustifiably, amounts for damages and related expenses or, in any case, having to file a complaint to contest their liability in order to obtain the return of what was unduly charged. This constitutes an unfair commercial practice, characterized by clear and evident profiles of aggressiveness, also considering the fact that the professional, through the availability of the consumer's credit card, automatically appropriates even significant sums without their consent, carrying out a coercive action that has a direct impact on the consumer's financial sphere. In this sense, the conduct is deemed aggressive pursuant to Articles 24 and 25 of the Consumer Code.</w:t>
      </w:r>
    </w:p>
    <w:p>
      <w:r>
        <w:t>V. QUANTIFICATION OF THE SANCTION</w:t>
      </w:r>
    </w:p>
    <w:p>
      <w:r>
        <w:t>39. Pursuant to Article 27, paragraph 9, of the Consumer Code, with the provision that prohibits the unfair commercial practice, the Authority orders the application of an administrative pecuniary sanction from €5,000 to €5,000,000, taking into account the seriousness and duration of the violation.</w:t>
      </w:r>
    </w:p>
    <w:p>
      <w:r>
        <w:t>40. Regarding the quantification of the sanction, the criteria identified by Article 11 of Law No. 689/81 must be considered, as applicable, by virtue of the reference provided in Article 27, paragraph 13, of the Consumer Code: in particular, the seriousness of the violation, the actions taken by the company to eliminate or mitigate the infringement, the personality of the agent, as well as the economic conditions of the company itself.</w:t>
      </w:r>
    </w:p>
    <w:p>
      <w:r>
        <w:t>41. With regard to the seriousness of the violation, account is taken of the size of the professional, operating throughout the national territory with a network of branches in major cities, international airports, and tourist locations, the nature of the infringement, and its suitability to reach a considerable number of consumers, due to the potential application to all customers of the professional. Furthermore, the economic harm to consumers is noted, forced to pay, unjustifiably, amounts not in accordance with the damage assessment table or related to pre-existing or unproven damages, which are automatically charged to them by the professional on the credit card provided as a guarantee at the time of renting the vehicle, and which compel them to file a complaint to obtain the return of what was unduly withdrawn.</w:t>
      </w:r>
    </w:p>
    <w:p>
      <w:r>
        <w:t>42. As for the duration of the violation concerning practice sub B), the available evidence indicates that the commercial practice has been in place at least since May 2018 and is still ongoing.</w:t>
      </w:r>
    </w:p>
    <w:p>
      <w:r>
        <w:t>43. Based on these elements, it is deemed appropriate to determine the amount of the administrative pecuniary sanction applicable to the professional at €250,000 (two hundred fifty thousand euros).</w:t>
      </w:r>
    </w:p>
    <w:p>
      <w:r>
        <w:t>CONSIDERING, therefore, based on and within the limits of the aforementioned considerations, that the commercial practice under A) does not currently present sufficient elements to constitute a violation of Articles 20, 24, and 25 of the Consumer Code;</w:t>
      </w:r>
    </w:p>
    <w:p>
      <w:r>
        <w:t>CONSIDERING, therefore, based on the aforementioned considerations, that the commercial practice under B) is deemed unfair pursuant to Articles 24 and 25 of the Consumer Code as it is characterized by aggressive profiles and is capable of appreciably limiting the freedom of choice and economic behavior of the average consumer in relation to the products offered by the professional;</w:t>
      </w:r>
    </w:p>
    <w:p>
      <w:r>
        <w:t>22 BULLETIN NO. 30 OF JULY 29, 2019</w:t>
      </w:r>
    </w:p>
    <w:p>
      <w:r>
        <w:t>RESOLUTION</w:t>
      </w:r>
    </w:p>
    <w:p>
      <w:r>
        <w:t>a) that the commercial practice described in point II, letter A), of this provision, carried out by the company B Rent S.r.l., does not currently present sufficient elements to constitute a violation of Articles 20, 24, and 25 of the Consumer Code.</w:t>
      </w:r>
    </w:p>
    <w:p>
      <w:r>
        <w:t>b) that the commercial practice described in point II, letter B), of this provision, carried out by the company B Rent S.r.l., constitutes, for the reasons and within the limits stated in the motivation, an unfair commercial practice pursuant to Articles 24 and 25 of the Consumer Code, and prohibits its dissemination or continuation;</w:t>
      </w:r>
    </w:p>
    <w:p>
      <w:r>
        <w:t>c) to impose on the company B Rent S.r.l., for practice sub B), an administrative pecuniary sanction of €250,000 (two hundred fifty thousand euros);</w:t>
      </w:r>
    </w:p>
    <w:p>
      <w:r>
        <w:t>d) that the professional communicates to the Authority, within sixty days from the notification of this provision, the initiatives taken in compliance with the injunction referred to in point b). The administrative sanction imposed must be paid within thirty days from the notification of this provision, using the tax codes indicated in the attached F24 model with identifying elements, pursuant to Legislative Decree No. 241/1997. Payment must be made electronically by debiting the professional's bank or postal account, through home banking and CBI services provided by banks or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interest accrued during the same period. 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BULLETIN NO. 30 OF JULY 29, 2019 23</w:t>
      </w:r>
    </w:p>
    <w:p>
      <w:r>
        <w:rPr>
          <w:b/>
        </w:rPr>
        <w:t>[Pages 22–23]</w:t>
      </w:r>
    </w:p>
    <w:p>
      <w:r>
        <w:t>24 BULLETIN NO. 30 OF JULY 29, 2019</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THE SECRETARY GENERAL THE PRESIDENT</w:t>
      </w:r>
    </w:p>
    <w:p>
      <w:r>
        <w:t>Filippo Arena Roberto Rustichelli</w:t>
      </w:r>
    </w:p>
    <w:p>
      <w:r>
        <w:t>Antitrust Authority Weekly Bulletin of Competition and Market Year XXIX - No. 30 - 2019</w:t>
      </w:r>
    </w:p>
    <w:p>
      <w:r>
        <w:t>Editorial Coordination Giulia Antenucci</w:t>
      </w:r>
    </w:p>
    <w:p>
      <w:r>
        <w:t>Editorial Staff Sandro Cini, Valerio Ruocco, Simonetta Schettini, Manuela Villani</w:t>
      </w:r>
    </w:p>
    <w:p>
      <w:r>
        <w:t>Antitrust Authority Office of Statistics and IT Applications Piazza Giuseppe Verdi, 6/a - 00198 Rome Tel.: 06-858211 Fax: 06-85821256 Web: http://www.agcm.it 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