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https://www.agcm.it/dotcmsdoc/bollettini/2022/30-22.pdf</w:t>
      </w:r>
    </w:p>
    <w:p>
      <w:r>
        <w:t>Pages translated : 204</w:t>
      </w:r>
    </w:p>
    <w:p/>
    <w:p>
      <w:r>
        <w:rPr>
          <w:b/>
        </w:rPr>
        <w:t>[Pages 1–3]</w:t>
      </w:r>
    </w:p>
    <w:p>
      <w:r>
        <w:t>Bulletin</w:t>
        <w:br/>
        <w:t>Weekly</w:t>
        <w:br/>
        <w:t>Year XXXII - No. 30</w:t>
        <w:br/>
        <w:t>Published on the website www.agcm.it</w:t>
        <w:br/>
        <w:t>August 8, 2022</w:t>
        <w:br/>
        <w:t>New version of September 12, 2022</w:t>
      </w:r>
    </w:p>
    <w:p>
      <w:r>
        <w:t>SUMMARY (∗)</w:t>
        <w:br/>
        <w:t>AGREEMENTS AND ABUSE OF DOMINANT POSITION 5</w:t>
        <w:br/>
        <w:t>A551 - HIGH-SPEED AND REGIONAL RAIL TRANSPORT</w:t>
        <w:br/>
        <w:t>Decision No. 30248 5</w:t>
        <w:br/>
        <w:t>I860 - CQC COURSES CONSORTIUM OF DRIVING SCHOOLS OF THE PROVINCE OF ENNA</w:t>
        <w:br/>
        <w:t>Decision No. 30254 13</w:t>
        <w:br/>
        <w:t>CONCENTRATION OPERATIONS 19</w:t>
        <w:br/>
        <w:t>C12231B - BPER BANK/UNIPOL BANK</w:t>
        <w:br/>
        <w:t>Decision No. 30249 19</w:t>
        <w:br/>
        <w:t>C12464 - ACEA/ASM TERNI</w:t>
        <w:br/>
        <w:t>Decision No. 30250 39</w:t>
        <w:br/>
        <w:t>C12465 - FLUTTER ENTERTAINMENT/SISAL</w:t>
        <w:br/>
        <w:t>Decision No. 30251 50</w:t>
        <w:br/>
        <w:t>UNFAIR COMMERCIAL PRACTICES 57</w:t>
        <w:br/>
        <w:t>PS12138 - TRECCANI NETWORKS-HOME SALES</w:t>
        <w:br/>
        <w:t>Decision No. 30257 57</w:t>
        <w:br/>
        <w:t>PS12177 - WIZZ AIR-PRESENTATION AND COST OF ANCILLARY SERVICES</w:t>
        <w:br/>
        <w:t>Decision No. 30258 69</w:t>
        <w:br/>
        <w:t>PS12246 - FCA ITALY-PRESENTATION OF CAR OFFER PRICES</w:t>
        <w:br/>
        <w:t>Decision No. 30259 93</w:t>
        <w:br/>
        <w:t>PS12247 - VOLKSWAGEN-PRESENTATION OF CAR OFFER PRICES</w:t>
        <w:br/>
        <w:t>Decision No. 30260 99</w:t>
        <w:br/>
        <w:t>PS12248 - PSA GROUP-PRESENTATION OF CAR OFFER PRICES</w:t>
        <w:br/>
        <w:t>Decision No. 30261 110</w:t>
        <w:br/>
        <w:t>PS12249 - RENAULT-PRESENTATION OF CAR OFFER PRICES</w:t>
        <w:br/>
        <w:t>Decision No. 30262 116</w:t>
        <w:br/>
        <w:t>PS12250 - TOYOTA-PRESENTATION OF CAR OFFER PRICES</w:t>
        <w:br/>
        <w:t>Decision No. 30263 124</w:t>
        <w:br/>
        <w:t>PS12251 - FORD ITALIA-PRESENTATION OF CAR OFFER PRICES</w:t>
        <w:br/>
        <w:t>Decision No. 30264 130</w:t>
        <w:br/>
        <w:t>PS12252 - BMW-PRESENTATION OF CAR OFFER PRICES</w:t>
        <w:br/>
        <w:t>Decision No. 30265 135</w:t>
        <w:br/>
        <w:t>PS12253 - MERCEDES-BENZ-PRESENTATION OF CAR OFFER PRICES</w:t>
        <w:br/>
        <w:t>Decision No. 30266 143</w:t>
        <w:br/>
        <w:t>PS12254 - HYUNDAI-PRESENTATION OF CAR OFFER PRICES</w:t>
        <w:br/>
        <w:t>Decision No. 30267 149</w:t>
        <w:br/>
        <w:t>PS12255 - KIA-PRESENTATION OF CAR OFFER PRICES</w:t>
        <w:br/>
        <w:t>Decision No. 30268 155</w:t>
        <w:br/>
        <w:t>PS12256 - SUZUKI-PRESENTATION OF CAR OFFER PRICES</w:t>
        <w:br/>
        <w:t>Decision No. 30269 161</w:t>
        <w:br/>
        <w:t>PS12257 - NISSAN-PRESENTATION OF CAR OFFER PRICES</w:t>
        <w:br/>
        <w:t>Decision No. 30270 166</w:t>
        <w:br/>
        <w:t>∗</w:t>
        <w:br/>
        <w:t>In this version of Bulletin No. 30/2022, the annex to Decision No. 30261 of July 19, 2022 is published in the corrected version.</w:t>
      </w:r>
    </w:p>
    <w:p>
      <w:r>
        <w:t>PS12258 - HONDA-PRESENTATION OF CAR OFFER PRICES</w:t>
        <w:br/>
        <w:t>Decision No. 30271 171</w:t>
        <w:br/>
        <w:t>PS12259 - M.M. AUTOMOBILI-PRESENTATION OF CAR OFFER PRICES</w:t>
        <w:br/>
        <w:t>Decision No. 30272 177</w:t>
        <w:br/>
        <w:t>UNFAIR CLAUSES 182</w:t>
        <w:br/>
        <w:t>CV230 - GOLDCAR-ADMINISTRATIVE PRACTICE MANAGEMENT FEES</w:t>
        <w:br/>
        <w:t>Decision No. 30252 182</w:t>
      </w:r>
    </w:p>
    <w:p>
      <w:r>
        <w:rPr>
          <w:b/>
        </w:rPr>
        <w:t>[Pages 4–6]</w:t>
      </w:r>
    </w:p>
    <w:p>
      <w:r>
        <w:t>BULLETIN NO. 30 OF AUGUST 8, 2022 5</w:t>
      </w:r>
    </w:p>
    <w:p>
      <w:r>
        <w:t>AGREEMENTS AND ABUSE OF DOMINANT POSITION</w:t>
      </w:r>
    </w:p>
    <w:p>
      <w:r>
        <w:t>A551 - HIGH-SPEED AND REGIONAL RAIL TRANSPORT</w:t>
      </w:r>
    </w:p>
    <w:p>
      <w:r>
        <w:t>Provision No. 30248</w:t>
      </w:r>
    </w:p>
    <w:p>
      <w:r>
        <w:t>THE ANTITRUST AUTHORITY</w:t>
      </w:r>
    </w:p>
    <w:p>
      <w:r>
        <w:t>IN ITS MEETING of July 19, 2022;</w:t>
      </w:r>
    </w:p>
    <w:p>
      <w:r>
        <w:t>HEARD the Rapporteur Professor Michele Ainis;</w:t>
      </w:r>
    </w:p>
    <w:p>
      <w:r>
        <w:t>HAVING REGARD to Article 102 of the Treaty on the Functioning of the European Union (TFEU);</w:t>
      </w:r>
    </w:p>
    <w:p>
      <w:r>
        <w:t>HAVING REGARD to Council Regulation (EC) No. 1/2003 of December 16, 2002, concerning the application of the competition rules laid down in Articles 81 and 82 of the EC Treaty (now Articles 101 and 102 TFEU);</w:t>
      </w:r>
    </w:p>
    <w:p>
      <w:r>
        <w:t>HAVING REGARD to Law No. 287 of October 10, 1990;</w:t>
      </w:r>
    </w:p>
    <w:p>
      <w:r>
        <w:t>HAVING REGARD to Presidential Decree No. 217 of April 30, 1998;</w:t>
      </w:r>
    </w:p>
    <w:p>
      <w:r>
        <w:t>HAVING REGARD to the report from Italo - Nuovo Trasporto Viaggiatori S.p.A. received on March 23, 2022, and the subsequent supplements of June 28, July 1, and July 12, 2022;</w:t>
      </w:r>
    </w:p>
    <w:p>
      <w:r>
        <w:t>CONSIDERING the following:</w:t>
      </w:r>
    </w:p>
    <w:p>
      <w:r>
        <w:t>I. INTRODUCTION</w:t>
      </w:r>
    </w:p>
    <w:p>
      <w:r>
        <w:t>1. In a report sent on March 23, 2022, and subsequent supplements, Italo - Nuovo Trasporto Viaggiatori S.p.A. (hereinafter, “NTV”) reported to the Authority that Trenitalia S.p.A. (hereinafter, “Trenitalia”), a legally monopolistic operator in the provision of regional rail transport services and medium-long distance services on conventional networks (hereinafter, respectively, “TR” and “Intercity” or “IC”) by virtue of public service contracts, would be abusing its dominant position in order to harm NTV in the market for high-speed passenger transport services (hereinafter, “AV”), where the company operates as the sole competitor of Trenitalia.</w:t>
      </w:r>
    </w:p>
    <w:p>
      <w:r>
        <w:t>II. THE PARTIES</w:t>
      </w:r>
    </w:p>
    <w:p>
      <w:r>
        <w:t>2. Trenitalia is the main railway company operating in Italy, particularly active in passenger rail transport on high-speed networks, on conventional networks for medium-long distances, and in local public transport of regional relevance. The share capital of Trenitalia is wholly owned by Ferrovie dello Stato Italiane S.p.A. (hereinafter, FSI), the holding company of the eponymous group, which also includes, among others, Rete Ferroviaria Italiana S.p.A. (hereinafter, RFI), the concessionaire for the management of the national railway network, and Busitalia Sita Nord S.r.l., a company active in local public transport by road throughout the national territory. In 2021, Trenitalia generated a turnover of approximately 4.5 billion euros, of which nearly 3.7 billion euros came from traffic revenues; of these, approximately 2.1 billion euros derive from payments under service contracts with the State or with the Regions.</w:t>
      </w:r>
    </w:p>
    <w:p>
      <w:r>
        <w:t>6 BULLETIN NO. 30 OF AUGUST 8, 2022</w:t>
      </w:r>
    </w:p>
    <w:p>
      <w:r>
        <w:t>3. NTV is the only Italian operator, besides Trenitalia, active in the provision of AV passenger rail transport services. The share capital of NTV is wholly owned by private investors. In 2020, NTV generated a turnover of approximately 413 million euros, of which about 260 million euros came from traffic revenues (a significant decrease compared to the previous year, mainly due to the pandemic emergency).</w:t>
      </w:r>
    </w:p>
    <w:p>
      <w:r>
        <w:t>III. THE REPORT</w:t>
      </w:r>
    </w:p>
    <w:p>
      <w:r>
        <w:t>4. In the report of March 23, 2022, NTV represented that Trenitalia would implement an abusive commercial strategy aimed at artificially linking TR and IC services, managed by Trenitalia in a monopolistic regime in exchange for public payments, with market transport services operated on the AV network, where Trenitalia competes with NTV. This would occur through a sales interface - physical and virtual, direct and indirect - indistinct, unitary, and exclusive, not replicable by competitors, as they are not authorized to sell travel tickets for subsidized connections.</w:t>
      </w:r>
    </w:p>
    <w:p>
      <w:r>
        <w:t>5. Trenitalia's sales interface, managing both the services provided by Trenitalia in monopoly and those in the market in a mixed manner, would significantly reduce transaction costs for so-called connecting passengers, i.e., travelers who make a journey partly covered by the AV network and partly by TR or IC routes (which, according to the notifier's estimate, would amount to 35% of the total AV passengers). Transaction costs would be much higher for passengers intending to consider alternative travel solutions, composed of routes provided by Trenitalia in monopoly and AV connections offered by NTV. Only in the case of Trenitalia would it be possible, through a single query of the interface, to consult and purchase combined travel solutions extended to the entire national territory, viewing the overall solution (arrival and departure times, connection times, itinerary, price of individual routes and overall) and making a single transaction, with a frictionless purchasing experience. In contrast, a customer wishing to evaluate the convenience of making the AV route with NTV would have to separately consult the different alternatives, check potential transfer stations, independently calculate connection times, and proceed with two commercial transactions, resulting in greater time expenditure and a much less convenient purchasing experience.</w:t>
      </w:r>
    </w:p>
    <w:p>
      <w:r>
        <w:t>6. The above would apply to all sales channels: online (website and app), call center, ticket offices, both "classic" and automatic, travel agencies. In particular, in the case of ticket offices, a passenger starting their journey at any station not served by the AV would find only Trenitalia ticket offices where they could purchase the ticket for the TR/IC route and, along with it, AV connections only from Trenitalia. Purchasing the NTV AV ticket at a later time, i.e., upon arrival at the station served by high speed, would be irrational and risky from the passenger's perspective, also given the difficulty of managing time factors. A similar situation would arise for passengers starting their journey from a station served by the AV network: in this case, only by purchasing at the Trenitalia ticket office could travelers buy the ticket to their final destination.</w:t>
      </w:r>
    </w:p>
    <w:p>
      <w:r>
        <w:t>7. Even in the case of travel agencies, the only way to make an integrated purchase would be through the use of the sales management system provided by Trenitalia. Combining a TR/IC service with an AV service from NTV would require the use of two different sales systems, so the agency operator would typically be induced to query only the Trenitalia system. Additionally, Trenitalia would adopt its own reward system at travel agencies that recognizes increasing rewards upon reaching revenue targets related to Trenitalia tickets of all types. In particular, the sale of subsidized tickets, while not contributing to the calculation of the reward, would be useful for achieving sales targets and therefore would incentivize agencies to offer the public integrated packages entirely operated by Trenitalia.</w:t>
      </w:r>
    </w:p>
    <w:p>
      <w:r>
        <w:t>8. The described conduct would be further reinforced by Trenitalia's loyalty program called Cartafreccia. Although the Regulation of this program provides the general rule that regional transport tickets and subscriptions do not accumulate points, this rule would be systematically circumvented by the incumbent through continuous repeated promotions at least since March 2018, which provide for the allocation of points even for this type of travel. A user who decides to combine subsidized services and AV services offered by NTV, in addition to incurring the higher transaction costs described above, would lose the opportunity to accumulate points related to all routes traveled for the purpose of reaching the thresholds required by the Cartafreccia program to obtain rewards.</w:t>
      </w:r>
    </w:p>
    <w:p>
      <w:r>
        <w:t>9. The effect of the described conduct would, in practice, be evidenced by the low penetration of NTV among connecting passengers. In fact, in journeys that combine AV connections and connections offered in a monopolistic regime by Trenitalia, NTV's share on AV routes would amount to approximately [10-20%]*, far lower than that held by the same railway operator on connections for passengers who only make the AV route (approximately [40-50%]) where both NTV and Trenitalia are present.</w:t>
      </w:r>
    </w:p>
    <w:p>
      <w:r>
        <w:t>10. In order to overcome this competitive disadvantage, NTV would have repeatedly requested Trenitalia to allow it to replicate, on its sales channels, travel solutions that integrate subsidized routes. Trenitalia would initially adopt an obstructive and delaying attitude, responding only after several months (March 2022) to NTV's first meeting request from November 2021; subsequently, the two railway operators reached an agreement, on June 28, 2022, to sign a contract for the marketing, on NTV's sales channels, of tickets for regional rail services subject to public service obligations operated by Trenitalia in combination with Italo AV trains. However, in this contract, Trenitalia would have imposed specific clauses concerning [the access and treatment of data related to TR service tickets by NTV]. These clauses, according to what is regulated in the contract, are derogable in the first period of its entry into force, for a maximum of [omitted]. The aforementioned contractual provisions, according to the notifier, are much more restrictive than those adopted by Trenitalia towards other entities such as travel agencies and OLTA (online travel agencies), would prove to be of dubious technical feasibility, hindering NTV's actual ability to jointly sell AV tickets and those for regional rail services. In any case, the implementation of the solution,</w:t>
      </w:r>
    </w:p>
    <w:p>
      <w:r>
        <w:t>* In this version, some data are omitted, as there are deemed to be elements of confidentiality or secrecy of the information.</w:t>
      </w:r>
    </w:p>
    <w:p>
      <w:r>
        <w:rPr>
          <w:b/>
        </w:rPr>
        <w:t>[Pages 7–9]</w:t>
      </w:r>
    </w:p>
    <w:p>
      <w:r>
        <w:t>8 BULLETIN NO. 30 OF AUGUST 8, 2022</w:t>
      </w:r>
    </w:p>
    <w:p>
      <w:r>
        <w:t>even if feasible, would significantly increase the costs borne by NTV as well as the implementation timelines.</w:t>
      </w:r>
    </w:p>
    <w:p>
      <w:r>
        <w:t>11. Ultimately, the clauses described above appear capable of compromising the effective operation of the agreement between the Parties. Even if NTV were to activate the marketing of tickets for regional rail services, taking advantage of the transitional phase provided for in the contract, at the end of this phase it would risk incurring significant penalties for non-compliance with the contractual provisions.</w:t>
      </w:r>
    </w:p>
    <w:p>
      <w:r>
        <w:t>IV. EVALUATIONS</w:t>
      </w:r>
    </w:p>
    <w:p>
      <w:r>
        <w:t>a) The railway transport sector</w:t>
      </w:r>
    </w:p>
    <w:p>
      <w:r>
        <w:t>12. The railway transport sector has undergone a liberalization process initiated at the community level since the early 1990s, with the gradual adoption of regulatory measures aimed at opening the relevant markets to competition, based on fair and non-discriminatory access to infrastructure. Following this liberalization, with NTV entering the market in 2012, Italy became the first EU member state to have two competing operators in the provision of high-speed passenger rail services.</w:t>
      </w:r>
    </w:p>
    <w:p>
      <w:r>
        <w:t>13. As for the offer of IC and TR passenger transport services, they are provided by Trenitalia, in most cases under direct assignment, in execution of specific service contracts signed with public administrations, specifically: (a) the State (through the Ministry of Infrastructure and Sustainable Mobility (MIMS), in agreement with the Ministry of Economy and Finance), with which Trenitalia has signed the contract for IC services; (b) the individual Regions and the autonomous provinces of Trento and Bolzano for TR. These contracts provide, in exchange for the provision of public subsidies, universal service obligations for Trenitalia.</w:t>
      </w:r>
    </w:p>
    <w:p>
      <w:r>
        <w:t>14. Many of these service contracts have been renewed over the years, with new overall duration terms of up to 15 years from signing. Among the main service contracts subject to renewal, particular mention should be made of the one for the management of medium-long distance services with public service obligations, operated with Intercity Giorno and Intercity Notte trains, which now has a ten-year duration, expiring on December 31, 2026.</w:t>
      </w:r>
    </w:p>
    <w:p>
      <w:r>
        <w:t>15. Alongside that intended for regional transport services, the railway infrastructure dedicated to medium-long distance services represents an absolutely predominant portion of the national railway network managed by RFI, given that, of the over 24,000 km of tracks that compose it, those dedicated to AV services are less than 1,500 km. With specific reference to Intercity trains, it should also be noted that they perform an essential function of connecting the AV network with numerous areas of the peninsula, particularly in the South, which are still not reached by AV.</w:t>
      </w:r>
    </w:p>
    <w:p>
      <w:r>
        <w:t>16. That said, this proceeding concerns the provision of public railway transport services for passengers, respectively: a) regional; b) medium-long distance; c) long-distance AV.</w:t>
      </w:r>
    </w:p>
    <w:p>
      <w:r>
        <w:t>b) Relevant markets</w:t>
      </w:r>
    </w:p>
    <w:p>
      <w:r>
        <w:t>b.1) Regional public railway transport services for passengers</w:t>
      </w:r>
    </w:p>
    <w:p>
      <w:r>
        <w:t>17. Based on the consolidated orientation of the Authority, regional public railway transport services for passengers have characteristics that identify a distinct product market compared to all other forms of local public transport and other forms of passenger railway transport (medium-long distance and high-speed). The demand for this type of transport is represented by users who express continuous mobility needs on primary short-distance routes during certain time slots of weekdays (commuter transport for students and workers) and occasional mobility needs on secondary routes.</w:t>
      </w:r>
    </w:p>
    <w:p>
      <w:r>
        <w:t>18. Trenitalia operates in substantial monopoly in the provision of these services, covering, directly or indirectly, the entire national territory, by virtue, as mentioned, of long-term service contracts awarded by the Regions mainly through direct assignment. Only in sporadic cases does Trenitalia operate in partial overlap with small local operators. For the provision of these services, Trenitalia benefits from public compensation.</w:t>
      </w:r>
    </w:p>
    <w:p>
      <w:r>
        <w:t>b.2) Medium-long distance public railway transport services for passengers on conventional network</w:t>
      </w:r>
    </w:p>
    <w:p>
      <w:r>
        <w:t>19. Medium-long distance passenger railway transport services on the conventional network meet supra-regional mobility needs that are normally occasional and are distinguished into:</w:t>
        <w:br/>
        <w:t>- transport services with universal service obligations, operated in a legal monopoly by Trenitalia with the Intercity line, by virtue of the service contract signed at the national level between it and the MIMS. These services are partially financed with public subsidies;</w:t>
        <w:br/>
        <w:t>- market transport services, currently operated solely by Trenitalia with the Frecciabianca line.</w:t>
      </w:r>
    </w:p>
    <w:p>
      <w:r>
        <w:t>b.3) Long-distance public railway transport services for passengers on high-speed network</w:t>
      </w:r>
    </w:p>
    <w:p>
      <w:r>
        <w:t>20. Passenger railway transport services on the AV network, according to the consolidated orientation of the Authority, constitute a relevant product market distinct from medium-long distance services, due to significant differences in travel times, frequency of runs, comfort and quality characteristics, and tariff levels from the demand perspective, as well as for the specificities and the very high degree of technological sophistication from the supply side; compared to TR services, there are also obvious differences in terms of route lengths.</w:t>
      </w:r>
    </w:p>
    <w:p>
      <w:r>
        <w:t>21. In the provision of these services, as is known, Trenitalia operates in competition with the brands Frecciarossa and Frecciargento, and NTV with the brand Italo. These services are entirely market-based.</w:t>
      </w:r>
    </w:p>
    <w:p>
      <w:r>
        <w:t>22. With reference to the positions of the two companies active in the provision of AV services, based on the information provided by the notifier, Trenitalia would serve a passenger share close to [60-70%], offering about 290 daily connections with Frecciarossa and Frecciargento trains on the AV network. As for NTV, the company would hold the remaining approximately [30-40%] of high-speed connections, with over 100 trains per day.</w:t>
      </w:r>
    </w:p>
    <w:p>
      <w:r>
        <w:t>23. The market in question is experiencing strong growth. Based on the data provided by the notifier, from 2012 to 2019 there was an approximately 85% increase in supply volumes, an approximately 75% increase in demand for this type of transport (of which part can be classified as new mobility demand and another part taken from other transport modes), and a reduction in the average ticket price of up to approximately 30%.</w:t>
      </w:r>
    </w:p>
    <w:p>
      <w:r>
        <w:t>24. From a geographical perspective, for each of the aforementioned product markets, multiple origin and destination pairs (so-called O&amp;D) could be identified, corresponding to connections between different cities, in order to define routes to which different user basins refer, and, possibly, a distinct relevant market for each route/bundle of routes. Nevertheless, considering the generalized nature of Trenitalia's ticket sales methods across the entire Italian railway network, in this specific case it does not seem necessary to identify multiple geographical O&amp;D markets, but rather it is appropriate to evaluate the behaviors in question at the national level.</w:t>
      </w:r>
    </w:p>
    <w:p>
      <w:r>
        <w:t>c) The dominant position of Trenitalia</w:t>
      </w:r>
    </w:p>
    <w:p>
      <w:r>
        <w:t>25. The incumbent operator Trenitalia holds a dominant position in the markets for regional passenger transport services and medium-long distance services on the conventional network. In particular, it is a monopolist, as it operates under contractual exclusivity, by virtue of the service contracts signed with the competent public authorities, both for regional transport and for medium-long distance transport with public service obligations (TR and IC).</w:t>
      </w:r>
    </w:p>
    <w:p>
      <w:r>
        <w:t>26. This dominance is further strengthened by Trenitalia's membership in the FSI Group, which controls the railway infrastructure (through RFI), the main national stations, and holds, through Trenitalia itself, other highly strategic productive assets (rolling stock, maintenance facilities, etc.).</w:t>
      </w:r>
    </w:p>
    <w:p>
      <w:r>
        <w:t>27. Regarding high-speed transport services, Trenitalia is also in a position of preeminence, due to the very high market share still held 10 years after the competitor entered the market.</w:t>
      </w:r>
    </w:p>
    <w:p>
      <w:r>
        <w:t>d) The contested behaviors</w:t>
      </w:r>
    </w:p>
    <w:p>
      <w:r>
        <w:t>28. The incumbent operator Trenitalia, through a unique and integrated sales interface, offers aggregated AV transport services in a competitive manner in combination with IC/TR connections, on which Trenitalia itself is in a monopoly position. Trenitalia is the only railway operator that can currently offer both types of connections in a bundle on its sales channels and therefore enjoys a competitive advantage that cannot be replicated by competitors, as only with Trenitalia can connecting passengers (or the travel agencies they use)</w:t>
      </w:r>
    </w:p>
    <w:p>
      <w:r>
        <w:rPr>
          <w:b/>
        </w:rPr>
        <w:t>[Pages 10–12]</w:t>
      </w:r>
    </w:p>
    <w:p>
      <w:r>
        <w:t>BULLETIN NO. 30 OF AUGUST 8, 2022 11</w:t>
      </w:r>
    </w:p>
    <w:p>
      <w:r>
        <w:t>can purchase in a single transaction and on a single sales interface a ticket for the entire journey.</w:t>
      </w:r>
    </w:p>
    <w:p>
      <w:r>
        <w:t>29. The repeated requests from NTV to obtain the possibility of marketing, alongside its travel tickets, those related to the IC/TR routes operated by Trenitalia appear aimed at replicating, from a technical-operational perspective, the aggregated offer that only Trenitalia can currently provide, thus restoring the level playing field. In this regard, it is noteworthy that the competitive advantage held by Trenitalia is not attributable to entrepreneurial merits, but rather to the fact that it is the incumbent operator, to which the State and the Regions have continued to assign the rail transport service throughout the national territory, except in very rare cases through direct assignments, which have also been subject to repeated multi-year extensions. The requests from NTV, as described above, would have been effectively rejected by Trenitalia, which would have engaged in a "constructive refusal" to contract, first unjustifiably delaying negotiations with the competitor and subsequently imposing unreasonable conditions for access to the sale of the subsidized routes on which it operates exclusively. Therefore, despite the signing of the contract communicated by NTV on June 28, 2022, the competitive issue would still exist.</w:t>
      </w:r>
    </w:p>
    <w:p>
      <w:r>
        <w:t>30. Through the described behaviors, Trenitalia would leverage its dominant position in the markets for IC and TR rail connection services to preserve and extend its market power even in the AV services market, harming the only existing competitor and hindering the emergence of a competitive comparison based on merit.</w:t>
      </w:r>
    </w:p>
    <w:p>
      <w:r>
        <w:t>31. The behaviors under examination appear, in fact, particularly detrimental to the competitive dynamics of the AV services offer, a rapidly growing market where NTV, despite having developed - in the face of significant investments - a very competitive offer, is unable to expand its share in the relevant segment of connecting passengers. Furthermore, the behaviors of the incumbent would also harm consumers, as NTV's AV service offer in combination with TR/IC connections would broaden competitive comparison and add travel solutions, increasing choice for consumers, not only overlapping with Trenitalia but also in time slots not covered by it.</w:t>
      </w:r>
    </w:p>
    <w:p>
      <w:r>
        <w:t>32. It should be noted that Trenitalia's substantial denial does not seem to have any justification other than an exclusionary intent, as Trenitalia appears to be forgoing the additional sales it could achieve through NTV on the subsidized connections, due to the growth in demand induced by the expansion of the offer of connections for connecting passengers, solely to limit the competitor's sales in the AV market.</w:t>
      </w:r>
    </w:p>
    <w:p>
      <w:r>
        <w:t>33. In conclusion, the described behaviors could constitute an abuse of dominant position of an exclusionary nature by Trenitalia, with detrimental effects on competition in the market for the provision of long-distance public rail passenger transport services on high-speed networks.</w:t>
      </w:r>
    </w:p>
    <w:p>
      <w:r>
        <w:t>7 See the Commission Communication "Guidelines on the Commission's priorities in the application of Article 82 of the EC Treaty to abusive conduct by dominant undertakings aimed at excluding competitors" (2009/C 45/02), para. 79.</w:t>
      </w:r>
    </w:p>
    <w:p>
      <w:r>
        <w:t>12 BULLETIN NO. 30 OF AUGUST 8, 2022</w:t>
      </w:r>
    </w:p>
    <w:p>
      <w:r>
        <w:t>V. THE APPLICABILITY OF EUROPEAN LAW</w:t>
      </w:r>
    </w:p>
    <w:p>
      <w:r>
        <w:t>34. The contested behaviors affect the entire national territory, as they are carried out by the incumbent operator in the markets for the provision of passenger rail transport services for high-speed connections, medium-long distance, and regional public transport. They are therefore likely to affect trade between Member States, pursuant to Article 102 TFEU, as they consolidate market compartmentalization at the national level, thus hindering the economic integration desired by the Treaty.</w:t>
      </w:r>
    </w:p>
    <w:p>
      <w:r>
        <w:t>CONSIDERING, therefore, that the behaviors carried out by Trenitalia S.p.A. in the market for the provision of long-distance public rail passenger transport services on high-speed networks could constitute a case of abuse of dominant position, in possible violation of Article 102 TFEU;</w:t>
      </w:r>
    </w:p>
    <w:p>
      <w:r>
        <w:t>RESOLVES</w:t>
      </w:r>
    </w:p>
    <w:p>
      <w:r>
        <w:t>a) to initiate the investigation pursuant to Article 14 of Law No. 287/1990, against the company Trenitalia S.p.A. to ascertain the existence of a violation of Article 102 TFEU;</w:t>
      </w:r>
    </w:p>
    <w:p>
      <w:r>
        <w:t>b) to set a deadline of sixty days, starting from the date of notification of this provision, for the exercise by the legal representatives of the parties, or by a person delegated by them, of the right to be heard, specifying that the request for a hearing must be received by the Agro-Food, Pharmaceutical and Transport Directorate of this Authority at least fifteen days before the expiration of the above-mentioned deadline;</w:t>
      </w:r>
    </w:p>
    <w:p>
      <w:r>
        <w:t>c) that the person responsible for the procedure is Dr. Bianca Maria Cammino;</w:t>
      </w:r>
    </w:p>
    <w:p>
      <w:r>
        <w:t>d) that the documents of the procedure can be viewed at the Agro-Food, Pharmaceutical and Transport Directorate of this Authority by the legal representatives of the parties or by a person delegated by them;</w:t>
      </w:r>
    </w:p>
    <w:p>
      <w:r>
        <w:t>e) that the deadline for closing the investigation is set for October 31, 2023.</w:t>
      </w:r>
    </w:p>
    <w:p>
      <w:r>
        <w:t>This provision will be notified to the interested parties and published in the Bulletin of the Antitrust Authority.</w:t>
      </w:r>
    </w:p>
    <w:p>
      <w:r>
        <w:t>THE SECRETARY GENERAL THE PRESIDENT</w:t>
      </w:r>
    </w:p>
    <w:p>
      <w:r>
        <w:t>Guido Stazi Roberto Rustichelli</w:t>
      </w:r>
    </w:p>
    <w:p>
      <w:r>
        <w:t>BULLETIN NO. 30 OF AUGUST 8, 2022 13</w:t>
      </w:r>
    </w:p>
    <w:p>
      <w:r>
        <w:t>I860 - CQC COURSES CONSORTIUM OF DRIVING SCHOOLS OF THE PROVINCE OF ENNA</w:t>
      </w:r>
    </w:p>
    <w:p>
      <w:r>
        <w:t>Provision No. 30254</w:t>
      </w:r>
    </w:p>
    <w:p>
      <w:r>
        <w:t>THE ANTITRUST AUTHORITY</w:t>
      </w:r>
    </w:p>
    <w:p>
      <w:r>
        <w:t>IN ITS MEETING of July 19, 2022;</w:t>
      </w:r>
    </w:p>
    <w:p>
      <w:r>
        <w:t>HEARD the Rapporteur, Professor Elisabetta Iossa;</w:t>
      </w:r>
    </w:p>
    <w:p>
      <w:r>
        <w:t>HAVING REGARD to Law No. 287 of October 10, 1990;</w:t>
      </w:r>
    </w:p>
    <w:p>
      <w:r>
        <w:t>HAVING REGARD to the Presidential Decree No. 217 of April 30, 1998;</w:t>
      </w:r>
    </w:p>
    <w:p>
      <w:r>
        <w:t>HAVING REGARD to the documentation on file;</w:t>
      </w:r>
    </w:p>
    <w:p>
      <w:r>
        <w:t>CONSIDERING the following</w:t>
      </w:r>
    </w:p>
    <w:p>
      <w:r>
        <w:t>I. THE PARTIES</w:t>
      </w:r>
    </w:p>
    <w:p>
      <w:r>
        <w:t>1. The Interprovincial Consortium of Driving Schools (hereinafter "Consortium" or "CIA") of Enna is a non-profit consortium of driving schools established in 2002, whose corporate purpose is to act in the interest of the member companies in order to promote the development and rationalization of the services provided by the driving schools that compose it, through a common organization for the regulation and conduct, in the capacity of "instruction centers," of the teaching activity for the operation of vehicles; to carry out all necessary procedures for obtaining driving eligibility and for issuing the relevant authorizations and certifications, as well as all other procedures related to the qualifications for operating vehicles and aircraft.</w:t>
      </w:r>
    </w:p>
    <w:p>
      <w:r>
        <w:t>2. The Cammarata driving school of Enna is an active member driving school in the territory of Enna that reported the denial of the issuance of the "declaration of availability" for the provision of the theoretical part of the courses for obtaining the Driver Qualification Card (hereinafter "CQC") pursuant to Legislative Decree No. 286 of November 21, 2005, by the Consortium.</w:t>
      </w:r>
    </w:p>
    <w:p>
      <w:r>
        <w:t>II. NORMATIVE FRAMEWORK</w:t>
      </w:r>
    </w:p>
    <w:p>
      <w:r>
        <w:t>3. Article 123, paragraph 7, of the Legislative Decree of April 30, 1992, No. 285, known as the Highway Code (hereinafter "CDS"), provides that "the driving school must carry out the training activity for obtaining a license of any category, possess adequate technical and educational equipment, and have teachers and instructors recognized as suitable by the Ministry of Infrastructure and Transport, which issues a specific professional qualification certificate. If multiple authorized schools form a consortium and establish a recognized driving instruction center by the competent office of the Department for Land Transport, according to uniform criteria set by decree of the Minister of Infrastructure and Transport, the same driving schools may delegate, in whole or in part, to the driving instruction center the training of drivers for obtaining all categories of licenses, including special ones, except for category B, and the documents of qualification and professional qualification."</w:t>
      </w:r>
    </w:p>
    <w:p>
      <w:r>
        <w:t>4. Directive 2003/59/EC of the European Parliament and of the Council of July 15, 2003 has made the initial qualification and periodic training conditional on obtaining</w:t>
      </w:r>
    </w:p>
    <w:p>
      <w:r>
        <w:rPr>
          <w:b/>
        </w:rPr>
        <w:t>[Pages 13–15]</w:t>
      </w:r>
    </w:p>
    <w:p>
      <w:r>
        <w:t>14 BULLETIN NO. 30 OF AUGUST 8, 2022</w:t>
      </w:r>
    </w:p>
    <w:p>
      <w:r>
        <w:t>five-year i) the activity of driving on public roads using vehicles designated for the transport of goods for which a driving license of category C1, C1E, C, or CE is required and ii) the activity of driving on public roads using vehicles designated for the transport of persons for which a driving license of category D1, D1E, D, or DE is required (hereinafter referred to as CQC). The Directive was implemented in Italy by Legislative Decree No. 286 of November 21, 2005, as last amended by Legislative Decree No. 50 of June 10, 2020. The Decree has been implemented by numerous Ministerial Decrees and explanatory circulars, the latest being Circular - October 15, 2021 - Prot. No. 31895 - CQC Manual 2021 and new listing, concerning the republication with additions and modifications "New provisions regarding initial qualification courses and periodic training for obtaining the driver's qualification card, the related examination procedures, and course providers, pursuant to DM July 30, 2021 and related transitional regulations - CQC Manual 2021", which reorganized the previous ones, also providing a complete overview of the regulations.</w:t>
      </w:r>
    </w:p>
    <w:p>
      <w:r>
        <w:t>5. As far as relevant here, with reference to the courses necessary for obtaining the CQC, Article 2 of the circular refers to the Ministerial Decree of the Ministry of Infrastructure and Sustainable Mobility of July 30, 2021 (which replaces Ministerial Decree of September 20, 2013) (Provisions regarding initial qualification courses and periodic training for obtaining the driver's qualification card, the related examination procedures, and course providers), which states that: "initial qualification and periodic training courses, referred to in Articles 19 and 20 of Legislative Decree No. 286 of November 21, 2005, and subsequent amendments, may be conducted, upon issuance of a specific authorization, by driving schools and automotive education centers, constituted by consortia of driving schools, that conduct theory and driving courses for obtaining all types of licenses; this condition may also be satisfied by driving schools through membership in a consortium. […]". Furthermore, point 2.3 of the circular provides that "driving schools that join a consortium that has formed an automotive education center may conduct the theoretical part of the course, delegating the practical part to the education center. In this case, the authorization is issued to the driving school, which must present a declaration from the automotive education center certifying the availability, in favor of the driving school itself, of instructors and vehicles for the execution of the practical part of the course. The driving school is responsible for the entire course, including any irregularities committed by the automotive education center and issues the attendance certificate. Only students enrolled in the driving schools that are part of the consortium that formed the center may attend the automotive education center. The students thus referred are registered in the enrollment registers for the CQC initial qualification courses (see paragraph 3.5.1), both of the driving school and of the center itself. It is not permitted to enroll students directly at the center."</w:t>
      </w:r>
    </w:p>
    <w:p>
      <w:r>
        <w:t>6. The subsequent point 2.3.2 provides that "If the authorization request is aimed at providing the complete initial qualification course (theoretical and practical part), the entities must prove the availability of the vehicle fleet by indicating in the request the license plate numbers of the individual vehicles. The possibility remains confirmed that the application is intended to obtain authorization for initial qualification and periodic training courses, also delegating the practical part of the course to a driving school or a C.I.A. (co. 2)."</w:t>
      </w:r>
    </w:p>
    <w:p>
      <w:r>
        <w:t>7. The courses, based on current regulations, have variable durations. The initial course may range from 280 hours (260 theory and 20 practical) for the ordinary course to 140 hours (130 theory and 10 practical) for the accelerated course. The periodic course (to be carried out every 5 years for the renewal of the CQC) requires 35 hours of theoretical training.</w:t>
      </w:r>
    </w:p>
    <w:p>
      <w:r>
        <w:t>8. With reference to the limitations placed on the operation of driving schools, the Authority has already intervened twice in 2010 and 2013, reporting to Parliament, the Government, and the Ministry of Infrastructure and Transport the competitive criticalities arising from Article 123 CDS, which remains unchanged to this day.</w:t>
      </w:r>
    </w:p>
    <w:p>
      <w:r>
        <w:t>III. CONTESTED CONDUCT: REFUSAL TO ISSUE THE AVAILABILITY DECLARATION</w:t>
      </w:r>
    </w:p>
    <w:p>
      <w:r>
        <w:t>9. The complainant has represented that, on two occasions, the Consortium denied the issuance of the "declaration of availability of instructors and vehicles for the execution of the practical part of such courses" necessary to obtain the authorization for the provision of the theoretical part of the courses for obtaining the Driver Qualification Card (CQC).</w:t>
      </w:r>
    </w:p>
    <w:p>
      <w:r>
        <w:t>10. The two resolutions of the Consortium are on record, which, during the Assemblies of April 29, 2017, and February 29, 2020, decided not to grant the driving school Cammarata the availability of means and instructors useful for the practical part of the CQC courses.</w:t>
      </w:r>
    </w:p>
    <w:p>
      <w:r>
        <w:t>11. When asked for information, the Consortium confirmed that it had not issued such a declaration and believed it was not obliged to do so based on current regulations. Following this response, on March 23, 2022, the Authority sent the Consortium a warning letter, in which it represented the competitive criticalities of the obstacles it had placed to the obtaining of the authorization by the member driving schools that intended to independently conduct the theoretical part of the courses, particularly those related to obtaining the CQC, and hoped for an adjustment to the observations made. This was in order to attempt an easy resolution of the identified competitive criticality.</w:t>
      </w:r>
    </w:p>
    <w:p>
      <w:r>
        <w:t>12. In response to this communication, on April 20, 2022, the Consortium sent another note reiterating its intention not to issue the availability declarations, having decided to take over the execution of the courses in their entirety, thus both with reference to the practical part and the theoretical part, even though the regulations provide for the possibility that the theoretical part be conducted by the driving schools individually.</w:t>
      </w:r>
    </w:p>
    <w:p>
      <w:r>
        <w:t>1 AS741 - NEW HIGHWAY CODE - REGULATION OF THE ACTIVITY OF DRIVING SCHOOLS, in boll. 30/2010 and AS1093 - REPORT RELATING TO ARTICLE 123, PARAGRAPH 7, OF THE NEW HIGHWAY CODE, in Boll. 45/2013.</w:t>
      </w:r>
    </w:p>
    <w:p>
      <w:r>
        <w:t>2 See doc. 1.</w:t>
      </w:r>
    </w:p>
    <w:p>
      <w:r>
        <w:t>3 See doc. 1.</w:t>
      </w:r>
    </w:p>
    <w:p>
      <w:r>
        <w:t>4 See doc. 5.</w:t>
      </w:r>
    </w:p>
    <w:p>
      <w:r>
        <w:t>5 See doc. 7.</w:t>
      </w:r>
    </w:p>
    <w:p>
      <w:r>
        <w:t>6 See doc. 9.</w:t>
      </w:r>
    </w:p>
    <w:p>
      <w:r>
        <w:t>IV. EVALUATIONS</w:t>
      </w:r>
    </w:p>
    <w:p>
      <w:r>
        <w:t>IV.I The relevant market</w:t>
      </w:r>
    </w:p>
    <w:p>
      <w:r>
        <w:t>13. It is noted preliminarily that, as in the investigations relating to agreements, the definition of the relevant market is essentially aimed at identifying the characteristics of the economic and legal context in which the agreement or the practice agreed upon between companies is situated. As clarified by the constant jurisprudential orientation in the matter of agreements, this definition is therefore functional to the delimitation of the scope within which the agreement can restrict or distort the competitive mechanism and, also, to deciphering its degree of offensiveness.</w:t>
      </w:r>
    </w:p>
    <w:p>
      <w:r>
        <w:t>14. In this case, the agreement concerns the definition of a restrictive policy of limiting production among the members of the only Consortium of driving schools in the province of Enna.</w:t>
      </w:r>
    </w:p>
    <w:p>
      <w:r>
        <w:t>15. The commodity scope affected by the agreement in question can, therefore, be identified with the provision, on a professional basis, of driving school services, which typically includes all services related to obtaining and renewing driving licenses for the various categories and the granting of Driver Quality Certificates, as described above.</w:t>
      </w:r>
    </w:p>
    <w:p>
      <w:r>
        <w:t>16. By their nature, driving school services have a geographical dimension limited to a local area; in this case, the Consortium groups driving school businesses located in the province of Enna, which thus represents the geographical context of reference for the evaluation of the case.</w:t>
      </w:r>
    </w:p>
    <w:p>
      <w:r>
        <w:t>IV.II The qualification of the case</w:t>
      </w:r>
    </w:p>
    <w:p>
      <w:r>
        <w:t>17. In accordance with established community and national jurisprudence, the notion of enterprise, relevant for the application of competition protection regulations, encompasses any entity that carries out an economic activity, regardless of its legal status or the related financing methods. Thus, it must be considered that driving schools, being entities that provide services of an economic nature on a stable basis - for a fee and independently - constitute enterprises under antitrust regulations.</w:t>
      </w:r>
    </w:p>
    <w:p>
      <w:r>
        <w:t>18. Consequently, the acts adopted by the Consortium, to which various independent driving schools adhere, constitute consortium resolutions pursuant to Article 2 of Law No. 287/90, thus configuring as possible restrictive agreements of competition.</w:t>
      </w:r>
    </w:p>
    <w:p>
      <w:r>
        <w:t>19. In particular, through the decision to take over the entire execution of the courses for obtaining the CQC and the consequent refusal to provide the "declaration of availability," the Consortium also reserves for itself the execution of the theoretical part of the courses. This decision is in clear contrast with the intentions of the legislator, who deemed it appropriate to leave the offering of such activity to free competition among member driving schools, and thus is suitable to eliminate competition from a substantial part of the market.</w:t>
      </w:r>
    </w:p>
    <w:p>
      <w:r>
        <w:rPr>
          <w:b/>
        </w:rPr>
        <w:t>[Pages 16–18]</w:t>
      </w:r>
    </w:p>
    <w:p>
      <w:r>
        <w:t>BULLETIN NO. 30 OF AUGUST 8, 2022 17</w:t>
      </w:r>
    </w:p>
    <w:p>
      <w:r>
        <w:t>20. As stated above, in accordance with current legislation, a driving school must carry out training activities for drivers to obtain licenses of any category and is therefore required to have the entire fleet of vehicles for training related to all licenses. Considering the significant costs that would need to be incurred for the training offer related to all licenses, the regulations allow driving schools to form consortia and pool their vehicle fleet through educational centers managed by the Consortium.</w:t>
      </w:r>
    </w:p>
    <w:p>
      <w:r>
        <w:t>21. That said, the aforementioned DM and the subsequent circular expressly allow driving schools to conduct the theoretical part of the course, delegating the practical part to the educational center. In this case, in order to obtain the clearance, the driving school must present a declaration from the driving education center attesting to the availability, in favor of the driving school itself, of instructors and vehicles for the execution of the practical part of the course.</w:t>
      </w:r>
    </w:p>
    <w:p>
      <w:r>
        <w:t>22. In the case at hand, however, the CIA denied the issuance of the "declaration of availability," claiming to have adopted a policy of not issuing such declarations to its members, except in exceptional cases related to the geographical peculiarities of the territory, with the asserted aim of ensuring the transparency and quality of CQC qualification courses. Despite the indications received from the Authority with a warning letter dated April 20, 2022, the Consortium reiterated its position of not being obliged to issue such a declaration.</w:t>
      </w:r>
    </w:p>
    <w:p>
      <w:r>
        <w:t>23. The conduct of the Consortium appears to restrict competition as it limits the activities of its members beyond what is strictly necessary to pursue the Consortium's purpose, which, for the purposes here, is the pooling of costly vehicles to allow even small driving schools to operate in the market, in compliance with Article 123 of the Highway Code, which states that "the driving school must carry out training activities for drivers to obtain licenses of any category."</w:t>
      </w:r>
    </w:p>
    <w:p>
      <w:r>
        <w:t>24. The resolution of the Authority adopted in the meeting of March 22, 2022, which decided to send a warning letter to the Consortium, did not result in a change in the conduct of the Enna Consortium. In light of the refusal to remove the potentially critical aspects reported, opposed by the Consortium with a note dated April 20, 2022, it is therefore deemed necessary to proceed with a thorough investigation of the matter.</w:t>
      </w:r>
    </w:p>
    <w:p>
      <w:r>
        <w:t>CONSIDERING, therefore, that the resolutions of the Consortium of April 29, 2017, and February 29, 2020, which denied the issuance of the declaration of availability to Autoscuola Cammarata and the decision, based on these resolutions, not to issue "declarations of availability" of instructors and vehicles for the execution of the practical part of the courses, communicated to the Authority, lastly, with a letter dated April 19, 2022, are conduct suitable to constitute a restrictive agreement of competition, in violation of Article 2 of Law No. 287/90;</w:t>
      </w:r>
    </w:p>
    <w:p>
      <w:r>
        <w:t>RESOLVES</w:t>
      </w:r>
    </w:p>
    <w:p>
      <w:r>
        <w:t>a) to initiate the investigation, pursuant to Article 14 of Law No. 287/90, against the Interprovincial Consortium of Enna, to ascertain the existence of violations of Article 2 of Law No. 287/90;</w:t>
      </w:r>
    </w:p>
    <w:p>
      <w:r>
        <w:t>BULLETIN NO. 30 OF AUGUST 8, 2022 18</w:t>
      </w:r>
    </w:p>
    <w:p>
      <w:r>
        <w:t>b) to set a deadline of sixty days, starting from the date of notification of this Provision, for the exercise by the legal representatives of the Party, or persons delegated by them, of the right to be heard, specifying that the request for a hearing must be received by the Manufacturing and Services Directorate of the Directorate General for Competition of this Authority at least fifteen days before the expiration of the aforementioned deadline;</w:t>
      </w:r>
    </w:p>
    <w:p>
      <w:r>
        <w:t>c) that the person responsible for the procedure is Dr. Valentina Depau;</w:t>
      </w:r>
    </w:p>
    <w:p>
      <w:r>
        <w:t>d) that the documents of the procedure can be viewed at the Manufacturing and Services Directorate of the Directorate General for Competition of this Authority by the legal representatives of the Party, as well as by persons delegated by them;</w:t>
      </w:r>
    </w:p>
    <w:p>
      <w:r>
        <w:t>e) that the procedure must be concluded by July 31, 2023.</w:t>
      </w:r>
    </w:p>
    <w:p>
      <w:r>
        <w:t>This Provision will be notified to the interested parties and published in the Bulletin of the Antitrust Authority.</w:t>
      </w:r>
    </w:p>
    <w:p>
      <w:r>
        <w:t>THE SECRETARY GENERAL THE PRESIDENT</w:t>
      </w:r>
    </w:p>
    <w:p>
      <w:r>
        <w:t>Guido Stazi Roberto Rustichelli</w:t>
      </w:r>
    </w:p>
    <w:p>
      <w:r>
        <w:t>BULLETIN NO. 30 OF AUGUST 8, 2022 19</w:t>
      </w:r>
    </w:p>
    <w:p>
      <w:r>
        <w:t>CONCENTRATION OPERATIONS</w:t>
      </w:r>
    </w:p>
    <w:p>
      <w:r>
        <w:t>C12231B - BPER BANCA/UNIPOL BANCA</w:t>
      </w:r>
    </w:p>
    <w:p>
      <w:r>
        <w:t>Provision No. 30249</w:t>
      </w:r>
    </w:p>
    <w:p>
      <w:r>
        <w:t>THE ANTITRUST AUTHORITY</w:t>
      </w:r>
    </w:p>
    <w:p>
      <w:r>
        <w:t>IN ITS MEETING of July 19, 2022;</w:t>
      </w:r>
    </w:p>
    <w:p>
      <w:r>
        <w:t>HEARD the Rapporteur Professor Michele Ainis;</w:t>
      </w:r>
    </w:p>
    <w:p>
      <w:r>
        <w:t>HAVING REGARD to Law No. 287 of October 10, 1990;</w:t>
      </w:r>
    </w:p>
    <w:p>
      <w:r>
        <w:t>HAVING REGARD to the decree of the President of the Republic No. 217 of April 30, 1998;</w:t>
      </w:r>
    </w:p>
    <w:p>
      <w:r>
        <w:t>HAVING REGARD to Law No. 689 of November 24, 1981;</w:t>
      </w:r>
    </w:p>
    <w:p>
      <w:r>
        <w:t>HAVING REGARD to its resolution of December 1, 2020, which initiated a procedure against BPER Banca S.p.A. to ascertain the existence of a non-compliance with the Authority's resolution No. 27842 of July 17, 2019, pursuant to Article 19, paragraph 1, of Law No. 287/90, and the possible need to impose new measures, in addition to or in replacement of those originally provided, in order to restore effective competition conditions, pursuant to Article 18, paragraph 3, of the aforementioned law;</w:t>
      </w:r>
    </w:p>
    <w:p>
      <w:r>
        <w:t>HAVING REGARD to the Communication of Investigative Findings sent to the Party on April 21, 2021;</w:t>
      </w:r>
    </w:p>
    <w:p>
      <w:r>
        <w:t>HAVING REGARD to the final memorandum of BPER Banca S.p.A., received on May 19, 2021;</w:t>
      </w:r>
    </w:p>
    <w:p>
      <w:r>
        <w:t>HEARD in final hearing, on May 24, 2021, the representatives of BPER Banca S.p.A.;</w:t>
      </w:r>
    </w:p>
    <w:p>
      <w:r>
        <w:t>HAVING REGARD to its resolutions of May 25, 2021, and December 21, 2021, with which, due to the request made by BPER Banca S.p.A. on May 21, 2021, and considering the objective difficulties encountered by the Party in transferring the aforementioned bank branches, the deadline for closing the procedure was extended first to October 31, 2021, and then to July 31, 2022;</w:t>
      </w:r>
    </w:p>
    <w:p>
      <w:r>
        <w:t>HAVING REGARD to the communication sent by the Party on May 20, 2022;</w:t>
      </w:r>
    </w:p>
    <w:p>
      <w:r>
        <w:t>HAVING REGARD to the Supplement to the Communication of Investigative Findings sent to the Party on June 6, 2022;</w:t>
      </w:r>
    </w:p>
    <w:p>
      <w:r>
        <w:t>HAVING REGARD to the documents of the procedure;</w:t>
      </w:r>
    </w:p>
    <w:p>
      <w:r>
        <w:t>CONSIDERED as follows:</w:t>
      </w:r>
    </w:p>
    <w:p>
      <w:r>
        <w:t>I. THE PARTY</w:t>
      </w:r>
    </w:p>
    <w:p>
      <w:r>
        <w:t>1. BPER Banca S.p.A. (hereinafter also BPER) is a company, listed on the Milan Stock Exchange, with widespread shareholding, at the head of the eponymous banking group active in the provision of banking, financial, and insurance services and products. BPER essentially operates in the traditional banking sector.</w:t>
      </w:r>
    </w:p>
    <w:p>
      <w:r>
        <w:t>1 The main shareholders of BPER are: (i) Fondazione di Sardegna (approximately 10%) and (ii) Unipol Gruppo S.p.A. (approximately 15%). The remaining part of the share capital is widely distributed, and there are no other shareholders holding shares of capital in excess of 3% of the same.</w:t>
      </w:r>
    </w:p>
    <w:p>
      <w:r>
        <w:rPr>
          <w:b/>
        </w:rPr>
        <w:t>[Pages 19–21]</w:t>
      </w:r>
    </w:p>
    <w:p>
      <w:r>
        <w:t>20 BULLETIN NO. 30 OF AUGUST 8, 2022</w:t>
      </w:r>
    </w:p>
    <w:p>
      <w:r>
        <w:t>(savings collection and credit provision), in the distribution of insurance products (life and non-life) and, to a lesser extent, in investment banking, in the asset management sector (through mutual funds, individual asset management, and supplementary pension products), in the administered savings market, in consumer credit, in factoring and leasing, and in payment services. The BPER group is present in almost all Italian regions with over 1,700 branches. BPER's revenue in 2021, entirely generated in Italy, pursuant to Article 16, paragraph 2, of Law No. 287/90, amounted to approximately 13.6 billion euros.</w:t>
      </w:r>
    </w:p>
    <w:p>
      <w:r>
        <w:t>II. THE PROCEEDING</w:t>
      </w:r>
    </w:p>
    <w:p>
      <w:r>
        <w:t>2. On December 1, 2020, the Authority initiated a proceeding against BPER to ascertain the existence of violations of Article 19, paragraph 1, of Law No. 287/90 and to evaluate whether it is necessary to impose new measures, in addition to or in replacement of those originally provided for by the Authority's provision No. 27842 of July 17, 2019, pursuant to Article 18, paragraph 3, of the aforementioned law, also in light of the request for modification of the aforementioned measures submitted by BPER itself.</w:t>
      </w:r>
    </w:p>
    <w:p>
      <w:r>
        <w:t>3. During the investigation, the Party was heard in a hearing and had access to the documents on December 23, 2020, March 11 and 18, 2021, and May 10, 2021. On March 10, 2021, it submitted an update regarding the attempt to implement the measures previously imposed by the Authority, providing relevant feedback, lastly during a hearing on April 7, 2021, and sent an infra-procedural memorandum on March 19, 2021, concurrently with the response to the request for information made during the hearing of March 1, 2021. On March 16, 2021, the Party also appointed a new trustee in order to initiate a new and further phase of market survey aimed at continuing the search for potential buyers for the sale of the assets subject to measures.</w:t>
      </w:r>
    </w:p>
    <w:p>
      <w:r>
        <w:t>4. Furthermore, representatives of Banca di Credito Cooperativo di Arborea-Soc. Coop. (hereinafter, 'BCC Arborea') were heard in a hearing, and several requests for information were sent to the Party, to Banca d'Italia, to Confcommercio Sardegna, and to Confartigianato Sardegna, through which useful information was acquired for the assessment of competitive conditions in the relevant markets.</w:t>
      </w:r>
    </w:p>
    <w:p>
      <w:r>
        <w:t>5. On April 20, 2021, the Authority resolved the non-manifest unfoundedness of the Communication of Investigative Findings, which were therefore transmitted to the Party with a communication dated April 21, 2021.</w:t>
      </w:r>
    </w:p>
    <w:p>
      <w:r>
        <w:t>6. On May 13, 2021, a communication was received from the Regional Secretariats of the unions Fabi, First-Cisl, Fisac-Cgil, Uilca-Uil, Unisin regarding the situation of employees of the five branches subject to measures.</w:t>
      </w:r>
    </w:p>
    <w:p>
      <w:r>
        <w:t>7. On May 19, 2021, BPER's final memoranda were received, and on May 21, 2021, the company submitted a request for an extension of the proceeding in order to carry out an additional procedural phase for the divestment of the five bank branches subject to the investigation.</w:t>
      </w:r>
    </w:p>
    <w:p>
      <w:r>
        <w:t>8. On May 24, 2021, the final hearing was held before the College, with representatives of BPER.</w:t>
      </w:r>
    </w:p>
    <w:p>
      <w:r>
        <w:t>9. On May 25, 2021, the Authority extended the deadline for closing the proceeding, setting it for October 31, 2021, considering the request submitted by the Party in which the intention to initiate an additional procedure for the sale of the branches subject to the investigation was represented.</w:t>
      </w:r>
    </w:p>
    <w:p>
      <w:r>
        <w:t>10. On June 23 and 30, 2021, July 2, 15, and 22, 2021, and September 1, 2021, the Party sent communications regarding the further procedure for the sale of the branches mentioned above. In particular, BPER informed the Authority of the conduct of the new sale procedure and the circumstance that, at the end of it, no expression of interest had been received to open negotiations for the sale.</w:t>
      </w:r>
    </w:p>
    <w:p>
      <w:r>
        <w:t>11. On October 19, 2021, the Authority extended the deadline for concluding the proceeding, setting it for July 31, 2022, considering the objective difficulty encountered by the Party in selling the branches subject to the measures prescribed by the Authority with the resolution of July 17, 2019, No. 27842 and therefore the necessity to evaluate the appropriateness of prescribing, pursuant to Article 18, paragraph 3, the measures necessary to restore effective competition conditions, eliminating the distorting effects, also through a new competitive analysis in the areas where the branches subject to sale are located.</w:t>
      </w:r>
    </w:p>
    <w:p>
      <w:r>
        <w:t>12. Lastly, on May 20, 2022, BPER sent a communication informing the Authority that it had accepted a binding offer from a third party, Banco di Desio e della Brianza S.p.A. (hereinafter also "Banco Desio"), which, within the framework of the sale of a broader business complex, as illustrated below, would acquire the five bank branches subject to the corrective measure referred to in provision No. 27842.</w:t>
      </w:r>
    </w:p>
    <w:p>
      <w:r>
        <w:t>III. BPER'S CONDUCT AND THE NON-COMPLIANCE CONTESTATION PROVISION</w:t>
      </w:r>
    </w:p>
    <w:p>
      <w:r>
        <w:t>III.1 The authorization provision with measures of concentration C12231-BPER Banca/Unipol Banca</w:t>
      </w:r>
    </w:p>
    <w:p>
      <w:r>
        <w:t>13. With the provision of July 17, 2019, No. 27842 (hereinafter, also provision C12231 or Provision), the Authority resolved to authorize the concentration operation consisting of the acquisition, by BPER, of the entire share capital of Unipol Banca S.p.A. (hereinafter also "UB"), conditional upon the full and effective execution, by BPER, of a structural measure consisting of the divestment of five bank branches in Sardinia, pursuant to Article 6, paragraph 2, of Law No. 287/90.</w:t>
      </w:r>
    </w:p>
    <w:p>
      <w:r>
        <w:t>14. In particular, the aforementioned provision established the following methods and timelines for the divestment:</w:t>
        <w:br/>
        <w:t>- "the agreements related to the sale of the identified branches must be concluded, subject to submission to the Authority for approval of the identity of the purchaser(s) and the agreements themselves, within 6 months from the date of authorization of the operation (so-called Phase 1);</w:t>
        <w:br/>
        <w:t>- if all identified branches have not been sold within 6 months from the date of authorization of the operation, the Parties must grant an irrevocable mandate to an independent and qualified subject to sell the control of the remaining identified branches, without indication of a minimum price (trustee's sale period);</w:t>
        <w:br/>
        <w:t>- the full validity and effectiveness of the divestment of all identified branches must in any case be realized within, and no later than, 12 months from the date of authorization of the operation;</w:t>
        <w:br/>
        <w:t>- after 13 months from the notification of the provision, the Parties must send the Authority a final report on the complete and effective implementation of the prescribed measures."</w:t>
      </w:r>
    </w:p>
    <w:p>
      <w:r>
        <w:t>III.2 BPER's conduct in the phase following the authorization provision with measures</w:t>
      </w:r>
    </w:p>
    <w:p>
      <w:r>
        <w:t>a) The divestment procedure of the branches</w:t>
      </w:r>
    </w:p>
    <w:p>
      <w:r>
        <w:t>The so-called Phase I</w:t>
      </w:r>
    </w:p>
    <w:p>
      <w:r>
        <w:t>15. Following the Authority's resolution of July 19, 2019, on December 9, 2019, BPER submitted a request for an extension of the deadline for Phase 1 provided for the execution of the measures, as well as a preliminary report on the activities carried out up to that point for compliance, drafted with the assistance of a primary consulting firm (so-called advisor). The extension was requested due to BPER's need to carry out the preparatory activities necessary to allow BCC Arborea - part of the ICCREA Cooperative Banking Group (hereinafter also ICCREA), and the only subject, among the 40 banks contacted by BPER, that had expressed potential interest in purchasing the branches to be divested - to submit a binding purchase offer.</w:t>
      </w:r>
    </w:p>
    <w:p>
      <w:r>
        <w:t>16. Regarding the advisor's report, the process of divesting the assets followed, the estimated timing for the various phases of the process, and some insights on the counterparties are described. In particular, the report indicates that the advisor assisted in identifying a list of potentially interested subjects in purchasing the branches subject to measures, also preparing the necessary documentation to allow the evaluation of the assets. A total of 40 banks were contacted, and based on the feedback received, the advisor (between October 28 and November 18, 2019) sent further documentation to 18 subjects.</w:t>
      </w:r>
    </w:p>
    <w:p>
      <w:r>
        <w:rPr>
          <w:b/>
        </w:rPr>
        <w:t>[Pages 22–24]</w:t>
      </w:r>
    </w:p>
    <w:p>
      <w:r>
        <w:t>BULLETIN NO. 30 OF AUGUST 8, 2022 23</w:t>
      </w:r>
    </w:p>
    <w:p>
      <w:r>
        <w:t>contacted, including a focus on the potential interested buyer, the documentation prepared for the divestiture negotiations, among which various financial and commercial information on the assets to be sold stands out. In this regard, the main economic-financial data on the branches, the clientele, and the marketed products, as well as the structure of the asset, reveal an imbalance in the balance sheet that particularly characterizes some of the branches.</w:t>
      </w:r>
    </w:p>
    <w:p>
      <w:r>
        <w:t>17. On December 20, 2019, the Authority decided to accept the extension, taking into account, in particular, the circumstance that the request for a 45-day extension of the 6-month deadline from the date of authorization of the Operation for the completion of Phase 1 would not affect compliance with the final deadline set by the Provision for the implementation of the measures. Therefore, the so-called Phase I was to be concluded by March 2, 2020.</w:t>
      </w:r>
    </w:p>
    <w:p>
      <w:r>
        <w:t>18. On December 19, 2019, BPER sent a partial and preliminary draft of the contract for the transfer of the business branch. Furthermore, on December 27, 2019, and January 7, 2020, BPER sent copies of communications exchanged between BCC Arborea and the advisor concerning, in particular, the sending of a non-binding expression of interest by BCC Arborea to evaluate the possible acquisition of 4 out of 5 of the bank branches indicated in the Authority's provision and the invitation from the advisor to participate in the so-called Phase 2 of the sale procedure (characterized specifically by the due diligence process and access to a virtual data room), preparatory to the submission of a binding offer by January 27, 2020.</w:t>
      </w:r>
    </w:p>
    <w:p>
      <w:r>
        <w:t>19. On January 24, 2020, the Party sent a copy of the request for an extension of the deadline for the submission of the binding offer to February 10, 2020, submitted by BCC Arborea to the advisor and for information to BPER, with relative acceptance. In accepting the extension, the advisor reiterated the intention to conclude the procedure as soon as possible, taking into account the prescriptions contained in the Provision.</w:t>
      </w:r>
    </w:p>
    <w:p>
      <w:r>
        <w:t>20. With communication dated February 28, 2020, supplemented on March 2, 2020, BPER then presented an update on the divestiture procedure. In particular, BPER communicated that, on February 10, 2020, BCC Arborea had submitted a binding offer for the purchase of 4 out of 5 bank branches. The Boards of Directors of Banco di Sardegna and BPER, respectively on February 25 and 26, 2020, however, deemed that they could not accept the offer, mainly because: i) BCC Arborea had offered a "negative" price, considered unreasonable by BPER, as it deviated substantially from the estimated transfer value by the advisor; ii) there were onerous contractual conditions deemed out of market, such as broad and unlimited indemnity and compensation commitments; iii) a suspensive condition was provided related to reaching a certain number of members that would generate uncertainty regarding the conclusion of the operation.</w:t>
      </w:r>
    </w:p>
    <w:p>
      <w:r>
        <w:t>The so-called Phase II</w:t>
      </w:r>
    </w:p>
    <w:p>
      <w:r>
        <w:t>21. On this basis, BPER announced the start of the so-called Phase 2 and the imminent appointment of the independent party to whom to confer an irrevocable mandate for the divestiture of the five branches.</w:t>
      </w:r>
    </w:p>
    <w:p>
      <w:r>
        <w:t>22. On March 3, 2020, BPER transmitted to the Authority a copy of the draft mandate contract that the mandators BPER and Banco di Sardegna intended to sign with the trustee of imminent designation, later integrated and partially modified on March 9, 2020, with the proposed mandate contract that BPER submitted to the trustee for signature, complete with attachments (including a draft of the contract for the transfer of the business branch). On March 5, 2020, BPER also communicated the name of the trustee to whom BPER and Banco di Sardegna (a company part of the Group and active in Sardinia) intended to confer an irrevocable mandate to proceed with the divestiture of the branches within the requested terms, attaching the relevant curriculum vitae. Finally, on March 11, 2020, the Party sent a copy of the mandate contract signed by the trustee and the mandators, with the relevant attached documentation.</w:t>
      </w:r>
    </w:p>
    <w:p>
      <w:r>
        <w:t>23. In particular, it is noteworthy that originally the mandate contract, providing that the trustee acted on behalf of the Authority to ensure that BPER adopted and effectively implemented the corrective measures ordered, according to the timing established by the Authority, stipulated that he would transfer the branches without indicating a minimum purchase price "which - it is understood - cannot materialize in a negative price (also taking into account any components not expressly qualified as a price that, in substance, determine a negative impact or a deviation to the detriment of the Mandators following the transfer), and according to the terms and conditions that he deems most appropriate to conclude the transfer contract(s), while safeguarding the legitimate patrimonial, financial, and legal interests of the Mandators. In particular, considering the specific peculiarities of the transfer of bank branches that involve significant IT data migration activities, it should be provided that the costs related to the IT migration are borne by the buyer; moreover, the Trustee may include in the transfer contract(s) representations and contractual guarantees and indemnities, in line with market practice, reasonably necessary for the conclusion of the transfer contract(s).</w:t>
      </w:r>
    </w:p>
    <w:p>
      <w:r>
        <w:t>24. Following the request for information and the subsequent response from BPER with communication dated April 20, 2020, the Authority took note of the appointment of the trustee responsible for the transfer. Furthermore, regarding the aforementioned point 3.3 of the mandate contract, the Authority specified that for the purposes of compliance – also in light of the principles identified in the European Commission Communication on corrective measures, in particular § 121 – the divestiture of the branches should not be in any way conditioned on achieving a non-negative price, in accordance with the provisions of point 4 of the Provision's device. The Authority also specified that it would evaluate the transfer agreement simultaneously with the evaluation of the identity of the transferee(s), considering that the draft transfer contract could still be subject to changes.</w:t>
      </w:r>
    </w:p>
    <w:p>
      <w:r>
        <w:t>25. On June 19, 2020, a first report on the activities carried out was received from the trustee, in which it was first specified how BPER had communicated to him that the divestiture should not be "in any way conditioned on achieving a non-negative price," as specified by the Authority in the communication of April 20, 2020, and that "in the communications exchanged with the banks and in the documentation provided to them, [...], they did not condition potential expressions of interest to any expectation of offers at a non-negative price." The aforementioned report also illustrated the process followed for the selection of banks potentially interested in purchasing the branches, accounting for the expansion of the pool of contacted banks compared to Phase 1.</w:t>
      </w:r>
    </w:p>
    <w:p>
      <w:r>
        <w:t>26. In particular, during Phase 2, a total of 240 banks were contacted, divided into a group already contacted in Phase 1 and another consisting of other banks. The latter were sent "essential information regarding the operation," to allow them to "quickly grasp the characteristics of the proposed operation," providing any further details that may be requested in response to the expression of even generic interest. The group of banks already contacted was provided with more concise information.</w:t>
      </w:r>
    </w:p>
    <w:p>
      <w:r>
        <w:t>27. On March 31, 2020, the Directorate sent a request for information aimed at clarifying, in particular, the reasons why the aforementioned point 3.3 of the mandate contract is formulated without limiting itself to providing that the transfer is carried out without indicating a minimum purchase price, but introducing various specifications, including that the price cannot materialize in a negative price and that the costs related to IT migration are borne by the buyer; it was also requested to provide information on the best practices followed in the market, particularly regarding the allocation of costs, between transferor and transferee, related to IT migration.</w:t>
      </w:r>
    </w:p>
    <w:p>
      <w:r>
        <w:t>28. On April 6, 2020, the Party responded to the request for information. In particular, regarding the request for clarification concerning the formulation of point 3.3 of the mandate, BPER specified that the transfer "is not subject to any limitation, given the commitment of the transferring Bank, indicated in the Mandate to the trustee, to proceed with the divestiture without indicating a minimum price, in compliance with the provisions of the provision in question." The Party also reported that "if offers were to materialize under conditions of 'negative price,' they could only be considered inconsistent with the positive economic evaluation of the branch and therefore severely detrimental to the legitimate interest of the seller."</w:t>
      </w:r>
    </w:p>
    <w:p>
      <w:r>
        <w:t>29. The Authority's Communication concerning the corrective measures considered adequate pursuant to Council Regulation (EC) No. 139/2004 and Commission Regulation (EC) No. 802/2004.</w:t>
      </w:r>
    </w:p>
    <w:p>
      <w:r>
        <w:t>30. The Authority specified that it would evaluate the transfer agreement simultaneously with the evaluation of the identity of the transferee(s), considering that the draft transfer contract could still be subject to changes.</w:t>
      </w:r>
    </w:p>
    <w:p>
      <w:r>
        <w:t>31. On this point, even in the second report sent on September 3, 2020, the Trustee specified that "the communications exchanged with the banks did not condition potential expressions of interest to any expectation of offers at a non-negative price."</w:t>
      </w:r>
    </w:p>
    <w:p>
      <w:r>
        <w:t>32. See doc. 23.</w:t>
      </w:r>
    </w:p>
    <w:p>
      <w:r>
        <w:rPr>
          <w:b/>
        </w:rPr>
        <w:t>[Pages 25–27]</w:t>
      </w:r>
    </w:p>
    <w:p>
      <w:r>
        <w:t>26 BULLETIN NO. 30 OF AUGUST 8, 2022</w:t>
      </w:r>
    </w:p>
    <w:p>
      <w:r>
        <w:t xml:space="preserve">led to the submission of an expression of interest, on May 4, 2020, by a single bank, BCC Arborea.  </w:t>
        <w:br/>
        <w:t xml:space="preserve">27. The report then retraced the contacts had with the potential buyer, to whom the Trustee requested the submission of a binding offer no later than June 15, 2020. Furthermore, it accounted for the documentation sent regarding the operation as a whole and the individual branches, including logistical and financial data, from which a slight worsening of the balance sheet imbalance highlighted by the advisor during Phase 1 emerged.  </w:t>
        <w:br/>
        <w:t xml:space="preserve">28. The potential buyer expressed willingness not to conduct due diligence, but nonetheless had to request various pieces of economic, legal, and organizational information necessary for the evaluation of the branches, including data necessary to understand in the informational framework elements related to the health emergency situation that characterized the last months. To this end, BCC Arborea submitted to the trustee a request for an extension of the deadline for submitting a binding offer to July 20, 2020, also due to the extension of the timelines necessitated by the pandemic situation. For these reasons, on June 23, 2020, BPER sent a request to the Authority for an extension of the deadline for the transfer of the branches until September 18, 2020.  </w:t>
        <w:br/>
        <w:t xml:space="preserve">29. On July 9, 2020, the Authority communicated the acceptance of the requested extension, also extending the deadline set in point 9 of decision no. 278 for the submission to the Authority of a final report on the complete and effective implementation of the prescribed measures to October 18, 2020, a deadline set at 13 months from the notification of the aforementioned decision.  </w:t>
        <w:br/>
        <w:t xml:space="preserve">30. On September 3, 2020, the second report from the Trustee regarding the conclusion of Phase 2 was received. The Trustee reported on its activities, with particular regard to the period elapsed since the first report sent. In particular, the Trustee described the interactions had with BCC Arborea, the only company that submitted an expression of interest for the acquisition of the bank branches, and informed the Authority of BCC Arborea's decision to refrain from submitting a binding offer, considering "the current phase of contingency and market uncertainty."  </w:t>
        <w:br/>
        <w:t xml:space="preserve">b) The request for revocation and the proposal to amend the measures  </w:t>
        <w:br/>
        <w:t xml:space="preserve">31. On September 10 and October 21, 2020, when the deadline for the closure of Phase 2 had also expired, two communications were received from BPER in which the Bank informed the Authority of the impossibility of transferring the branches subject to the measure, "despite having carried out all the appropriate procedures to realize the transfer of the branches (...) according to the methods provided in the Authority's decision." In the communications, BPER then requested the revocation of the measures or their replacement with behavioral measures, rather than structural ones.  </w:t>
        <w:br/>
        <w:t xml:space="preserve">32. In the context of a hearing held on October 19, 2020, and with the aforementioned communication of October 21, BPER proposed an "Alternative Corrective Measure" consisting of the elimination of cash withdrawal fees (both for the ATM circuit and for the Visa V-Pay debit circuit) at the ATMs of BPER's competing banks present throughout the national territory for a period of 18 months, benefiting all customers of the BPER group in the 5 catchment areas affected by the divestiture obligations. In particular, the measure would concern about 200,000 customers (thus, just under a third of the total customers of Banco Di Sardegna, the bank through which BPER operates in the Island) related to 84 branches present in the affected areas. BPER emphasizes that the measure would therefore concern a much larger number of customers than that connected to the structural measure imposed by the Authority.  </w:t>
        <w:br/>
        <w:t xml:space="preserve">33. BPER's request also estimated the total cost for the Bank resulting from the proposed measure at least 400,000 euros, and emphasized how it would not only lead to benefits directly appreciable by customers (who could withdraw throughout the national territory without costs), but that it would be in a position to favor the "contact" of its customers with other banks, allowing the marketing actions of competitors conveyed through the screens of the ATM branches, thus stimulating them at least to evaluate the offers of services proposed by the competition and therefore favoring customer mobility towards banks that offer the most attractive conditions. BPER also notes that the proposed measure is in line with the Authority's precedents.  </w:t>
        <w:br/>
        <w:t xml:space="preserve">III.3 The initiation of the non-compliance procedure  </w:t>
        <w:br/>
        <w:t xml:space="preserve">34. With the initiation decision no. 28468 of December 1, 2020, the Authority contested to BPER the non-compliance with the decision of July 17, 2019, no. 27842, as the company did not implement the specific conditions provided therein regarding the transfer, by the extended deadline of September 18, 2020, of the five UB branches located in the catchment areas CA1-Alghero (SS), CA2-Nuoro (NU), CA3-Sassari (SS), CA4-Iglesias (SU), CA5-Terralba (OR), identified in the decision, including all assets that contribute to their current management and/or that are necessary to ensure their profitability and competitiveness over time.  </w:t>
        <w:br/>
        <w:t xml:space="preserve">35. In this sense, the Authority, in the aforementioned initiation decision no. 28468 noted that BPER communicated, on September 10, 2020, and with subsequent integration on October 21, 2020, the "objective impossibility" to effectively implement the aforementioned conditions of decision C12231, "despite having carried out all the appropriate procedures to realize the transfer of the branches (...) according to the methods provided in the Authority's decision," therefore requesting: i) the revocation of the aforementioned measures and ii) the simultaneous replacement of the same with an "Alternative Corrective Measure" consisting of the elimination of cash withdrawal fees (both for the ATM circuit and for the Visa V-Pay debit circuit) at the ATMs of BPER's competing banks present throughout the national territory for a period of 18 months benefiting customers of all branches of Banco di Sardegna S.p.A. (BPER Group) included in the five specific catchment areas affected by the divestiture obligations.  </w:t>
        <w:br/>
        <w:t xml:space="preserve">36. Based on such evidence, the Authority deemed that there were grounds for initiating the procedure provided for by Article 19, paragraph 1, of Law no. 287/90, as BPER, having failed to proceed by September 18, 2020, with the divestiture of all the identified branches, did not execute the prescriptions within the terms and in the manner specifically indicated in decision no. 27842 of July 17, 2019, also taking into account the Authority's communication of July 9, 2020.  </w:t>
        <w:br/>
        <w:t xml:space="preserve">37. Furthermore, the Authority deemed it necessary to evaluate the need to impose new measures, in addition to or in replacement of those originally provided, in order to restore conditions of effective competition, pursuant to Article 18, paragraph 3, of Law no. 287/90, as well as in consideration of BPER's request for revocation and simultaneous replacement of the measures ordered by the Authority with the aforementioned resolution no. 27842.  </w:t>
        <w:br/>
        <w:t xml:space="preserve">III.4 The request for extension made by BPER, the new divestiture procedure for the branches, and their final transfer  </w:t>
        <w:br/>
        <w:t xml:space="preserve">38. Following the initiation of the non-compliance procedure and the submission of the request for revocation of the measures, or their replacement with behavioral measures, the Party continued the search for a suitable buyer to whom to transfer the five branches subject to measures.  </w:t>
        <w:br/>
        <w:t xml:space="preserve">39. In particular, between March 12 and 17, 2021, BPER published in the main national economic newspapers (i.e., "Il Sole 24 Ore" and "Milano Finanza") an invitation to submit expressions of interest, after which no responses were received. At the same time, on March 16, 2021, a new financial advisor was appointed to continue managing the divestiture procedure for the branches, in which it was specified "the hypothesis (...) of evaluating negotiated solutions that may involve taking on any burdens where required"; regarding this mandate, no further activities appear to have been undertaken.  </w:t>
        <w:br/>
        <w:t>40. On April 21, 2021, the Communication of Investigative Findings was sent to the Party in which the Authority noted BPER's non-compliance pursuant to Article 19, paragraph 1, of Law no. 287/90 as, in the context of the divestiture attempts that BPER had undertaken with Phase 2, which had been unsuccessful, it had not demonstrated that it had done everything possible for the divestiture to take place and, in particular, had not demonstrated that it had indicated, in the offers submitted to potential buyers, that the divestiture could also take place at a negative price, as required by the provisions of decision no. 27842. Furthermore, following the assessment carried out pursuant to Article 18, paragraph 3, of Law no. 287/90, it was deemed necessary on one hand to confirm the obligation to divest the branches as identified in the same decision, and on the other hand the need to adopt some minimum measures necessary to mitigate the restrictive effects that would have arisen in the meantime due to the persistence of a structure.</w:t>
      </w:r>
    </w:p>
    <w:p>
      <w:r>
        <w:rPr>
          <w:b/>
        </w:rPr>
        <w:t>[Pages 28–30]</w:t>
      </w:r>
    </w:p>
    <w:p>
      <w:r>
        <w:t>BULLETIN NO. 30 OF AUGUST 8, 2022 29</w:t>
      </w:r>
    </w:p>
    <w:p>
      <w:r>
        <w:t>of the excessively concentrated offer, consisting of the "Alternative Corrective Measure" proposed by the same Party.</w:t>
      </w:r>
    </w:p>
    <w:p>
      <w:r>
        <w:t>41. Subsequently, on May 21, 2021, the company submitted a request for an extension of the procedure in order to carry out an additional procedural phase for the divestment of the five bank branches subject to the investigation, specifying the possibility of submitting bids with negative prices from the start of the procedure. In this context, a mandate was then entrusted to a new independent and qualified trustee. The irrevocable mandate specified the obligation to sell "without indicating a minimum purchase price, with the possibility of submitting bids at negative prices (also taking into account the reimbursement of any ancillary charges requested by the buyers) and according to the terms and conditions that it deems most appropriate to conclude the sale contract(s)."</w:t>
      </w:r>
    </w:p>
    <w:p>
      <w:r>
        <w:t>On May 25, 2021, the Authority accepted the Party's request and extended the deadline for closing the procedure, originally set for June 30, 2021, to October 31, 2021.</w:t>
      </w:r>
    </w:p>
    <w:p>
      <w:r>
        <w:t>42. Between the end of June and the beginning of July 2021, BPER transmitted to the Authority the information and documentation related to the mandate and the sale of the branches, including the new invitation to submit bids that BPER intended to republish in the main national newspapers. The Authority acknowledged this documentation, informing the Party by letter dated July 2, 2021.</w:t>
      </w:r>
    </w:p>
    <w:p>
      <w:r>
        <w:t>43. As illustrated by the Trustee in the report received on September 1, 2021, publicity was given to the new divestment procedure through a market notice containing the express indication regarding the possibility of submitting bids with negative prices, published between July 5 and July 7 in La Nuova Sardegna and L’Unione Sarda, as well as in Il Sole 24 Ore and Milano Finanza; the notice was also reiterated in Il Sole 24 Ore and the two Sardinian newspapers, and was additionally published on the websites of BPER and Banco di Sardegna. The specialized infoprovider Telemat then picked up and published the notice, further disseminating the information.</w:t>
      </w:r>
    </w:p>
    <w:p>
      <w:r>
        <w:t>44. Following this further procedure, no expressions of interest were received to open negotiations for the sale.</w:t>
      </w:r>
    </w:p>
    <w:p>
      <w:r>
        <w:t>45. Due to the objective difficulty encountered by the Party in selling the five branches subject to the measures and considering, therefore, the need to evaluate the appropriateness of prescribing, pursuant to Article 18, paragraph 3, of Law No. 287/1990, the measures necessary to restore effective competition, eliminating the distorting effects, also through a new competitive analysis in the areas where the branches subject to sale are located, on October 19, 2021, the Authority extended the deadline for concluding the procedure, setting it for July 31, 2022.</w:t>
      </w:r>
    </w:p>
    <w:p>
      <w:r>
        <w:t>46. On May 20, 2022, BPER communicated that it had identified a third party, Banco di Desio e della Brianza S.p.A., which – within the framework of the sale of a broader business complex already under examination by the Authority – would also acquire the five bank branches subject to the divestment commitment referred to in provision No. 27842. In particular, Banco Desio submitted a binding offer for the acquisition of a business unit consisting of at least 48 bank branches located in multiple regions, including 13 branches in Sardinia, including the 5 branches referred to in procedure C12231. For the acquisition of the aforementioned bank branches, Banco Desio submitted an offer, accepted by BPER, which is binding, not only with respect to the subjective profile (as the contracting parties are, in fact, BPER and Banco Desio) but also with respect to the objective profile (as the object of the sale consists of a predefined number of branches, including the aforementioned five branches).</w:t>
      </w:r>
    </w:p>
    <w:p>
      <w:r>
        <w:t>47. BPER communicated that the amount of the consideration for the acquisition of the business unit, currently indicated in a range, will be established following the confirmatory due diligence that would take place by May 31, 2022, after which the definitive contract determining the transfer of the aforementioned business unit will be signed and will contain the precise indication of the consideration.</w:t>
      </w:r>
    </w:p>
    <w:p>
      <w:r>
        <w:t>48. In this regard, the Party represents that Banco Desio is an independent entity from BPER, has adequate financial resources and consolidated technical expertise, and certainly meets the requirements prescribed by the relevant regulatory framework.</w:t>
      </w:r>
    </w:p>
    <w:p>
      <w:r>
        <w:t>IV. THE INVESTIGATIVE FINDINGS</w:t>
      </w:r>
    </w:p>
    <w:p>
      <w:r>
        <w:t>49. During the investigation, the necessary information was acquired to evaluate BPER's conduct, through various hearings and requests for information both to the Party and to third parties.</w:t>
      </w:r>
    </w:p>
    <w:p>
      <w:r>
        <w:t>IV.1 The relevant markets and the effects of the operation</w:t>
      </w:r>
    </w:p>
    <w:p>
      <w:r>
        <w:t>50. The analysis carried out by the Authority during procedure C12231 highlighted how the acquisition of UB by BPER was likely to produce the establishment and/or strengthening of BPER's dominant position in Sardinia, in the catchment areas of Alghero (CA1) and Sassari (CA3), in the province of Sassari, Nuoro (CA2), in the province of Nuoro, Iglesias (CA4) in the province of South Sardinia, and Terralba (CA5), in the province of Oristano, particularly concerning the markets of deposits, loans to consumer families, and loans to producer families-small enterprises; as well as the distribution of mutual funds and administered savings, as defined during the procedure, substantially and durably reducing competition in the same markets.</w:t>
      </w:r>
    </w:p>
    <w:p>
      <w:r>
        <w:t>51. In light of the positioning achieved by BPER in Sardinia following the acquisition of UB, in order to ensure the removal of any anticompetitive effect and thus sterilize the structural changes resulting from the increase in the buyer's market share in all markets where the operation is likely to lead to the establishment and/or strengthening of a dominant position, the Authority decided on the divestment of the five branches belonging to UB located in the aforementioned catchment areas.</w:t>
      </w:r>
    </w:p>
    <w:p>
      <w:r>
        <w:t>52. Having finally completed the divestment procedure of the five branches that UB held in Sardinia, and thus not needing to proceed with the evaluation regarding the appropriateness of new measures in addition to or in replacement of those imposed, no new evaluation of BPER's position in the relevant markets was conducted.</w:t>
      </w:r>
    </w:p>
    <w:p>
      <w:r>
        <w:t>IV.2 BPER's observations</w:t>
      </w:r>
    </w:p>
    <w:p>
      <w:r>
        <w:t>53. During the procedure, BPER submitted various observations and some procedural memoranda concerning the summary of the activities carried out by the company to comply with the structural corrective measures, as well as an in-depth analysis of the results of a market analysis regarding the structure and composition of the offer of credit products and managed savings, as well as the habits of consumers in Sardinia.</w:t>
      </w:r>
    </w:p>
    <w:p>
      <w:r>
        <w:t>54. In particular, utilizing a market analysis prepared by an external economic consultant, the Party highlighted the presence of certain peculiarities that characterize the Sardinia region "both at the socio-economic and demographic level, as well as in the structure and composition of the offer of credit products and managed savings and in the habits of consumers" which would support the consideration of Poste Italiane S.p.A. (hereinafter 'Poste' or 'Poste Italiane') as an effective competitor of banks, "due to its widespread presence in the territory and the variety/fungibility of services offered."</w:t>
      </w:r>
    </w:p>
    <w:p>
      <w:r>
        <w:t>55. More specifically, elements such as the widespread and rooted presence of Poste in Sardinia would come to the fore; the local organizational model based on a multichannel commercial network that utilizes post offices and consultants operating in the territory and through the digital channel in a manner similar to banking operators; the offer mirroring that of banks in the products and services typical of the markets of deposits and loans or at least loans to consumer families. Furthermore, from a socio-economic and demographic perspective, Sardinia would be characterized by a higher incidence compared to the national average of the more "mature" classes of the population, a lower percentage of residents holding a diploma or a degree, and a higher old-age dependency ratio, which is a synthetic indicator that allows for identifying the degree of aging of a population, obtained by relating the amount of the elderly population (over 65) to that of the young population (under 14), which is greater in Sardinia than the national average, as well as the active population replacement index or the structure index of the active population.</w:t>
      </w:r>
    </w:p>
    <w:p>
      <w:r>
        <w:rPr>
          <w:b/>
        </w:rPr>
        <w:t>[Pages 31–33]</w:t>
      </w:r>
    </w:p>
    <w:p>
      <w:r>
        <w:t>32 BULLETIN NO. 30 OF AUGUST 8, 2022</w:t>
      </w:r>
    </w:p>
    <w:p>
      <w:r>
        <w:t>higher unemployment rate (20% compared to 13% at the national level) and a lower ratio between the active population (employed individuals or those seeking employment) and the inactive population (ratio of 1.04 against 1.10); according to the Party, these elements would suggest a greater reliance on Poste services compared to other Italian regions.</w:t>
      </w:r>
    </w:p>
    <w:p>
      <w:r>
        <w:t>56. In light of the evidence collected and the peculiarities related to the presence of Poste in the Sardinian territory, according to BPER, the offer by Poste should be included in the markets of deposits, loans to consumer families, and producer families-small enterprises, with the consequence that the share of the BPER Group would be reduced. This is also in view of the request for revision of the measures formulated by the Party.</w:t>
      </w:r>
    </w:p>
    <w:p>
      <w:r>
        <w:t>57. Furthermore, lastly in the communication of May 20, 2022, BPER made some observations regarding the objective difficulties in transferring the five branches and the correctness of its actions. Firstly, the Party emphasizes that already in Phase 1, the only expression of interest came from BCC Arborea, which was limited to only 4 of the 5 branches, subject to certain constraints and with an overall negative value, demonstrating a substantial disinterest from the market for the purchase of the business assets subject to measures.</w:t>
      </w:r>
    </w:p>
    <w:p>
      <w:r>
        <w:t>58. Secondly, even after Phase 2, for which "no price limit was contemplated and, consequently, potential interested parties knew that the assets were offered under any condition, including for free" (emphasis of the Party) and that therefore, in BPER's opinion, it would have been conducted according to the indications received from the Authority (as per the indications of the Authority's letter of April 20, 2020), the only expression of interest came from BCC Arborea, after which, due to "a subjective factor of BCC Arborea, namely the lack of adherence from local members," no offer was made (on this point see infra section IV.3).</w:t>
      </w:r>
    </w:p>
    <w:p>
      <w:r>
        <w:t>59. Finally, BPER observes that even the further activities undertaken to divest the five branches subject to measures, despite the effort made and evidenced by the various publications of invitations to submit offers in the main national economic newspapers and in the main local newspapers and the double attempt to transfer the branches, did not generate interest from the market. In particular, the Party highlights that in the last divestiture procedure carried out in July 2021, it was specified the obligation to transfer "without indicating a minimum purchase price, with the possibility of submitting offers at negative prices (also taking into account the reimbursement of any ancillary charges requested by buyers) and according to the terms and conditions that it deems most appropriate to conclude the transfer contract(s)."</w:t>
      </w:r>
    </w:p>
    <w:p>
      <w:r>
        <w:t>60. Therefore, according to BPER, the failure to submit offers and, consequently, the objective impossibility of proceeding with the divestiture foreseen by the commitment, "is due to the lack of interest among the entire banking sector regarding the five branches subject to the corrective measure," without there ever being "any exclusion towards any offer, including offers at negative value."</w:t>
      </w:r>
    </w:p>
    <w:p>
      <w:r>
        <w:t>IV.3 Observations of BCC Arborea, Confcommercio, and Confartigianato</w:t>
      </w:r>
    </w:p>
    <w:p>
      <w:r>
        <w:t>61. On March 8, 2020, the representatives of BCC Arborea were heard in a hearing. The company, the only bank to express interest in purchasing the branches subject to measures both in Phase 1 and in Phase 2, preliminarily stated that it had received from BPER all the necessary information and elements to carry out its evaluations.</w:t>
      </w:r>
    </w:p>
    <w:p>
      <w:r>
        <w:t>62. The negative outcome of the negotiation in Phase 2, however, was particularly affected by the economic effects related to the ongoing pandemic: on one hand, the credit portfolio of the five branches had deteriorated compared to the negotiation that took place in Phase 1, making an economic compensation necessary that would have made the offer worse than the one already rejected by BPER in Phase 1; on the other hand, the worsening of economic conditions induced by Covid-19 did not allow BCC Arborea to meet the minimum number of members required to open a new branch in a non-competent territory. The failure to meet this requirement therefore did not allow the company to formulate a second new offer to BPER.</w:t>
      </w:r>
    </w:p>
    <w:p>
      <w:r>
        <w:t>63. On March 3, 2020, requests for information were sent to the regional offices of Sardinia of Confcommercio and Confartigianato regarding the presence of any changes observed in the last three years in the conditions of offer of banking, credit, and financial products intended for small businesses and artisans, both at the regional level and with reference to specific provinces or local areas, as well as in relation to changes in the commercial policies specifically applied by BPER.</w:t>
      </w:r>
    </w:p>
    <w:p>
      <w:r>
        <w:t>64. Confcommercio Sardegna, having also consulted the provincial territorial associations of Confcommercio, stated that it had not detected or received feedback regarding significant changes in the conditions of offer of credit and financial products by banks operating at the regional level, not even with reference to specific local areas, emphasizing that for those recognized by banks as creditworthy, the rates were considered more favorable compared to the three-year period 2014-2017.</w:t>
      </w:r>
    </w:p>
    <w:p>
      <w:r>
        <w:t>65. Regarding competitive dynamics, no peculiarities were found in the offer conditions by specific operators, which vary according to the different needs or characteristics of the business.</w:t>
      </w:r>
    </w:p>
    <w:p>
      <w:r>
        <w:t>66. Confartigianato Sardegna also specified that the dynamics related to the offer conditions mainly pertain to the relationship between the business and the credit institution, emphasizing that it had not received or detected any elements of peculiarity regarding competitive profiles in the offer of credit and financial products in the different provinces of the region or at the local level.</w:t>
      </w:r>
    </w:p>
    <w:p>
      <w:r>
        <w:t>V. EVALUATIONS</w:t>
      </w:r>
    </w:p>
    <w:p>
      <w:r>
        <w:t>V.1 Non-compliance with provision no. 27842 of July 17, 2019</w:t>
      </w:r>
    </w:p>
    <w:p>
      <w:r>
        <w:t>67. Before examining this profile in detail, it should be noted that based on the precedents of the Authority and administrative jurisprudence "in law, regarding administrative pecuniary sanctions imposed under art. 19 l. October 10, 1990, no. 287 – for prohibited concentration operations pursuant to art. 18, paragraph 1, or for non-compliance with the prescriptions adopted by AGCM pursuant to art. 18, paragraph 3, necessary to restore conditions of effective competition and eliminate distorting effects – the regulatory provision of the aforementioned art. 19, identifying typified cases centered on mere conduct according to a criterion of acting or omitting duty, anchors the judgment of guilt to normative parameters foreign to the purely psychological data, with the consequence that, once the typical case of the offense has been integrated and proven by the Authority, it will burden the offender, by virtue of the presumption of guilt that permeates the system of liability for administrative offenses, with the burden of proving that he acted without guilt. This rule of distribution of the burden of proof remains supported, on a systematic level, both by the application of the principles regarding the reconstruction/analysis of the elements (constitutive, impeditive, modifying and/or extinguishing) of the substantive law case brought before the court (integrating, in fact, the excuse excluding guilt a fact preventing the Authority's sanction claim), and by the application of the criterion of the proximity of the proof to the party that is burdened with it."</w:t>
      </w:r>
    </w:p>
    <w:p>
      <w:r>
        <w:t>68. Having said that, in the case at hand, based on the elements acquired in the investigation, it emerges that BPER encountered objective difficulties in the transfer of the branches, even if the sales methods initially adopted by the company were not in line with what was provided in the order of the Provision.</w:t>
      </w:r>
    </w:p>
    <w:p>
      <w:r>
        <w:t>69. To this end, it should be noted that, contrary to what BPER claims, in relation to Phase 2 it has not demonstrated that it has implemented all the appropriate procedures to carry out the transfer of the Sardinia Branches according to the methods provided in the Provision.</w:t>
      </w:r>
    </w:p>
    <w:p>
      <w:r>
        <w:t>70. As described in the preceding part, in fact, such procedures were, in fact, initially substantiated by having contacted, in Phase 1, about 40 credit institutions for which a substantial information set, a virtual data room, and a detailed sales process were prepared; subsequently in Phase 2, despite having contacted about 240 banking institutions, it provided these subjects with mere summary information, essential to allow them to "quickly grasp the main operational characteristics (for example, location,</w:t>
      </w:r>
    </w:p>
    <w:p>
      <w:r>
        <w:rPr>
          <w:b/>
        </w:rPr>
        <w:t>[Pages 34–36]</w:t>
      </w:r>
    </w:p>
    <w:p>
      <w:r>
        <w:t>BULLETIN NO. 30 OF AUGUST 8, 2022 35</w:t>
      </w:r>
    </w:p>
    <w:p>
      <w:r>
        <w:t>employees, etc.) and economic-asset conditions of the branches,” or, in the case of banks already contacted in Phase 1, even more concise information.</w:t>
      </w:r>
    </w:p>
    <w:p>
      <w:r>
        <w:t>71. It should, however, be noted that the aforementioned point 4 of the ruling, in establishing the methods and timing of the transfer of the branches, sets some differences between Phase 1 and Phase 2, expressly providing that “ii) if all the identified branches have not been transferred within 6 months from the date of authorization of the operation, the Parties must grant an irrevocable mandate to an independent and qualified entity to transfer control of the remaining identified branches, without indicating a minimum price (trustee transfer period).”</w:t>
      </w:r>
    </w:p>
    <w:p>
      <w:r>
        <w:t>72. Thus, unlike Phase 1 where the transfer is left to free negotiation between BPER and any potential buyer, in Phase 2 it is established that a third party is appointed as trustee to manage the sale and that, in the course of negotiations, there should be no indication of a minimum price. In fact, this point was further clarified by the Authority in the letter sent to BPER on April 20, 2019, which states “the Authority considers it necessary, for compliance purposes, that the divestiture is in no way conditioned on achieving a non-negative price.”</w:t>
      </w:r>
    </w:p>
    <w:p>
      <w:r>
        <w:t>73. However, this change in approach does not emerge from the investigative findings and in particular it does not emerge in any way that BPER, and on its behalf the trustee, in Phase 2 – contrary to what was claimed – informed potential interested parties of the absence of a minimum price for the sale, given also the presence of an asset imbalance in 3 of the 5 branches.</w:t>
      </w:r>
    </w:p>
    <w:p>
      <w:r>
        <w:t>74. In this regard, from the documentation sent by the trustee to the potential buyer, it is stated that the Binding Offer must contain, for its admissibility, the offered price, “providing for the payment of the entire Price at the signing of the notarial deed of sale. This Price, expressed in euros, must assume the hypothesis that the transfer occurs at balanced balances without the transfer of net assets: therefore, the price will be an expression of the goodwill attributed to the Assets.” Furthermore, “The methods of financing the Price” are required, “Copy of the most recent economic-asset situation and any further documentation necessary to determine the current financial capacity of the Interested Party…”</w:t>
      </w:r>
    </w:p>
    <w:p>
      <w:r>
        <w:t>75. In other words, although the trustee states in the report to the Authority that the divestiture offer was not conditioned on the proposal of a minimum price, in fact the documentation sent to potential buyers does not in any way suggest the possibility of presenting a negative price.</w:t>
      </w:r>
    </w:p>
    <w:p>
      <w:r>
        <w:t>76. As for the notices regarding the submission of any expressions of interest published in the major financial newspapers between March 12 and 17, 2021, to which the company and the advisor did not receive feedback, it is worth noting that no indications were published regarding a possible negative price, nor were other market sounding activities carried out, such as an invitation to potential buyers including the relevant documentation. For these reasons, although the mandate sent to the advisor provided for “the hypothesis (...) of evaluating negotiation solutions that may involve taking on any burdens if requested,” in fact this information was not conveyed to the market.</w:t>
      </w:r>
    </w:p>
    <w:p>
      <w:r>
        <w:t>77. Only with the last and more articulated procedure which, as mentioned, took place after the deadline set by the measures, BPER, and on its behalf the trustee in charge of the divestiture, expressly indicated in the offer documents the possibility of submitting offers with a negative price. However, this procedure also had a negative outcome.</w:t>
      </w:r>
    </w:p>
    <w:p>
      <w:r>
        <w:t>78. Therefore, although it is believed that during Phase 2 and in the publication of market notices through the press in March 2021 it was not evident that the divestiture would take place without the indication of a minimum price, as instead imposed by the Provision and clarified in the Authority's communication of July 9, 2020, it should nonetheless be noted that even the procedure of July 2021, while clearly bearing this requirement, had an unsuccessful outcome.</w:t>
      </w:r>
    </w:p>
    <w:p>
      <w:r>
        <w:t>79. This circumstance testifies to the objective difficulty related to the divestiture of the branches imposed at the end of the C12231 procedure, due not only to the economic-financial nature of the identified branches but also to the contingent pandemic situation and the consequent economic crisis that has occurred in the meantime. This difficulty is also evident from the fact that in the various divestiture procedures carried out, only a single expression of interest was received, which, as highlighted, was subject to some conditions that were difficult to realize, and which indeed did not translate into a binding offer.</w:t>
      </w:r>
    </w:p>
    <w:p>
      <w:r>
        <w:t>80. In this sense, it is observed that only when the branches in question were incorporated into a broader and more articulated business unit, including 13 branches in Sardinia and a total of 48 branches, did their divestiture become possible, as this business bundle was economically more attractive, if only in terms of sufficient critical mass.</w:t>
      </w:r>
    </w:p>
    <w:p>
      <w:r>
        <w:t>81. With reference to the divestiture of the five branches subject to measures to Banco Desio, referring to the previously mentioned provision no. 30165 C12443-BPER Banca/Banca Carige for a more complete assessment of the competitive profiles, it is worth noting here that for the purposes of this procedure the buyer is deemed suitable for antitrust purposes.</w:t>
      </w:r>
    </w:p>
    <w:p>
      <w:r>
        <w:t>82. In conclusion, based on the above, it emerges that, on the one hand, BPER has demonstrated that it has done everything within its power to comply with the measure imposed by the same ruling since it has unsuccessfully attempted several times to divest the branches subject to the measure and that, in the last of these procedures, albeit belatedly, it has demonstrated the objective impossibility of the divestiture even in the absence of minimum consideration. On the other hand, BPER has finally divested the branches subject to measures.</w:t>
      </w:r>
    </w:p>
    <w:p>
      <w:r>
        <w:t>83. Therefore, it is not believed that, in this case, BPER's behavior constitutes a case of non-compliance with the Provision pursuant to Article 19, paragraph 1, of Law No. 287/90.</w:t>
      </w:r>
    </w:p>
    <w:p>
      <w:r>
        <w:t>V.2 The assessment pursuant to Article 18, paragraph 3</w:t>
      </w:r>
    </w:p>
    <w:p>
      <w:r>
        <w:t>84. This investigation was also initiated in order to assess the possible need to prescribe, based on the provisions of Article 18, paragraph 3, of Law 287/90, measures aimed at restoring effective competition conditions in the market, eliminating any distortive effects caused by the realization of the concentration without the conditions imposed by the provision of July 17, 2019, no. 27842 being respected.</w:t>
      </w:r>
    </w:p>
    <w:p>
      <w:r>
        <w:t>85. For the purposes of this assessment, the decisive circumstance is that BPER has divested the branches subject to the measures to Banco Desio.</w:t>
      </w:r>
    </w:p>
    <w:p>
      <w:r>
        <w:t>BULLETIN NO. 30 OF AUGUST 8, 2022 37</w:t>
      </w:r>
    </w:p>
    <w:p>
      <w:r>
        <w:t>86. In particular, as previously described, on May 20, 2022, BPER communicated that it had signed a binding agreement with Banco Desio, the signing of which was to take place by May 31, 2022, concerning a business unit that, with regard to Sardinia, includes 13 branches, among which are also the 5 branches subject to measures.</w:t>
      </w:r>
    </w:p>
    <w:p>
      <w:r>
        <w:t>87. In this way, it is believed that BPER has sterilized the anticompetitive effects arising from the acquisition of UB, which had led to the imposition of the aforementioned measures, since it has divested the branches subject to them.</w:t>
      </w:r>
    </w:p>
    <w:p>
      <w:r>
        <w:t>88. Based on the above, it is therefore not deemed necessary to impose new measures in addition to or in replacement of those provided for by the Provision.</w:t>
      </w:r>
    </w:p>
    <w:p>
      <w:r>
        <w:t>89. Likewise, and for the same reasons, the request for revision of the measures submitted by BPER is deemed overcome.</w:t>
      </w:r>
    </w:p>
    <w:p>
      <w:r>
        <w:t>VI. CONCLUSIONS</w:t>
      </w:r>
    </w:p>
    <w:p>
      <w:r>
        <w:t>90. In conclusion, in light of all the above, it is believed that the Party is not liable for a violation of Article 19, paragraph 1, of Law No. 287/90.</w:t>
      </w:r>
    </w:p>
    <w:p>
      <w:r>
        <w:t>91. Furthermore, due to the divestiture of the branches subject to the measures of the binding offer accepted on April 19, 2022, it is not deemed necessary to evaluate the adoption of alternative measures pursuant to Article 18, paragraph 3, of Law No. 287/90.</w:t>
      </w:r>
    </w:p>
    <w:p>
      <w:r>
        <w:t>All of the above having been stated and considered;</w:t>
      </w:r>
    </w:p>
    <w:p>
      <w:r>
        <w:t>THEREFORE, based on the elements that emerged in the investigation, it is believed that the conduct carried out by BPER Banca S.p.A. does not, as a whole, constitute a case of non-compliance with the Provision pursuant to Article 19, paragraph 1, of Law No. 287/90 and is suitable to ensure compliance with the measures provided for by the Authority's resolution no. 27842 of July 17, 2019;</w:t>
      </w:r>
    </w:p>
    <w:p>
      <w:r>
        <w:t>IT IS BELIEVED that it is not necessary to impose on BPER Banca S.p.A., pursuant to Article 18, paragraph 3, of Law No. 287/90, new measures, in replacement of those originally provided, necessary to restore effective competition conditions in the local market in question;</w:t>
      </w:r>
    </w:p>
    <w:p>
      <w:r>
        <w:t>RESOLVES</w:t>
      </w:r>
    </w:p>
    <w:p>
      <w:r>
        <w:t>that there are no grounds for the imposition of a sanction pursuant to Article 19, paragraph 1, of Law No. 287/90.</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made to the President of the Republic, pursuant to Article 8, paragraph 2, of the Decree of the President of the Republic 24</w:t>
      </w:r>
    </w:p>
    <w:p>
      <w:r>
        <w:rPr>
          <w:b/>
        </w:rPr>
        <w:t>[Pages 37–39]</w:t>
      </w:r>
    </w:p>
    <w:p>
      <w:r>
        <w:t>38 BULLETIN NO. 30 OF AUGUST 8, 2022</w:t>
      </w:r>
    </w:p>
    <w:p>
      <w:r>
        <w:t>November 24, 1971, No. 1199, within the term of one hundred and twenty days from the date of notification of the provision itself.</w:t>
      </w:r>
    </w:p>
    <w:p>
      <w:r>
        <w:t>THE SECRETARY GENERAL THE PRESIDENT</w:t>
      </w:r>
    </w:p>
    <w:p>
      <w:r>
        <w:t>Guido Stazi Roberto Rustichelli</w:t>
      </w:r>
    </w:p>
    <w:p>
      <w:r>
        <w:t>BULLETIN NO. 30 OF AUGUST 8, 2022</w:t>
      </w:r>
    </w:p>
    <w:p>
      <w:r>
        <w:t>C12464 - ACEA/ASM TERNI</w:t>
      </w:r>
    </w:p>
    <w:p>
      <w:r>
        <w:t>Provision No. 30250</w:t>
      </w:r>
    </w:p>
    <w:p>
      <w:r>
        <w:t>THE ANTITRUST AUTHORITY</w:t>
      </w:r>
    </w:p>
    <w:p>
      <w:r>
        <w:t>IN ITS MEETING of July 19, 2022;</w:t>
      </w:r>
    </w:p>
    <w:p>
      <w:r>
        <w:t>HEARD the Rapporteur, Professor Michele Ainis;</w:t>
      </w:r>
    </w:p>
    <w:p>
      <w:r>
        <w:t>VIEWED Law No. 287 of October 10, 1990;</w:t>
      </w:r>
    </w:p>
    <w:p>
      <w:r>
        <w:t>VIEWED D.P.R. No. 217 of April 30, 1998;</w:t>
      </w:r>
    </w:p>
    <w:p>
      <w:r>
        <w:t>VIEWED Regulation (EU) No. 139/2014;</w:t>
      </w:r>
    </w:p>
    <w:p>
      <w:r>
        <w:t>VIEWED the communication from Acea S.p.A., received on June 30, 2022;</w:t>
      </w:r>
    </w:p>
    <w:p>
      <w:r>
        <w:t>VIEWED the documentation on file;</w:t>
      </w:r>
    </w:p>
    <w:p>
      <w:r>
        <w:t>CONSIDERED the following:</w:t>
      </w:r>
    </w:p>
    <w:p>
      <w:r>
        <w:t>I. THE PARTIES</w:t>
      </w:r>
    </w:p>
    <w:p>
      <w:r>
        <w:t>1. Acea S.p.A. (“Acea”) is a multi-utility company at the head of the eponymous corporate group (“Acea Group”), active in the production, distribution, and marketing of electricity and heat, including from renewable sources, in the marketing of natural gas, in the integrated management of water resources in all segments of the so-called integrated water service, in the design, construction, and management of public lighting systems and traffic light systems, and in environmental services, with particular reference to the treatment, disposal, and energy recovery of waste. The share capital of Acea is 51% owned by the Municipality of Rome, which holds control. The remaining portion is listed on the stock market, and the main private shareholders are the GDF Suez group (23.33%) and the Caltagirone group (5.45%). The Acea Group achieved a global turnover of approximately €3.97 billion in 2021, of which approximately [3-4]* billion euros were generated in Italy.</w:t>
      </w:r>
    </w:p>
    <w:p>
      <w:r>
        <w:t>2. ASM Terni S.p.A. (“ASM Terni”; together with Acea, the “Parties”) is a multi-utility company wholly owned by the Municipality of Terni, active in the local public services sector. In particular, it is active, directly and indirectly, in the sectors of integrated water service and sludge treatment, electricity production and distribution, integrated urban waste management, gas distribution, electricity and gas sales, and public lighting. The global turnover of ASM Terni in 2021 was approximately [31-100] million euros, of which [31-100] were generated in Italy.</w:t>
      </w:r>
    </w:p>
    <w:p>
      <w:r>
        <w:t>II. DESCRIPTION OF THE OPERATION</w:t>
      </w:r>
    </w:p>
    <w:p>
      <w:r>
        <w:t>3. The communication in question concerns Acea's acquisition of exclusive control of ASM Terni (the “Operation”). In particular, on May 7, 2021, ASM Terni initiated a public procedure to identify an industrial partner for the strengthening and extension of its strategic development lines, which concluded with the acceptance of the final offer submitted by Acea1. The preparatory activities for the realization of the Operation are described in the framework agreement between the Municipality of Terni and Acea (“Framework Agreement”). In particular, it is envisaged that Acea and Acea Ambiente S.r.l., Technologies for Water Services S.p.A., Acea Molise S.r.l. (“Other Companies of the Acea Group”) will subscribe, in two tranches, to a reserved capital increase decided by ASM Terni, as a result of which the Acea Group will come to hold a stake between 40% and 49% in ASM Terni, also in exchange for the transfer to the latter of certain equity interests in other companies2.</w:t>
      </w:r>
    </w:p>
    <w:p>
      <w:r>
        <w:t>4. The corporate governance rules of ASM Terni, as well as those of the companies controlled and participated by it, are contained in a shareholders' agreement between the Municipality of Terni, on one side, and Acea and the Other Companies of the Acea Group, on the other (“Shareholders' Agreement”). These rules will allow Acea to exercise exclusive control over ASM Terni, even as a minority shareholder. Crucial in this regard appears to be Acea's appointment of half of the members of the board of directors, including the managing director, whose vote will count double for the purpose of forming a majority in the event of a tie (so-called casting vote)3 and to whom significant powers of strategic direction are conferred, such as the preparation, modification, approval, and execution of the budget and the industrial plan, the modification of strategic guidelines, and the appointment of top executives. As a result of the Operation, therefore, Acea will exercise a decisive influence on ASM Terni, making strategic decisions for it.</w:t>
      </w:r>
    </w:p>
    <w:p>
      <w:r>
        <w:t>III. QUALIFICATION OF THE OPERATION</w:t>
      </w:r>
    </w:p>
    <w:p>
      <w:r>
        <w:t>5. The communicated Operation, as it involves the acquisition of control of a company, constitutes a concentration pursuant to Article 5, paragraph 1, letter b), of Law No. 287/90. It falls within the scope of application of Law No. 287/90, as the conditions of Article 1 of Regulation (EC) No. 139/044 do not apply, and is subject to the obligation of prior notification provided for by Article 16, paragraph 1, of the same law, as the total turnover achieved, in the last financial year at the national level, by the group of companies involved was over €517 million and the total turnover achieved individually, in the last financial year at the national level, by at least two of the companies involved was over €31 million.</w:t>
      </w:r>
    </w:p>
    <w:p>
      <w:r>
        <w:t>1 On February 16, the Municipality of Terni also requested the Authority for an opinion regarding the correct legal framework of the operation pursuant to Legislative Decree No. 175/2016 (consolidated text on public participation companies, so-called TUSPP) and, ultimately, regarding the legitimacy of the procedure followed for the selection of the private partner, comparable, in particular, to the competitive procedure with negotiation, pursuant to Article 62, Legislative Decree No. 50/2016. The Authority, without prejudice to any assessment of the operation in terms of compatibility with the regulations on concentrations, expressed itself pursuant to Article 22, Law No. 287/90, with opinion ref. No. AS1842 (in bulletin No. 22 of June 13, 2022), in which: (i) it framed the operation within the scope of institutionalized public-private partnership, specifically as the establishment of a mixed company pursuant to Article 7, paragraph 5, TUSPP; (ii) it considered, as far as it is concerned, that the procedure followed ensured a sufficient level of transparency and publicity pursuant to Legislative Decree No. 50/2016; (iii) however, it raised some critical issues regarding the public lighting service in the Municipality of Terni, the only one entrusted to ASM Terni directly by the public entity partner, despite the fact that it does not have the characteristics of an in-house providing company; (iv) it therefore invited the Municipality to proceed as soon as possible to regularize the entrustment of the lighting service in compliance with the existing models for the management of local public services.</w:t>
      </w:r>
    </w:p>
    <w:p>
      <w:r>
        <w:t>2 In particular, [omitted].</w:t>
      </w:r>
    </w:p>
    <w:p>
      <w:r>
        <w:t>3 The casting vote will apply [omitted].</w:t>
      </w:r>
    </w:p>
    <w:p>
      <w:r>
        <w:t>4 The Operation does not present a community dimension as both companies involved (Acea Group and ASM Terni) generated in Italy more than two-thirds of their total turnover in the European Union.</w:t>
      </w:r>
    </w:p>
    <w:p>
      <w:r>
        <w:rPr>
          <w:b/>
        </w:rPr>
        <w:t>[Pages 40–42]</w:t>
      </w:r>
    </w:p>
    <w:p>
      <w:r>
        <w:t>BULLETIN NO. 30 OF AUGUST 8, 2022 41</w:t>
      </w:r>
    </w:p>
    <w:p>
      <w:r>
        <w:t>IV. ASSESSMENT OF THE CONCENTRATION</w:t>
      </w:r>
    </w:p>
    <w:p>
      <w:r>
        <w:t>Relevant markets and effects of the operation</w:t>
      </w:r>
    </w:p>
    <w:p>
      <w:r>
        <w:t>6. Considering the operations of the companies involved in the Operation, it encompasses the sectors of electricity, natural gas, waste, and water services.</w:t>
      </w:r>
    </w:p>
    <w:p>
      <w:r>
        <w:t>The electricity sector</w:t>
      </w:r>
    </w:p>
    <w:p>
      <w:r>
        <w:t>7. Within the electricity sector, due to the operations of the target company, the Operation involves the following relevant markets:</w:t>
        <w:br/>
        <w:t>- production and wholesale supply of electricity;</w:t>
        <w:br/>
        <w:t>- distribution of electricity in the respective concession areas;</w:t>
        <w:br/>
        <w:t>- public lighting services;</w:t>
        <w:br/>
        <w:t>- retail sale of electricity to non-domestic customers connected at low voltage;</w:t>
        <w:br/>
        <w:t>- retail sale of electricity to domestic customers connected at low voltage.</w:t>
      </w:r>
    </w:p>
    <w:p>
      <w:r>
        <w:t>8. The Operation does not produce significant effects regarding the market for the production and wholesale supply of electricity, with a sub-national geographical dimension (corresponding in this case to the macro-south area), in which Acea would continue to hold, following the Operation, a very limited market share (less than 1% both in terms of installed capacity and in terms of volumes produced), in the face of the presence of well-known and qualified competitors such as, among others, Enel and Eni.</w:t>
      </w:r>
    </w:p>
    <w:p>
      <w:r>
        <w:t>9. The activities of electricity distribution and those related to public lighting services, for which the target is operational in the territory of Terni, are carried out under a legal monopoly, by a single company (identified through a competitive procedure or direct assignment) that operates exclusively. Therefore, the Operation, with respect to these markets, results in the mere replacement of one operator with another in the relevant geographical market, coinciding with the geographical perimeter of the assignment.</w:t>
      </w:r>
    </w:p>
    <w:p>
      <w:r>
        <w:t>10. As for the markets for the retail sale of electricity to customers connected at low voltage (both domestic and non-domestic), in its practice, the Authority tends to consider them as markets of local geographical dimension, due to the still strong incidence of sellers connected to the distribution company, which after having exercised a monopoly in selling to bound customers have nonetheless inherited the position of suppliers under greater protection. This incidence is, evidently, greater in local contexts that coincide with the coverage area of the distribution concession. That said, it should be noted that, due to an increasing contestability of customers by operators external to the locality in question, where necessary, this geographical limit may need to be subjected to further checks. However, as will be seen, given the position of the Parties, it does not appear essential to carry out such verification in this case, since it would not change the outcome of the assessment, also in light of the fact that in the sale of electricity to customers at low voltage, both domestic and non-domestic, qualified and leading operators at the national level such as Enel, Eni, and Edison are active in all geographical contexts.</w:t>
      </w:r>
    </w:p>
    <w:p>
      <w:r>
        <w:t>11. More specifically, the acquired company operates in these markets solely through Umbria Energy, already jointly controlled by ASM Terni and Acea. Furthermore, Acea operates in the sector also through other companies in the group. Regarding sales to customers connected at low voltage, the jointly held position of the Parties (in terms of GWh sold) at the national level would be limited (less than 10% of sales for non-domestic customers and less than 5% of sales for domestic customers, in both cases with an increase in share attributable to Umbria Energy of less than 1%). The position of the Parties would also be limited with respect to the regional Umbrian scope (amounting to about [10-15%] of sales concerning non-domestic customers and about [1-5%] of sales in the case of domestic customers, with a very limited increase in this case from the other companies – different from Umbria Energy – belonging to the purchaser Acea).</w:t>
      </w:r>
    </w:p>
    <w:p>
      <w:r>
        <w:t>Then, going down to the provincial level, the Parties will hold in both markets a joint position always below 15% in the province of Perugia, both in terms of GWh sold and POD served (also in this case with a minimal contribution from the Acea group companies other than Umbria Energy). In the province of Terni, which, in a first approximation, tends to coincide with the local context in which the seller carries out distribution activities, the joint share of the Parties concerning non-domestic customers is instead about [15-20%] in terms of sales and about [10-15%] in terms of POD served. Regarding domestic customers in the province of Terni, the Parties would hold a joint share of about [15-20%] in terms of sales and about [30-35%] in terms of POD served. In all cases, however, the share attributable to the purchasing group – net of Umbria Energy – is less than 1%.</w:t>
      </w:r>
    </w:p>
    <w:p>
      <w:r>
        <w:t>The natural gas sector</w:t>
      </w:r>
    </w:p>
    <w:p>
      <w:r>
        <w:t>12. With reference to the natural gas sector, considering the operations of the target company, the Operation involves the following relevant markets:</w:t>
        <w:br/>
        <w:t>- distribution of natural gas in the respective concession areas;</w:t>
        <w:br/>
        <w:t>- the market for area tenders for the assignment of the natural gas distribution service;</w:t>
        <w:br/>
        <w:t>- retail sale of natural gas to small customers.</w:t>
      </w:r>
    </w:p>
    <w:p>
      <w:r>
        <w:t>13. As is known, the distribution of natural gas is carried out under a legal monopoly within the territorial scope of each concession. Therefore, regarding this market, the Operation can only result in the mere replacement of one operator with another.</w:t>
      </w:r>
    </w:p>
    <w:p>
      <w:r>
        <w:t>14. As for the market for area tenders for the assignment of this service, it, as per the Authority's practice, has a geographical dimension coinciding with the single area tender of interest. These areas, also called ATEM, have a local dimension, typically infra-regional and sometimes, but not necessarily, coinciding with provincial boundaries. Due to informational, organizational, and financial advantages, the Authority has deemed, in its numerous precedents, that the set of participants in future ATEM tenders can be identified based on the prior presence of operators as outgoing managers in the ATEM of interest or, at most, based on significant and widespread presence in neighboring ATEMs. In this sense, the first and primary evaluation criterion adopted by the Authority in previous concentration operations is represented by the prior presence of the Parties in the considered ATEM, measured in terms of managed PDR shares.</w:t>
      </w:r>
    </w:p>
    <w:p>
      <w:r>
        <w:t>15. In this case, the acquired company ASM Terni holds 40% of the company Umbria Distribuzione Gas, which provides the natural gas distribution service in the Municipality of Terni, which amounts, in terms of PDR, to about [55-60%] of the corresponding ATEM of reference, which will be the subject of the future area tender. In this regard, it is noted that Umbria Distribuzione Gas is also 15% owned by Acea, as well as by the national operator Italgas. Therefore, as a result of the Operation, this company comes under the exclusive control of the Acea group, which, however, is not active in any other concession belonging to the ATEM of Terni nor in any concession belonging to the ATEMs bordering Terni (Siena, Viterbo, Rieti, Perugia 1, and Perugia 2). Therefore, the Operation, which grants control of Umbria Distribuzione Gas to Acea, results in, at most, the replacement of one operator with another in this market.</w:t>
      </w:r>
    </w:p>
    <w:p>
      <w:r>
        <w:t>16. Regarding the market for the retail sale of natural gas to small customers (with consumption below 200,000 cubic meters annually), it is believed, based on the Authority's practice, that, despite the increasing mobility of sales companies throughout the national territory, the geographical scope within which competition takes place still has a local component, although the evolution undergone by this activity makes the precise geographical boundaries of the relevant market uncertain. In any case, in this case, the definition of the exact geographical dimension of the market does not change the assessment of the concentration.</w:t>
      </w:r>
    </w:p>
    <w:p>
      <w:r>
        <w:t>17. It is noted, in this regard, first of all, that ASM Terni is active in the market in question only through the company Umbria Energy S.p.A., which, as mentioned, was already jointly controlled by ASM Terni and Acea prior to the Operation. In any case, both the absolute position acquired with the Operation by the purchasing group and the increase in Acea's market share caused by the addition of sales from Umbria Energy S.p.A. – and thus the increase hypothetically attributable to the Operation – is not suitable to produce restrictive effects. The joint share of the Parties is, in fact, less than 1% at the national level, less than 10% at the level of the Umbria Region, and less than 5% at the level of the province of Perugia, both in terms of volumes sold and PDR served. As for the province of Terni, the cumulative share attributable to the Parties is about [25-30%] in terms of volumes sold and about [20-25%] in terms of PDR served, with a contribution attributable to the other companies belonging to the Acea group other than Umbria Energy S.p.A. which, in both cases, is less than 1%.</w:t>
      </w:r>
    </w:p>
    <w:p>
      <w:r>
        <w:t>The waste sector</w:t>
      </w:r>
    </w:p>
    <w:p>
      <w:r>
        <w:t>18. Regarding the waste sector, the Operation involves the following markets:</w:t>
        <w:br/>
        <w:t>a) collection and transport of municipal solid waste and similar waste;</w:t>
        <w:br/>
        <w:t>b) selection and treatment of non-hazardous unsorted waste;</w:t>
        <w:br/>
        <w:t>c) selection and treatment of sorted waste.</w:t>
      </w:r>
    </w:p>
    <w:p>
      <w:r>
        <w:rPr>
          <w:b/>
        </w:rPr>
        <w:t>[Pages 43–45]</w:t>
      </w:r>
    </w:p>
    <w:p>
      <w:r>
        <w:t>44 BULLETIN NO. 30 OF AUGUST 8, 2022</w:t>
      </w:r>
    </w:p>
    <w:p>
      <w:r>
        <w:t>d) disposal in landfills of waste and stabilized organic fraction (“FOS”) produced by treatment plants.</w:t>
      </w:r>
    </w:p>
    <w:p>
      <w:r>
        <w:t>a) Collection and transport of municipal solid waste and similar waste</w:t>
      </w:r>
    </w:p>
    <w:p>
      <w:r>
        <w:t>19. The activity of collection and transport of municipal solid waste and similar solid waste, including the sweeping of public areas, falls within the integrated management service of urban waste, is carried out under a legal monopoly within each Municipality or Optimal Territorial Area (“ATO”) and has the characteristics of a natural monopoly, in which only the company awarded the service following a public procurement procedure or directly entrusted in-house pursuant to Articles 198 and 202 of Legislative Decree No. 152/2006 (consolidated text on environmental matters or “TUA”) operates.</w:t>
      </w:r>
    </w:p>
    <w:p>
      <w:r>
        <w:t>20. With reference to this market, competitive comparison occurs solely at the time of exclusive service assignment in each Municipality or ATO, through a competitive procedure. In this regard, the market can therefore be identified as that of future tenders for the assignment of such service. Since, in principle, all companies operating in the sector can participate in such procedures, regardless of geographical location, this market could have a national geographical dimension. However, in some recent precedents, the Authority has also hypothesized that, in practice, the number of actual competitors within such tenders is limited to the operators most active at the local level, thus resulting in a more limited geographical extension of the market, typically of a regional type.</w:t>
      </w:r>
    </w:p>
    <w:p>
      <w:r>
        <w:t>21. The geographical dimension adopted, however, does not alter the assessment of the present Operation. In fact, ASM Terni is currently entrusted, together with the National Services Consortium Cooperative (“CNS”), with the integrated waste management service for the Integrated Territorial Area No. 4 (“ATI4”), based on a concession established following the awarding of a tender issued by the ATI itself for a period of 15 years, i.e. until June 26, 2029. The Acea Group, on the other hand, does not operate in the municipal waste collection sector in any geographical area. In this sense, therefore, the operation represents the mere replacement of one operator with another.</w:t>
      </w:r>
    </w:p>
    <w:p>
      <w:r>
        <w:t>b) Selection and treatment of non-hazardous mixed waste</w:t>
      </w:r>
    </w:p>
    <w:p>
      <w:r>
        <w:t>22. The market for the selection and treatment of waste is downstream of the collection and transport activities and is differentiated based on the type of waste treated, regardless of the origin of the waste itself (urban or special). Considering the activities of the Parties, the markets for the selection and treatment of non-hazardous mixed waste and for the selection and treatment of differentiated waste are particularly relevant.</w:t>
      </w:r>
    </w:p>
    <w:p>
      <w:r>
        <w:t>23. In its precedents, the Authority has considered that the market for the treatment of non-differentiated urban waste has a local dimension, at most regional, unless there are inter-regional agreements for the transfer of waste outside the region. This market is characterized by an initial phase, in which a portion of the waste can be sent “as is” directly to incineration, with or without energy recovery, in the appropriate waste-to-energy plants (“TMV”) that are equipped with the technology for the disposal of untreated waste, while all the remaining non-differentiated waste is sent for treatment in mechanical-biological treatment plants (“TMB”); with reference to the material sent to the latter, the supply chain is then articulated in a second phase concerning the products resulting from such pre-treatment.</w:t>
      </w:r>
    </w:p>
    <w:p>
      <w:r>
        <w:t>24. Currently, in Umbria, the management system is still divided into four sub-areas. The current waste management plan for urban and assimilated waste for ATI4 (whose territory corresponds to the Province of Terni) has established, among other things, that the selection and disposal phase of municipal solid waste produced in the territory is organized based on the existing plant system, through agreements with the operators of such plants that guarantee access to the service by the entity entrusted with the collection and transport service at predetermined rates and conditions. In particular, in 2014, a framework service contract was signed between the parties (i.e. between the operators of the plants, the entity entrusted with the waste management service, ATI4, and the municipalities of the area) for the regulation of the related relationships (the “Framework Contract”), subsequently accompanied by a series of service contracts and conferment contracts between each plant operator, the entity entrusted with the service, ATI4, and the municipalities of the area. The duration of these agreements corresponds to that of the assignment of the urban waste management service, i.e. as seen for ATI4 until 2029. The management of waste flows and the related counterbalances are therefore regulated ex ante and do not depend on the discretion of the operators. For this reason, the operation does not have any effect on such markets.</w:t>
      </w:r>
    </w:p>
    <w:p>
      <w:r>
        <w:t>c) Selection and treatment of differentiated waste</w:t>
      </w:r>
    </w:p>
    <w:p>
      <w:r>
        <w:t>25. As for the market for the selection and treatment of differentiated urban and non-hazardous special waste, it is constituted by companies specialized in the treatment and recovery of the various commodity fractions. Since there is no regulatory constraint limiting the scope of action of companies for this type of waste, the geographical extension of this market must be understood as limited solely by transportation costs. In this regard, the Authority, in its precedents, has therefore considered that this market has a macro-regional geographical dimension. In the specific case, due to the operations of the interested companies, the overlap would concern the central macro-area (comprising the regions of Tuscany, Umbria, Marche, Lazio).</w:t>
      </w:r>
    </w:p>
    <w:p>
      <w:r>
        <w:t>26. In particular, ASM Terni and the Acea Group manage two anaerobic digestion plants for the treatment of the wet fraction from separate collection in the province of Terni, respectively, in Nera Montoro and Orvieto. ASM Terni, in fact, holds a representative 50% stake in the share capital of GreenAsm S.r.l., which manages a biological treatment plant for organic waste owned by Algowatt S.p.A. in Nera Montoro, while the Acea Group manages the plant complex in Orvieto, which also includes an anaerobic digestion and composting plant.</w:t>
      </w:r>
    </w:p>
    <w:p>
      <w:r>
        <w:t>27. As in the case of the selection and treatment of non-differentiated urban waste, however, for the treatment and selection of organic waste, the origin of the waste is predetermined by the respective user basins assigned pursuant to the Waste Management Plan in the various conferment contracts. Moreover, currently, these are not sufficient to ensure a satisfactory utilization rate of the available capacity, so much so that the plants also operate in competition by accepting waste from other regions. Regarding the “necessary” activity subject to the above-described constraints, the GreenAsm plant is therefore not in competition with other plants of the same type, including the Orvieto plant owned by the Acea Group. As for the additional activity carried out, the relevant geographical market has a supra-regional dimension, corresponding, in</w:t>
      </w:r>
    </w:p>
    <w:p>
      <w:r>
        <w:rPr>
          <w:b/>
        </w:rPr>
        <w:t>[Pages 46–48]</w:t>
      </w:r>
    </w:p>
    <w:p>
      <w:r>
        <w:t>BULLETIN NO. 30 OF AUGUST 8, 2022 47</w:t>
      </w:r>
    </w:p>
    <w:p>
      <w:r>
        <w:t>in the specific case, with the central macro-area. In this regard, it is noted that in 2020 the percentage of capacity treated for the organic fraction by the plants of ASM Terni and Acea compared to the total of the plants present in the macro-area was approximately [1-5%] for ASM and approximately [10-15%] for Acea, for an aggregated share of approximately [15-20%].</w:t>
      </w:r>
    </w:p>
    <w:p>
      <w:r>
        <w:t>d) Disposal in landfill of waste and FOS produced by treatment plants</w:t>
      </w:r>
    </w:p>
    <w:p>
      <w:r>
        <w:t>28. As in the case of the selection and treatment of separated waste, there are no regulatory or administrative constraints on the movement of waste; however, the Authority has previously observed how the application of the principle of proximity and the burden of transportation costs determine that the movement of waste is in fact minimized. The geographical area within which disposal takes place, therefore, mainly depends on the number of available plants in the area where they are produced, as only in the absence of adequate local disposal capacity are the waste transported to more distant plants.</w:t>
      </w:r>
    </w:p>
    <w:p>
      <w:r>
        <w:t>29. In the specific case, ASM Terni is not active in this market, as it currently does not own any disposal plant, but it disposes of the waste generated by its Maratta Bassa plant in the Orvieto landfill owned by the Acea Group, in compliance with the provisions of the Area Plan and the Framework Contract. As noted regarding the treatment plants for undifferentiated waste, the regulations in force in Umbria exclude that ASM Terni can make different choices regarding the landfill in which to dispose of its waste. Therefore, the Operation will not bring any changes to the current market structure, given that the vertical relationship described between ASM Terni and the Acea Group is already existing and imposed by the Framework Contract in force until 2029.</w:t>
      </w:r>
    </w:p>
    <w:p>
      <w:r>
        <w:t>30. In conclusion, the specific sector regulation currently in force in the area of interest, for which the waste collection service operator does not have the authority to select the disposal plants for undifferentiated urban waste, the organic fraction resulting from separate collection, the related waste, and FOS, since the flows and rates are predetermined at the ATO level in the Area Plan and in the Framework Contract, allows us to exclude that this Operation generates vertical effects, although the Acea Group is present in some vertically related markets to those in which ASM Terni is active. Only for the fractions of separate collection other than organic, in the absence of administrative and regulatory constraints, the Operation achieves a vertical integration between the activities of the Parties, as the contractor of the collection service can choose where and to whom to dispose of the waste. The Operation, however, will not change the current competitive scenario, as it will only serve to consolidate an already existing vertical link, considering that ASM Terni already disposes of a large part of the collected volumes of separated waste to Acea Group plants.</w:t>
      </w:r>
    </w:p>
    <w:p>
      <w:r>
        <w:t>The water sector</w:t>
      </w:r>
    </w:p>
    <w:p>
      <w:r>
        <w:t>31. The Operation finally involves the market for the management of the integrated water service (“SII”), which includes activities such as water capture, conveyance, purification, and distribution (so-called aqueduct services), the collection of wastewater (so-called sewer service), and their purification (so-called purification service). The management of the SII is entrusted to a single manager through public tender procedures or in-house by the area government bodies (“EGA”) with reference to the individual ATO identified by the regions pursuant to Article 147, TUA. This market, therefore, represents a natural monopoly and has a local geographical dimension, coinciding with the extent of the ATO for which the service has been entrusted. The Operation could also concern the broader market for tenders for the management of the SII, which could have at least a national dimension, given the possibility for all operators to participate in tenders throughout the national territory.</w:t>
      </w:r>
    </w:p>
    <w:p>
      <w:r>
        <w:t>32. In particular, the Umbria Region has identified the entire regional territory as ATO and has entrusted the functions regarding water resources and waste to a single entity, the Umbrian Authority for Waste and Water Resources (“AURI”), in which all the municipalities of the Region participate and which takes over from the previous ATI in the existing agreements and contracts. The management structure of the SII authorized under the then-current regulations is also safeguarded by Article 172, TUA, therefore the single manager identified by AURI will take over only at the expiration date of the relevant contracts.</w:t>
      </w:r>
    </w:p>
    <w:p>
      <w:r>
        <w:t>33. With specific reference to the ATI, the SII manager until December 31, 2032, is Servizio Idrico Integrato S.C.p.A. (“SII Terni”), whose share capital is held 40% by Umbria Due Servizi Idrici S.c.a.r.l. (a company of the Acea Group), approximately 3% by ASM Terni, and 6% by Aman S.C.p.A., which represent the three operational partners that share the management of the company. The Operation, in this market, therefore results in the consolidation of Acea's participation in SII Terni, with the reduction from three to two of the number of operational partners.</w:t>
      </w:r>
    </w:p>
    <w:p>
      <w:r>
        <w:t>34. With reference to the broader market for tenders for the management of the SII, the Operation does not seem to generate any effect on the landscape of potential candidates to participate in the tenders, also considering as such all operators currently engaged in the management of the SII. In fact, while the Acea Group has a national share of [15-20%] in terms of served users and [20-25%] in terms of volume supplied, ASM Terni does not reach, either in value or in volume, 1% of the total SII management activities at the national level, therefore its contribution is not able to alter the existing competitive dynamics in the market.</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r>
    </w:p>
    <w:p>
      <w:r>
        <w:t>Guido Stazi Roberto Rustichelli</w:t>
      </w:r>
    </w:p>
    <w:p>
      <w:r>
        <w:rPr>
          <w:b/>
        </w:rPr>
        <w:t>[Pages 49–51]</w:t>
      </w:r>
    </w:p>
    <w:p>
      <w:r>
        <w:t>50 BULLETIN NO. 30 OF AUGUST 8, 2022</w:t>
      </w:r>
    </w:p>
    <w:p>
      <w:r>
        <w:t>C12465 - FLUTTER ENTERTAINMENT/SISAL</w:t>
      </w:r>
    </w:p>
    <w:p>
      <w:r>
        <w:t>Decision No. 30251</w:t>
      </w:r>
    </w:p>
    <w:p>
      <w:r>
        <w:t>THE ANTITRUST AUTHORITY</w:t>
      </w:r>
    </w:p>
    <w:p>
      <w:r>
        <w:t>IN ITS MEETING of July 19, 2022;</w:t>
      </w:r>
    </w:p>
    <w:p>
      <w:r>
        <w:t>HEARD the Rapporteur President Roberto Rustichelli;</w:t>
      </w:r>
    </w:p>
    <w:p>
      <w:r>
        <w:t>HAVING REGARD to Regulation (EC) No. 139/2004 of the Council, of January 20, 2004, concerning the control of concentrations between undertakings;</w:t>
      </w:r>
    </w:p>
    <w:p>
      <w:r>
        <w:t>HAVING REGARD to Law No. 287 of October 10, 1990;</w:t>
      </w:r>
    </w:p>
    <w:p>
      <w:r>
        <w:t>HAVING REGARD to Presidential Decree No. 217 of April 30, 1998;</w:t>
      </w:r>
    </w:p>
    <w:p>
      <w:r>
        <w:t>HAVING REGARD to the decision of the European Commission of July 1, 2022, to refer the case M10656 - FLUTTER ENTERTAINMENT/SISAL, following a reasoned request pursuant to Article 4, paragraph 4, of Regulation (EC) No. 139/2004 from the company Flutter Entertainment Plc;</w:t>
      </w:r>
    </w:p>
    <w:p>
      <w:r>
        <w:t>HAVING REGARD to the communication from Flutter Entertainment Plc, received on July 1, 2022, supplemented on July 12 and 18, 2022;</w:t>
      </w:r>
    </w:p>
    <w:p>
      <w:r>
        <w:t>HAVING REGARD to the documentation on file;</w:t>
      </w:r>
    </w:p>
    <w:p>
      <w:r>
        <w:t>CONSIDERING the following:</w:t>
      </w:r>
    </w:p>
    <w:p>
      <w:r>
        <w:t>I. THE PARTIES</w:t>
      </w:r>
    </w:p>
    <w:p>
      <w:r>
        <w:t>1. Flutter Entertainment Plc (hereinafter, “Flutter” or “Buyer”), a company incorporated and domiciled in Ireland, is the holding company of the Flutter Group, a global provider of sports betting, gaming, and entertainment services, managing some of the world's most famous online betting and gaming brands, namely PaddyPower, Betfair, PokerStars, Sky Bet, Sportsbet, FOX Bet, FanDuel, TVG, Tombola, Junglee Games, and Adjarabet. In Italy, Flutter's presence is through the brands Betfair, PokerStars, and Tombola and their respective online betting and gaming sites: www.betfair.it1, www.pokerstars.it2, and www.tombola.it3. Flutter's offering in Italy does not include entertainment and amusement devices: AWP (Amusement with Prizes) and VLT (Videolotteries) and lotteries; furthermore, Flutter has no retail activities in Italy. In 2021, Flutter achieved a consolidated worldwide revenue of [7-8]* billion euros, of which approximately [700–1,000] million euros were generated in Europe and approximately [100-517] million euros in Italy.</w:t>
      </w:r>
    </w:p>
    <w:p>
      <w:r>
        <w:t xml:space="preserve">1 The site www.betfair.it is managed by Betfair Italia S.r.l., a company controlled by Betfair Group Plc, part of the Flutter group, which operates in Italy with a regular license for the operation of public gaming granted by the Customs and Monopolies Agency. </w:t>
        <w:br/>
        <w:t xml:space="preserve">2 The site www.pokerstars.it is managed by REEL Italy Ltd, part of the Flutter group, which operates in Italy with a regular license for the operation of public gaming also granted by the Customs and Monopolies Agency. </w:t>
        <w:br/>
        <w:t xml:space="preserve">3 The site www.tombola.it is managed by Tombola International Malta Plc, part of the Flutter group, which operates in Italy with a regular license for the operation of public gaming also granted by the Customs and Monopolies Agency. </w:t>
        <w:br/>
        <w:t>* In this version, some data are omitted, as elements of confidentiality or secrecy of the information were deemed to exist.</w:t>
      </w:r>
    </w:p>
    <w:p>
      <w:r>
        <w:t>BULLETIN NO. 30 OF AUGUST 8, 2022</w:t>
      </w:r>
    </w:p>
    <w:p>
      <w:r>
        <w:t>2. Sisal S.p.A. (hereinafter, “Sisal” or “Target”), a company under Italian law wholly owned and exclusively controlled by the Luxembourg company Schumann Investments S.A. (hereinafter, “Schumann Investments” or “Seller”)4, is the parent company of the Sisal Group currently active in Italy, Spain, Turkey, and Morocco. In particular, following the separation of the Gaming business unit from the Banking &amp; Payments unit (which is not included in the scope of the transaction), Sisal's operational segments are as follows: a. retail Italy: segment that manages Sisal's physical distribution network in Italy and the following retail offering of Sisal: • entertainment and amusement devices: AWP (Amusement with Prizes) and VLT (Videolotteries); • fixed-odds and pool betting on physical channels on sports, horse racing, and virtual events5; • lotteries on physical channels: National Pool Numeric Games, such as: “SuperEnalotto”, “SuperStar”, “SiVinceTutto”, “Win for Life”, “Eurojackpot”, and “VinciCasa”; b. online games Italy: related to the management of activities carried out in the online gaming and betting collection sector through the website www.sisal.it and mobile applications. Sisal's online offering includes: • fixed-odds and pool betting on online channels on sports, horse racing, and virtual events; • online games, including cards and skill games: tournament poker, cash poker, casino, bingo, etc.; • lotteries on online channels6; c. international: dedicated to the international development of Sisal's business, currently active in Spain, Turkey, and Morocco. In these markets, Sisal offers online games, lotteries, betting, and entertainment products. In 2021, Sisal achieved a consolidated worldwide revenue of approximately [100-517] million euros, of which approximately [100-517] million euros were generated in Europe and approximately [100-517] million euros in Italy.</w:t>
      </w:r>
    </w:p>
    <w:p>
      <w:r>
        <w:t xml:space="preserve">4 Schumann Investments is an investment vehicle indirectly and wholly owned by investment funds managed by an indirect subsidiary of the Luxembourg CVC Capital Partners SICAV-FIS S.A. </w:t>
        <w:br/>
        <w:t xml:space="preserve">5 Sports and horse racing betting (including football, tennis, basketball, Formula 1, Moto GP, and horse racing) and virtual betting, which consists of fixed-odds betting based on virtual events whose results are generated and transmitted using animation or pre-recorded real events. Sisal's betting portfolio also includes bets on entertainment and TV programs such as the Sanremo Festival, X Factor, Big Brother, and Isola dei Famosi. </w:t>
        <w:br/>
        <w:t>6 All lottery products offered by Sisal as a concessionaire (such as: “SuperEnalotto”, “SuperStar”, “SiVinceTutto”, “Win for Life”, “Eurojackpot”, and “VinciCasa”) are offered indiscriminately in both the physical and online channels, except for “PlaySix” which is the only Numeric Game offered only online.</w:t>
      </w:r>
    </w:p>
    <w:p>
      <w:r>
        <w:t>52 BULLETIN NO. 30 OF AUGUST 8, 2022</w:t>
      </w:r>
    </w:p>
    <w:p>
      <w:r>
        <w:t>II. DESCRIPTION OF THE TRANSACTION</w:t>
      </w:r>
    </w:p>
    <w:p>
      <w:r>
        <w:t>3. The communication in question concerns the acquisition of 100% of Sisal from Schumann Investments by Flutter following a Share Purchase and Transfer Agreement (hereinafter, “SPTA”), executed on December 23, 2021.</w:t>
      </w:r>
    </w:p>
    <w:p>
      <w:r>
        <w:t>4 Schumann Investments is an investment vehicle indirectly and wholly owned by investment funds managed by an indirect subsidiary of the Luxembourg CVC Capital Partners SICAV-FIS S.A.</w:t>
      </w:r>
    </w:p>
    <w:p>
      <w:r>
        <w:t>III. QUALIFICATION OF THE TRANSACTION</w:t>
      </w:r>
    </w:p>
    <w:p>
      <w:r>
        <w:t>4. The transaction subject to communication presents a community dimension. In fact: a) it exceeds the thresholds set out in Article 1, paragraph 2, letter a, of Regulation (EC) No. 139/2004, as the worldwide revenue generated by the Parties in 2021 is over 5 billion euros; b) it exceeds the thresholds set out in Article 1, paragraph 2, letter b, of Regulation (EC) No. 139/2004, as the revenue generated individually in the European Union by Flutter and Sisal in 2021 was over 250 million euros and Flutter and Sisal did not generate more than two-thirds of their respective revenue in the European Union in a single Member State of the European Union.</w:t>
      </w:r>
    </w:p>
    <w:p>
      <w:r>
        <w:t>5. However, on July 1, 2022, the European Commission, at the request of Flutter, adopted a decision referring the assessment of the effects of the transaction in Italy to the Authority, while maintaining its jurisdiction over the portion of the transaction concerning markets other than Italy.</w:t>
      </w:r>
    </w:p>
    <w:p>
      <w:r>
        <w:t>6. The transaction, for its effects in Italy, must therefore be assessed pursuant to Article 4, paragraph 4, of Regulation (EC) No. 139/2004, applying national competition law.</w:t>
      </w:r>
    </w:p>
    <w:p>
      <w:r>
        <w:t>7. Furthermore, the transaction meets the thresholds set out in Article 16 of Law No. 287 of October 10, 1990, as the combined revenue generated by the Parties in Italy in the last financial year exceeds 517 million euros and the national revenue generated individually in the last financial year by at least two of the companies involved exceeds 31 million euros.</w:t>
      </w:r>
    </w:p>
    <w:p>
      <w:r>
        <w:t>IV. ASSESSMENT OF THE CONCENTRATION</w:t>
      </w:r>
    </w:p>
    <w:p>
      <w:r>
        <w:t>8. The transaction in question concerns the collection activities from games and betting as Flutter and Sisal engage in such activities, particularly regarding the collection from betting and that from online games.</w:t>
      </w:r>
    </w:p>
    <w:p>
      <w:r>
        <w:t>9. In the upstream market, i.e., that of the production, development, and provision of games and betting and lottery services, including the underlying technological solutions and services, both Flutter and Sisal are not active.</w:t>
      </w:r>
    </w:p>
    <w:p>
      <w:r>
        <w:t>10. With reference to the collection activities from games and betting, based on the differentiations observed from the demand side, in terms of game penetration and user profile, as well as in relation to the peculiarities in the offering, concerning the characteristics of the products and the impact of regulation on the competitive levers used by operators, the Authority, during the concentration operation C12371 - GAMENET GROUP/LOTTOMATICA VIDEOLOT RETE-LOTTOMATICA SCOMMESSE7, found sufficient elements to identify the following relevant markets, distinct for the different gaming products, all three of national dimensions: i) the market for collection from entertainment and amusement devices (AWP (Amusement with Prizes) and VLT (Videolotteries); ii) the market for collection from betting which includes both physical agencies and online and the following types of betting: sports, horse racing, and virtual events; and iii) the market for collection from online games, which includes all the different categories of online gaming: online Casino; online Poker, online Bingo, and online skill games.</w:t>
      </w:r>
    </w:p>
    <w:p>
      <w:r>
        <w:t>7 See Bulletin No. 21/2021, Decision No. 29652.</w:t>
      </w:r>
    </w:p>
    <w:p>
      <w:r>
        <w:rPr>
          <w:b/>
        </w:rPr>
        <w:t>[Pages 52–54]</w:t>
      </w:r>
    </w:p>
    <w:p>
      <w:r>
        <w:t>BULLETIN NO. 30 OF AUGUST 8, 2022 53</w:t>
      </w:r>
    </w:p>
    <w:p>
      <w:r>
        <w:t>11. Furthermore, for the purposes of evaluating this operation, it should also be noted that Sisal carries out the activity of collecting from instant and deferred lotteries, both through the physical channel and through the online channel.</w:t>
      </w:r>
    </w:p>
    <w:p>
      <w:r>
        <w:t>12. Based on the aforementioned decision-making practice of the Authority, the activity of collecting from instant and deferred lotteries, both through the physical channel and through the online channel, does not fall within any of the three relevant markets specifically identified.</w:t>
      </w:r>
    </w:p>
    <w:p>
      <w:r>
        <w:t>13. However, the Authority has not yet expressed itself on the possibility that the activity of collecting from instant and deferred lotteries, both through the physical channel and through the online channel, constitutes a relevant market in its own right or whether it should be included in a broader market that also encompasses other gaming collection activities.</w:t>
      </w:r>
    </w:p>
    <w:p>
      <w:r>
        <w:t>14. From a geographical perspective, on the other hand, the considerations made at the time, which led to the definition of the markets as national in size, can also be deemed valid for the activity in question, as it is an activity carried out under a national single concession regime.</w:t>
      </w:r>
    </w:p>
    <w:p>
      <w:r>
        <w:t>15. In any case, it does not seem necessary to provide a precise commodity delimitation of the relevant market, as the operation is not likely to alter the structure of the offer, regardless of the definition of the relevant market adopted.</w:t>
      </w:r>
    </w:p>
    <w:p>
      <w:r>
        <w:t>16. In fact, Flutter's offer in Italy does not include lotteries and therefore, there is no horizontal overlap between Flutter and Sisal with respect to the activity of collecting from lotteries.</w:t>
      </w:r>
    </w:p>
    <w:p>
      <w:r>
        <w:t>17. The operation, therefore, will simply involve the replacement of one operator with another and will not affect the existing competitive landscape prior to the operation in the possible market of collecting from instant and deferred lotteries, both through the physical channel and through the online channel, or in a possible broader commodity market.</w:t>
      </w:r>
    </w:p>
    <w:p>
      <w:r>
        <w:t>A) Activity of collecting from entertainment and amusement machines</w:t>
      </w:r>
    </w:p>
    <w:p>
      <w:r>
        <w:t>18. In the national market for collecting from entertainment and amusement machines, only Sisal operates with a market share estimated in 2021 at around [5-10%], as Flutter is not active in this market. In fact, Flutter's offer in Italy does not include entertainment and amusement machines.</w:t>
      </w:r>
    </w:p>
    <w:p>
      <w:r>
        <w:t>19. Therefore, given the total absence of horizontal overlaps, the operation has a substantially neutral effect from a competitive standpoint in the market in question, as it results in the mere replacement of one operator (Sisal) with another operator (Flutter).</w:t>
      </w:r>
    </w:p>
    <w:p>
      <w:r>
        <w:t>B) Activity of collecting from bets</w:t>
      </w:r>
    </w:p>
    <w:p>
      <w:r>
        <w:t>20. In the national market for collecting from bets, the operation in question, on the other hand, involves a horizontal overlap in the following terms.</w:t>
      </w:r>
    </w:p>
    <w:p>
      <w:r>
        <w:t>21. Sisal and Flutter are, in fact, both active in this market and the estimated market shares held in 2021 are [10-15%] for Sisal and [1-5%] for Flutter. Therefore, the post-merger share will be [15-20%].</w:t>
      </w:r>
    </w:p>
    <w:p>
      <w:r>
        <w:t>22. The post-merger share in question related to the market for collecting from bets, already contained in itself, based on the data provided by Flutter, does not appear critical for competition also considering the presence of other operators with shares higher or similar to Flutter, such as Gamenet Group S.p.A. (now Lottomatica S.p.A., with [20-25%]), Snaitech S.p.A. (with [15-20%]), respectively the first and second operators in the market in question, followed by competitors: Entain Plc, SKS365 Malta Ltd, and Bet365 Group Ltd.</w:t>
      </w:r>
    </w:p>
    <w:p>
      <w:r>
        <w:t>23. Furthermore, it should be noted that the activity of collecting from bets is solely subject to the issuance of a concession, following an open tender procedure, by the Customs and Monopolies Agency and the current number of concessionaires is high.</w:t>
      </w:r>
    </w:p>
    <w:p>
      <w:r>
        <w:t>24. Moreover, it should be noted that the increase compared to the position held by Sisal before the operation is minimal, amounting to approximately [1-5%] and relating only to the segment represented by sports betting.</w:t>
      </w:r>
    </w:p>
    <w:p>
      <w:r>
        <w:t>25. In fact, Flutter is a small operator in the market for collecting from bets, operating solely in the sports betting segment and through the online channel. Therefore, following the operation, there are no increases in Sisal's current market share in the other segments: horse racing events and virtual events.</w:t>
      </w:r>
    </w:p>
    <w:p>
      <w:r>
        <w:t>26. Finally, the combined share of the Parties in the last three years (2019-2020-2021) has remained virtually constant and hovers around [15-20%].</w:t>
      </w:r>
    </w:p>
    <w:p>
      <w:r>
        <w:t>27. In light of the above considerations, the operation in question does not appear likely to produce prejudicial effects for competition, not resulting in substantial changes to the structure of the market for collecting from bets.</w:t>
      </w:r>
    </w:p>
    <w:p>
      <w:r>
        <w:t>C) Activity of collecting from online games</w:t>
      </w:r>
    </w:p>
    <w:p>
      <w:r>
        <w:t>28. In the national market for collecting from online games, the operation results in a horizontal overlap between the Parties and, as a result, Flutter will become the market leader. In fact, Sisal and Flutter are both active in this market and the estimated market shares held in 2021 are [5-10%] for Sisal and [10-15%] for Flutter. Therefore, the post-merger share will be [20-25%].</w:t>
      </w:r>
    </w:p>
    <w:p>
      <w:r>
        <w:t>29. However, based on the data provided by Flutter, following the operation, Flutter will continue to compete with numerous other significant and qualified operators active in the collection of online games with relevant market shares: Gamenet Group S.p.A. (now Lottomatica S.p.A., with [10-15%]), Entain Plc (with [10-15%]), Snaitech S.p.A. (with [5-10%]), 888 Holdings Plc (with [5-10%]) and SKS365 Malta Ltd (with [5-10%]) and with a wide range of national and multinational operators, with smaller shares compared to the aforementioned competitors, but which will also exert a strong competitive constraint on the Parties.</w:t>
      </w:r>
    </w:p>
    <w:p>
      <w:r>
        <w:t>30. Therefore, Flutter's post-merger market share in the national online gaming market does not seem critical for competition, due to the presence of numerous operators, some of which have market shares not so distant from that of Flutter.</w:t>
      </w:r>
    </w:p>
    <w:p>
      <w:r>
        <w:t>31. In fact, to carry out the activity of collecting from online games, only the possession of a concession issued by the Customs and Monopolies Agency, following an open tender procedure, is required, and the number of authorized remote gaming concessionaires active in providing online games in Italy is high.</w:t>
      </w:r>
    </w:p>
    <w:p>
      <w:r>
        <w:t>32. Furthermore, to operate in the online gaming collection market, no sophisticated technology is required and it is relatively easy to launch a new online gaming offer or expand an existing gaming offer. There are many software providers that provide the necessary basic technology and allow new operators to enter the online gaming collection market quickly and easily, at low costs.</w:t>
      </w:r>
    </w:p>
    <w:p>
      <w:r>
        <w:t>33. Online gaming in Italy is also highly competitive for the following reasons:</w:t>
        <w:br/>
        <w:t>i. switching from one operator to another is easy and quick. Opening online accounts with online gaming operators is free and easy, and customers are incentivized to open new accounts thanks to a wide range of offers available in the market;</w:t>
        <w:br/>
        <w:t>ii. there are high levels of customer "churn" in favor of competing operators. Online gaming operators are vulnerable to high rates of customer churn in favor of other competing operators. The loss of customers to competitors stimulates strong competition among online gaming operators to acquire, retain, and reacquire customers;</w:t>
        <w:br/>
        <w:t>iii. there is intense rivalry based on price and non-price parameters. Price is an important factor in customers' decision-making processes: price competition in online gaming occurs, among other things, in the context of promotions. Promotions or offers are often among the main criteria considered by customers when choosing an operator, but product quality is also a key factor in acquiring, reacquiring, and retaining customers. In fact, most operators compete strongly on product, and the best ideas are widely replicated in the market.</w:t>
      </w:r>
    </w:p>
    <w:p>
      <w:r>
        <w:t>34. Finally, it is also important to note that in the market in question, Flutter's market share is declining compared to the previous year (2020), amounting to [15-20%], with reference to online gaming collection values that grow significantly from about 1.5 billion euros in 2020 to about 2 billion euros in 2021.</w:t>
      </w:r>
    </w:p>
    <w:p>
      <w:r>
        <w:t>35. Therefore, based on the evidence acquired and the considerations above, the operation in question is not suitable to produce significant effects from a competitive standpoint in the market for collecting from online games.</w:t>
      </w:r>
    </w:p>
    <w:p>
      <w:r>
        <w:rPr>
          <w:b/>
        </w:rPr>
        <w:t>[Pages 55–57]</w:t>
      </w:r>
    </w:p>
    <w:p>
      <w:r>
        <w:t>56 BULLETIN NO. 30 OF AUGUST 8, 2022</w:t>
      </w:r>
    </w:p>
    <w:p>
      <w:r>
        <w:t>CONSIDERED, therefore, that the operation in question does not result, pursuant to Article 6, paragraph 1, of Law No. 287 of October 10, 1990,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 of October 10, 1990. The above conclusions will be communicated, pursuant to Article 16, paragraph 4, of Law No. 287 of October 10, 1990, to the interested companies and to the Minister of Economic Development. The measure will be published in the Bulletin of the Antitrust Authority.</w:t>
      </w:r>
    </w:p>
    <w:p>
      <w:r>
        <w:t>THE SECRETARY GENERAL THE PRESIDENT</w:t>
      </w:r>
    </w:p>
    <w:p>
      <w:r>
        <w:t>Guido Stazi Roberto Rustichelli</w:t>
      </w:r>
    </w:p>
    <w:p>
      <w:r>
        <w:t>BULLETIN NO. 30 OF AUGUST 8, 2022</w:t>
      </w:r>
    </w:p>
    <w:p>
      <w:r>
        <w:t>57 UNFAIR COMMERCIAL PRACTICES</w:t>
      </w:r>
    </w:p>
    <w:p>
      <w:r>
        <w:t>PS12138 - TRECCANI NETWORKS - DOOR-TO-DOOR SALES</w:t>
      </w:r>
    </w:p>
    <w:p>
      <w:r>
        <w:t>Provision No. 30257</w:t>
      </w:r>
    </w:p>
    <w:p>
      <w:r>
        <w:t>THE ANTITRUST AUTHORITY</w:t>
      </w:r>
    </w:p>
    <w:p>
      <w:r>
        <w:t>IN ITS MEETING of July 19, 2022;</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December 23, 2021, subsequently supplemented on May 26, 2022, in its final version, with which Treccani Reti Spa submitted commitments, pursuant to Article 27, paragraph 7, of the Consumer Code and Article 9 of the Regulation;</w:t>
      </w:r>
    </w:p>
    <w:p>
      <w:r>
        <w:t>HAVING REGARD to the communication of December 23, 2021, subsequently supplemented on May 12, 2022, with which GSLP Cross Selling S.r.l. submitted commitments, pursuant to Article 27, paragraph 7, of the Consumer Code and Article 9 of the Regulation;</w:t>
      </w:r>
    </w:p>
    <w:p>
      <w:r>
        <w:t>HAVING REGARD to its resolutions of March 23, 2022, and May 25, 2022, with which, pursuant to Article 7, paragraph 3, of the Regulation, the deadline for concluding the procedure was extended;</w:t>
      </w:r>
    </w:p>
    <w:p>
      <w:r>
        <w:t>HAVING REGARD to the acts of the procedure;</w:t>
      </w:r>
    </w:p>
    <w:p>
      <w:r>
        <w:t>I. THE PARTIES</w:t>
      </w:r>
    </w:p>
    <w:p>
      <w:r>
        <w:t>1. Treccani Reti S.p.a. (also TR), with registered office in Rome, is engaged in the marketing, primarily door-to-door, of Treccani products consisting of books, dictionaries, high-quality editions, reproductions of illuminated manuscripts, clocks, medals, art replicas, etc.</w:t>
      </w:r>
    </w:p>
    <w:p>
      <w:r>
        <w:t>2. GSLP Cross Selling S.r.l. (also GSLP), with registered office in Bologna, carries out, based on an agency relationship with TR, door-to-door sales of Treccani products, primarily in the North West area.</w:t>
      </w:r>
    </w:p>
    <w:p>
      <w:r>
        <w:t>II. THE COMMERCIAL PRACTICES</w:t>
      </w:r>
    </w:p>
    <w:p>
      <w:r>
        <w:t>3. The procedure concerns two commercial practices that would have been adopted by GSLP and TR:</w:t>
      </w:r>
    </w:p>
    <w:p>
      <w:r>
        <w:t>a) one practice would have been adopted by GSLP, as the executor, and by TR, as the beneficiary, in possible violation of Article 22, paragraph 2 and/or Article 23, letter aa) of the Consumer Code. The agents of TR belonging to GSLP would omit to indicate, in the first telephone contact with consumers aimed, according to what was communicated over the phone, at setting an appointment with TR representatives for the delivery of a Treccani product as a gift, that the meeting would, in fact, also have commercial purposes regarding the sale of Treccani products;</w:t>
      </w:r>
    </w:p>
    <w:p>
      <w:r>
        <w:t>b) the second practice, adopted by TR, in possible violation of Article 21, paragraph 2, letters b) and d) of the Consumer Code, would concern the representation of non-existent characteristics of the marketed product and of its economic value significantly higher than the actual one. The product would be presented by TR agents, moreover, as a safe investment, subject to revaluations, which could therefore constitute, eventually, an important inheritance. The installment payment methods could also contribute to generating confusion among consumers regarding the actual economic value of the purchased product, as they would make it more difficult to perceive the overall economic outlay, leading them to consider the financial commitment more sustainable.</w:t>
      </w:r>
    </w:p>
    <w:p>
      <w:r>
        <w:t>III. THE OUTCOMES OF THE PROCEDURE</w:t>
      </w:r>
    </w:p>
    <w:p>
      <w:r>
        <w:t>1) The course of the procedure</w:t>
      </w:r>
    </w:p>
    <w:p>
      <w:r>
        <w:t>4. On November 4, 2021, the initiation of the PS12138 investigative procedure was communicated to Treccani Reti S.p.A. for possible violation of Article 22, paragraph 2, and/or Article 23, letter aa), as well as Article 21, paragraph 2, letters b) and d) of the Consumer Code, and to GSLP Cross Selling S.r.l. for possible violation of Article 22, paragraph 2, and/or Article 23, letter aa) of the Consumer Code.</w:t>
      </w:r>
    </w:p>
    <w:p>
      <w:r>
        <w:t>5. On November 9, 2021, inspection checks were carried out at the registered office of Treccani Reti S.p.A. in Rome and at the registered office of GSLP Cross Selling S.r.l. in Bologna.</w:t>
      </w:r>
    </w:p>
    <w:p>
      <w:r>
        <w:t>6. On November 22, 2021, the consumer association Codici was admitted to participate in the procedure, which had submitted a request to intervene in the procedure on November 11, 2021.</w:t>
      </w:r>
    </w:p>
    <w:p>
      <w:r>
        <w:t>7. Treccani Reti S.p.A. submitted its defense memorandum on November 29, 2021.</w:t>
      </w:r>
    </w:p>
    <w:p>
      <w:r>
        <w:t>8. On November 29, 2021, Treccani Reti S.p.A. provided the information and documentation requested in the initiation communication, subsequently supplemented with</w:t>
      </w:r>
    </w:p>
    <w:p>
      <w:r>
        <w:rPr>
          <w:b/>
        </w:rPr>
        <w:t>[Pages 58–60]</w:t>
      </w:r>
    </w:p>
    <w:p>
      <w:r>
        <w:t>BULLETIN NO. 30 OF AUGUST 8, 2022 59</w:t>
      </w:r>
    </w:p>
    <w:p>
      <w:r>
        <w:t>communication received on April 4, 2022, following the further request for information made in the inspection report.</w:t>
      </w:r>
    </w:p>
    <w:p>
      <w:r>
        <w:t>9. On November 29, 2021, GSLP Cross Selling S.r.l. provided the information and documentation requested in the initiation communication.</w:t>
      </w:r>
    </w:p>
    <w:p>
      <w:r>
        <w:t>10. On December 23, 2021, Treccani Reti S.p.A. submitted commitments, pursuant to Article 27, paragraph 7, of the Consumer Code and Article 9 of the Regulation, in order to remove the profiles of unfairness of the contested commercial practices. These were integrated on May 26, 2022, in the final consolidated version.</w:t>
      </w:r>
    </w:p>
    <w:p>
      <w:r>
        <w:t>11. On December 23, 2021, GSLP Cross Selling S.r.l. submitted commitments, pursuant to Article 27, paragraph 7, of the Consumer Code and Article 9 of the Regulation, in order to remove the profiles of unfairness of the contested commercial practice. These were integrated on May 12, 2022, in the final consolidated version.</w:t>
      </w:r>
    </w:p>
    <w:p>
      <w:r>
        <w:t>12. On March 23, 2022, the Parties were notified of the extension of the deadline for concluding the procedure adopted by the Authority on March 22, 2022.</w:t>
      </w:r>
    </w:p>
    <w:p>
      <w:r>
        <w:t>13. On May 25, 2022, the Parties were notified of the extension of the deadline for concluding the procedure adopted by the Authority on May 24, 2022.</w:t>
      </w:r>
    </w:p>
    <w:p>
      <w:r>
        <w:t>14. On June 1, 2022, the Parties were notified of the conclusion date of the investigative phase, pursuant to Article 16, paragraph 1, of the Regulation.</w:t>
      </w:r>
    </w:p>
    <w:p>
      <w:r>
        <w:t>15. On June 14, 2022, the opinion was requested from the Authority for Guarantees in Communications, pursuant to Article 16, paragraphs 3 and 4, of the Regulation.</w:t>
      </w:r>
    </w:p>
    <w:p>
      <w:r>
        <w:t>16. On July 13, 2022, the opinion from the Authority for Guarantees in Communications was received.</w:t>
      </w:r>
    </w:p>
    <w:p>
      <w:r>
        <w:t>2) The acquired elements</w:t>
      </w:r>
    </w:p>
    <w:p>
      <w:r>
        <w:t>17. TR is controlled by the company Istituto dell’Enciclopedia Italiana founded by Giovanni Treccani S.p.A. (also Istituto dell’Enciclopedia Italiana) and has been operational since January 1, 2019, following the transfer of the business branch related to Editalia S.p.A., which was owned, until 2017, by the Istituto Poligrafico e Zecca dello Stato (also IPZS), acquired by the Istituto dell’Enciclopedia Italiana. The products are made by external companies and artisans on behalf of the Istituto dell’Enciclopedia Italiana and marketed through the Treccani network, or produced by IPZS based on an agreement concluded with TR itself and marketed through the Editalia network. Both networks, based on a non-representative agency relationship, are managed by TR.</w:t>
      </w:r>
    </w:p>
    <w:p>
      <w:r>
        <w:t>18. With reference to the behaviors analyzed within the procedure, the acquired elements – in particular the investigative evidence that emerges from the investigations carried out by the Savona Prosecutor's Office, from the inspection documentation, and from the information provided by the Professionals in response to the requests for information – highlighted, in summary, the following.</w:t>
      </w:r>
    </w:p>
    <w:p>
      <w:r>
        <w:t>The investigations of the Savona Prosecutor's Office</w:t>
      </w:r>
    </w:p>
    <w:p>
      <w:r>
        <w:t>19. During meetings at the consumer's home, TR agents, in addition to delivering the promised gift, present the purchase of Treccani products as a sure investment even for heirs. The phone calls appear to be made without clarifying the commercial purpose but only to propose the delivery of a gift, and customers claim to have trusted the agents as representatives of Treccani.</w:t>
      </w:r>
    </w:p>
    <w:p>
      <w:r>
        <w:t>20. It appears that the agents, in addition to the gift, present products for sale and, in case of acceptance of the proposal, request a partial advance payment and the installment of the remaining higher amount (the amount subject to installment is immediately assigned by TR to a factoring company). The price applied to the consumer is that indicated in the price list and in the brochures provided by TR.</w:t>
      </w:r>
    </w:p>
    <w:p>
      <w:r>
        <w:t>The inspection documents and the information provided by TR and GSLP</w:t>
      </w:r>
    </w:p>
    <w:p>
      <w:r>
        <w:t>21. The sales force of TR is organized into two sales networks, the Treccani Network and the Editalia Network, based on non-representative agency contracts, coordinated respectively by the general agents of the Treccani Network and by the coordinating agents (area managers) of the Editalia Network.</w:t>
      </w:r>
    </w:p>
    <w:p>
      <w:r>
        <w:t>22. The Treccani Network consists of 15 general agencies, distributed throughout the national territory, with geographical competence usually at the regional level. Each regional agency utilizes its own network of sub-agents, to which TR is not contractually bound (as TR is contractually bound only to the general agents). The call center of each agency contacts potential customers by phone.</w:t>
      </w:r>
    </w:p>
    <w:p>
      <w:r>
        <w:t>23. The Editalia Network is made up of 11 Area Managers, including GSLP, mostly organized in corporate form, managed by Coordinating Agents (also called Area Managers), with regional or supra-regional geographical competence; each Area Manager manages their own network of direct agents. These agencies also have their own call center that contacts potential customers by phone.</w:t>
      </w:r>
    </w:p>
    <w:p>
      <w:r>
        <w:t>24. The amount derived from sales made at consumers' homes is approximately [85-90]* million euros in 2019, approximately [60-65] million euros in 2020, and approximately [30-35] million euros in the first half of 2021.</w:t>
      </w:r>
    </w:p>
    <w:p>
      <w:r>
        <w:t>25. The number of contracts signed is [20,000–25,000] in 2019, [15,000-20,000] in 2020, and [9,000-14,000] in the first half of 2021.</w:t>
      </w:r>
    </w:p>
    <w:p>
      <w:r>
        <w:t>26. With reference to TR's control over the contracts concluded by the agency networks, during the home sales phase, consumers are asked to sign the commission slip, which represents the purchase proposal that is subsequently accepted by TR, with the verification of the customer's solvency. The conclusion of the contract occurs with the invoicing by TR, simultaneous with the shipment if the product is available in stock. TR's control concerns the existence of health vulnerabilities of the buyers or cases of customers subjected to support administration, even after the contract is signed.</w:t>
      </w:r>
    </w:p>
    <w:p>
      <w:r>
        <w:t>27. TR provides training for all agents and sub-agents on product presentation, in accordance with the brochures and price lists provided to the sales networks; agents apply the prices and authorized discounts.</w:t>
      </w:r>
    </w:p>
    <w:p>
      <w:r>
        <w:t>28. TR allows withdrawal even beyond the 14 days provided by law for consumers over 80 years old in the presence of buyer vulnerability or due to subsequent economic problems.</w:t>
      </w:r>
    </w:p>
    <w:p>
      <w:r>
        <w:t>29. The payment method for products sold at home is almost always in installments, except for a minimum deposit paid upon signing the commission slip at the consumers' home. The installment concerns almost the entire price, and the credit is assigned to the factoring company Ifitalia, which is part of BNL, a shareholder of the parent company, Istituto dell’Enciclopedia Italiana.</w:t>
      </w:r>
    </w:p>
    <w:p>
      <w:r>
        <w:t>30. GSLP provides the call center service to TR to schedule appointments with customers, with a mandate to market Treccani products from the Editalia network and to manage post-contract customers for any issues. GSLP collects orders from agents and transmits them to TR, with the preparation of periodic reports and proposals to improve sales results.</w:t>
      </w:r>
    </w:p>
    <w:p>
      <w:r>
        <w:t>31. GSLP, like the other agents of the Editalia network, does not conclude contracts, but the consumer signs, on a form prepared by TR, a purchase proposal addressed to the latter. The proposals are sent by the agents to GSLP, which transmits them to TR, which reserves the right to accept the proposal through invoicing or shipment of the product.</w:t>
      </w:r>
    </w:p>
    <w:p>
      <w:r>
        <w:t>32. The call center staff of GSLP do not follow a script when contacting customers, but propose the home visit and the gift that is not conditional on the purchase.</w:t>
      </w:r>
    </w:p>
    <w:p>
      <w:r>
        <w:t>3) The commitments of the Professionals</w:t>
      </w:r>
    </w:p>
    <w:p>
      <w:r>
        <w:t>33. The commitments presented by TR, on May 26, 2022, in their final consolidated version, and by GSLP on May 12, 2022, pursuant to Article 27, paragraph 7, of the Consumer Code and Article 9 of the Regulation – which are attached to this provision and constitute an integral part thereof – provide for the adoption of the following measures:</w:t>
      </w:r>
    </w:p>
    <w:p>
      <w:r>
        <w:t>Commitments of TR</w:t>
        <w:br/>
        <w:t>Commitment No. 1: telephone contact regarding the organization of a meeting concerning the sale of a "Treccani product."</w:t>
      </w:r>
    </w:p>
    <w:p>
      <w:r>
        <w:rPr>
          <w:b/>
        </w:rPr>
        <w:t>[Pages 61–63]</w:t>
      </w:r>
    </w:p>
    <w:p>
      <w:r>
        <w:t>62 BULLETIN NO. 30 OF AUGUST 8, 2022</w:t>
      </w:r>
    </w:p>
    <w:p>
      <w:r>
        <w:t>34. TR commits to eliminating, also for the products offered by the Editalia network, the marketing of the same through the delivery of a gift and to establish a specific procedure that telephone operators tasked with contacting potential customers must comply with.</w:t>
      </w:r>
    </w:p>
    <w:p>
      <w:r>
        <w:t>35. Pending the implementation of the aforementioned commitment, TR will provide its agency network with specific instructions intended for call centers, aimed at ensuring that the consumer is always clearly and unequivocally informed that, even in the case of campaigns with gifts, during the meeting, proposals for the sale of other "Treccani products" will also be presented. In this context, it will also be specified that the purchase of a "Treccani product" does not constitute a precondition for obtaining the gift.</w:t>
      </w:r>
    </w:p>
    <w:p>
      <w:r>
        <w:t>36. TR will also ensure that, during the telephone contact, operators inform potential customers of the fact that, prior to any home visit by TR agents (both from the Treccani network and the Editalia network), specific informational material will be sent containing information regarding the characteristics and prices of the Treccani products that may be presented during the meeting.</w:t>
      </w:r>
    </w:p>
    <w:p>
      <w:r>
        <w:t>37. A first notice for telephone operators will be sent within 10 working days from the adoption of any decision accepting the commitments, while the implementation of the commitment will occur within six months from any closure decision accepting the commitments.</w:t>
      </w:r>
    </w:p>
    <w:p>
      <w:r>
        <w:t>Commitment No. 2: greater clarity in the sale of "Treccani products" (in particular reproductions of coins) and on the overall economic outlay in the case of installment sales</w:t>
      </w:r>
    </w:p>
    <w:p>
      <w:r>
        <w:t>38. TR commits to clarifying the nature of the Treccani products marketed and the amount of the consideration requested in all promotional material and "in the context of training area managers, agents, and call center operators."</w:t>
      </w:r>
    </w:p>
    <w:p>
      <w:r>
        <w:t>39. In the case of reproductions of coins, in particular, the technical aspects of the product will be clarified, also through specific text boxes aimed at highlighting the characteristics of the product; in this context, it will also be specified that the marketed product constitutes a reproduction. The aforementioned clarifications will be made within forty-five days from any closure decision accepting the commitments.</w:t>
      </w:r>
    </w:p>
    <w:p>
      <w:r>
        <w:t>40. Furthermore, following the registration of the order in TR's central systems, a digital communication will be sent to the consumer specifying the characteristics of the Treccani products. This commitment has been implemented by June 2022.</w:t>
      </w:r>
    </w:p>
    <w:p>
      <w:r>
        <w:t>41. Finally, on TR's e-commerce portal, Treccani products made by IPZS, their technical characteristics, and retail prices will be displayed. This commitment will be implemented within four months from any closure decision accepting the commitments.</w:t>
      </w:r>
    </w:p>
    <w:p>
      <w:r>
        <w:t>Commitment No. 3: training</w:t>
      </w:r>
    </w:p>
    <w:p>
      <w:r>
        <w:t>42. TR commits to intervening in the training process of the personnel of the commercial network, also with reference to compliance with consumer protection regulations.</w:t>
      </w:r>
    </w:p>
    <w:p>
      <w:r>
        <w:t>43. In this regard, TR will organize training sessions for call center operators and the sales network focusing on commercial activity. The attention of the involved parties will be particularly focused on the following topics: i. the actual purpose of the meeting with potential customers; ii. the nature of Treccani products according to the principle of complete, faithful, and objective presentation (it must be excluded that non-existent characteristics may be represented or emphasized or that information regarding the product's value as an investment and/or its possible nature as an investment may be presented); iii. the overall consideration requested for the purchase of the Treccani product, which must always and in any case be the subject of specific communication to the customer; consequently, the total amount of the economic outlay must always be represented clearly and transparently to the customer.</w:t>
      </w:r>
    </w:p>
    <w:p>
      <w:r>
        <w:t>44. TR will also organize specific training sessions on the Consumer Code, in order to raise agents' awareness of the sector regulations and the attention that TR pays to consumers.</w:t>
      </w:r>
    </w:p>
    <w:p>
      <w:r>
        <w:t>45. A first notice to agents will be sent no later than 30 days from any closure decision accepting the commitments. Training activities will in any case be initiated within three months from the adoption of the aforementioned decision.</w:t>
      </w:r>
    </w:p>
    <w:p>
      <w:r>
        <w:t>Commitment No. 4: procedures and reporting</w:t>
      </w:r>
    </w:p>
    <w:p>
      <w:r>
        <w:t>46. TR commits to implementing sales procedures based on a sales manual, which will be prepared by TR itself. The manual will be delivered to the various figures interacting with customers.</w:t>
      </w:r>
    </w:p>
    <w:p>
      <w:r>
        <w:t>47. The sales network and, in particular, the agents conducting home visits must complete a specific reporting form for each visit. The report will indicate the main elements of the proposal, the outcome of the contact, and any comments from the customer. In the report, the agent must declare that they have complied with the sales manual and have informed the customer about the nature of the product and, especially in the case of installment sales, the total amount of the consideration requested.</w:t>
      </w:r>
    </w:p>
    <w:p>
      <w:r>
        <w:t>48. The procedures with the related forms will be implemented within two months from any closure decision accepting the commitments.</w:t>
      </w:r>
    </w:p>
    <w:p>
      <w:r>
        <w:t>Commitment No. 5: further controls on the network</w:t>
      </w:r>
    </w:p>
    <w:p>
      <w:r>
        <w:t>49. TR commits to conducting consumer sampling campaigns to assess individual and collective satisfaction regarding awareness in purchasing Treccani products and the appropriateness of the behavior of the agents during home appointments. Furthermore, TR "will direct verification and control activities particularly towards customers of advanced age (i.e., over 75 years old), who will be systematically contacted in order to thoroughly evaluate the entire sales process."</w:t>
      </w:r>
    </w:p>
    <w:p>
      <w:r>
        <w:t>50. TR commits to introducing specific control procedures to assess the appropriateness of the conduct of the commercial network personnel, with particular reference to the promotion and sale of Treccani products at home, regarding the appropriateness of the behaviors exhibited, and to impose any penalties in the form of a reduction in the commission percentage due, specifically linked to verified inappropriate conduct, especially if inappropriate conduct towards customers over 75 years old should emerge.</w:t>
      </w:r>
    </w:p>
    <w:p>
      <w:r>
        <w:t>51. TR will carry out, in particular, targeted sample checks for customer clusters, namely for the "age group over 75 years," and will establish a specific "complaint channel" for reports on anomalies in the commercial network. For this purpose, "priority will be given to complaints received from customers over 75 years old."</w:t>
      </w:r>
    </w:p>
    <w:p>
      <w:r>
        <w:t>52. The implementation of this measure will be completed within six months from any closure decision accepting the commitments.</w:t>
      </w:r>
    </w:p>
    <w:p>
      <w:r>
        <w:t>Commitment No. 6: qualitative incentive mechanisms</w:t>
      </w:r>
    </w:p>
    <w:p>
      <w:r>
        <w:t>53. TR commits to introducing reward mechanisms linked to the achievement of specific qualitative objectives that are in addition to the incentive mechanisms linked to the achievement of quantitative objectives. For this purpose, participation in training sessions and customer satisfaction will be considered, taking into account the percentage of cancellations/early terminations and the percentage of credits, per Agency, defined as non-performing loans.</w:t>
      </w:r>
    </w:p>
    <w:p>
      <w:r>
        <w:t>54. Such rewards will be paid out after six months from the end of the financial year, to verify and take into account any customer reports. TR will also modify the current timing of commission payments: in installment contracts, the commission will be recognized only after the payment of the first installment (and no longer with invoicing).</w:t>
      </w:r>
    </w:p>
    <w:p>
      <w:r>
        <w:t>55. The implementation of the measure will be completed within thirty days from any closure decision accepting the commitments.</w:t>
      </w:r>
    </w:p>
    <w:p>
      <w:r>
        <w:t>Commitment No. 7: further measures to facilitate withdrawal</w:t>
      </w:r>
    </w:p>
    <w:p>
      <w:r>
        <w:t>56. TR commits to establishing internal procedures to facilitate withdrawal for all consumers who have submitted a specific complaint regarding the promotion and sale methods of Treccani products.</w:t>
      </w:r>
    </w:p>
    <w:p>
      <w:r>
        <w:t>57. The implementation of this measure will be completed within ninety days from any closure decision accepting the commitments.</w:t>
      </w:r>
    </w:p>
    <w:p>
      <w:r>
        <w:t>Commitment No. 8: strengthening the organizational safeguards of the Treccani Reti Sales Department</w:t>
      </w:r>
    </w:p>
    <w:p>
      <w:r>
        <w:t>58. In order to strengthen the organizational safeguards of the Treccani Reti Sales Department, as of January 3, 2022, a new Sales and Operational Marketing Director of TR is operational, tasked with carrying out "an activity of implementing training and reorganizing the networks based on corporate values and aimed, inter alia, at compliance with the Consumer Code and the commitments made herein."</w:t>
      </w:r>
    </w:p>
    <w:p>
      <w:r>
        <w:t>Commitments of GSLP</w:t>
      </w:r>
    </w:p>
    <w:p>
      <w:r>
        <w:t>Commitment No. 1: information from GSLP staff during telephone contact</w:t>
      </w:r>
    </w:p>
    <w:p>
      <w:r>
        <w:t>59. GSLP commits to providing clear and "mandatory" instructions to the staff making telephone contacts with all customers, both new (i.e., those who have never purchased a Treccani product) and registered (i.e., those who have already purchased a Treccani product), so that they clarify during the call that the purpose of the TR agent's visit to the consumer's home is the delivery of a</w:t>
      </w:r>
    </w:p>
    <w:p>
      <w:r>
        <w:rPr>
          <w:b/>
        </w:rPr>
        <w:t>[Pages 64–66]</w:t>
      </w:r>
    </w:p>
    <w:p>
      <w:r>
        <w:t>BULLETIN NO. 30 OF AUGUST 8, 2022 65</w:t>
      </w:r>
    </w:p>
    <w:p>
      <w:r>
        <w:t>gift TR and at the same time the sales proposal of one or more Treccani products. During the phone call, the GSLP representative will clarify that the consumer is free to purchase or not the marketed products and that the delivery of the gift is not conditional on the purchase.</w:t>
      </w:r>
    </w:p>
    <w:p>
      <w:r>
        <w:t>Commitment No. 2: periodic checks on compliance with Commitment No. 1</w:t>
      </w:r>
    </w:p>
    <w:p>
      <w:r>
        <w:t>60. GSLP commits to carry out periodic checks on compliance with the instructions set out in Commitment No. 1, through control calls to all contacted consumers and/or through random recording of calls with prior authorization from them, or by other means permitted by current laws that prohibit remote monitoring of subordinate workers.</w:t>
      </w:r>
    </w:p>
    <w:p>
      <w:r>
        <w:t>61. The commitments presented by GSLP will be effective from the date of notification of any closure order accepting the commitments.</w:t>
      </w:r>
    </w:p>
    <w:p>
      <w:r>
        <w:t>IV. OPINION OF THE AUTHORITY FOR GUARANTEES IN COMMUNICATIONS</w:t>
      </w:r>
    </w:p>
    <w:p>
      <w:r>
        <w:t>62. Since the commercial practice sub a) was disseminated through telephone contact, on June 14, 2022, an opinion was requested from the Authority for Guarantees in Communications (hereinafter also AGCOM), pursuant to Article 27, paragraph 6, of the Consumer Code.</w:t>
      </w:r>
    </w:p>
    <w:p>
      <w:r>
        <w:t>63. With an opinion received on July 13, 2022, the aforementioned Authority expressed its opinion that teleselling is a suitable tool to significantly influence the implementation of the commercial practice in question.</w:t>
      </w:r>
    </w:p>
    <w:p>
      <w:r>
        <w:t>V. EVALUATIONS OF THE COMMITMENTS</w:t>
      </w:r>
    </w:p>
    <w:p>
      <w:r>
        <w:t>64. The Authority believes that the commitments proposed by the two Professionals are suitable to remedy the possible profiles of unfairness, pursuant to the provisions of the Consumer Code, of the two contested commercial practices in the initiation notice of November 4, 2021. In particular, it is noted that the measures proposed, both by TR and by GSLP, are characterized by features that give them concreteness and effectiveness for the protection of consumers. The described measures, in fact, appear suitable to eliminate potential behaviors that could distort consumers' choices regarding the contested profiles, concerning both practice a), relating to the omission, in the first telephone contact with consumers, of the fact that the meeting at the consumer's home with TR agents, for the delivery of a Treccani gift, would, in fact, also have the purpose of selling Treccani products, and practice b), relating to the representation of non-existent characteristics of the marketed product and its economic value significantly higher than the actual one.</w:t>
      </w:r>
    </w:p>
    <w:p>
      <w:r>
        <w:t>65. With regard to the commitments presented by TR, in particular, it is observed that the proposed measures, considered as a whole, are suitable to effectively resolve the critical issues concerning the marketing process of TR products at the home of potential consumers, improving their awareness regarding the commercial activity carried out and regarding the economic and technical characteristics of the Treccani products subject to the commercial activity, allowing consumers not to be conditioned in their potential economic choice.</w:t>
      </w:r>
    </w:p>
    <w:p>
      <w:r>
        <w:t>66. Firstly, Commitment No. 1) of TR, relating to the elimination of the Treccani gift, appears to be positively evaluable, as it removes an element capable of conditioning potential consumers in the purchase of the Treccani product during the visit of the TR agent. In fact, the presentation and delivery free of charge of a product, marked Treccani and even if of little value, normally leads to a lowering of the automatic defenses and precautions that are recorded during a transaction for consideration and predisposes consumers to purchase the proposed Treccani product, which is instead significantly expensive. Conversely, the abolition of the commercial practice of the gift during the meeting at the consumer's home, provided for the activity of the Editalia network, prevents the activation of a benevolent attitude of consumers, especially the elderly and therefore more vulnerable, towards the seller during the door-to-door sale.</w:t>
      </w:r>
    </w:p>
    <w:p>
      <w:r>
        <w:t>67. The transitional measure according to which, pending the implementation of the aforementioned commitment, TR will provide specific instructions to the sales network call centers to inform the consumer that, in the event of an offer of Treccani gifts, the purchase of a Treccani product does not constitute a precondition for obtaining the gift and that at the time of delivery of the gift, sales proposals for Treccani products will be illustrated, can also be considered useful.</w:t>
      </w:r>
    </w:p>
    <w:p>
      <w:r>
        <w:t>68. The measure according to which, before the meeting at the consumer's home, informative material containing information on the characteristics and prices of Treccani products (marketed by the Treccani network and the Editalia network) that will be presented during the meeting will be sent to the consumer, constitutes a significant modification suitable to improve the transparency of the commercial activity and the awareness of consumers regarding what is proposed to them. Consumers are thus able to evaluate, without time constraints and without the presence of the seller in their home, the product, its characteristics, and the price in a phase prior to the home visit. In this way, in essence, the pressure from the agent on the consumer, which could occur in this type of commercial activity based on door-to-door sales, is mitigated.</w:t>
      </w:r>
    </w:p>
    <w:p>
      <w:r>
        <w:t>69. Relevant for the transparency of the marketing activity carried out by TR is also the package of measures included in Commitment No. 2), relating to the advertising of Treccani products regarding information on the nature of the marketed products and the requested price, as well as, in the promotional material of coin replicas, on the related technical aspects with the warning that these are "reproductions." This commitment appears aimed at clarifying the characteristics of Treccani products and the actual economic expenditure even in the case of installment sales. It, in conjunction with Commitment 1 relating to the prior sending of informative material with characteristics and prices, and with the digital communication referred to in Commitment No. 2), sent subsequently to the consumer in the event of the purchase of coin reproductions, appears suitable to integrate a sales process that makes potential buyers aware of the characteristics and price of the purchased product.</w:t>
      </w:r>
    </w:p>
    <w:p>
      <w:r>
        <w:t>70. It is also noted that the further measure, also provided for in Commitment No. 2), of publishing, on TR's e-commerce portal, the characteristics and prices of works produced by IPZS and marketed by the Editalia network contributes to improving the transparency of the highlighted sales process, at least with reference to the part of Treccani products made by IPZS and sold at home by the Editalia network.</w:t>
      </w:r>
    </w:p>
    <w:p>
      <w:r>
        <w:t>71. It is noted that Commitment No. 5), relating to checks on agents, is also commendable, as it is capable of implementing an external verification system on the activities of the sales networks aimed at assessing the appropriateness of the agents' conduct, providing in particular a greater focus on sales made to individuals over 75 years of age, who are more vulnerable due to their age.</w:t>
      </w:r>
    </w:p>
    <w:p>
      <w:r>
        <w:t>BULLETIN NO. 30 OF AUGUST 8, 2022 67</w:t>
      </w:r>
    </w:p>
    <w:p>
      <w:r>
        <w:t>It should be emphasized that this commitment, in light of the focus on the aforementioned target clientele, essentially introduces a mechanism capable of incentivizing the professionalism of the network, as the control activity on the sales of Treccani products aimed at such clients will be carried out "systematically."</w:t>
      </w:r>
    </w:p>
    <w:p>
      <w:r>
        <w:t>72. Commitments No. 3) and 4), concerning the training of the sales force and the procedures with the new reporting, can also be positively evaluated, as they tend to improve the professionalism of agents towards customers. In particular, within Commitment No. 3), the training appears focused on the importance of transparency, especially regarding the selling price of Treccani products, while Commitment No. 4), involving reporting obligations for agents, could realize a form of self-control of the agent over their commercial activity, facilitating TR's checks on the agency network.</w:t>
      </w:r>
    </w:p>
    <w:p>
      <w:r>
        <w:t>73. In the same vein, Commitments No. 6), 7), and 8), concerning qualitative incentive mechanisms that are added to incentives linked to achieving quantitative objectives, the preparation of procedures aimed at facilitating the withdrawal of consumers who have submitted specific complaints regarding the promotion and sale methods of Treccani products, and the introduction of the new figure of Sales and Operational Marketing Director of TR, can contribute to improving the functioning of TR's sales force to the benefit of consumers.</w:t>
      </w:r>
    </w:p>
    <w:p>
      <w:r>
        <w:t>74. With reference to the commitments presented by GSLP, it is observed that they can be positively evaluated, also in light of Commitment No. 1) of TR, which provided for the elimination of the gift to consumers.</w:t>
      </w:r>
    </w:p>
    <w:p>
      <w:r>
        <w:t>75. Firstly, Commitment No. 1 of GSLP, which concerns the information provided by call center staff to consumers who contact or are contacted by GSLP to schedule the meeting at their home where the sales activity will take place, appears commendable. All potential TR customers, and not only those who have already purchased TR products, must be informed that the purpose of the appointment is also the sales activity of a Treccani product and not just the delivery of a Treccani gift, and that the delivery of the gift is not linked in any way to the purchase of the product.</w:t>
      </w:r>
    </w:p>
    <w:p>
      <w:r>
        <w:t>76. The measures provided for in Commitment No. 2) of GSLP, according to which compliance with the instructions given to the call center will be verified through control calls to all contacted consumers and/or through random recording of calls with prior authorization from them, or by other means permitted by current laws that prohibit remote monitoring of subordinate workers, ensure the correctness of the behavior of call center staff.</w:t>
      </w:r>
    </w:p>
    <w:p>
      <w:r>
        <w:t>77. Based on the considerations outlined, therefore, the commitments presented by TR and GSLP can be deemed suitable to remedy the possible profiles of unfairness of the contested commercial practices in the initiation notice and meet the requirements set forth in Article 27, paragraph 7, of the Consumer Code.</w:t>
      </w:r>
    </w:p>
    <w:p>
      <w:r>
        <w:t>CONSIDERING, therefore, that the commitments presented by Treccani Reti S.p.A. and GSLP Cross Selling S.r.l., in the terms outlined above, are suitable to eliminate the possible profiles of unfairness of the commercial practices subject to investigation;</w:t>
      </w:r>
    </w:p>
    <w:p>
      <w:r>
        <w:t>CONSIDERING to impose the obligation of the aforementioned commitments on Treccani Reti S.p.A. and GSLP Cross Selling S.r.l.;</w:t>
      </w:r>
    </w:p>
    <w:p>
      <w:r>
        <w:t>CONSIDERING, therefore, that it is possible to close the proceedings without establishing the violations;</w:t>
      </w:r>
    </w:p>
    <w:p>
      <w:r>
        <w:rPr>
          <w:b/>
        </w:rPr>
        <w:t>[Pages 67–69]</w:t>
      </w:r>
    </w:p>
    <w:p>
      <w:r>
        <w:t>68 BULLETIN NO. 30 OF AUGUST 8, 2022</w:t>
      </w:r>
    </w:p>
    <w:p>
      <w:r>
        <w:t>RESOLUTION</w:t>
      </w:r>
    </w:p>
    <w:p>
      <w:r>
        <w:t>a) to make mandatory, towards Treccani Reti S.p.A., pursuant to Article 27, paragraph 7, of the Consumer Code and Article 9, paragraph 2, letter a), of the Regulation, the commitments proposed definitively on May 26, 2022, as described in the Form attached to this provision, which constitutes an integral part thereof;</w:t>
      </w:r>
    </w:p>
    <w:p>
      <w:r>
        <w:t>b) to make mandatory, towards GSLP Cross Selling S.r.l., pursuant to Article 27, paragraph 7, of the Consumer Code and Article 9, paragraph 2, letter a), of the Regulation, the commitments proposed definitively on May 12, 2022, as described in the Form attached to this provision, which constitutes an integral part thereof;</w:t>
      </w:r>
    </w:p>
    <w:p>
      <w:r>
        <w:t>c) to close the procedure without ascertaining the violations, pursuant to Article 27, paragraph 7, of the Consumer Code and Article 9, paragraph 2, letter a), of the Regulation;</w:t>
      </w:r>
    </w:p>
    <w:p>
      <w:r>
        <w:t>d) that the company Treccani Reti S.p.A. and the company GSLP Cross Selling S.r.l., within 120 days from the date of notification of this resolution, inform the Authority of the implementation of their respective commitments. 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r>
    </w:p>
    <w:p>
      <w:r>
        <w:t>Guido Stazi Roberto Rustichelli</w:t>
      </w:r>
    </w:p>
    <w:p>
      <w:r>
        <w:t>BULLETIN NO. 30 OF AUGUST 8, 2022 69</w:t>
      </w:r>
    </w:p>
    <w:p>
      <w:r>
        <w:t>PS12177 - WIZZ AIR - PRESENTATION AND COST OF ANCILLARY SERVICES</w:t>
      </w:r>
    </w:p>
    <w:p>
      <w:r>
        <w:t>Provision No. 30258</w:t>
      </w:r>
    </w:p>
    <w:p>
      <w:r>
        <w:t>THE COMPETITION AND MARKET AUTHORITY</w:t>
      </w:r>
    </w:p>
    <w:p>
      <w:r>
        <w:t>IN ITS MEETING of July 19, 2022;</w:t>
      </w:r>
    </w:p>
    <w:p>
      <w:r>
        <w:t>HEARD the Rapporteur, President Roberto Rustichelli;</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received on December 24, 2021, and definitively integrated on June 13, 2022, with which Wizz Air Hungary Ltd. submitted commitments pursuant to Article 27, paragraph 7, of the Consumer Code and Article 9 of the Regulation;</w:t>
      </w:r>
    </w:p>
    <w:p>
      <w:r>
        <w:t>VIEWED its decision of April 20, 2022, with which, pursuant to Article 7, paragraph 3, of the Regulation, an extension of 55 (fifty-five) days of the deadline for concluding the procedure was ordered, for specific investigative needs, following the proposal of commitments submitted by the professional, and the request for integration deliberated in the same meeting of April 20, 2022;</w:t>
      </w:r>
    </w:p>
    <w:p>
      <w:r>
        <w:t>VIEWED the acts of the procedure;</w:t>
      </w:r>
    </w:p>
    <w:p>
      <w:r>
        <w:t>I. THE PARTIES</w:t>
      </w:r>
    </w:p>
    <w:p>
      <w:r>
        <w:t>1. Wizz Air Hungary Ltd (hereinafter, Wizz Air), as a professional, pursuant to Article 18, letter b), of the Consumer Code, with registered office in Hungary, is a low-cost airline whose main purpose is the operation of air routes and connections for the transport of people and goods between Italy and foreign countries and in foreign countries.</w:t>
      </w:r>
    </w:p>
    <w:p>
      <w:r>
        <w:t>2. CODACONS, Italian Consumers Association registered in the list of consumer and user associations representative at the national level pursuant to Article 137 of the Consumer Code.</w:t>
      </w:r>
    </w:p>
    <w:p>
      <w:r>
        <w:t>3. CODICI LOMBARDIA, Center for Citizens' Rights, Association registered in the national register of Consumer and User Associations (Article 137 of the Consumer Code), registered in the national register of Consumers and Users of the Lombardy Region (Law 22/93).</w:t>
      </w:r>
    </w:p>
    <w:p>
      <w:r>
        <w:t>4. CONSUMER ASSOCIATION CODICI, promotes safety, legality, justice, health in all its aspects, quality of products and services, adequacy of information and correct advertising, education on consumption and the use of money, with particular attention to the prevention of over-indebtedness and the fight against usury.</w:t>
      </w:r>
    </w:p>
    <w:p>
      <w:r>
        <w:t>70 BULLETIN NO. 30 OF AUGUST 8, 2022</w:t>
      </w:r>
    </w:p>
    <w:p>
      <w:r>
        <w:t>5. ASSOUTENTI – National Association of Public Service Users, has as its exclusive purpose the promotion and protection of citizens' rights as consumers and users without distinctions of gender, nationality, religious beliefs, political and trade union affiliations, in the capacity of notifier.</w:t>
      </w:r>
    </w:p>
    <w:p>
      <w:r>
        <w:t>II. THE CONDUCT SUBJECT OF THE PROCEDURE</w:t>
      </w:r>
    </w:p>
    <w:p>
      <w:r>
        <w:t>6. Based on some reports received during the period from June to October 2021, as well as information acquired for the application of the Consumer Code, it emerged that Wizz Air, during the online purchase procedure of travel tickets on its Italian language website https://wizzair.com/it-it#/, offered the consumer the purchase of a seat with misleading and particularly insistent/aggressive methods and forms.</w:t>
      </w:r>
    </w:p>
    <w:p>
      <w:r>
        <w:t>7. In particular, during this procedure, the Professional would offer the consumer the purchase of the travel seat, through a purchase process – reproduced below – which, due to the content of the messages directed at it, sometimes formulated in a counterintuitive manner, could significantly distort the consumer's economic behavior.</w:t>
      </w:r>
    </w:p>
    <w:p>
      <w:r>
        <w:t>8. Specifically, during the purchase phase, Wizz Air proposed to the consumer the Light Travel fare - which includes only hand luggage - along with other fares, Wizz Go or Wizz Plus which, instead, include the choice of seat along with other services.</w:t>
      </w:r>
    </w:p>
    <w:p>
      <w:r>
        <w:t>9. Following the selection of the Light Travel fare, in the subsequent screen, the seat was immediately offered again through the button "Proceed to seat selection", as well as the possibility to choose among three alternatives concerning the travel seat: (i) Recommended seats by Wizz Air, a well-highlighted option that was already pre-selected for seat choice and payment of the related supplement (opt out); (ii) Choose seats now; (iii) Choose seats later. The possibility of choosing not to purchase the paid seat service was not provided, as the consumer was still required to select, in that case, the counterintuitive option "choose seats later" (see the following Image No. 1, recorded on November 3, 2021).</w:t>
      </w:r>
    </w:p>
    <w:p>
      <w:r>
        <w:rPr>
          <w:b/>
        </w:rPr>
        <w:t>[Pages 70–72]</w:t>
      </w:r>
    </w:p>
    <w:p>
      <w:r>
        <w:t>BULLETIN NO. 30 OF AUGUST 8, 2022 71</w:t>
      </w:r>
    </w:p>
    <w:p>
      <w:r>
        <w:t>Image No. 1 recorded on November 3, 2021</w:t>
      </w:r>
    </w:p>
    <w:p>
      <w:r>
        <w:t>10. Even after selecting the option "choose seats later" (indicated by the red arrow below in the previous image), a notice appeared, stating: "Attention! If you do not choose seats, they will be assigned randomly at check-in. They may cost more later. You will be assigned a seat among those that remain free, children will sit next to the accompanying adult at no additional cost. You can only check in within 48 hours before departure," followed by the "continue" button (see subsequent Image No. 2).</w:t>
      </w:r>
    </w:p>
    <w:p>
      <w:r>
        <w:t>Image No. 2 recorded on November 3, 2021</w:t>
      </w:r>
    </w:p>
    <w:p>
      <w:r>
        <w:t>11. After selecting the "continue" option, an additional message (pop-up) appeared, partially written in English, which read: "Guarantee adjacent seats. Don’t leave your seating to chance! Purchase the Sitting together product to ensure that you and your travel companion sit together during your trip. Your seats will only be allocated upon checking in to your flight and we make sure you’ll sit together."</w:t>
      </w:r>
    </w:p>
    <w:p>
      <w:r>
        <w:t>72 BULLETIN NO. 30 OF AUGUST 8, 2022</w:t>
      </w:r>
    </w:p>
    <w:p>
      <w:r>
        <w:t>12. The passenger was subsequently asked to confirm their choice again. Wizz Air, in fact, presented the consumer with the option to purchase the seat, asking them to select alternatively between two options: "Add to (x) € for reservation" in the purple box, or "no, thank you"; this second alternative was instead represented in a less prominent graphic (see the following image No. 3).</w:t>
      </w:r>
    </w:p>
    <w:p>
      <w:r>
        <w:t>Image No. 3 recorded on November 3, 2021</w:t>
      </w:r>
    </w:p>
    <w:p>
      <w:r>
        <w:t>III. THE OUTCOMES OF THE PROCEEDING: THE PRESENTATION OF COMMITMENTS</w:t>
      </w:r>
    </w:p>
    <w:p>
      <w:r>
        <w:t>1) The procedure process</w:t>
      </w:r>
    </w:p>
    <w:p>
      <w:r>
        <w:t>13. In relation to the conduct described above, on November 10, 2021, the Parties to the proceeding were notified of the initiation of the investigative procedure PS121772. In this context, it was hypothesized that the commercial practice could constitute distinct violations of Articles 20, 21 paragraph 1, letters b) and d), 24 and 25 of the Consumer Code, as it was characterized by elements of misleadingness and aggressiveness, as well as being abstractly contrary to professional diligence, proving capable of appreciably distorting the economic behavior of the average consumer in relation to the offered product (the seat).</w:t>
      </w:r>
    </w:p>
    <w:p>
      <w:r>
        <w:t>14. In particular, the conduct appeared misleading to the extent that the consumer who did not proceed with the purchase of said ancillary service was nonetheless repeatedly forced to express the desire not to purchase it and even to deselect the option "Recommended seats by Wizz Air," which provided for the automatic addition of the fee for seat selection; from the perspective of aggressiveness, the professional, through the aforementioned booking process, persisted in presenting the consumer with an optional additional service in order to induce them to purchase it and, given the health emergency situation at the time, to travel in adjacent seats to avoid the possibility of sitting far from their relatives.</w:t>
      </w:r>
    </w:p>
    <w:p>
      <w:r>
        <w:t>2 Cf. doc. No. 14, as per the index of the file.</w:t>
      </w:r>
    </w:p>
    <w:p>
      <w:r>
        <w:t>BULLETIN NO. 30 OF AUGUST 8, 2022 73</w:t>
      </w:r>
    </w:p>
    <w:p>
      <w:r>
        <w:t>15. On November 23, 2021, Wizz Air gained access to all accessible documentation present in the file.</w:t>
      </w:r>
    </w:p>
    <w:p>
      <w:r>
        <w:t>16. On December 22, 2021, assistance was requested, pursuant to Article 5, paragraphs 3 and 4, of Legislative Decree April 9, 2003, No. 70 - implementing "Directive 2000/31/EC on certain legal aspects of information society services in the internal market, particularly regarding electronic commerce" from the competent Hungarian Authority (Innovációs és Technológiai Minisztérium), submitted via IMI (Internal Market Information).</w:t>
      </w:r>
    </w:p>
    <w:p>
      <w:r>
        <w:t>17. On December 24, 2021, Wizz Air submitted a response to the request for information made during the initiation communication of the investigative procedure, simultaneously attaching a first proposal of commitments, subsequently supplemented on February 11 and 28, 2022.</w:t>
      </w:r>
    </w:p>
    <w:p>
      <w:r>
        <w:t>18. On January 20, 2022, Wizz Air was heard in a hearing, conducted via telematic means.</w:t>
      </w:r>
    </w:p>
    <w:p>
      <w:r>
        <w:t>19. On March 18, 2022, a request for information was sent to the professional, which was responded to on March 25.</w:t>
      </w:r>
    </w:p>
    <w:p>
      <w:r>
        <w:t>20. On April 21, 2022, the Authority made a request to the professional for the integration of commitments, pursuant to Article 27, paragraph 7, of the Consumer Code and Article 9 of the Regulation, simultaneously communicating the extension of 55 days of the deadline for the conclusion of the procedure, decided in the meeting of April 20, 2022.</w:t>
      </w:r>
    </w:p>
    <w:p>
      <w:r>
        <w:t>21. Wizz Air proceeded to integrate the commitments with distinct notes submitted on May 16 and 23, 2022, and, lastly, on June 13, 2022, simultaneously with the submission of the final memorandum.</w:t>
      </w:r>
    </w:p>
    <w:p>
      <w:r>
        <w:t>22. On June 1, 2022, the date of conclusion of the investigative phase was communicated to the Parties, pursuant to Article 16, paragraph 1, of the Regulation.</w:t>
      </w:r>
    </w:p>
    <w:p>
      <w:r>
        <w:t>23. On July 12, 2022, the opinion of the Authority for Guarantees in Communications, requested on June 14, 2022, pursuant to Article 27, paragraph 6, of the Consumer Code, was received.</w:t>
      </w:r>
    </w:p>
    <w:p>
      <w:r>
        <w:t>24. On July 7, 2022, the Authority notified the Directorate-General for Internal Market of the European Commission and the Hungarian Authority (Innovációs és Technológiai Minisztérium) the</w:t>
      </w:r>
    </w:p>
    <w:p>
      <w:r>
        <w:t>3 Cf. doc. No. 16, as per the index of the file.</w:t>
        <w:br/>
        <w:t>4 Cf. doc. No. 24, as per the index of the file.</w:t>
        <w:br/>
        <w:t>5 Cf. doc. No. 25, as per the index of the file.</w:t>
        <w:br/>
        <w:t>6 Cf. docs. Nos. 32 and 34, as per the index of the file.</w:t>
        <w:br/>
        <w:t>7 Cf. doc. No. 30, as per the index of the file.</w:t>
        <w:br/>
        <w:t>8 Cf. docs. Nos. 37 and 38, as per the index of the file.</w:t>
        <w:br/>
        <w:t>9 Cf. doc. No. 39, as per the index of the file.</w:t>
        <w:br/>
        <w:t>10 Cf. doc. No. 40, as per the index of the file.</w:t>
        <w:br/>
        <w:t>11 Cf. docs. Nos. 42 and 43, as per the index of the file.</w:t>
        <w:br/>
        <w:t>12 Cf. doc. No. 47, as per the index of the file.</w:t>
        <w:br/>
        <w:t>13 Cf. docs. Nos. 45 and 46, as per the index of the file.</w:t>
        <w:br/>
        <w:t>14 Cf. docs. Nos. 48 and 51, as per the index of the file.</w:t>
      </w:r>
    </w:p>
    <w:p>
      <w:r>
        <w:rPr>
          <w:b/>
        </w:rPr>
        <w:t>[Pages 73–75]</w:t>
      </w:r>
    </w:p>
    <w:p>
      <w:r>
        <w:t>74 BULLETIN NO. 30 OF AUGUST 8, 2022</w:t>
      </w:r>
    </w:p>
    <w:p>
      <w:r>
        <w:t>intention to adopt measures against the company Wizz Air, submitted via IMI (Internal Market Information)15.</w:t>
      </w:r>
    </w:p>
    <w:p>
      <w:r>
        <w:t>2) The elements acquired and the commitments of the professional</w:t>
      </w:r>
    </w:p>
    <w:p>
      <w:r>
        <w:t>25. On December 24, 2021, the professional responded to the request for information made in the initiation act of the investigation procedure, stating that the optional seat selection service has been offered to consumers, in the described manner, since October 15, 2020.</w:t>
      </w:r>
    </w:p>
    <w:p>
      <w:r>
        <w:t>26. Wizz Air also disclosed the total revenue generated from the contested practice*,16 as well as the number of complaints received from consumers regarding the cost of the optional service offered17.</w:t>
      </w:r>
    </w:p>
    <w:p>
      <w:r>
        <w:t>27. The professional further argued, also during the hearing held on January 20, 2022, that the manner of presenting the additional service of seat selection pertains to two different services, namely, on one hand, the seat selection service, and on the other, the possibility of traveling in adjacent seats chosen by the company (sitting together). With regard to the manner of presenting the additional service of seat selection, Wizz Air stated that it would not constitute an opt-out scenario, but rather a facilitated opt-in18.</w:t>
      </w:r>
    </w:p>
    <w:p>
      <w:r>
        <w:t>28. Concurrently with the response to the request for information, the professional submitted a proposal for commitments, pursuant to Article 27, paragraph 7, of the Consumer Code and Article 9 of the Regulation. This proposal has been repeatedly supplemented by Wizz Air - also following a formal request made by the Authority19 and presented in its consolidated final version on June 13, 202220.</w:t>
      </w:r>
    </w:p>
    <w:p>
      <w:r>
        <w:t>29. In this proposal, the Company formally committed to a series of behaviors and interventions aimed at resolving the identified issues.</w:t>
      </w:r>
    </w:p>
    <w:p>
      <w:r>
        <w:t>30. In particular, the commitments – which in their final version are attached to this provision and constitute an integral part thereof – include: 1) the elimination of any pre-selection of optional services and the inclusion of a button that offers the possibility not to buy a seat. Once the consumer has made their choice among the seating options, they will not be presented again during the booking process, eliminating the insistence profile noted at the initiation of the procedure. The options related to seat selection, and the offer of the "guarantee of adjacent seats" service, will be positioned and presented to the consumer on the same page, and each option will be briefly described to the consumer before their choice. The entire booking process will be in Italian; 2) the elimination of the pop-up related to the sitting together service following the seat offer page21; this service will be offered on the booking path page that presents all options related to seat selection; 3) the recognition of an economic compensation to [50,000-100,000] customers affected by the conduct in the form of a credit called "Wizz Credit," valid for a period of twelve months from its issuance and which will be credited to the respective personal accounts of Wizz Air passengers, duly notified by personal email message. The total economic amount of the proposed measure amounts to [500,000-1,000,000] euros and translates into an average compensation value of [5-10] euros per customer/passenger22.</w:t>
      </w:r>
    </w:p>
    <w:p>
      <w:r>
        <w:t>31. Commitment No. 1 will be implemented immediately, while Commitment No. 2 within 60 days from the closure of the investigation procedure; both commitments have an indefinite duration and are not subject to time limits. Commitment No. 3 will have a duration of twelve months.</w:t>
      </w:r>
    </w:p>
    <w:p>
      <w:r>
        <w:t>IV. OPINION OF THE AUTHORITY FOR GUARANTEES IN COMMUNICATIONS</w:t>
      </w:r>
    </w:p>
    <w:p>
      <w:r>
        <w:t>32. Since the commercial practice subject to this provision has been disseminated via the internet, on June 14, 2022, the opinion was requested from the Authority for Guarantees in Communications, pursuant to Article 27, paragraph 6, of the Consumer Code.</w:t>
      </w:r>
    </w:p>
    <w:p>
      <w:r>
        <w:t>33. In an opinion received on July 12, 2022, the aforementioned Authority expressed its opinion, limiting its evaluations to the suitability of the specific means of communication used to disseminate the commercial practice, to affect and amplify any misleading and/or unfairness of the same practice.</w:t>
      </w:r>
    </w:p>
    <w:p>
      <w:r>
        <w:t>34. In particular, the aforementioned Authority, considering that with reference to the specific case, the means of communication used, in relation to the service offered by the professional, appears suitable to develop a significant impact on consumers who, based on the information read on the professional's website, could be induced to make a commercial decision that they otherwise would not have made, thus concretely developing the full promotional potential of the communications carried out by the professional via the internet, deemed that, "based on the documentation in the records, in this case, the internet is a suitable tool to significantly influence the realization of the commercial practice for which this Authority is requested to provide an opinion."</w:t>
      </w:r>
    </w:p>
    <w:p>
      <w:r>
        <w:t>V. EVALUATION OF THE COMMITMENTS</w:t>
      </w:r>
    </w:p>
    <w:p>
      <w:r>
        <w:t>35. The Authority believes that, overall, the remedial measures presented by Wizz Air as the owner and responsible for managing the website https://wizzair.com/it-it#/ in Italian, can be positively evaluated and considered suitable to overcome the profiles of alleged unfairness contested in the initiation communication of the investigation procedure.</w:t>
      </w:r>
    </w:p>
    <w:p>
      <w:r>
        <w:t>36. Through the proposed commitments, Wizz Air appears to have eliminated at the root both the profile of the incorrect presentation of the seat selection service and that of the insistence of its proposal during the online booking process on the professional's website, in addition to offering a restorative/compensatory remedy to all consumers affected by the scrutinized commercial practice, regardless of the merits of the contestation and the unfoundedness of the complaints received.</w:t>
      </w:r>
    </w:p>
    <w:p>
      <w:r>
        <w:t>37. Specifically, with reference to Commitment No. 1), through the elimination of the pre-selection of the "Recommended Seats by Wizz Air" option and the addition of the "I do not want to buy a seat" option, adequate clarity will be provided to the consumer regarding the possible options for choosing the ancillary service during the booking phase.</w:t>
      </w:r>
    </w:p>
    <w:p>
      <w:r>
        <w:t>38. The options related to seat selection, including the offer of the "guarantee of adjacent seats" service, will be positioned and presented to the consumer on the same page, and each option will be briefly described to the consumer before their choice. Furthermore, once the consumer has made their choice among the seating options, they will not be presented again during the booking process, and they will no longer be repeatedly forced to express a desire not to purchase the ancillary service.</w:t>
      </w:r>
    </w:p>
    <w:p>
      <w:r>
        <w:t>39. With this commitment, therefore, concentrating in a single screen the information related to the purchase/non-purchase of the service and, in the event that the consumer chooses to continue without selecting a seat, the elements of potential misleadingness and aggressiveness found in the previously adopted methods of offering the seat service by the airline will be eliminated.</w:t>
      </w:r>
    </w:p>
    <w:p>
      <w:r>
        <w:t>40. It is indeed correct that the advantages (or disadvantages) resulting from the purchase/non-purchase of the seat should only be presented at the moment of their first proposal, that is, at the stage of choice by the consumer who wishes to use - or not - the only optional seat service in conjunction with the cheapest fare "Travel Light," which originally includes only hand luggage.</w:t>
      </w:r>
    </w:p>
    <w:p>
      <w:r>
        <w:t>41. Regarding Commitment No. 2), the elimination of the pop-up following the seat offer page, which will be offered, as mentioned, on the booking path page including all options related to seat selection, will eliminate that conditioning profile for the purchase of an ancillary service that is nonetheless inextricably linked to the choice, and therefore to the sale, of a seat on the aircraft.</w:t>
      </w:r>
    </w:p>
    <w:p>
      <w:r>
        <w:t>42. Finally, with regard to Commitment No. 3), consisting of the restitution, in the form of vouchers to a significant number of consumers, of a total sum exceeding the revenues generated by the contested commercial practice23, valid for one year, it appears appreciable in its data.</w:t>
      </w:r>
    </w:p>
    <w:p>
      <w:r>
        <w:t>23 The compensation, in fact, will concern the monetary consideration paid by each customer for the purchase of the seat both through the Recommended Seats by Wizz Air option and through the Choose a Seat Now option. Essentially, passengers who may have purchased a seat but not on the recommendation of Wizz Air will also be compensated.</w:t>
      </w:r>
    </w:p>
    <w:p>
      <w:r>
        <w:rPr>
          <w:b/>
        </w:rPr>
        <w:t>[Pages 76–78]</w:t>
      </w:r>
    </w:p>
    <w:p>
      <w:r>
        <w:t>BULLETIN NO. 30 OF AUGUST 8, 2022 77</w:t>
      </w:r>
    </w:p>
    <w:p>
      <w:r>
        <w:t>quantity, as well as suitable to remove the negative economic effects, as calculated by the professional through the applied calculation method24.</w:t>
      </w:r>
    </w:p>
    <w:p>
      <w:r>
        <w:t>43. In conclusion, the commitments appear to be susceptible to a positive evaluation by the Authority as they fundamentally resolve the issues of misleadingness and aggressiveness of the conduct highlighted in the initiation act, as well as containing a restitution remedy (Commitment No. 3), that is, a quid pluris compared to the mere elimination of the aforementioned alleged unfairness profiles.</w:t>
      </w:r>
    </w:p>
    <w:p>
      <w:r>
        <w:t>44. Finally, the timing for the implementation of the commitments is fully appropriate, considering that the proposed initiatives will become effective: i) immediately regarding Commitment No. 1; ii) within 60 days from the closure of the investigation procedure concerning Commitment No. 2; iii) will have a validity of 12 months from the resolution accepting the commitments.</w:t>
      </w:r>
    </w:p>
    <w:p>
      <w:r>
        <w:t>45. In light of the above considerations, it is believed that the commitments presented meet the requirements set forth in Article 27, paragraph 7, of the Consumer Code.</w:t>
      </w:r>
    </w:p>
    <w:p>
      <w:r>
        <w:t>CONSIDERING, therefore, that the commitments presented by Wizz Air Hungary Ltd, in the terms outlined above, are suitable to eliminate the possible profiles of unlawfulness of the conduct subject to investigation;</w:t>
      </w:r>
    </w:p>
    <w:p>
      <w:r>
        <w:t>CONSIDERING to impose the obligation of the aforementioned commitments on Wizz Air Hungary Ltd;</w:t>
      </w:r>
    </w:p>
    <w:p>
      <w:r>
        <w:t>CONSIDERING, therefore, to be able to close the procedure without ascertaining the infringement;</w:t>
      </w:r>
    </w:p>
    <w:p>
      <w:r>
        <w:t>RESOLVES</w:t>
      </w:r>
    </w:p>
    <w:p>
      <w:r>
        <w:t>a) to make mandatory, towards Wizz Air Hungary Ltd, pursuant to Article 27, paragraph 7, of the Consumer Code and Article 9, paragraph 2, letter a), of the Regulation, the commitments proposed by the company in definitive version on June 13, 2022, as described in the statement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Wizz Air Hungary Ltd, within sixty days from the date of notification of this resolution, with reference to Commitments No. 1) and No. 2), and within forty-five days from the scheduled date for the implementation of Commitment No. 3),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24 See previous note 17 and point 30.</w:t>
      </w:r>
    </w:p>
    <w:p>
      <w:r>
        <w:t>78 BULLETIN NO. 30 OF AUGUST 8, 2022</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r>
    </w:p>
    <w:p>
      <w:r>
        <w:t>Guido Stazi Roberto Rustichelli</w:t>
      </w:r>
    </w:p>
    <w:p>
      <w:r>
        <w:t>__________________________________________________________________________</w:t>
      </w:r>
    </w:p>
    <w:p>
      <w:r>
        <w:t>PS12177 - WIZZ AIR-PRESENTATION AND COST OF ANCILLARY SERVICES</w:t>
      </w:r>
    </w:p>
    <w:p>
      <w:r>
        <w:t>Annex to provision No. 30258</w:t>
      </w:r>
    </w:p>
    <w:p>
      <w:r>
        <w:t>STATEMENT OF COMMITMENTS</w:t>
      </w:r>
    </w:p>
    <w:p>
      <w:r>
        <w:t>In the context of procedure No. PS12177, initiated by the Competition and Market Authority on November 10, 2021, concerning the commercial conduct of Wizz Air Hungary Ltd. related to the methods of selling travel seats, adopted by the professional, through the website https://wizzair.com/it-it#/, Wizz Air Hungary Ltd., pursuant to and for the effects of Article 27, paragraph 7, of the "Consumer Code" (Legislative Decree of September 6, 2005, No. 206 and subsequent amendments) commits, starting from the date of communication of the Authority's provision, to implement the following measures in the manner and within the times indicated below:</w:t>
      </w:r>
    </w:p>
    <w:p>
      <w:r>
        <w:t>Form for the presentation of commitments pursuant to Article 27, paragraph 7 of the Consumer Code, Article 8, paragraph 7 of Legislative Decree 145/2007, and Article 9 of the "Regulation on investigative procedures regarding misleading and comparative advertising, unfair commercial practices, violation of consumer rights in contracts, violation of the prohibition of discrimination, unfair clauses"</w:t>
      </w:r>
    </w:p>
    <w:p>
      <w:r>
        <w:t>1. CASE NUMBER, DATE OF RECEIPT OF THE INITIATION NOTICE BY THE PROFESSIONAL</w:t>
      </w:r>
    </w:p>
    <w:p>
      <w:r>
        <w:t>1.1 Case: PS/12177, initiated with a provision notified by certified email on November 12, 2021 (“Initiation”), with a deadline currently set for August 2, 2022.</w:t>
      </w:r>
    </w:p>
    <w:p>
      <w:r>
        <w:t>1.2 The commitments should be read in light of the response to the request for information of December 24, 2021, and the Final Memorandum of June 13, 2022, which demonstrate - in the opinion of the undersigned - that the contested commercial practice is neither aggressive nor misleading.</w:t>
      </w:r>
    </w:p>
    <w:p>
      <w:r>
        <w:t>BULLETIN NO. 30 OF AUGUST 8, 2022 79</w:t>
      </w:r>
    </w:p>
    <w:p>
      <w:r>
        <w:t>2. PROFESSIONAL PRESENTING THE COMMITMENTS</w:t>
      </w:r>
    </w:p>
    <w:p>
      <w:r>
        <w:t>2.1 Wizz Air Hungary Ltd, with registered office at Köér Street No. 2/A, Building B. ép. II-V H-1103 – Budapest Hungary (“Wizz Air”).</w:t>
      </w:r>
    </w:p>
    <w:p>
      <w:r>
        <w:t>3. ADVERTISING OR COMMERCIAL PRACTICE SUBJECT OF THE INITIATION NOTICE</w:t>
      </w:r>
    </w:p>
    <w:p>
      <w:r>
        <w:t>With the Initiation, the following behaviors were contested to Wizz Air.</w:t>
      </w:r>
    </w:p>
    <w:p>
      <w:r>
        <w:t>i) "the consumer who does not wish to proceed with the purchase of the seat selection service on the professional's website www.wizzair.com, is repeatedly forced to express a desire not to purchase such ancillary service." The insistence in proposing the purchase of the ancillary service would be, among other things, confusing, as the packages "Choose seats now" and "Choose seats later," not providing the possibility of not purchasing the paid seat, could configure an additional profile of misleadingness in the manner of proposing the optional service as it would lead the consumer to believe that the choice of seat is nonetheless mandatory."</w:t>
      </w:r>
    </w:p>
    <w:p>
      <w:r>
        <w:t>The practice would be aggressive. According to the Initiation: "through the above-described booking process, [the professional] persists in presenting the consumer with an optional additional service, a performance that the average consumer - also given the current health emergency situation due to Covid/19 which induces the necessity to travel in adjacent seats - perceives as an essential element for the purchase of the travel title. In particular, during the online booking procedure, the consumer appears to be pushed to purchase the additional service of seat selection in order to avoid the eventuality (according to the complainants, by no means remote) of being forced to travel away from their relatives, but rather close to unknown persons. Such a scenario would be increasingly plausible at a time, like the current one, when passengers are particularly sensitive to the needs of distancing and safety."</w:t>
      </w:r>
    </w:p>
    <w:p>
      <w:r>
        <w:t>ii) Furthermore, the Authority finds in the mechanics of selecting the ancillary service a so-called opt-out. In the Initiation, emphasis is placed on the alleged unfairness of the practice that would force the consumer: "even to deselect the option 'Recommended seats by Wizz Air,' which provides for the automatic addition of the fee for seat selection, in presumed contrast with what is provided for in Article 23 of Regulation (EC) No. 1008/2008, which indeed states that optional price supplements must be communicated clearly, transparently, and unambiguously at the beginning of any booking process and that their acceptance by the passenger must occur based on the explicit consent of the interested party and be realized through a fully informed choice ('opt-in')."</w:t>
      </w:r>
    </w:p>
    <w:p>
      <w:r>
        <w:t>The Initiation therefore hypothesizes a violation of Articles 20, 21, 22, 24, and 25 of the Consumer Code.</w:t>
      </w:r>
    </w:p>
    <w:p>
      <w:r>
        <w:rPr>
          <w:b/>
        </w:rPr>
        <w:t>[Pages 79–81]</w:t>
      </w:r>
    </w:p>
    <w:p>
      <w:r>
        <w:t>80 BULLETIN NO. 30 OF AUGUST 8, 2022</w:t>
      </w:r>
    </w:p>
    <w:p>
      <w:r>
        <w:t>4. TEXTUAL CONTENT OF THE PROPOSED COMMITMENTS AND ANY VALIDITY PERIOD IN RELATION TO THE INDIVIDUAL PROFILES SUBJECT OF THE INITIATION NOTICE</w:t>
      </w:r>
    </w:p>
    <w:p>
      <w:r>
        <w:t>Commitment 1: Regarding the behaviors briefly described in the previous § 3.1. sub i) and ii), Wizz Air commits to eliminate any – apparent or real – pre-selection of optional services; in particular, with regard to the seat selection procedure concerning the "Light Travel" fare, to eliminate the pre-selected button on "seat selection by Wizz Air"; to insert a button at the bottom with the wording "continue," and to replace the option "choose seats later" with "I do not want to buy a seat."</w:t>
      </w:r>
    </w:p>
    <w:p>
      <w:r>
        <w:t>Once the consumer has made their choice among the seating options, they will not be presented again during the booking process. The options related to seat selection, and the offer of the "guarantee of adjacent seats" service, will be positioned and presented to the consumer on the same page, and each option will be briefly described to the consumer before their choice. The entire booking process will be in Italian.</w:t>
      </w:r>
    </w:p>
    <w:p>
      <w:r>
        <w:t>Commitment 2: Regarding the proposal for the guarantee of traveling close together, in seats chosen by the company at the time of check-in, so-called "sitting together" service, Wizz Air commits to eliminate the pop-up following the seat offer page, to translate the content of the service into all the languages of the site, to offer it in Italian to those browsing in Italian, and to present the aforementioned service on the booking process page that shows all options related to seat selection.</w:t>
      </w:r>
    </w:p>
    <w:p>
      <w:r>
        <w:t>The explanatory pages of the booking process related to seat selection are provided. The new booking procedure has been designed in such a way that if the passenger does not actively choose an option, they cannot proceed with the booking. It is specified that in the explanatory pages of the booking process reproduced here, it has not yet been possible to insert the mock-up - including the Guarantee of Adjacent Seats / so-called sitting together in Italian, as - having the Authority requested this further modification of commitment no. 2 with communication dated April 21, 2022 - the Professional has not yet finalized the new layout of the page and therefore does not have the corresponding mock-up available.</w:t>
      </w:r>
    </w:p>
    <w:p>
      <w:r>
        <w:t>In any case, the mock-ups reproduced here will be faithfully translated into Italian.</w:t>
      </w:r>
    </w:p>
    <w:p>
      <w:r>
        <w:t>BULLETIN NO. 30 OF AUGUST 8, 2022 81</w:t>
      </w:r>
    </w:p>
    <w:p>
      <w:r>
        <w:t>82 BULLETIN NO. 30 OF AUGUST 8, 2022</w:t>
      </w:r>
    </w:p>
    <w:p>
      <w:r>
        <w:rPr>
          <w:b/>
        </w:rPr>
        <w:t>[Pages 82–84]</w:t>
      </w:r>
    </w:p>
    <w:p>
      <w:r>
        <w:t>BULLETIN NO. 30 OF AUGUST 8, 2022 83</w:t>
      </w:r>
    </w:p>
    <w:p>
      <w:r>
        <w:t>84 BULLETIN NO. 30 OF AUGUST 8, 2022</w:t>
      </w:r>
    </w:p>
    <w:p>
      <w:r>
        <w:t>BULLETIN NO. 30 OF AUGUST 8, 2022 85</w:t>
      </w:r>
    </w:p>
    <w:p>
      <w:r>
        <w:rPr>
          <w:b/>
        </w:rPr>
        <w:t>[Pages 85–87]</w:t>
      </w:r>
    </w:p>
    <w:p>
      <w:r>
        <w:t>86 BULLETIN NO. 30 OF AUGUST 8, 2022</w:t>
      </w:r>
    </w:p>
    <w:p>
      <w:r>
        <w:t>BULLETIN NO. 30 OF AUGUST 8, 2022 87</w:t>
        <w:br/>
        <w:t>THE TEXTS WILL BE IN ITALIAN</w:t>
      </w:r>
    </w:p>
    <w:p>
      <w:r>
        <w:t>88 BULLETIN NO. 30 OF AUGUST 8, 2022</w:t>
        <w:br/>
        <w:t>THE TEXTS WILL BE IN ITALIAN1</w:t>
        <w:br/>
        <w:t>1 For imperative reasons of graphic space, once the consumer selects an option, the unselected ones will reduce in size, as shown in the following figure.</w:t>
      </w:r>
    </w:p>
    <w:p>
      <w:r>
        <w:rPr>
          <w:b/>
        </w:rPr>
        <w:t>[Pages 88–90]</w:t>
      </w:r>
    </w:p>
    <w:p>
      <w:r>
        <w:t>BULLETIN NO. 30 OF AUGUST 8, 2022 89</w:t>
      </w:r>
    </w:p>
    <w:p>
      <w:r>
        <w:t>90 BULLETIN NO. 30 OF AUGUST 8, 2022</w:t>
      </w:r>
    </w:p>
    <w:p>
      <w:r>
        <w:t>BULLETIN NO. 30 OF AUGUST 8, 2022 91</w:t>
      </w:r>
    </w:p>
    <w:p>
      <w:r>
        <w:t>Commitment 3: Wizz Air commits to providing financial compensation to [50,000-100,000]* customers affected by the conduct in the form of a credit called: “Wizz Credit,” valid for a period of twelve months from its issuance and which will be credited to the respective personal accounts of Wizz Air passengers, duly notified by personal email message. The total economic amount of the proposed measure amounts to [500,000-1,000,000] euros and translates into an average compensation value of [5-10] per customer/passenger. The value of the “Wizz Credit” is equal to the average monetary consideration paid by each customer for the purchase of the Recommended Seat from Wizz Air.</w:t>
      </w:r>
    </w:p>
    <w:p>
      <w:r>
        <w:t>5. CONSIDERATIONS ON THE ADMISSIBILITY AND SUITABILITY OF THE COMMITMENTS TO REMOVE THE ALLEGED ILLEGALITY CONTESTED IN THE INITIATION OF THE INVESTIGATION</w:t>
      </w:r>
    </w:p>
    <w:p>
      <w:r>
        <w:t>With reference to Commitment 1: Wizz Air eliminates any confusing risk for the future. Compared to the Second Proposal of Commitments of February 11, 2022, it is proposed to replace the option: “Choose your seat later,” with the option “I do not want to buy a seat,” thus providing the consumer with crystal clear clarity regarding the possible options during the booking phase. Regarding seat selection, the consumer will face three options and must actively exercise their choice, in the absence of pre-selection -:</w:t>
        <w:br/>
        <w:t>- a) the option “Seats recommended by Wizz Air”;</w:t>
        <w:br/>
        <w:t>- b) the option “Choose seats now”; and</w:t>
        <w:br/>
        <w:t xml:space="preserve">- c) the option “I do not want to purchase a seat.” </w:t>
        <w:br/>
        <w:t>On the same page, the consumer may also choose - d) the Guarantee of adjacent seats. The new method of proposing services is clear and transparent, allowing every consumer to make their choice with full awareness. If the consumer decides not to purchase the option to choose their seat, they will be assigned a seat for free in the last 48 hours before the flight, at the opening of the check-in phase, as specifically provided in Article 6.3 of Wizz Air's general conditions: the characteristics of the various options will be described before the consumer exercises their choice.</w:t>
      </w:r>
    </w:p>
    <w:p>
      <w:r>
        <w:t>With reference to Commitment 2: as requested in the Authority's Communication of April 22, 2022, Wizz proposes the guarantee of traveling close together with the options related to seat selection, in Italian, with a clear and transparent message.</w:t>
      </w:r>
    </w:p>
    <w:p>
      <w:r>
        <w:t>* In this version, some data is omitted, as elements of confidentiality or secrecy of the information were deemed to exist.</w:t>
      </w:r>
    </w:p>
    <w:p>
      <w:r>
        <w:rPr>
          <w:b/>
        </w:rPr>
        <w:t>[Pages 91–93]</w:t>
      </w:r>
    </w:p>
    <w:p>
      <w:r>
        <w:t>92 BULLETIN NO. 30 OF AUGUST 8, 2022</w:t>
      </w:r>
    </w:p>
    <w:p>
      <w:r>
        <w:t>With reference to Commitment 3, a restitution/compensatory remedy is offered to all affected consumers, regardless of the presence, merit of the complaint, or its unfoundedness. The commitments are therefore suitable to fully protect consumers affected by the allegedly unfair commercial practice and are consistent with the findings of the constructive dialogue with the Offices.</w:t>
      </w:r>
    </w:p>
    <w:p>
      <w:r>
        <w:t>6. DURATION</w:t>
      </w:r>
    </w:p>
    <w:p>
      <w:r>
        <w:t>Wizz Air will implement the measures referred to in Commitment 1 immediately, having already conducted tests during the procedure, and many measures have already been present on the Company's website since January and February 2022. The commitment has an indefinite duration. Wizz Air will implement the measures referred to in Commitment 2 within 60 days from the conclusion of this investigative procedure. The commitment has an indefinite duration. Commitment 3 will have a duration of twelve months.</w:t>
      </w:r>
    </w:p>
    <w:p>
      <w:r>
        <w:t>BULLETIN NO. 30 OF AUGUST 8, 2022 93</w:t>
      </w:r>
    </w:p>
    <w:p>
      <w:r>
        <w:t>PS12246 - FCA ITALY - PRESENTATION OF CAR OFFER PRICES</w:t>
      </w:r>
    </w:p>
    <w:p>
      <w:r>
        <w:t>Provision No. 30259</w:t>
      </w:r>
    </w:p>
    <w:p>
      <w:r>
        <w:t>THE ANTITRUST AUTHORITY</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February 11, 2022, and subsequently supplemented on March 18 and June 21, 2022, through which FCA Italy S.p.A. submitted commitments pursuant to Article 27, paragraph 7, of the Consumer Code and Article 9 of the Regulation;</w:t>
      </w:r>
    </w:p>
    <w:p>
      <w:r>
        <w:t>VIEWED its provision of April 27, 2022, with which, pursuant to Article 7, paragraph 3, of the Regulation, the deadline for concluding the procedure was extended for the evaluation of the commitments proposed by the professional;</w:t>
      </w:r>
    </w:p>
    <w:p>
      <w:r>
        <w:t>VIEWED the documents of the procedure;</w:t>
      </w:r>
    </w:p>
    <w:p>
      <w:r>
        <w:t>I. THE PARTY</w:t>
      </w:r>
    </w:p>
    <w:p>
      <w:r>
        <w:t>1. FCA Italy S.p.A. (hereinafter also "FCA"), as a professional, pursuant to Article 18, paragraph 1, letter b), of the Consumer Code. FCA is responsible for the marketing in Italy of the Jeep, Alfa Romeo, and Fiat brands of the Stellantis group, active worldwide in the production and sale of automobiles.</w:t>
      </w:r>
    </w:p>
    <w:p>
      <w:r>
        <w:t>II. THE COMMERCIAL PRACTICE</w:t>
      </w:r>
    </w:p>
    <w:p>
      <w:r>
        <w:t>2. The procedure concerns the methods of presentation, on the websites www.jeep-official.it, www.alfaromeo.it, and www.fiat.it, of the elements that contribute to determining the cost to be incurred for purchasing through financing or for leasing the advertised cars.</w:t>
      </w:r>
    </w:p>
    <w:p>
      <w:r>
        <w:t>III. THE FINDINGS OF THE PROCEDURE</w:t>
      </w:r>
    </w:p>
    <w:p>
      <w:r>
        <w:t>III.1 The course of the procedure</w:t>
      </w:r>
    </w:p>
    <w:p>
      <w:r>
        <w:t>3. Based on the information acquired for the application of the Consumer Code, on December 28, 2021, the investigative procedure PS12246 was initiated against FCA Italy S.p.A., pursuant to Articles 21 and 22 of the Consumer Code, regarding the possible omission and misleading nature of the presentation methods on the professional's brand websites of the cost to be incurred for purchasing through financing or for leasing the advertised cars. At the first contact, the professional emphasizes only the convenient amount of the installment, relegating essential information (down payment, final max installment, number of installments, etc.) to sections that are not easily readable, the content of which can only be viewed following one or more actions by the consumer (clicking on one or more links, scrolling to the bottom of a page, enlarging the characters). Furthermore, regarding purchases assisted by traditional financing, the promotional communications of the Fiat brand emphasize the discounted amount of the installment that the consumer will pay for only the initial 12 months of the loan, while reporting in smaller characters the much higher amount of the installment due for the remaining 84 months.</w:t>
      </w:r>
    </w:p>
    <w:p>
      <w:r>
        <w:t>4. FCA had access to the documents of the procedure and extracted copies of the documents acquired in the file on January 20, 2022.</w:t>
      </w:r>
    </w:p>
    <w:p>
      <w:r>
        <w:t>5. The professional responded to the request for information made in the initiation communication and presented its defense arguments with notes received on February 8 and June 9, 2022.</w:t>
      </w:r>
    </w:p>
    <w:p>
      <w:r>
        <w:t>6. On February 11, 2022, the professional submitted a proposal for commitments pursuant to Article 27, paragraph 7 of the Consumer Code and Article 9 of the Regulation, subsequently supplemented on March 18, 2022. A consolidated version of the commitments was filed on June 21, 2022.</w:t>
      </w:r>
    </w:p>
    <w:p>
      <w:r>
        <w:t>7. On April 27, 2022, the Party was informed of the sixty-day extension of the deadline for concluding the procedure pursuant to Article 7, paragraph 3, of the Regulation.</w:t>
      </w:r>
    </w:p>
    <w:p>
      <w:r>
        <w:t>8. On May 30, 2022, the Party was informed of the conclusion date of the investigative phase, pursuant to Article 16, paragraph 1, of the Regulation.</w:t>
      </w:r>
    </w:p>
    <w:p>
      <w:r>
        <w:t>9. On July 13, 2022, the opinion of the Authority for Guarantees in Communications was received.</w:t>
      </w:r>
    </w:p>
    <w:p>
      <w:r>
        <w:t>III.2 The elements acquired and the commitments of the professional</w:t>
      </w:r>
    </w:p>
    <w:p>
      <w:r>
        <w:t>III.2.1 The elements acquired</w:t>
      </w:r>
    </w:p>
    <w:p>
      <w:r>
        <w:t>10. In its defenses, FCA argued the correctness of its actions, believing it provides consumers with complete and exhaustive information. In fact, according to the professional, the peculiarities of the dissemination medium (brand websites) would allow consumers to become aware of all the characteristics of the advertised financing or leasing simply by clicking on a button that invites them to explore the offer, without the need to resort to additional and external sources of information. In any case, the consumer's attention towards a given brand and the proposed offers would precede the moment of the first contact established through the site, so that the lack of complete information at that moment would be entirely irrelevant.</w:t>
      </w:r>
    </w:p>
    <w:p>
      <w:r>
        <w:rPr>
          <w:b/>
        </w:rPr>
        <w:t>[Pages 94–96]</w:t>
      </w:r>
    </w:p>
    <w:p>
      <w:r>
        <w:t>BULLETIN NO. 30 OF AUGUST 8, 2022 95</w:t>
      </w:r>
    </w:p>
    <w:p>
      <w:r>
        <w:t>III.2.2 The commitments proposed by the professional</w:t>
      </w:r>
    </w:p>
    <w:p>
      <w:r>
        <w:t>11. The professional submitted a proposal of commitments (“Commitments”) on February 11 and March 18, 2022, providing a consolidated version on June 21, 2022.</w:t>
      </w:r>
    </w:p>
    <w:p>
      <w:r>
        <w:t>12. In particular, the professional commits to:</w:t>
        <w:br/>
        <w:t>(i) indicate “clearly” on the page of the website that represents the first contact with the consumer, the main elements characterizing the offer: the amount of the monthly installment, reporting the amounts of the different installments if they are differentiated over time; the number of monthly installments; the amount of the down payment; the amount of the final balloon payment; the TAN and the TAEG; the validity period of the offer. This page will also include a link to another page containing complete information about the characteristics of the offer;</w:t>
        <w:br/>
        <w:t>(ii) apply the same principles to offers conveyed through banners on other sites and through social media;</w:t>
        <w:br/>
        <w:t>(iii) prepare Guidelines for the communication of financing and rental offers both via the web and through other means, including print and television, within which the principles and operational criteria to be followed in the communication will be indicated, in accordance with the commitment under (i), according to the peculiarities of each medium.</w:t>
      </w:r>
    </w:p>
    <w:p>
      <w:r>
        <w:t>13. FCA commits to implement the commitments described within 75 days from the date of communication of the measure by which said commitments will be made mandatory.</w:t>
      </w:r>
    </w:p>
    <w:p>
      <w:r>
        <w:t>14. The professional also specified that in the future it may adopt a different communication strategy on the website, whereby the first contact page would contain entirely generic and non-economic information, as well as a link leading to a detailed page structured according to the commitments presented.</w:t>
      </w:r>
    </w:p>
    <w:p>
      <w:r>
        <w:t>IV. OPINION OF THE AUTHORITY FOR GUARANTEES IN COMMUNICATIONS</w:t>
      </w:r>
    </w:p>
    <w:p>
      <w:r>
        <w:t>15. Since the commercial practice subject to this measure was disseminated through telecommunications means such as a website, on June 13, 2022, the opinion was requested from the Authority for Guarantees in Communications, pursuant to Article 27, paragraph 6, of the Consumer Code.</w:t>
      </w:r>
    </w:p>
    <w:p>
      <w:r>
        <w:t>16. In an opinion received on July 13, 2022, the aforementioned Authority deemed that, in this case, the use of the internet by FCA Italy S.p.A. is suitable to develop a significant impact on consumers who, based on the information read on the professional's sites, could be induced to make a commercial decision that they otherwise would not have made, thus concretely developing the full promotional potential of the cited communication medium.</w:t>
      </w:r>
    </w:p>
    <w:p>
      <w:r>
        <w:t>V. EVALUATION OF THE COMMITMENTS</w:t>
      </w:r>
    </w:p>
    <w:p>
      <w:r>
        <w:t>17. Financing represents one of the most widespread methods of purchasing new cars. Over time, traditional financing characterized by a long duration and a variable down payment has been joined by so-called financing with a final balloon payment, where a large part of the expenditure is concentrated in the down payment and the final balloon payment, and the installment payment is reduced to 24-48 months. More recently, some car manufacturers have begun to offer consumers, as an alternative to purchase, leasing contracts often structured over three years, based on a significant down payment, a monthly installment, and, in the case of financial leasing, a buyout option.</w:t>
      </w:r>
    </w:p>
    <w:p>
      <w:r>
        <w:t>18. Such proposals present an intrinsic complexity due to the presence of different elements (down payment, a number of monthly installments, final balloon payment/buyout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19. This measure therefore arises from the need to counter the current practice in the automotive sector that emphasizes the low amount of the monthly installment or a price that does not include financial charges or expenses at the first contact. This presentation leverages an element that can be considered secondary in the overall economy of the payments provided in offers with a final balloon payment or partially in traditional offers with a down payment. Similarly, the representation of a purchase price not inclusive of other charges or expenses misleads the consumer regarding the convenience of an offer that is much more burdensome than it appears.</w:t>
      </w:r>
    </w:p>
    <w:p>
      <w:r>
        <w:t>20. In light of the rationale for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21. In fact, the concentration in a single visual frame of all relevant economic information, conveyed clearly and with adequate graphic emphasis, allows the consumer to calculate with simple arithmetic operations the cost of the vehicle and understand the payment methods over time. In the case of traditional financing, where the amount of the installments is differentiated over time, the consumer will be immediately informed of the number of installments corresponding to each different amount.</w:t>
      </w:r>
    </w:p>
    <w:p>
      <w:r>
        <w:t>22. The proposed Commitments therefore represent a significant improvement in the communication regarding financing conditions, as they reduce information asymmetry and ensure transparent and immediately understandable offer conditions.</w:t>
      </w:r>
    </w:p>
    <w:p>
      <w:r>
        <w:t>23. Particularly commendable is the circumstance that the professional has proposed measures that go beyond the scope of the allegations made at the outset, having provided for the extension of the Commitments to other forms of communication via the internet (banners and social media) and the adoption of specific Guidelines, which will also dictate for offline communication (in particular, print and TV) the application of the same principles adopted by the professional for digital communication.</w:t>
      </w:r>
    </w:p>
    <w:p>
      <w:r>
        <w:t>24. In light of the above considerations, it is believed that the commitments presented - which are attached to this measure and constitute an integral part thereof - meet the requirements set forth in Article 27, paragraph 7, of the Consumer Code.</w:t>
      </w:r>
    </w:p>
    <w:p>
      <w:r>
        <w:t>THEREFORE, it is deemed that the commitments presented by FCA Italy S.p.A., in the terms outlined above, are suitable to eliminate the possible profiles of unfairness of the commercial practice subject to investigation;</w:t>
      </w:r>
    </w:p>
    <w:p>
      <w:r>
        <w:t>IT IS DEEMED to make the aforementioned commitments mandatory for FCA Italy S.p.A.;</w:t>
      </w:r>
    </w:p>
    <w:p>
      <w:r>
        <w:t>IT IS DEEMED, therefore, to be able to close the procedure without ascertaining the infringement;</w:t>
      </w:r>
    </w:p>
    <w:p>
      <w:r>
        <w:t>RESOLVES</w:t>
      </w:r>
    </w:p>
    <w:p>
      <w:r>
        <w:t>a) to make mandatory, for FCA Italy S.p.A., pursuant to Article 27, paragraph 7, of the Consumer Code and Article 9, paragraph 2, letter a), of the Regulation, the commitments proposed on February 11, 2022, subsequently supplemented on March 18, 2022, and presented in consolidated version on June 21, 2022, as described in the Form attached to this measure, of which it constitutes an integral part;</w:t>
      </w:r>
    </w:p>
    <w:p>
      <w:r>
        <w:t>b) to close the procedure without ascertaining the infringement, pursuant to Article 27, paragraph 7, of the Consumer Code and Article 9, paragraph 2, letter a), of the Regulation;</w:t>
      </w:r>
    </w:p>
    <w:p>
      <w:r>
        <w:t>c) that FCA Italy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97–99]</w:t>
      </w:r>
    </w:p>
    <w:p>
      <w:r>
        <w:t>98 BULLETIN NO. 30 OF AUGUST 8, 2022</w:t>
      </w:r>
    </w:p>
    <w:p>
      <w:r>
        <w:t>This provision will be notified to the interested parties and published in the Bulletin of the Italian Competition Authority.</w:t>
      </w:r>
    </w:p>
    <w:p>
      <w:r>
        <w:t>THE SECRETARY GENERAL THE PRESIDENT</w:t>
        <w:br/>
        <w:t>Guido Stazi Roberto Rustichelli</w:t>
      </w:r>
    </w:p>
    <w:p>
      <w:r>
        <w:t>BULLETIN NO. 30 OF AUGUST 8, 2022 99</w:t>
      </w:r>
    </w:p>
    <w:p>
      <w:r>
        <w:t>PS12247 - VOLKSWAGEN - PRESENTATION OF CAR OFFER PRICES</w:t>
        <w:br/>
        <w:t>Provision No. 30260</w:t>
        <w:br/>
        <w:t>THE ITALIAN COMPETITION AUTHORITY</w:t>
        <w:br/>
        <w:t>IN ITS MEETING of July 19, 2022;</w:t>
        <w:br/>
        <w:t>HEARD the Rapporteur President Roberto Rustichelli;</w:t>
        <w:br/>
        <w:t>VIEWED Part II, Title III, of Legislative Decree No. 206 of September 6, 2005, containing the "Consumer Code" and subsequent amendments (hereinafter, Consumer Code);</w:t>
        <w:b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February 10, 2022, through which Volkswagen Group Italia S.p.A. submitted commitments pursuant to Article 27, paragraph 7, of the Consumer Code and Article 9 of the Regulation;</w:t>
        <w:br/>
        <w:t>VIEWED its provision of April 27, 2022, with which, pursuant to Article 7, paragraph 3, of the Regulation, the deadline for concluding the procedure was extended for the evaluation of the commitments proposed by the professional;</w:t>
        <w:br/>
        <w:t>VIEWED the documents of the procedure;</w:t>
      </w:r>
    </w:p>
    <w:p>
      <w:r>
        <w:t>I. THE PARTIES</w:t>
        <w:br/>
        <w:t>1. Volkswagen Group Italia S.p.A. (hereinafter also "VGI"), as a professional, pursuant to Article 18, paragraph 1, letter b), of the Consumer Code. VGI is the Italian subsidiary of the Volkswagen group, active worldwide in the production and sale of automobiles under various brands, including Volkswagen, Seat, and Škoda.</w:t>
        <w:br/>
        <w:t>2. CODACONS, as a consumer association reporting.</w:t>
      </w:r>
    </w:p>
    <w:p>
      <w:r>
        <w:t>II. THE COMMERCIAL PRACTICES SUBJECT OF THE PROCEDURE</w:t>
        <w:br/>
        <w:t>3. The procedure concerns the methods of presentation, on the dedicated websites www.volkswagen.it, www.seat-italia.it, and www.skoda-auto.it, of the elements that contribute to determining the cost to be incurred for purchasing the advertised cars through financing.</w:t>
      </w:r>
    </w:p>
    <w:p>
      <w:r>
        <w:t>III. THE OUTCOMES OF THE PROCEDURE</w:t>
        <w:br/>
        <w:t>III.1 The procedure process</w:t>
        <w:br/>
        <w:t>4. Based on the request for intervention from Codacons1 and the information acquired for the application of the Consumer Code2, on December 28, 2021, the investigative procedure PS12247 was initiated against Volkswagen Group Italia S.p.A., regarding the possible omission and misleading nature of the presentation methods, on the professional's websites, of the cost to be incurred for purchasing the advertised cars through financing. At the first contact, the professional emphasized only the convenient amount of the installment, relegating essential information (the amount of the down payment and the final max installment or Guaranteed Future Value, the number of installments, etc.) to sections that were not easily readable, the content of which could only be viewed following one or more actions by the consumer (clicking on one or more links, opening sections containing the "Legal Notes" - sometimes placed in the footer of the pages dedicated to the models -, scrolling down a page to reach examples in small print, enlarging the font).</w:t>
        <w:br/>
        <w:t>5. On January 24, 2022, the initiation communication was sent to Codacons.</w:t>
        <w:br/>
        <w:t>6. The professional responded to the request for information made in the initiation communication and to a subsequent request and presented its defensive arguments with notes received on January 10 and 11, March 11 and 14, and June 8, 20223.</w:t>
        <w:br/>
        <w:t>7. On February 10, 2022, the professional submitted a proposal for commitments pursuant to Article 27, paragraph 7 of the Consumer Code and Article 9 of the Regulation4.</w:t>
        <w:br/>
        <w:t>8. On April 27, 2022, the sixty-day extension of the deadline for concluding the procedure was communicated to VGI pursuant to Article 7, paragraph 3, of the Regulation5. On May 17, 2022, this extension was communicated to Codacons6.</w:t>
        <w:br/>
        <w:t>9. On May 30, 2022, the date of conclusion of the investigative phase was communicated to the Parties, pursuant to Article 16, paragraph 1, of the Regulation7.</w:t>
        <w:br/>
        <w:t>10. On July 13, 2022, the opinion of the Authority for Communications Guarantees was received.</w:t>
        <w:br/>
        <w:t>11. The association Codacons did not participate in the procedure.</w:t>
      </w:r>
    </w:p>
    <w:p>
      <w:r>
        <w:t>III.2 The acquired elements and the commitments of the professional</w:t>
        <w:br/>
        <w:t>III.2.1 The acquired elements</w:t>
        <w:br/>
        <w:t>12. In its submissions, VGI asserted the correctness of its actions, believing that the information provided was nonetheless exhaustive, given that "the way of using the websites is normally of a 'static' and 'reflective' nature: the consumer who reaches a webpage of a car brand usually has a clear idea of the vehicle they intend to purchase and, regarding any related promotions, explores all the elements having the time to dedicate to navigating the pages," and that the financial formulas subject to the initiation communication have been used by VGI in Italy for over 8 years. Nevertheless, the professional proceeded to modify the websites subject to the initiation communication. The new websites were put online between January 24 and February 7, 2022.</w:t>
        <w:br/>
        <w:t>3 See docs. 9, 10, 11, 12, and 19 of the investigative file.</w:t>
        <w:br/>
        <w:t>4 See docs. 9 of the investigative file.</w:t>
        <w:br/>
        <w:t>5 See doc. 13 of the investigative file.</w:t>
        <w:br/>
        <w:t>6 See doc. 14 of the investigative file.</w:t>
        <w:br/>
        <w:t>7 See docs. 15 and 16 of the investigative file.</w:t>
      </w:r>
    </w:p>
    <w:p>
      <w:r>
        <w:rPr>
          <w:b/>
        </w:rPr>
        <w:t>[Pages 100–102]</w:t>
      </w:r>
    </w:p>
    <w:p>
      <w:r>
        <w:t>BULLETIN NO. 30 OF AUGUST 8, 2022 101</w:t>
      </w:r>
    </w:p>
    <w:p>
      <w:r>
        <w:t xml:space="preserve">13. The professional also provided documentation8 from which it emerges that in the TV spots broadcast during 2021 and in February and March 2022, as well as in the print advertising disseminated in newspapers in the early months of 2022, the information regarding the number of installments and the amount of the down payment and the final installment (so-called Guaranteed Future Value) was communicated concurrently with the amount of the installment and with adequate graphic emphasis (see figs. 1 and 2a and 2b).  </w:t>
        <w:br/>
        <w:t xml:space="preserve">Fig. 1: example of an advertisement page published in February 2022  </w:t>
        <w:br/>
        <w:t xml:space="preserve">Fig. 2a: example of a TV spot aired in March 2022  </w:t>
        <w:br/>
        <w:t>8 See docs. 10 and 12 of the investigation file.</w:t>
      </w:r>
    </w:p>
    <w:p>
      <w:r>
        <w:t>102 BULLETIN NO. 30 OF AUGUST 8, 2022</w:t>
      </w:r>
    </w:p>
    <w:p>
      <w:r>
        <w:t xml:space="preserve">Fig. 2b: example of a TV spot aired in November 2021  </w:t>
        <w:br/>
        <w:t xml:space="preserve">III.2.2 The commitments proposed by the professional  </w:t>
        <w:br/>
        <w:t xml:space="preserve">14. As mentioned above, the professional submitted a proposal for commitments (“Commitments”) on February 10, 2022, which is attached to this provision and constitutes an integral part thereof. The Commitments concern the measures described below.  </w:t>
        <w:br/>
        <w:t xml:space="preserve">15. VGI “commits to maintain in force and continue to apply the methods of presenting the websites related to the individual brands [described below and already implemented between the end of January and the beginning of February 2022].  </w:t>
        <w:br/>
        <w:t xml:space="preserve">In particular, therefore, in relation to the promotional financial offers that involve the purchase of vehicles through the payment of a down payment, the payment of constant installments, and the payment of the final installment, VGI will display the following elements in the same visual field:  </w:t>
        <w:br/>
        <w:t xml:space="preserve">1) Monthly installment amount  </w:t>
        <w:br/>
        <w:t xml:space="preserve">2) TAN and TAEG  </w:t>
        <w:br/>
        <w:t xml:space="preserve">3) Amount of the down payment  </w:t>
        <w:br/>
        <w:t xml:space="preserve">4) Number of monthly installments  </w:t>
        <w:br/>
        <w:t xml:space="preserve">5) Amount of the (if any) final installment  </w:t>
        <w:br/>
        <w:t xml:space="preserve">VGI commits to highlight the aforementioned information, with the same graphic emphasis described above, even in cases where the promotions are conveyed through other “digital” content (such as banners, skins, or posts on social media).”  </w:t>
        <w:br/>
        <w:t xml:space="preserve">Furthermore, “[w]here promotional offers contain additional conditions and/or limitations that may impact the overall economic operation, as has been done in the past, VGI will indicate these additional conditions and/or limitations with the same graphic emphasis described above.”  </w:t>
        <w:br/>
        <w:t xml:space="preserve">16. Regarding the website https://www.volkswagen.it/it.html, the modifications subject to VGI's commitments, implemented from January 26, 2022, consist of:  </w:t>
        <w:br/>
        <w:t>(i) the removal from the homepage of references to the economic conditions of the offers and promotions, which can be viewed on a summary page accessible via the link “Discover the promotions of [January]”;</w:t>
      </w:r>
    </w:p>
    <w:p>
      <w:r>
        <w:t>BULLETIN NO. 30 OF AUGUST 8, 2022 103</w:t>
      </w:r>
    </w:p>
    <w:p>
      <w:r>
        <w:t xml:space="preserve">(ii) the modification of the summary page https://promozioni.volkswagen.it/app/local/promozioni/ that shows the vehicles on promotion with the “Volkswagen Value Project” offer, so that, for each vehicle, the consumer can immediately appreciate the amount of the monthly installment, TAN and TAEG, the number of monthly installments, the amount of the down payment, and the amount of the (if any) final installment, all presented with equal graphic emphasis (see fig. 3).  </w:t>
        <w:br/>
        <w:t xml:space="preserve">Fig. 3: example of the detail page of Volkswagen promotions  </w:t>
        <w:br/>
        <w:t xml:space="preserve">(iii) on the detail pages related to individual models (accessible through the link on the summary page), “all relevant information for the proper perception of the financial formula” (the amount of the monthly installment, TAN and TAEG, the number of monthly installments, the amount of the down payment, the amount of the (if any) final installment) is indicated, while in the “legal notes” section, further information such as processing fees, stamp duty, or collection fees for individual monthly installments is indicated (see fig. 4).  </w:t>
        <w:br/>
        <w:t xml:space="preserve">Fig. 4: Example of a page dedicated to the promotion of a certain model (New Up!)  </w:t>
        <w:br/>
        <w:t>17. Similar modifications have been made, starting from January 24, 2022, both to the homepage and to the pages dedicated to the promotions of individual models on the website https://www.skoda-auto.it.</w:t>
      </w:r>
    </w:p>
    <w:p>
      <w:r>
        <w:rPr>
          <w:b/>
        </w:rPr>
        <w:t>[Pages 103–105]</w:t>
      </w:r>
    </w:p>
    <w:p>
      <w:r>
        <w:t>104 BULLETIN NO. 30 OF AUGUST 8, 2022</w:t>
      </w:r>
    </w:p>
    <w:p>
      <w:r>
        <w:t>In particular, the layout of the section of the homepage dedicated to promotions does not contain references to any purchase conditions with financing9 and is presented as shown in fig. 5.</w:t>
      </w:r>
    </w:p>
    <w:p>
      <w:r>
        <w:t>Fig. 5: section "Promotions" of the homepage of the website https://www.skoda-auto.it</w:t>
      </w:r>
    </w:p>
    <w:p>
      <w:r>
        <w:t>18. By clicking on the figure "Car Promotions," one reaches the summary page https://www.skoda-auto.it/promozioni/promo-auto which shows the vehicles on promotion with the offer "Skoda Clever Value." For each vehicle, the amount of the monthly installment, TAN and TAEG, the number of monthly installments, the amount of the down payment, and the amount of the (if applicable) final installment are reported simultaneously, with equal graphic emphasis (fig. 6).</w:t>
      </w:r>
    </w:p>
    <w:p>
      <w:r>
        <w:t>Fig. 6: example of the new summary page Škoda</w:t>
      </w:r>
    </w:p>
    <w:p>
      <w:r>
        <w:t>19. Following the link "more information," one arrives at a detail page where all relevant information regarding the characteristics of the purchase with financing is immediately presented, contextually and with equal graphic emphasis. In the "legal notes" section, further information such as processing fees, stamp duty, or collection fees for the individual monthly installments is indicated.</w:t>
      </w:r>
    </w:p>
    <w:p>
      <w:r>
        <w:t>20. The modifications to the website https://www.seat-italia.it/ subject to the Commitments were implemented starting from February 7, 2022, and are as follows.</w:t>
      </w:r>
    </w:p>
    <w:p>
      <w:r>
        <w:t>9 Such references are also absent from the summary page of the available models (cfr. doc. 18).</w:t>
      </w:r>
    </w:p>
    <w:p>
      <w:r>
        <w:t>BULLETIN NO. 30 OF AUGUST 8, 2022 105</w:t>
      </w:r>
    </w:p>
    <w:p>
      <w:r>
        <w:t>21. The layout of the homepage provides that information regarding the amount of the monthly installment, TAN and TAEG, the number of monthly installments, the amount of the down payment, and the final installment for the promoted model in the slider that opens the homepage is provided simultaneously and with equal graphic emphasis. For promotions on other models in the SEAT range, reference is made to the detail pages, through the link "Promotions" (fig. 7).</w:t>
      </w:r>
    </w:p>
    <w:p>
      <w:r>
        <w:t>Fig. 7: new homepage of the website www.seat-italia.it</w:t>
      </w:r>
    </w:p>
    <w:p>
      <w:r>
        <w:t>22. At the beginning of the detail page of the model, the amount of the monthly installment, TAN and TAEG, the number of monthly installments, the amount of the down payment, and the amount of the (if applicable) final installment are reported simultaneously and with equal graphic emphasis (fig. 8a). In the continuation of the page, the different versions of the promoted model are illustrated; for each of them, before the equipment, the relevant financing information is repeated, with equal graphic emphasis (fig. 8b).</w:t>
      </w:r>
    </w:p>
    <w:p>
      <w:r>
        <w:t>106 BULLETIN NO. 30 OF AUGUST 8, 2022</w:t>
      </w:r>
    </w:p>
    <w:p>
      <w:r>
        <w:t>Fig. 8: example of a detail page of a SEAT model on promotion</w:t>
        <w:br/>
        <w:t>(8a)</w:t>
        <w:br/>
        <w:t>(8b)</w:t>
      </w:r>
    </w:p>
    <w:p>
      <w:r>
        <w:t>23. Also in this case, in the "legal notes" section, further information on additional costs related to financing (processing fees, stamp duty, collection fees, etc.) is provided.</w:t>
      </w:r>
    </w:p>
    <w:p>
      <w:r>
        <w:t>IV. OPINION OF THE AUTHORITY FOR GUARANTEES IN COMMUNICATIONS</w:t>
      </w:r>
    </w:p>
    <w:p>
      <w:r>
        <w:t>24. Since the commercial practice subject to this provision was disseminated through telecommunications means such as a website, on June 13, 2022, the opinion was requested from the Authority for Guarantees in Communications, pursuant to Article 27, paragraph 6, of the Consumer Code.</w:t>
      </w:r>
    </w:p>
    <w:p>
      <w:r>
        <w:t>25. In the opinion received on July 13, 2022, the aforementioned Authority deemed that, in this case, the use of the internet by Volkswagen Group Italia S.p.A. is suitable for developing a significant impact on consumers who, based on the information read on the professional's websites, could be induced to make a commercial decision that they otherwise would not have made, thus concretely developing the full promotional potential of the aforementioned communication medium.</w:t>
      </w:r>
    </w:p>
    <w:p>
      <w:r>
        <w:rPr>
          <w:b/>
        </w:rPr>
        <w:t>[Pages 106–108]</w:t>
      </w:r>
    </w:p>
    <w:p>
      <w:r>
        <w:t>BULLETIN NO. 30 OF AUGUST 8, 2022 107</w:t>
      </w:r>
    </w:p>
    <w:p>
      <w:r>
        <w:t>V. EVALUATION OF THE COMMITMENTS</w:t>
      </w:r>
    </w:p>
    <w:p>
      <w:r>
        <w:t>26. Financing represents one of the most widespread methods of purchasing new cars. Over time, traditional financing characterized by a long duration and a variable down payment has been joined by so-called financing with a final balloon payment, where a large part of the expenditure is concentrated in the down payment and the final balloon payment, and the installment payment is reduced to 24-48 months.</w:t>
      </w:r>
    </w:p>
    <w:p>
      <w:r>
        <w:t>27. Such proposals present an intrinsic complexity due to the presence of different elements (down payment, a number of monthly installments, final balloon payment/residual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28. This provision therefore arises from the need to counter the current practice in the automotive sector that emphasizes the low amount of the monthly installment or a price that does not include financial charges or expenses at first contact. Such a presentation relies on an element that can be considered secondary in the overall economy of the payments provided in offers with a final balloon payment. Similarly, the representation of a purchase price that does not include other charges or expenses misleads the consumer regarding the convenience of an offer that is much more burdensome than it appears.</w:t>
      </w:r>
    </w:p>
    <w:p>
      <w:r>
        <w:t>29. In light of the rationale for the investigative intervention in the sector, the commitments presented and partially already implemented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30. In fact, the concentration in a single visual frame of all relevant economic information, conveyed clearly and with adequate graphic emphasis, allows the consumer to calculate the cost of the vehicle with simple arithmetic operations and understand the payment methods over time.</w:t>
      </w:r>
    </w:p>
    <w:p>
      <w:r>
        <w:t>31. The proposed Commitments therefore represent a significant improvement in communication regarding financing conditions on the websites dedicated to the professional's brands, as they reduce information asymmetry and ensure transparent and immediately understandable offer conditions.</w:t>
      </w:r>
    </w:p>
    <w:p>
      <w:r>
        <w:t>32. It is commendable that the professional has proposed measures that go beyond the scope of the allegations made at the outset, having provided for the extension of the Commitments to other forms of communication via the internet (banners, skins, and social media) and to any conditions or limitations that may accompany the offers. Moreover, the principles that inform the Commitments are already applied in communications on television and in daily press.</w:t>
      </w:r>
    </w:p>
    <w:p>
      <w:r>
        <w:t>33.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Volkswagen Group Italia S.p.A., in the terms outlined above, are suitable to eliminate the possible aspects of unfairness of the commercial practice subject to investigation;</w:t>
      </w:r>
    </w:p>
    <w:p>
      <w:r>
        <w:t>IT IS DEEMED necessary to make the aforementioned commitments mandatory for Volkswagen Group Italia S.p.A.;</w:t>
      </w:r>
    </w:p>
    <w:p>
      <w:r>
        <w:t>IT IS DEEMED, therefore, to be able to close the procedure without ascertaining the infringement;</w:t>
      </w:r>
    </w:p>
    <w:p>
      <w:r>
        <w:t>RESOLVES</w:t>
      </w:r>
    </w:p>
    <w:p>
      <w:r>
        <w:t>a) to make mandatory, for Volkswagen Group Italia S.p.A., pursuant to Article 27, paragraph 7, of the Consumer Code and Article 9, paragraph 2, letter a), of the Regulation, the commitments proposed on February 10, 2022,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Volkswagen Group Italia S.p.A.,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BULLETIN NO. 30 OF AUGUST 8, 2022 109</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109–111]</w:t>
      </w:r>
    </w:p>
    <w:p>
      <w:r>
        <w:t>110 BULLETIN NO. 30 OF AUGUST 8, 2022</w:t>
      </w:r>
    </w:p>
    <w:p>
      <w:r>
        <w:t>PS12248 - PSA GROUP - PRESENTATION OF CAR OFFER PRICES</w:t>
      </w:r>
    </w:p>
    <w:p>
      <w:r>
        <w:t>Provision No. 30261</w:t>
      </w:r>
    </w:p>
    <w:p>
      <w:r>
        <w:t>THE ANTITRUST AUTHORITY</w:t>
      </w:r>
    </w:p>
    <w:p>
      <w:r>
        <w:t>IN ITS MEETING of July 19, 2022;</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February 11, 2022, subsequently supplemented on March 18, 2022, and on June 22, 2022, by which the company Groupe PSA Italia S.p.A. submitted commitments pursuant to Article 27, paragraph 7, of the Consumer Code and Article 9 of the Regulation;</w:t>
      </w:r>
    </w:p>
    <w:p>
      <w:r>
        <w:t>HAVING REGARD to its provision of April 27, 2022, by which, pursuant to Article 7, paragraph 3, of the Regulation, the deadline for concluding the procedure was extended for the evaluation of the commitments proposed by the professional;</w:t>
      </w:r>
    </w:p>
    <w:p>
      <w:r>
        <w:t>HAVING REGARD to the documents of the procedure;</w:t>
      </w:r>
    </w:p>
    <w:p>
      <w:r>
        <w:t>I. THE PARTY</w:t>
      </w:r>
    </w:p>
    <w:p>
      <w:r>
        <w:t>1. Groupe PSA Italia S.p.A. (hereinafter also “Groupe PSA”), as a professional, pursuant to Article 18, paragraph 1, letter b), of the Consumer Code. The company is the Italian subsidiary of the French group Groupe PSA whose assets have been transferred to the multinational holding Stellantis N.V., active worldwide in the production and sale of automobiles under various brands, including Peugeot, Citroën, Opel, and DS.</w:t>
      </w:r>
    </w:p>
    <w:p>
      <w:r>
        <w:t>II. THE COMMERCIAL PRACTICES SUBJECT OF THE PROCEDURE</w:t>
      </w:r>
    </w:p>
    <w:p>
      <w:r>
        <w:t>2. The procedure concerns the methods of presentation, on the websites www.peugeot.it, www.citroen.it, www.opel.it, www.dsautomobiles.it, of the elements that contribute to determining the cost to be incurred for purchasing through financing or for leasing the advertised cars.</w:t>
      </w:r>
    </w:p>
    <w:p>
      <w:r>
        <w:t>III. THE OUTCOMES OF THE PROCEDURE</w:t>
      </w:r>
    </w:p>
    <w:p>
      <w:r>
        <w:t>III.1 The procedure process</w:t>
      </w:r>
    </w:p>
    <w:p>
      <w:r>
        <w:t>3. Based on the information acquired for the application of the Consumer Code, on December 28, 2021, the investigative procedure PS12248 was initiated against Groupe PSA Italia S.p.A. pursuant to Articles 21 and 22 of the Consumer Code. In this context, the possible omission and misleading nature of the presentation methods on the websites dedicated to the individual brands Peugeot, Citroën, Opel, and DS of the cost to be incurred for purchasing through financing or for leasing the advertised cars was contested. At the first contact, the professional emphasizes only the convenient amount of the installment, without simultaneously communicating, with equal emphasis, the amount of the down payment and the final installment or Guaranteed Future Value, which constitute the predominant part of the overall cost of the vehicle, as well as the number of installments, essential elements to allow the consumer to be aware, from the first contact, of the extent of the economic commitment required, its duration, and distribution over time. Such information is relegated to sections that are not easily readable, the content of which could only be viewed following one or more actions by the consumer (clicking on one or more links, scrolling to the bottom of a page, enlarging the characters).</w:t>
      </w:r>
    </w:p>
    <w:p>
      <w:r>
        <w:t>4. Groupe PSA Italia S.p.A. had access to the documents of the procedure and extracted copies of the documents acquired in the file on January 20, 2022.</w:t>
      </w:r>
    </w:p>
    <w:p>
      <w:r>
        <w:t>5. The professional responded to the request for information made in the initiation communication with a note received on February 8, 2022 and submitted a final memorandum on June 8, 2022.</w:t>
      </w:r>
    </w:p>
    <w:p>
      <w:r>
        <w:t>6. On February 11, 2022, the professional submitted a proposal for commitments pursuant to Article 27, paragraph 7 of the Consumer Code and Article 9 of the Regulation, subsequently supplemented on March 18, 2022. A consolidated version of the commitments was submitted on June 22, 2022.</w:t>
      </w:r>
    </w:p>
    <w:p>
      <w:r>
        <w:t>7. On April 27, 2022, the Party was informed of the sixty-day extension of the deadline for concluding the procedure pursuant to Article 7, paragraph 3, of the Regulation.</w:t>
      </w:r>
    </w:p>
    <w:p>
      <w:r>
        <w:t>8. On May 30, 2022, the Parties were informed of the conclusion date of the investigative phase, pursuant to Article 16, paragraph 1, of the Regulation.</w:t>
      </w:r>
    </w:p>
    <w:p>
      <w:r>
        <w:t>9. On July 12, 2022, the opinion of the Authority for Communications Guarantees was received.</w:t>
      </w:r>
    </w:p>
    <w:p>
      <w:r>
        <w:t>III.2 The acquired elements and the commitments of the professional</w:t>
      </w:r>
    </w:p>
    <w:p>
      <w:r>
        <w:t>III.2.1 The acquired elements</w:t>
      </w:r>
    </w:p>
    <w:p>
      <w:r>
        <w:t>10. In its defenses, Groupe PSA argued the correctness of its actions, believing it provides the consumer with complete and exhaustive information. In fact, according to the professional, the peculiarities of the dissemination medium (brand websites) would allow the consumer to become aware of all the characteristics of the advertised financing or leasing simply by clicking on a button inviting further exploration of the offer, without the need to resort to additional and external sources of information. In any case, the consumer's attention towards a given brand and the offers it proposes would precede the moment of the first contact established through the site, so that the lack of complete information at that moment would be entirely irrelevant.</w:t>
      </w:r>
    </w:p>
    <w:p>
      <w:r>
        <w:t>III.2.2 The commitments proposed by the professional</w:t>
      </w:r>
    </w:p>
    <w:p>
      <w:r>
        <w:t>11. As indicated above, the professional submitted a proposal for commitments (“Commitments”) on February 11, 2022, supplemented on March 18, 2022, depositing a consolidated version on June 22, 2022.</w:t>
      </w:r>
    </w:p>
    <w:p>
      <w:r>
        <w:t>12. The proposed measures consist of:</w:t>
        <w:br/>
        <w:t>i) indicating, with “good visibility,” from a dimensional and graphic point of view, the main elements characterizing the offer on the page of the websites dedicated to the individual brands Peugeot, Citroën, Opel, and DS through which the first contact with the consumer is verified: the amount of the monthly installment - reporting the amounts of the different installments if they are differentiated over time -; the number of monthly installments; the amount of the down payment; the amount of the final installment; the TAN and the TAEG; the validity period of the offer. This page will also include a link to another page containing complete information about the characteristics of the offer. In the case of offers for the online purchase of Peugeot, Citroën, Opel, and DS models, complete information may also be provided through a page visible, in a stable manner and immediately, by positioning the mouse over the symbol ⓘ;</w:t>
      </w:r>
    </w:p>
    <w:p>
      <w:r>
        <w:t>ii) indicating, with “good visibility” on the first contact web page, the main elements characterizing the rental offer, namely: the amount of the monthly fee; the duration; the amount of the down payment (if any); the validity period of the offer;</w:t>
      </w:r>
    </w:p>
    <w:p>
      <w:r>
        <w:t>iii) applying the same principles to offers conveyed through banners (possibly divided into multiple virtual panels) on other sites and through the social media that the professional regularly uses (Facebook and Instagram);</w:t>
      </w:r>
    </w:p>
    <w:p>
      <w:r>
        <w:t>iv) preparing Guidelines for the communication of financing and rental offers both via the web and through other means, including print and television, to be disseminated to the commercial structures responsible for the various brands. Within the Guidelines, the principles and operational criteria to which web communication must adhere will be indicated in accordance with the commitment under (i), and it will be indicated that the same principles must be applied to the communication of the offers in question through all means, according to the peculiarities of each of them;</w:t>
      </w:r>
    </w:p>
    <w:p>
      <w:r>
        <w:t>v) extending the commitments to any other brand that will be marketed in the future.</w:t>
      </w:r>
    </w:p>
    <w:p>
      <w:r>
        <w:t>13. Groupe PSA commits to implement the commitments described within 75 days from the date of communication of the provision by which these commitments will be made mandatory.</w:t>
      </w:r>
    </w:p>
    <w:p>
      <w:r>
        <w:t>14. The professional also specified that in the future it may adopt a different communication strategy on the websites, so that the first contact page would contain entirely generic and non-economic information, as well as a link leading to a detailed page structured according to the commitments presented.</w:t>
      </w:r>
    </w:p>
    <w:p>
      <w:r>
        <w:t>IV. OPINION OF THE AUTHORITY FOR COMMUNICATIONS GUARANTEES</w:t>
      </w:r>
    </w:p>
    <w:p>
      <w:r>
        <w:t>15. Since the commercial practice subject to this provision has been disseminated through telecommunications means such as websites, on June 13, 2022, the opinion was requested from the Authority for Communications Guarantees, pursuant to Article 27, paragraph 6, of the Consumer Code.</w:t>
      </w:r>
    </w:p>
    <w:p>
      <w:r>
        <w:rPr>
          <w:b/>
        </w:rPr>
        <w:t>[Pages 112–114]</w:t>
      </w:r>
    </w:p>
    <w:p>
      <w:r>
        <w:t>BULLETIN NO. 30 OF AUGUST 8, 2022 113</w:t>
      </w:r>
    </w:p>
    <w:p>
      <w:r>
        <w:t>16. With the opinion received on July 12, 2022, the aforementioned Authority deemed that, in this case, the use of the internet by Groupe PSA Italia S.p.a. is suitable for developing a significant impact on consumers who, based on the information read on the professional's websites, could be induced to make a commercial decision that they would not have otherwise made, thus concretely developing the full promotional potential of the aforementioned communication medium.</w:t>
      </w:r>
    </w:p>
    <w:p>
      <w:r>
        <w:t>V. EVALUATION OF THE COMMITMENTS</w:t>
      </w:r>
    </w:p>
    <w:p>
      <w:r>
        <w:t>17. Financing represents one of the most widespread methods of purchasing new cars. Over time, traditional financing characterized by a long duration and a variable down payment has been joined by so-called financing with a final balloon payment, where a large part of the expenditure is concentrated in the down payment and the final balloon payment, and the installment payment is reduced to 24-48 months. More recently, some car manufacturers have begun to offer consumers, as an alternative to purchase, leasing contracts often lasting three years, structured based on a significant down payment, a monthly installment, and, in the case of financial leasing, a buyout option.</w:t>
      </w:r>
    </w:p>
    <w:p>
      <w:r>
        <w:t>18. Such proposals present an intrinsic complexity due to the presence of different elements (down payment, a number of monthly installments, final balloon payment/redemption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19. This provision therefore arises from the need to counter the current practice in the automotive sector that emphasizes the low amount of the monthly installment or a price that does not include financial charges or expenses at the first contact. This presentation relies on an element that can be considered secondary in the overall economy of the payments provided in offers with a final balloon payment or partially in traditional offers with a down payment. Similarly, the representation of a purchase price not inclusive of other charges or expenses misleads the consumer regarding the convenience of an offer that is much more burdensome than it appears.</w:t>
      </w:r>
    </w:p>
    <w:p>
      <w:r>
        <w:t>20. In light of the rationale for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21. In fact, the concentration in a single visual frame of all relevant economic information, conveyed clearly and with adequate graphic emphasis, allows the consumer to calculate the cost of the vehicle with simple arithmetic operations and understand the payment methods over time. In the case of traditional financing, where the amount of the installments varies over time, the consumer will be promptly informed of the number of installments corresponding to each different amount.</w:t>
      </w:r>
    </w:p>
    <w:p>
      <w:r>
        <w:t>22. The proposed Commitments thus represent a significant improvement in communication regarding financing conditions, as they reduce information asymmetry and ensure transparent and immediately understandable offer conditions.</w:t>
      </w:r>
    </w:p>
    <w:p>
      <w:r>
        <w:t>23. Particularly commendable is the circumstance that the professional has proposed measures that go beyond the scope of the allegations made at the outset, having provided for the extension of commitments to other forms of communication via the internet (banners and social media), as well as to any other brand that will be marketed in the future. Likewise, the adoption of specific Guidelines that will dictate the application of the same principles adopted by the professional for digital communication to offline communication (in particular, print and TV) is noteworthy.</w:t>
      </w:r>
    </w:p>
    <w:p>
      <w:r>
        <w:t>24.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Groupe PSA Italia S.p.A., in the terms outlined above, are suitable to eliminate the possible aspects of unfairness of the commercial practice subject to investigation;</w:t>
      </w:r>
    </w:p>
    <w:p>
      <w:r>
        <w:t>IT IS DEEMED necessary to make the aforementioned commitments mandatory for Groupe PSA Italia S.p.A.;</w:t>
      </w:r>
    </w:p>
    <w:p>
      <w:r>
        <w:t>IT IS DEEMED, therefore, to be able to close the procedure without ascertaining the infringement;</w:t>
      </w:r>
    </w:p>
    <w:p>
      <w:r>
        <w:t>RESOLVES</w:t>
      </w:r>
    </w:p>
    <w:p>
      <w:r>
        <w:t>a) to make mandatory, for Groupe PSA Italia S.p.A. pursuant to Article 27, paragraph 7, of the Consumer Code and Article 9, paragraph 2, letter a), of the Regulation, the commitments proposed on February 11, 2022, subsequently supplemented on March 18, 2022, and presented in consolidated form on June 22, 2022,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Groupe PSA Italia S.p.A. within ninety days from the date of notification of this resolution, informs the Authority of the implementation of the commitments.</w:t>
      </w:r>
    </w:p>
    <w:p>
      <w:r>
        <w:t>Pursuant to Article 9, paragraph 3, of the Regulation, the procedure may be reopened ex officio, where:</w:t>
      </w:r>
    </w:p>
    <w:p>
      <w:r>
        <w:t>BULLETIN NO. 30 OF AUGUST 8, 2022 115</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115–117]</w:t>
      </w:r>
    </w:p>
    <w:p>
      <w:r>
        <w:t>116 BULLETIN NO. 30 OF AUGUST 8, 2022</w:t>
      </w:r>
    </w:p>
    <w:p>
      <w:r>
        <w:t>PS12249 - RENAULT - PRESENTATION OF CAR OFFER PRICES</w:t>
      </w:r>
    </w:p>
    <w:p>
      <w:r>
        <w:t>Provision No. 30262</w:t>
      </w:r>
    </w:p>
    <w:p>
      <w:r>
        <w:t>THE ANTITRUST AUTHORITY</w:t>
      </w:r>
    </w:p>
    <w:p>
      <w:r>
        <w:t>IN ITS MEETING of July 19, 2022;</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April 19, 2022, by which Renault Italia S.p.A. submitted commitments pursuant to Article 27, paragraph 7, of the Consumer Code and Article 9 of the Regulation;</w:t>
      </w:r>
    </w:p>
    <w:p>
      <w:r>
        <w:t>HAVING REGARD to its provision of April 27, 2022, by which, pursuant to Article 7, paragraph 3, of the Regulation, the deadline for concluding the procedure was extended for the evaluation of the commitments proposed by the professional;</w:t>
      </w:r>
    </w:p>
    <w:p>
      <w:r>
        <w:t>HAVING REGARD to the documents of the procedure;</w:t>
      </w:r>
    </w:p>
    <w:p>
      <w:r>
        <w:t>I. THE PARTIES</w:t>
      </w:r>
    </w:p>
    <w:p>
      <w:r>
        <w:t>1. Renault Italia S.p.A. (hereinafter also "RI"), as a professional, pursuant to Article 18, letter b), of the Consumer Code. RI is the Italian subsidiary of the Renault S.A.S. group, active worldwide in the production and sale of automobiles under various brands, including Renault and Dacia.</w:t>
      </w:r>
    </w:p>
    <w:p>
      <w:r>
        <w:t>2. CODACONS, as a consumer association reporting.</w:t>
      </w:r>
    </w:p>
    <w:p>
      <w:r>
        <w:t>II. THE COMMERCIAL PRACTICES SUBJECT OF THE PROCEDURE</w:t>
      </w:r>
    </w:p>
    <w:p>
      <w:r>
        <w:t>3. The procedure concerns the methods of presentation, on the websites www.renault.it and www.dacia.it, of the elements that contribute to determining the cost to be incurred for purchasing the advertised cars through financing.</w:t>
      </w:r>
    </w:p>
    <w:p>
      <w:r>
        <w:t>III. THE OUTCOMES OF THE PROCEDURE</w:t>
      </w:r>
    </w:p>
    <w:p>
      <w:r>
        <w:t>III.1 The procedure process</w:t>
      </w:r>
    </w:p>
    <w:p>
      <w:r>
        <w:t>4. Based on the request for intervention from Codacons and the information acquired for the application of the Consumer Code, on December 28, 2021, the investigative procedure PS12249 was initiated against RI, pursuant to Articles 21 and 22 of the Consumer Code, regarding the possible omission and misleading nature of the presentation methods on the homepage of the Renault and Dacia brand websites, of the cost to be incurred for purchasing the advertised cars through financing. The professional emphasized only the convenient amount of the installment at first contact, relegating essential information (the amount of the down payment and the final installment or Guaranteed Future Value, the number of installments, etc.) to sections that are not easily readable, the content of which can only be viewed following one or more actions by the consumer (clicking on one or more links, scrolling a page to the bottom).</w:t>
      </w:r>
    </w:p>
    <w:p>
      <w:r>
        <w:t>5. On January 24, 2022, the initiation communication was sent to Codacons.</w:t>
      </w:r>
    </w:p>
    <w:p>
      <w:r>
        <w:t>6. Renault Italia S.p.A. accessed the documents of the procedure and extracted copies of the documents acquired in the file on January 28, 2022.</w:t>
      </w:r>
    </w:p>
    <w:p>
      <w:r>
        <w:t>7. The professional responded to the request for information made in the initiation communication and presented its defense arguments in a note received on February 16, 2022.</w:t>
      </w:r>
    </w:p>
    <w:p>
      <w:r>
        <w:t>8. On April 19, 2022, the professional submitted a proposal for commitments pursuant to Article 27, paragraph 7 of the Consumer Code and Article 9 of the Regulation.</w:t>
      </w:r>
    </w:p>
    <w:p>
      <w:r>
        <w:t>9. On April 27, 2022, the Party was informed of the sixty-day extension of the deadline for concluding the procedure pursuant to Article 7, paragraph 3, of the Regulation.</w:t>
      </w:r>
    </w:p>
    <w:p>
      <w:r>
        <w:t>10. On May 30, 2022, the Parties were informed of the conclusion date of the investigative phase, pursuant to Article 16, paragraph 1, of the Regulation.</w:t>
      </w:r>
    </w:p>
    <w:p>
      <w:r>
        <w:t>11. On July 13, 2022, the opinion of the Authority for Guarantees in Communications was received.</w:t>
      </w:r>
    </w:p>
    <w:p>
      <w:r>
        <w:t>12. The association Codacons did not participate in the procedure.</w:t>
      </w:r>
    </w:p>
    <w:p>
      <w:r>
        <w:t>III.2 The acquired elements and the commitments of the professional</w:t>
      </w:r>
    </w:p>
    <w:p>
      <w:r>
        <w:t>III.2.1 The acquired elements</w:t>
      </w:r>
    </w:p>
    <w:p>
      <w:r>
        <w:t>13. In its defenses, RI asserted the correctness of its actions, believing it provided consumers with complete and exhaustive information. In fact, according to the professional, the peculiarities of the medium through which the advertisement was disseminated (brand websites) would allow consumers to become aware of all the characteristics of the advertised financing simply by clicking on a button inviting them to explore the offer, without the need to resort to additional external sources of information. The homepage was not constructed to promote the sale of the vehicle, but only to allow the user to view multiple car models grouped by category and, at the same time, invite them to visit the detail page of the Renault model of interest ("discover more"); this structure would be justified by the fact that consumer attention towards a given brand and the offers it proposes would precede the moment of the first contact established through the site. The detail page contains all the complete and necessary information to determine the cost of the vehicle and the payment methods over time; it represents the actual "first contact" page for most visitors to the Renault site.</w:t>
      </w:r>
    </w:p>
    <w:p>
      <w:r>
        <w:t>Similar considerations are made for the Dacia site, where the promotion was included within the homepage of the site, which also contained numerous other pieces of information.</w:t>
      </w:r>
    </w:p>
    <w:p>
      <w:r>
        <w:t>14. While not believing that the messages subject to the procedure constitute a misleading commercial practice, RI voluntarily proceeded to modify them by the first half of February 2022, in order to align them with the indications derived from what was contested at the initiation phase of the procedure. On the homepage of the site www.renault.it, the amount of the installment or other references to the price of the vehicle are no longer displayed; these are instead communicated exclusively in the detail sheets of individual vehicles, along with all the useful information to determine the overall cost of the vehicle, in a single visual box and with similar graphic prominence.</w:t>
      </w:r>
    </w:p>
    <w:p>
      <w:r>
        <w:rPr>
          <w:b/>
        </w:rPr>
        <w:t>[Pages 118–120]</w:t>
      </w:r>
    </w:p>
    <w:p>
      <w:r>
        <w:t>BULLETIN NO. 30 OF AUGUST 8, 2022 119</w:t>
      </w:r>
    </w:p>
    <w:p>
      <w:r>
        <w:t>Fig. 2: example detail page for a Renault model on promotion</w:t>
      </w:r>
    </w:p>
    <w:p>
      <w:r>
        <w:t>15. Similar interventions have been made on the homepage of the Dacia brand's website, where references to the vehicle price have been removed both from the opening section (see fig. 3) and from the section dedicated to promotions.</w:t>
      </w:r>
    </w:p>
    <w:p>
      <w:r>
        <w:t>120 BULLETIN NO. 30 OF AUGUST 8, 2022</w:t>
      </w:r>
    </w:p>
    <w:p>
      <w:r>
        <w:t>Fig. 3: homepage of the website www.dacia.it</w:t>
      </w:r>
    </w:p>
    <w:p>
      <w:r>
        <w:t>All economic information has been concentrated in a single visual box and with similar graphic emphasis on the detail page (see fig. 4).</w:t>
      </w:r>
    </w:p>
    <w:p>
      <w:r>
        <w:t>Fig. 4: example detail page for a Dacia model on promotion</w:t>
      </w:r>
    </w:p>
    <w:p>
      <w:r>
        <w:t>16. From official surveys, it also appears that the television commercials aired during 2022 sufficiently highlight, below the installment amount, other essential information regarding the cost of financing (number of installments, amount of down payment and final balloon payment).</w:t>
      </w:r>
    </w:p>
    <w:p>
      <w:r>
        <w:t>III.2.2 The commitments proposed by the professional</w:t>
      </w:r>
    </w:p>
    <w:p>
      <w:r>
        <w:t>17. As mentioned above, the professional submitted a proposal for commitments (“Commitments”) on April 19, 2022.</w:t>
      </w:r>
    </w:p>
    <w:p>
      <w:r>
        <w:t>18. The professional, in addition to having removed the indication of the installment amount or any other reference to the price of the vehicles from the homepage of the websites www.renault.it and www.dacia.it, has committed to maintain indefinitely the changes made to the websites of the Renault and Dacia brands and to apply them in the promotional advertising activities carried out through all means of communication.</w:t>
      </w:r>
    </w:p>
    <w:p>
      <w:r>
        <w:t>Therefore, all elements and other information necessary to determine the overall cost of the vehicle will be presented contextually and with the same graphic emphasis at the time of the "first contact" with the professional's promotional advertising offer.</w:t>
      </w:r>
    </w:p>
    <w:p>
      <w:r>
        <w:t>IV. OPINION OF THE AUTHORITY FOR GUARANTEES IN COMMUNICATIONS</w:t>
      </w:r>
    </w:p>
    <w:p>
      <w:r>
        <w:t>19. Since the commercial practice subject to this provision has been disseminated through telecommunications means such as a website, on June 13, 2022, the opinion was requested from the Authority for Guarantees in Communications, pursuant to Article 27, paragraph 6, of the Consumer Code.</w:t>
      </w:r>
    </w:p>
    <w:p>
      <w:r>
        <w:t>20. In the opinion received on July 13, 2022, the aforementioned Authority deemed that, in this case, the use of the internet by Renault Italia S.p.A. is suitable for developing a significant impact on consumers who, based on the information read on the professional's websites, could be induced to make a commercial decision that they otherwise would not have made, thus concretely developing the full promotional potential of the cited means of communication.</w:t>
      </w:r>
    </w:p>
    <w:p>
      <w:r>
        <w:t>V. EVALUATION OF THE COMMITMENTS</w:t>
      </w:r>
    </w:p>
    <w:p>
      <w:r>
        <w:t>21. Financing represents one of the most common methods of purchasing new cars. Over time, traditional financing characterized by a long duration and a variable down payment has been accompanied by so-called financing with a final balloon payment, where a large part of the expenditure is concentrated in the down payment and the final balloon payment, and the installment payment is reduced to 24-48 months.</w:t>
      </w:r>
    </w:p>
    <w:p>
      <w:r>
        <w:t>22. Such proposals present an intrinsic complexity due to the presence of different elements (down payment, a number of monthly installments, final balloon payment/residual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23. This provision therefore arises from the need to counter the current practice in the automotive sector that emphasizes at first contact the content amount of the monthly installment or a price that does not include financial charges or expenses. This presentation relies on an element that can be considered secondary in the overall economy of the payments provided in offers with a final balloon payment. Similarly, the representation of a purchase price not inclusive of other charges or expenses misleads the consumer regarding the convenience of an offer that is much more burdensome than it appears.</w:t>
      </w:r>
    </w:p>
    <w:p>
      <w:r>
        <w:t>6 The final balloon payment generally corresponds to the so-called "guaranteed future value" of the car at that time (gross of any damages). In addition to its payment for the definitive purchase of the car, other options are often provided, ranging from refinancing to its use for the acquisition of a new car from the same manufacturer.</w:t>
      </w:r>
    </w:p>
    <w:p>
      <w:r>
        <w:rPr>
          <w:b/>
        </w:rPr>
        <w:t>[Pages 121–123]</w:t>
      </w:r>
    </w:p>
    <w:p>
      <w:r>
        <w:t>122 BULLETIN NO. 30 OF AUGUST 8, 2022</w:t>
      </w:r>
    </w:p>
    <w:p>
      <w:r>
        <w:t>24. In light of the rationale for the investigative intervention in the sector, the commitments presented and partially already implemented by the professional appear proportionate to the outlined objectives and suitable for removing the possible infringement, as they aim to allow the consumer to appreciate, from the first contact with the economic conditions of the offer, the extent of the economic commitment required and its distribution over time.</w:t>
      </w:r>
    </w:p>
    <w:p>
      <w:r>
        <w:t>25. In fact, the concentration in a single visual frame, present exclusively on the detail page of the chosen model, of all relevant economic information, conveyed clearly and with adequate graphic emphasis, allows the consumer to calculate with simple arithmetic operations the cost of the vehicle and understand the payment methods over time.</w:t>
      </w:r>
    </w:p>
    <w:p>
      <w:r>
        <w:t>26. The proposed Commitments thus represent a significant improvement in the communication regarding financing conditions, as they reduce informational asymmetry and ensure transparent and immediately understandable offer conditions.</w:t>
      </w:r>
    </w:p>
    <w:p>
      <w:r>
        <w:t>27. Particularly commendable is the circumstance that the professional has proposed measures that go beyond the scope of the allegations made at the outset, having provided for the extension of the Commitments to all forms of communication, both digital (e.g., banners and social media) and offline (in particular, print and TV). Moreover, the principles that inform the Commitments are already applied in communications on television.</w:t>
      </w:r>
    </w:p>
    <w:p>
      <w:r>
        <w:t>28.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Renault Italia S.p.A., in the terms outlined above, are suitable to eliminate the possible aspects of unfairness of the commercial practice subject to investigation;</w:t>
      </w:r>
    </w:p>
    <w:p>
      <w:r>
        <w:t>IT IS DEEMED to impose the obligation of the aforementioned commitments on Renault Italia S.p.A.;</w:t>
      </w:r>
    </w:p>
    <w:p>
      <w:r>
        <w:t>IT IS DEEMED, therefore, to be able to close the procedure without ascertaining the infringement;</w:t>
      </w:r>
    </w:p>
    <w:p>
      <w:r>
        <w:t>RESOLVES</w:t>
      </w:r>
    </w:p>
    <w:p>
      <w:r>
        <w:t>a) to make mandatory, towards Renault Italia S.p.A., pursuant to Article 27, paragraph 7, of the Consumer Code and Article 9, paragraph 2, letter a), of the Regulation, the commitments proposed on April 19, 2022,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7 The amount of the down payment, the number and amount of the individual installments, the amount of the final payment (final balloon payment), the TAN and the TAEG.</w:t>
      </w:r>
    </w:p>
    <w:p>
      <w:r>
        <w:t>BULLETIN NO. 30 OF AUGUST 8, 2022 123</w:t>
      </w:r>
    </w:p>
    <w:p>
      <w:r>
        <w:t>c) that Renault Italia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t>124 BULLETIN NO. 30 OF AUGUST 8, 2022</w:t>
      </w:r>
    </w:p>
    <w:p>
      <w:r>
        <w:t>PS12250 - TOYOTA-PRICE PRESENTATION OFFERS CARS</w:t>
      </w:r>
    </w:p>
    <w:p>
      <w:r>
        <w:t>Provision No. 30263</w:t>
      </w:r>
    </w:p>
    <w:p>
      <w:r>
        <w:t>THE ANTITRUST AUTHORITY</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February 11, 2022, by which Toyota Motor Italia S.p.A. presented commitments pursuant to Article 27, paragraph 7, of the Consumer Code and Article 9 of the Regulation;</w:t>
      </w:r>
    </w:p>
    <w:p>
      <w:r>
        <w:t>VIEWED its provision of April 27, 2022, by which, pursuant to Article 7, paragraph 3, of the Regulation, the deadline for concluding the procedure was extended for the evaluation of the commitments proposed by the professional;</w:t>
      </w:r>
    </w:p>
    <w:p>
      <w:r>
        <w:t>VIEWED the acts of the procedure;</w:t>
      </w:r>
    </w:p>
    <w:p>
      <w:r>
        <w:t>I. THE PARTY</w:t>
      </w:r>
    </w:p>
    <w:p>
      <w:r>
        <w:t>1. Toyota Motor Italia S.p.A. (hereinafter also "Toyota"), as a professional, pursuant to Article 18, letter b), of the Consumer Code. Toyota is active in the marketing in Italy of cars under the Toyota and Lexus brands of the same group.</w:t>
      </w:r>
    </w:p>
    <w:p>
      <w:r>
        <w:t>II. THE COMMERCIAL PRACTICE</w:t>
      </w:r>
    </w:p>
    <w:p>
      <w:r>
        <w:t>2. The procedure concerns the methods of presentation, on the websites www.toyota.it and www.lexus.it, of the elements that contribute to determining the cost to be incurred to purchase the advertised cars through financing.</w:t>
      </w:r>
    </w:p>
    <w:p>
      <w:r>
        <w:t>III. THE RESULTS OF THE PROCEDURE</w:t>
      </w:r>
    </w:p>
    <w:p>
      <w:r>
        <w:t>III.1 The course of the procedure</w:t>
      </w:r>
    </w:p>
    <w:p>
      <w:r>
        <w:t>3. Based on the information acquired for the application of the Consumer Code, on December 28, 2021, the investigative procedure PS12250 was initiated against Toyota Motor Italia S.p.A., pursuant to Articles 21 and 22 of the Consumer Code, regarding the possible omission and misleading nature of the presentation methods, on the professional's brand websites, of the cost to be incurred to purchase the advertised cars through financing.</w:t>
      </w:r>
    </w:p>
    <w:p>
      <w:r>
        <w:rPr>
          <w:b/>
        </w:rPr>
        <w:t>[Pages 124–126]</w:t>
      </w:r>
    </w:p>
    <w:p>
      <w:r>
        <w:t>BULLETIN NO. 30 OF AUGUST 8, 2022 125</w:t>
      </w:r>
    </w:p>
    <w:p>
      <w:r>
        <w:t>advertised. At the first contact, the professional emphasizes only the convenient amount of the installment, relegating essential information (down payment, final balloon payment, number of installments, etc.) to sections that are not easily readable, the content of which can only be viewed following one or more actions by the consumer (clicking on one or more links, scrolling to the bottom of a page, enlarging the font).</w:t>
      </w:r>
    </w:p>
    <w:p>
      <w:r>
        <w:t>4. The professional has responded to the request for information made in the initiation communication and has presented its defensive arguments in notes dated February 11, March 4, and June 9, 2022.</w:t>
      </w:r>
    </w:p>
    <w:p>
      <w:r>
        <w:t>5. On February 11, 2022, the professional submitted a proposal for commitments, pursuant to Article 27, paragraph 7, of the Consumer Code and Article 9 of the Regulation.</w:t>
      </w:r>
    </w:p>
    <w:p>
      <w:r>
        <w:t>6. The professional was heard by the Offices on February 25, 2022.</w:t>
      </w:r>
    </w:p>
    <w:p>
      <w:r>
        <w:t>7. On April 27, 2022, the Party was notified of a sixty-day extension of the deadline for concluding the proceedings pursuant to Article 7, paragraph 3, of the Regulation.</w:t>
      </w:r>
    </w:p>
    <w:p>
      <w:r>
        <w:t>8. On May 30, 2022, the Parties were notified of the conclusion date of the investigative phase, pursuant to Article 16, paragraph 1, of the Regulation.</w:t>
      </w:r>
    </w:p>
    <w:p>
      <w:r>
        <w:t>9. On July 12, 2022, the opinion of the Authority for Communications Guarantees was received.</w:t>
      </w:r>
    </w:p>
    <w:p>
      <w:r>
        <w:t>III.2 The elements acquired and the commitments of the professional</w:t>
      </w:r>
    </w:p>
    <w:p>
      <w:r>
        <w:t>III.2.1 The elements acquired</w:t>
      </w:r>
    </w:p>
    <w:p>
      <w:r>
        <w:t>10. In its defenses, Toyota asserted the correctness of its actions, believing it provides consumers with complete and exhaustive information. In particular, the professional stated that the advertised price and/or installment is necessarily a starting price (as can be inferred from the fact that every advertised price is preceded by the phrase "from"), since the final price paid (in full at the time of purchase or financed over time) by the consumer depends on numerous variables related to the chosen vehicle model and the selected payment method. It added that the final price could also be lower than the advertised price due to additional discounts that may be applied by dealers. According to the professional, the average consumer would be aware of these circumstances, as it is common experience to visit multiple dealers in search of the best offer.</w:t>
      </w:r>
    </w:p>
    <w:p>
      <w:r>
        <w:t>III.2.1 The commitments proposed by the professional</w:t>
      </w:r>
    </w:p>
    <w:p>
      <w:r>
        <w:t xml:space="preserve">11. On February 11, 2022, Toyota submitted a proposal for commitments, proposing: </w:t>
        <w:br/>
        <w:t>(i) to modify its website and those of dealers so that the homepage does not contain messages regarding the economic conditions of any financing; both the summary page with all ongoing offers and the detailed pages of individual models will display in a contextual manner and with equal emphasis, in addition to the starting price (valid for cash purchases and financing), all the main cost items of the financing (down payment, number of installments, etc.);</w:t>
      </w:r>
    </w:p>
    <w:p>
      <w:r>
        <w:t>(ii) to adopt the same communication methods also on other digital channels (banners on third-party sites, social media, so-called SEM ads), in radio and television spots, and in advertising materials made available to dealers;</w:t>
      </w:r>
    </w:p>
    <w:p>
      <w:r>
        <w:t>(iii) to annually provide marketing and sales personnel with a mandatory course on unfair commercial practices, including Guidelines to follow in the preparation of advertising messages;</w:t>
      </w:r>
    </w:p>
    <w:p>
      <w:r>
        <w:t>(iv) to ensure that dealerships also comply with the same principles in their advertising communication.</w:t>
      </w:r>
    </w:p>
    <w:p>
      <w:r>
        <w:t>12. The implementation of the proposed Commitments will be completed and will become definitive from the date of approval of the proposal by the Authority.</w:t>
      </w:r>
    </w:p>
    <w:p>
      <w:r>
        <w:t>13. In a note dated June 9, 2022, Toyota also committed to extend the training course to the personnel of the external advertising agency. Since promotional initiatives for the Toyota and Lexus brands are developed in close collaboration with this agency, the professional considers it extremely useful to extend the culture of compliance with regulations regarding unfair commercial practices to the agency's personnel more directly involved in activities related to the creation of the promotions themselves. The course will be held by September 2022.</w:t>
      </w:r>
    </w:p>
    <w:p>
      <w:r>
        <w:t>IV. OPINION OF THE AUTHORITY FOR COMMUNICATIONS GUARANTEES</w:t>
      </w:r>
    </w:p>
    <w:p>
      <w:r>
        <w:t>14. Since the commercial practice subject to this provision was disseminated through telecommunications means such as a website, on June 13, 2022, the opinion was requested from the Authority for Communications Guarantees, pursuant to Article 27, paragraph 6, of the Consumer Code.</w:t>
      </w:r>
    </w:p>
    <w:p>
      <w:r>
        <w:t>15. In the opinion received on July 12, 2022, the aforementioned Authority considered that, in this case, the use of the internet by Toyota Motor Italia S.p.A. is suitable for developing a significant impact on consumers who, based on the information read on the professional's websites, could be induced to make a commercial decision that they otherwise would not have made, thus concretely developing the full promotional potential of the aforementioned communication medium.</w:t>
      </w:r>
    </w:p>
    <w:p>
      <w:r>
        <w:t>V. EVALUATIONS</w:t>
      </w:r>
    </w:p>
    <w:p>
      <w:r>
        <w:t>16. Financing represents one of the most common methods of purchasing new cars. Over time, traditional financing characterized by a long duration and a variable down payment has been joined by so-called financing with a final balloon payment, where a large part of the expenditure is concentrated in the down payment and the final balloon payment, and the installment payment is reduced to 24-48 months.</w:t>
      </w:r>
    </w:p>
    <w:p>
      <w:r>
        <w:t>17. Such proposals present an intrinsic complexity due to the presence of different elements (down payment, a number of monthly installments, final balloon payment/residual value), which allow for multiple structuring of payments over time. Only the contextual knowledge of all the essential elements of the offer can allow for full awareness of the financial commitment required and its distribution over time, which is fundamental for assessing its compatibility with one's income flows and savings capacity.</w:t>
      </w:r>
    </w:p>
    <w:p>
      <w:r>
        <w:t>18. This provision therefore arises from the need to counter the current practice in the automotive sector that emphasizes at first contact the content amount of the monthly installment or a price that does not include financial charges or expenses. This presentation relies on an element that can be considered secondary in the overall economy of the payments provided in offers with a final balloon payment. Similarly, the representation of a purchase price that does not include other charges or expenses misleads the consumer regarding the convenience of an offer that is much more burdensome than it appears.</w:t>
      </w:r>
    </w:p>
    <w:p>
      <w:r>
        <w:t>19. In light of the rationale for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20. In fact, the concentration in a single visual box of all relevant economic information, conveyed clearly and with adequate graphic emphasis, allows the consumer to calculate with simple arithmetic operations the cost of the vehicle and understand the payment methods over time.</w:t>
      </w:r>
    </w:p>
    <w:p>
      <w:r>
        <w:t>21. The proposed Commitments thus represent a significant improvement in communication regarding financing conditions, as they reduce information asymmetry and ensure transparent and immediately understandable offer conditions.</w:t>
      </w:r>
    </w:p>
    <w:p>
      <w:r>
        <w:t>22. Particularly commendable is the fact that the professional has proposed measures that go beyond the scope of the allegations made at the outset: it has indeed provided for the extension of commitments to other digital channels and offline communication (in particular, print and TV); it has also provided for measures aimed at raising awareness among dealerships regarding compliance with the advertising communication principles dictated by the professional's Guidelines; it has adopted a training initiative on unfair commercial practices, thus holding the corporate structure (marketing and sales side) accountable for compliance with consumer protection regulations and preventing negligent conduct. In this sense, noteworthy is the planned extension of training, and thus the culture of compliance with regulations, to the personnel of the advertising agency that manages and develops the promotions.</w:t>
      </w:r>
    </w:p>
    <w:p>
      <w:r>
        <w:rPr>
          <w:b/>
        </w:rPr>
        <w:t>[Pages 127–129]</w:t>
      </w:r>
    </w:p>
    <w:p>
      <w:r>
        <w:t>128 BULLETIN NO. 30 OF AUGUST 8, 2022</w:t>
      </w:r>
    </w:p>
    <w:p>
      <w:r>
        <w:t>promotional initiatives for the Toyota and Lexus brands in close collaboration with the automobile manufacturer.</w:t>
      </w:r>
    </w:p>
    <w:p>
      <w:r>
        <w:t>23. In light of the above considerations, it is believed that the commitments presented - which are attached to this provision and constitute an integral part thereof - meet the requirements set forth in Article 27, paragraph 7, of the Consumer Code.</w:t>
      </w:r>
    </w:p>
    <w:p>
      <w:r>
        <w:t>CONSIDERED, therefore, that the commitments presented by the company Toyota Motor Italia S.p.A., in the terms outlined above, are suitable to eliminate the possible profiles of unfairness of the commercial practice subject to investigation;</w:t>
      </w:r>
    </w:p>
    <w:p>
      <w:r>
        <w:t>CONSIDERED, to impose the obligation of the aforementioned commitments on the company Toyota Motor Italia S.p.A.;</w:t>
      </w:r>
    </w:p>
    <w:p>
      <w:r>
        <w:t>CONSIDERED, therefore, to be able to close the procedure without ascertaining the infringement;</w:t>
      </w:r>
    </w:p>
    <w:p>
      <w:r>
        <w:t>RESOLVES</w:t>
      </w:r>
    </w:p>
    <w:p>
      <w:r>
        <w:t>a) to make mandatory, towards the company Toyota Motor Italia S.p.A., pursuant to Article 27, paragraph 7, of the Consumer Code and Article 9, paragraph 2, letter a), of the Regulation, the commitments proposed by the same company on February 11, 2022, as described in the statement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the company Toyota Motor Italia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BULLETIN NO. 30 OF AUGUST 8, 2022 129</w:t>
      </w:r>
    </w:p>
    <w:p>
      <w:r>
        <w:t>This provision will be notified to the interested parties and published in the Bulletin of the Authority for the Guarantee of Competition and the Market.</w:t>
      </w:r>
    </w:p>
    <w:p>
      <w:r>
        <w:t>THE SECRETARY GENERAL THE PRESIDENT</w:t>
      </w:r>
    </w:p>
    <w:p>
      <w:r>
        <w:t>Guido Stazi Roberto Rustichelli</w:t>
      </w:r>
    </w:p>
    <w:p>
      <w:r>
        <w:t>130 BULLETIN NO. 30 OF AUGUST 8, 2022</w:t>
      </w:r>
    </w:p>
    <w:p>
      <w:r>
        <w:t>PS12251 - FORD ITALIA - PRESENTATION OF CAR OFFER PRICES</w:t>
      </w:r>
    </w:p>
    <w:p>
      <w:r>
        <w:t>Provision No. 30264</w:t>
      </w:r>
    </w:p>
    <w:p>
      <w:r>
        <w:t>THE AUTHORITY FOR THE GUARANTEE OF COMPETITION AND THE MARKET</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April 22, 2022, whereby the company Ford Italia S.p.A. presented commitments pursuant to Article 27, paragraph 7, of the Consumer Code and Article 9 of the Regulation;</w:t>
      </w:r>
    </w:p>
    <w:p>
      <w:r>
        <w:t>VIEWED its provision of April 27, 2022, whereby, pursuant to Article 7, paragraph 3, of the Regulation, the deadline for concluding the procedure was extended for the evaluation of the commitments proposed by the professional;</w:t>
      </w:r>
    </w:p>
    <w:p>
      <w:r>
        <w:t>VIEWED the acts of the procedure;</w:t>
      </w:r>
    </w:p>
    <w:p>
      <w:r>
        <w:t>I. THE PARTY</w:t>
      </w:r>
    </w:p>
    <w:p>
      <w:r>
        <w:t>1. Ford Italia S.p.A. (hereinafter also "Ford"), as a professional, pursuant to Article 18, letter b), of the Consumer Code. Ford Italia is the Italian subsidiary of the Ford group, active worldwide in the production and sale of automobiles under the same brand.</w:t>
      </w:r>
    </w:p>
    <w:p>
      <w:r>
        <w:t>II. THE COMMERCIAL PRACTICES SUBJECT TO THE PROCEDURE</w:t>
      </w:r>
    </w:p>
    <w:p>
      <w:r>
        <w:t>2. The procedure concerns the methods of presentation, on the website www.ford.it, of the elements that contribute to determining the cost to be incurred for purchasing the advertised cars through financing.</w:t>
      </w:r>
    </w:p>
    <w:p>
      <w:r>
        <w:t>III. THE OUTCOMES OF THE PROCEDURE</w:t>
      </w:r>
    </w:p>
    <w:p>
      <w:r>
        <w:t>III.1 The course of the procedure</w:t>
      </w:r>
    </w:p>
    <w:p>
      <w:r>
        <w:t>3. Based on the information acquired for the application of the Consumer Code, on December 28, 2021, the investigative procedure PS12251 was initiated against Ford Italia S.p.A., pursuant to Articles 21 and 22 of the Consumer Code, regarding the possible omission and misleading nature of the overall presentation methods, on the professional's website, of the cost to be incurred for purchasing the advertised cars through financing.</w:t>
      </w:r>
    </w:p>
    <w:p>
      <w:r>
        <w:rPr>
          <w:b/>
        </w:rPr>
        <w:t>[Pages 130–132]</w:t>
      </w:r>
    </w:p>
    <w:p>
      <w:r>
        <w:t>BULLETIN NO. 30 OF AUGUST 8, 2022 131</w:t>
      </w:r>
    </w:p>
    <w:p>
      <w:r>
        <w:t>At the first contact, the professional emphasized only the convenient amount of the installment, relegating essential information (down payment, final installment, number of installments, etc.) to sections that were not easily readable, the content of which could only be viewed following one or more actions by the consumer (clicking on one or more links, scrolling a page, enlarging the characters).</w:t>
      </w:r>
    </w:p>
    <w:p>
      <w:r>
        <w:t>4. The professional responded to the request for information made in the initiation communication and presented its defense arguments with notes received on January 27, 2022, and March 4, 2022.</w:t>
      </w:r>
    </w:p>
    <w:p>
      <w:r>
        <w:t>5. On April 22, 2022, the professional submitted a proposal for commitments pursuant to Article 27, paragraph 7 of the Consumer Code and Article 9 of the Regulation.</w:t>
      </w:r>
    </w:p>
    <w:p>
      <w:r>
        <w:t>6. On April 27, 2022, the Party was notified of a sixty-day extension of the deadline for concluding the procedure pursuant to Article 7, paragraph 3, of the Regulation.</w:t>
      </w:r>
    </w:p>
    <w:p>
      <w:r>
        <w:t>7. On May 30, 2022, the Parties were notified of the conclusion date of the investigative phase, pursuant to Article 16, paragraph 1, of the Regulation.</w:t>
      </w:r>
    </w:p>
    <w:p>
      <w:r>
        <w:t>8. On July 13, 2022, the opinion of the Authority for Communications Guarantees was received.</w:t>
      </w:r>
    </w:p>
    <w:p>
      <w:r>
        <w:t>III.2 The elements acquired and the commitments of the professional</w:t>
      </w:r>
    </w:p>
    <w:p>
      <w:r>
        <w:t>III.2.1 The elements acquired</w:t>
      </w:r>
    </w:p>
    <w:p>
      <w:r>
        <w:t>9. Following the receipt of the initiation communication, while asserting the correctness of its actions, Ford took steps to modify its website. On January 27, 2022, it communicated that it had removed from the slider on the homepage of the website www.ford.it all information related to the cost of the vehicle (down payment, monthly installment, TAN, and TAEG) and intended to modify the other sections of the site subject to the initiation, completing the information provided to consumers on the cost of the vehicle and rental.</w:t>
      </w:r>
    </w:p>
    <w:p>
      <w:r>
        <w:t>10. From official surveys conducted at the end of March 2022, it emerged that the professional had included on the detail page of the promotion related to a certain model all information related to the cost of the vehicle (down payment, number and amount of monthly installments, TAN, and TAEG, final installment) and that the intermediate presentation page of the available promotions on the Ford range did not contain economic information. Complete information was also proposed in the slider.</w:t>
      </w:r>
    </w:p>
    <w:p>
      <w:r>
        <w:t>III.2.2 The commitments proposed by the professional</w:t>
      </w:r>
    </w:p>
    <w:p>
      <w:r>
        <w:t>11. The professional submitted a proposal for commitments (“Commitments”) on April 22, 2022.</w:t>
      </w:r>
    </w:p>
    <w:p>
      <w:r>
        <w:t>12. The proposal is structured as follows:</w:t>
      </w:r>
    </w:p>
    <w:p>
      <w:r>
        <w:t>(i) “The advertising messages for Ford vehicles on promotion with financing will be structured to provide the consumer, in accordance with the characteristics of the communication medium used, from the outset, complete information on the following elements: amount of the down payment, number and amount of installments, TAN, TAEG, and amount of the final installment.”</w:t>
      </w:r>
    </w:p>
    <w:p>
      <w:r>
        <w:t>2 See documents 7 and 9 of the investigative file.</w:t>
      </w:r>
    </w:p>
    <w:p>
      <w:r>
        <w:t>3 See document 11 of the investigative file.</w:t>
      </w:r>
    </w:p>
    <w:p>
      <w:r>
        <w:t>4 See document 12 of the investigative file.</w:t>
      </w:r>
    </w:p>
    <w:p>
      <w:r>
        <w:t>5 See document 14 of the investigative file.</w:t>
      </w:r>
    </w:p>
    <w:p>
      <w:r>
        <w:t>6 See document 10 of the investigative file.</w:t>
      </w:r>
    </w:p>
    <w:p>
      <w:r>
        <w:t>132 BULLETIN NO. 30 OF AUGUST 8, 2022</w:t>
      </w:r>
    </w:p>
    <w:p>
      <w:r>
        <w:t>(ii) “The same approach will be adopted for rental offers to individuals, indicating that it is a rental offer, the amount of the down payment and the fee (including VAT), and the duration of the rental.”</w:t>
      </w:r>
    </w:p>
    <w:p>
      <w:r>
        <w:t>13. The company also commits to extend the scope of application of the Commitments “to other public communication channels, namely TV, radio, and digital.”</w:t>
      </w:r>
    </w:p>
    <w:p>
      <w:r>
        <w:t>IV. OPINION OF THE AUTHORITY FOR COMMUNICATIONS GUARANTEES</w:t>
      </w:r>
    </w:p>
    <w:p>
      <w:r>
        <w:t>14. Since the commercial practice subject to this provision was disseminated through telecommunications means such as a website, on June 13, 2022, the opinion was requested from the Authority for Communications Guarantees, pursuant to Article 27, paragraph 6, of the Consumer Code.</w:t>
      </w:r>
    </w:p>
    <w:p>
      <w:r>
        <w:t>15. In the opinion received on July 13, 2022, the aforementioned Authority deemed that, in this case, Ford Italia S.p.A.'s use of the internet is suitable for developing a significant impact on consumers who, based on the information read on the professional's sites, could be induced to make a commercial decision that they otherwise would not have made, thus concretely developing the full promotional potential of the cited communication medium.</w:t>
      </w:r>
    </w:p>
    <w:p>
      <w:r>
        <w:t>V. EVALUATION OF THE COMMITMENTS</w:t>
      </w:r>
    </w:p>
    <w:p>
      <w:r>
        <w:t>16. Financing represents one of the most common methods of purchasing new cars. Over time, traditional financing characterized by a long duration and a variable down payment has been joined by so-called financing with a final installment, where a large part of the expenditure is concentrated in the down payment and the final installment, and the installment payment is reduced to 24-48 months.</w:t>
      </w:r>
    </w:p>
    <w:p>
      <w:r>
        <w:t>17. Such proposals present an intrinsic complexity due to the presence of different elements (down payment, a number of monthly installments, final installment/residual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18. This provision therefore arises from the need to counter the current practice in the automotive sector that emphasizes at first contact the content amount of the monthly installment or a price that does not include financial charges or expenses. This presentation relies on an element that can be considered secondary in the overall economy of the payments provided in offers with a final installment. Similarly, the representation of a purchase price that does not include other charges or expenses misleads the consumer regarding the convenience of an offer that is much more burdensome than it appears.</w:t>
      </w:r>
    </w:p>
    <w:p>
      <w:r>
        <w:t>19. In light of the rationale for the investigative intervention in the sector, the commitments presented and partially already implemented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20. In fact, the concentration in a single visual box of all relevant economic information, conveyed clearly and with adequate graphic emphasis, allows the consumer to calculate with simple arithmetic operations the cost of the vehicle and understand the payment methods over time.</w:t>
      </w:r>
    </w:p>
    <w:p>
      <w:r>
        <w:t>21. The proposed Commitments thus represent a significant improvement in communication regarding financing conditions, as they reduce information asymmetry and ensure transparent and immediately understandable offer conditions.</w:t>
      </w:r>
    </w:p>
    <w:p>
      <w:r>
        <w:t>22. Particularly commendable is the circumstance that the professional has proposed measures that go beyond the scope of the allegations made at the outset, having provided for the extension of the Commitments to other public communication channels, namely TV, radio, and digital.</w:t>
      </w:r>
    </w:p>
    <w:p>
      <w:r>
        <w:t>23.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Ford Italia S.p.A., in the terms outlined above, are suitable to eliminate the possible profiles of unfairness of the commercial practice subject to investigation;</w:t>
      </w:r>
    </w:p>
    <w:p>
      <w:r>
        <w:t>IT IS DEEMED to order the obligation of the aforementioned commitments towards Ford Italia S.p.A.;</w:t>
      </w:r>
    </w:p>
    <w:p>
      <w:r>
        <w:t>IT IS DEEMED, therefore, to be able to close the procedure without ascertaining the infringement;</w:t>
      </w:r>
    </w:p>
    <w:p>
      <w:r>
        <w:t>RESOLVES</w:t>
      </w:r>
    </w:p>
    <w:p>
      <w:r>
        <w:t>a) to make mandatory, towards Ford Italia S.p.A., pursuant to Article 27, paragraph 7, of the Consumer Code and Article 9, paragraph 2, letter a), of the Regulation, the commitments proposed on April 22, 2022,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Ford Italia S.p.A., within ninety days from the date of notification of this resolution, informs the Authority of the implementation of the commitments.</w:t>
      </w:r>
    </w:p>
    <w:p>
      <w:r>
        <w:t>Pursuant to Article 9, paragraph 3, of the Regulation, the procedure may be reopened ex officio, where:</w:t>
      </w:r>
    </w:p>
    <w:p>
      <w:r>
        <w:t>8 The amount of the down payment (if provided), the number and monthly amount of individual installments and rental fees, the amount of the final payment (final installment), the TAN, and the TAEG.</w:t>
      </w:r>
    </w:p>
    <w:p>
      <w:r>
        <w:rPr>
          <w:b/>
        </w:rPr>
        <w:t>[Pages 133–135]</w:t>
      </w:r>
    </w:p>
    <w:p>
      <w:r>
        <w:t>134 BULLETIN NO. 30 OF AUGUST 8, 2022</w:t>
      </w:r>
    </w:p>
    <w:p>
      <w:r>
        <w:t xml:space="preserve">a) professionals do not implement the commitments;  </w:t>
        <w:br/>
        <w:t xml:space="preserve">b) the factual situation changes regarding one or more elements on which the decision is based;  </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 xml:space="preserve">THE SECRETARY GENERAL THE PRESIDENT  </w:t>
        <w:br/>
        <w:t>Guido Stazi Roberto Rustichelli</w:t>
      </w:r>
    </w:p>
    <w:p>
      <w:r>
        <w:t>BULLETIN NO. 30 OF AUGUST 8, 2022</w:t>
      </w:r>
    </w:p>
    <w:p>
      <w:r>
        <w:t xml:space="preserve">PS12252 - BMW-PRESENTATION OF CAR PRICE OFFERS  </w:t>
        <w:br/>
        <w:t xml:space="preserve">Provision No. 30265  </w:t>
        <w:br/>
        <w:t xml:space="preserve">THE COMPETITION AND MARKET AUTHORITY IN ITS  </w:t>
        <w:br/>
        <w:t xml:space="preserve">MEETING of July 19, 2022;  </w:t>
        <w:br/>
        <w:t xml:space="preserve">HEARD the Rapporteur President Roberto Rustichelli;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February 11, 2022, supplemented on March 16 and presented in consolidated version on July 6, 2022, with which the Party proposed commitments pursuant to Article 27, paragraph 7, of the Consumer Code and Article 9 of the Regulation;  </w:t>
        <w:br/>
        <w:t xml:space="preserve">VIEWED its provision of April 27, 2022, with which, pursuant to Article 7, paragraph 3, of the Regulation, the deadline for concluding the procedure was extended;  </w:t>
        <w:br/>
        <w:t>VIEWED the acts of the procedure;</w:t>
      </w:r>
    </w:p>
    <w:p>
      <w:r>
        <w:t xml:space="preserve">I. THE PARTY  </w:t>
        <w:br/>
        <w:t xml:space="preserve">1. BMW Italia S.p.A. (hereinafter BMW) as a professional, pursuant to Article 18, letter b), of the Consumer Code.  </w:t>
        <w:br/>
        <w:t>BMW is the Italian subsidiary of the BMW AG group, active worldwide in the production and sale of automobiles under various brands, including BMW and Mini.</w:t>
      </w:r>
    </w:p>
    <w:p>
      <w:r>
        <w:t xml:space="preserve">II. THE COMMERCIAL PRACTICE  </w:t>
        <w:br/>
        <w:t>2. The procedure concerns the methods of presentation, on the websites www.bmw.it and www.mini.it, of the elements that contribute to determining the cost to be incurred for purchasing the cars advertised through financing or for leasing.</w:t>
      </w:r>
    </w:p>
    <w:p>
      <w:r>
        <w:t xml:space="preserve">III. THE OUTCOMES OF THE PROCEDURE  </w:t>
        <w:br/>
        <w:t xml:space="preserve">III.1) The course of the procedure  </w:t>
        <w:br/>
        <w:t xml:space="preserve">3. Based on the information acquired for the application of the Consumer Code, on December 28, 2021, the investigative procedure PS12252 was initiated against BMW Italia S.p.A., pursuant to Articles 21 and 22 of the Consumer Code, regarding the possible omission and misleading nature of the presentation methods on the websites of the BMW and Mini brands of the cost of the cars advertised in leasing and purchase offers with financing. At the first contact, the professional emphasized only the convenient amount of the leasing fee and the installment, relegating essential information (down payment, final max installment, number of installments, mileage included in the leasing offers, etc.) to sections that were not easily readable, the content of which could only be viewed following one or more actions by the consumer (clicking on one or more links, opening specific boxes for "More Information," scrolling to the bottom of a page to reach the "Legal Notes," enlarging the characters).  </w:t>
        <w:br/>
        <w:t xml:space="preserve">4. The professional responded to the request for information made in the initiation communication and presented its defense arguments with notes received on February 11 and June 8, 2022.  </w:t>
        <w:br/>
        <w:t xml:space="preserve">5. On March 7, 2022, the professional was heard by the Offices.  </w:t>
        <w:br/>
        <w:t xml:space="preserve">6. On February 11, 2022, the professional submitted a proposal for commitments, pursuant to Article 27, paragraph 7, of the Consumer Code and Article 9 of the Regulation, subsequently supplemented on March 16, 2022.  </w:t>
        <w:br/>
        <w:t xml:space="preserve">7. On April 27, 2022, the Party was informed of the sixty-day extension of the deadline for concluding the procedure pursuant to Article 7, paragraph 3, of the Regulation.  </w:t>
        <w:br/>
        <w:t xml:space="preserve">8. On May 30, 2022, the Party was informed of the conclusion date of the investigative phase pursuant to Article 16, paragraph 1 of the Regulation.  </w:t>
        <w:br/>
        <w:t>9. On July 12, 2022, the opinion of the Authority for Guarantees in Communications was received.</w:t>
      </w:r>
    </w:p>
    <w:p>
      <w:r>
        <w:t xml:space="preserve">III.2 The elements acquired  </w:t>
        <w:br/>
        <w:t xml:space="preserve">10. In its submissions, the professional emphasized that automobiles are search goods with a low frequency of purchase and high economic value. This means that consumers invest time in searching for information to carefully evaluate the different offers, especially when these include financial products such as financial leasing or operational leasing/long-term rental.  </w:t>
        <w:br/>
        <w:t xml:space="preserve">11. On this point, the professional recalled that recent studies have shown that the process of purchasing a new car by a consumer can last up to 24 weeks, with 70% dedicated to searching for and evaluating information.  </w:t>
        <w:br/>
        <w:t>12. BMW stated that it immediately took action, following the receipt of the initiation communication, to implement changes on its websites aimed at concentrating, in a single informational space with uniform emphasis, all the essential elements of the advertised offers, so as to make them immediately perceivable by the consumer. The changes in question have been online since January 21, 2022, on both the BMW and Mini websites.</w:t>
      </w:r>
    </w:p>
    <w:p>
      <w:r>
        <w:t xml:space="preserve">III.3 The commitments of the professional  </w:t>
        <w:br/>
        <w:t>13. As mentioned above, the professional submitted a proposal for commitments ("Commitments") on February 11, 2022, subsequently supplemented on March 16, 2022.</w:t>
      </w:r>
    </w:p>
    <w:p>
      <w:r>
        <w:rPr>
          <w:b/>
        </w:rPr>
        <w:t>[Pages 136–138]</w:t>
      </w:r>
    </w:p>
    <w:p>
      <w:r>
        <w:t>BULLETIN NO. 30 OF AUGUST 8, 2022 137</w:t>
      </w:r>
    </w:p>
    <w:p>
      <w:r>
        <w:t>1) Commitment regarding changes to the Site www.bmw.it</w:t>
      </w:r>
    </w:p>
    <w:p>
      <w:r>
        <w:t>14. In order to make all essential elements of financing, financial leasing, operational leasing, and long-term rental offers related to vehicles branded "BMW" even clearer and more immediately accessible, the professional commits to modify such offers as follows:</w:t>
      </w:r>
    </w:p>
    <w:p>
      <w:r>
        <w:t xml:space="preserve">Commitment 1 a) </w:t>
        <w:br/>
        <w:t>with regard to the section "BMW Offers/Available Offers," it is possible to access the pages dedicated to the general description of the different types of contractual solutions proposed, which do not contain any indication regarding the economic commitment for the consumer:</w:t>
        <w:br/>
        <w:t>• "Financial Solutions": the financing "BMW Select" and the financial leasing "Why-Buy";</w:t>
        <w:br/>
        <w:t>• "Operational Leasing" "WHY-BUY EVO";</w:t>
        <w:br/>
        <w:t>• "Long-Term Rental."</w:t>
      </w:r>
    </w:p>
    <w:p>
      <w:r>
        <w:t xml:space="preserve">15. At the end of the general description of each of the aforementioned three options, there is a blue button labeled "Discover the offers," which leads to the section of the page that lists the car models offered within each contractual solution, without any economic indication. </w:t>
        <w:br/>
        <w:t>Under each model, there is a link "Learn more," which leads to a page containing the elements of the specific chosen contractual solution.</w:t>
      </w:r>
    </w:p>
    <w:p>
      <w:r>
        <w:t xml:space="preserve">Commitment 1 b) </w:t>
        <w:br/>
        <w:t>16. With reference to the section "Financial Solutions," by clicking on the link "Learn more" located under the desired model, one accesses a new page, where all elements of the financial offer are indicated simultaneously, concentrated in a single informational space, in order to make evident to the consumer the extent of the economic commitment required, its duration and distribution over time as well as the options available at the end of the contract.</w:t>
      </w:r>
    </w:p>
    <w:p>
      <w:r>
        <w:t>17. With specific regard to the financial leasing offers "Why-Buy," BMW commits to indicate in a complete and transparent manner, in the same informational space and with uniform graphic character, all elements of the offer, including the amount of the installment, the applied rates, the amount of the down payment, the duration and mileage, the amount of the final purchase option (the final maxi installment due only in case of purchase) and the options available at the end of the contract (see Fig 1).</w:t>
      </w:r>
    </w:p>
    <w:p>
      <w:r>
        <w:t>138 BULLETIN NO. 30 OF AUGUST 8, 2022</w:t>
      </w:r>
    </w:p>
    <w:p>
      <w:r>
        <w:t>Fig. 1</w:t>
      </w:r>
    </w:p>
    <w:p>
      <w:r>
        <w:t>18. The additional detailed information provided in the "Legal Notes" is made accessible from the same screen and made more visible by using larger fonts.</w:t>
      </w:r>
    </w:p>
    <w:p>
      <w:r>
        <w:t>19. BMW commits to adopt, mutatis mutandis, the same communication methods in the case of advertising financing offers (with or without final maxi installment) and for the offers accessible from the "Operational Leasing" section.</w:t>
      </w:r>
    </w:p>
    <w:p>
      <w:r>
        <w:t xml:space="preserve">Commitment 1 c) </w:t>
        <w:br/>
        <w:t>20. BMW commits to adopt, mutatis mutandis, the same communication methods referred to in commitment 1 b) also with respect to long-term rental offers accessible from the "Long-Term Rental" section or via links placed on the pages dedicated to financial solutions or operational leasing.</w:t>
      </w:r>
    </w:p>
    <w:p>
      <w:r>
        <w:t>2) Commitment regarding changes to the Site www.mini.it</w:t>
      </w:r>
    </w:p>
    <w:p>
      <w:r>
        <w:t>21. In order to make all essential elements of financing, financial leasing, and operational leasing offers related to vehicles branded "Mini" even clearer and more immediately accessible, BMW commits to communicate such offers on the Mini Site according to the following methods.</w:t>
      </w:r>
    </w:p>
    <w:p>
      <w:r>
        <w:t>22. With regard to financing, financial leasing, and operational leasing offers promoted in the slider present on the homepage of the Site www.mini.it, they are communicated without any reference to the amount of the installment or any other financial element.</w:t>
      </w:r>
    </w:p>
    <w:p>
      <w:r>
        <w:t>23. The economic elements have been concentrated in a single informational space contained in a new detail page reachable from the slider by clicking on the button "Learn more" placed on the offer.</w:t>
      </w:r>
    </w:p>
    <w:p>
      <w:r>
        <w:t>BULLETIN NO. 30 OF AUGUST 8, 2022 139</w:t>
      </w:r>
    </w:p>
    <w:p>
      <w:r>
        <w:t>24. With reference to the operational leasing offers "Why-Buy Evo," the new detail page immediately reports all elements of the offer, including the amount of the installment, the down payment, the duration, and the mileage.</w:t>
      </w:r>
    </w:p>
    <w:p>
      <w:r>
        <w:t>25. BMW commits to adopt, mutatis mutandis, the same communication methods also with respect to the "MINI Free" financing offers. In particular, BMW commits to indicate in the same informational space, in a complete and transparent manner with uniform graphic character, all essential elements of the offer: the amount of the down payment, the duration and mileage, the amount of the final maxi installment equal to the guaranteed future value, and the options available at the end of the contract (see Fig. 2).</w:t>
      </w:r>
    </w:p>
    <w:p>
      <w:r>
        <w:t>Fig. 2</w:t>
      </w:r>
    </w:p>
    <w:p>
      <w:r>
        <w:t>By clicking on the indication "Legal Notes," it is possible to view further details, made even more graphically visible.</w:t>
      </w:r>
    </w:p>
    <w:p>
      <w:r>
        <w:t>26. Alternatively, all offers available for Mini models can be viewed through the "Financial Offers" section. It opens with a page that reports, for each Mini vehicle model, only the indication of the type of contractual solution advertised, without any reference to the amount of the installment or monthly fee or other financial information. The economic conditions can be viewed by clicking on the desired model/solution.</w:t>
      </w:r>
    </w:p>
    <w:p>
      <w:r>
        <w:t>27. For the operational leasing offers "Why-Buy Evo" and the financing offers "MINI Free," BMW commits to provide simultaneously all essential information relevant to the chosen offer: the amount of the installment and down payment, the duration and mileage, as well as, for the "MINI Free" financing, the amount of the final maxi installment and the options available at the end of the contract.</w:t>
      </w:r>
    </w:p>
    <w:p>
      <w:r>
        <w:t>28. BMW commits to adopt, mutatis mutandis, the same communication methods also with respect to the financial leasing offers "Why-Buy" and/or long-term rental offers related to vehicles branded Mini.</w:t>
      </w:r>
    </w:p>
    <w:p>
      <w:r>
        <w:t>3) Commitment regarding additional digital channels</w:t>
      </w:r>
    </w:p>
    <w:p>
      <w:r>
        <w:t>29. BMW commits to adopt the same approach described in commitments 1 and 2 for the communication of financing, financial leasing, operational leasing, and long-term rental offers.</w:t>
      </w:r>
    </w:p>
    <w:p>
      <w:r>
        <w:rPr>
          <w:b/>
        </w:rPr>
        <w:t>[Pages 139–141]</w:t>
      </w:r>
    </w:p>
    <w:p>
      <w:r>
        <w:t>140 BULLETIN NO. 30 OF AUGUST 8, 2022</w:t>
      </w:r>
    </w:p>
    <w:p>
      <w:r>
        <w:t>long-term rental possibly advertised through all other digital channels (e.g. social networks, digital publications, etc.), indicating in the same informational space all the essential elements of the offers, while maintaining the creative autonomy of the related messages.</w:t>
      </w:r>
    </w:p>
    <w:p>
      <w:r>
        <w:t>4) Commitment related to traditional print media and TV</w:t>
      </w:r>
    </w:p>
    <w:p>
      <w:r>
        <w:t>30. BMW commits to adopting the same approach described in commitments 1 and 2 for the communication of financing offers, financial leasing, operational leasing, and long-term rental possibly advertised through traditional print media (i.e. paper) and/or television spots, indicating in the same informational space all the essential elements of the offers, while maintaining the creative autonomy of the related messages.</w:t>
      </w:r>
    </w:p>
    <w:p>
      <w:r>
        <w:t>5) Commitment from senior figures to draft guidelines/training related to the formulation of financial offers</w:t>
      </w:r>
    </w:p>
    <w:p>
      <w:r>
        <w:t>31. In order to raise awareness among all business functions involved in the commercial practice in question, BMW commits to disseminating specific guidelines, both for internal business functions and for external agencies, which they must adhere to in order to ensure transparency in the communication of financial offers in line with the commitments presented. The dissemination and presentation of such specific guidelines will be accompanied by appropriate ad hoc training.</w:t>
      </w:r>
    </w:p>
    <w:p>
      <w:r>
        <w:t>32. The measures outlined in commitments 1, 2, 3, and 4 above have already been adopted and will be made permanent with the acceptance of the commitments by the Authority; commitment 5 will be implemented within 60 days from the communication of acceptance of the commitments by the Authority.</w:t>
      </w:r>
    </w:p>
    <w:p>
      <w:r>
        <w:t>IV. OPINION OF THE AUTHORITY FOR GUARANTEES IN COMMUNICATIONS</w:t>
      </w:r>
    </w:p>
    <w:p>
      <w:r>
        <w:t>33. Since the commercial practice subject to this provision has been disseminated through telecommunications means, on June 13, 2022, an opinion was requested from the Authority for Guarantees in Communications pursuant to Article 27, paragraph 6, of the Consumer Code.</w:t>
      </w:r>
    </w:p>
    <w:p>
      <w:r>
        <w:t>34. In the opinion received on July 12, 2022, the aforementioned Authority deemed that, in this case, the use of the internet by BMW Italia S.p.a. is suitable for developing a significant impact on consumers who, based on the information read on the professional's websites, could be induced to make a commercial decision that they would not otherwise have made, thus concretely developing the full promotional potential of the cited communication medium.</w:t>
      </w:r>
    </w:p>
    <w:p>
      <w:r>
        <w:t>V. EVALUATION OF THE COMMITMENTS</w:t>
      </w:r>
    </w:p>
    <w:p>
      <w:r>
        <w:t>35. Financing represents one of the most widespread methods of purchasing new cars. Over time, traditional financing characterized by a long duration and a variable down payment has been joined by so-called financing with a final balloon payment, where a large part of the expenditure is concentrated in the down payment and the final balloon payment, and the installment payment is reduced to 24 - 48 months.</w:t>
      </w:r>
    </w:p>
    <w:p>
      <w:r>
        <w:t>7 The final balloon payment generally corresponds to the so-called "guaranteed future value" of the car at that moment (gross of any damages). In addition to its payment for the definitive purchase of the car, other options are often provided, ranging from refinancing to its use for the acquisition of a new car from the same manufacturer.</w:t>
      </w:r>
    </w:p>
    <w:p>
      <w:r>
        <w:t>BULLETIN NO. 30 OF AUGUST 8, 2022 141</w:t>
      </w:r>
    </w:p>
    <w:p>
      <w:r>
        <w:t>More recently, some car manufacturers have begun to offer consumers, as an alternative to purchase, leasing contracts often structured over three years, based on a significant down payment, a monthly installment, and, in the case of financial leasing, the option to buy.</w:t>
      </w:r>
    </w:p>
    <w:p>
      <w:r>
        <w:t>36. Such proposals present an intrinsic complexity due to the presence of different elements (down payment, a number of monthly installments, final balloon payment/redemption value), which allow for multiple payment structures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37. This procedure therefore arises from the need to counter the current practice in the automotive sector that emphasizes the low amount of the monthly installment or a price that does not include financial charges or expenses at the first contact. This representation leverages an element that can be considered secondary in the overall economy of the payments provided in offers with a final balloon payment or of a partial nature in traditional offers with a down payment. Similarly, the representation of a purchase price not inclusive of other charges or expenses lures the consumer into the convenience of an offer that is much more burdensome than it appears.</w:t>
      </w:r>
    </w:p>
    <w:p>
      <w:r>
        <w:t>38. In light of the rationale for the investigative intervention in the sector, the commitments presented - and partly already implemented -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39. In fact, the concentration in a single visual frame of all relevant economic information, conveyed clearly and with adequate graphic emphasis, allows the consumer to calculate with simple arithmetic operations the cost of the vehicle and understand the payment methods over time.</w:t>
      </w:r>
    </w:p>
    <w:p>
      <w:r>
        <w:t>40. The proposed Commitments therefore represent a significant improvement in the communication regarding financing conditions, as they reduce information asymmetry and ensure transparent and immediately understandable offer conditions.</w:t>
      </w:r>
    </w:p>
    <w:p>
      <w:r>
        <w:t>41. Particularly commendable is the circumstance that the professional has proposed measures that go beyond the scope of the allegations made at the outset, having provided for the extension of the Commitments to other forms of digital communication (social networks, digital publications) as well as to offline channels (print and TV).</w:t>
      </w:r>
    </w:p>
    <w:p>
      <w:r>
        <w:t>42. Finally, the dissemination of guidelines to all professionals involved in the communication of financial offers, including advertising agencies, along with the provision of specific training sessions, appears to be effective measures to ensure compliance of promotional initiatives with the proposed Commitments.</w:t>
      </w:r>
    </w:p>
    <w:p>
      <w:r>
        <w:t>8 The amount of the down payment, the number and amount of individual monthly installments and leasing fees, the amount of the final payment (final balloon payment), any redemption value, the TAN, and the TAEG.</w:t>
      </w:r>
    </w:p>
    <w:p>
      <w:r>
        <w:t>142 BULLETIN NO. 30 OF AUGUST 8, 2022</w:t>
      </w:r>
    </w:p>
    <w:p>
      <w:r>
        <w:t>43.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BMW Italia S.p.A., in the terms outlined above, are suitable to eliminate the possible profiles of unfairness of the commercial practice subject to investigation;</w:t>
      </w:r>
    </w:p>
    <w:p>
      <w:r>
        <w:t>IT IS DEEMED to order the obligation of the aforementioned commitments towards BMW Italia S.p.A.;</w:t>
      </w:r>
    </w:p>
    <w:p>
      <w:r>
        <w:t>IT IS DEEMED, therefore, to be able to close the procedure without ascertaining the infringement;</w:t>
      </w:r>
    </w:p>
    <w:p>
      <w:r>
        <w:t>RESOLVES</w:t>
      </w:r>
    </w:p>
    <w:p>
      <w:r>
        <w:t>a) to make mandatory, towards BMW Italia S.p.A., pursuant to Article 27, paragraph 7, of the Consumer Code and Article 9, paragraph 2, letter a) of the Regulation, the commitments proposed on February 11, 2022, supplemented on March 16, and presented in consolidated form on July 6, 2022, as described in the declaration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BMW Italia S.p.A., within ninety days from the date of notification of this resolution, informs the Authority of the implementation of the commitments.</w:t>
      </w:r>
    </w:p>
    <w:p>
      <w:r>
        <w:t>Pursuant to Article 9, paragraph 3, of the Regulation, the procedure may be reopened ex officio, where: a) the professional does not implement the commitments; b) the factual situation changes regarding one or more elements on which the decision is based; 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142–144]</w:t>
      </w:r>
    </w:p>
    <w:p>
      <w:r>
        <w:t>BULLETIN NO. 30 OF AUGUST 8, 2022 143</w:t>
      </w:r>
    </w:p>
    <w:p>
      <w:r>
        <w:t>PS12253 - MERCEDES-BENZ-PRICE PRESENTATION CAR OFFERS</w:t>
      </w:r>
    </w:p>
    <w:p>
      <w:r>
        <w:t>Provision No. 30266</w:t>
      </w:r>
    </w:p>
    <w:p>
      <w:r>
        <w:t>THE ANTITRUST AUTHORITY</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February 11, 2022, and subsequently supplemented on March 11 and July 1, 2022, through which the company Mercedes-Benz Italia S.p.A. submitted commitments pursuant to Article 27, paragraph 7, of the Consumer Code and Article 9 of the Regulation;</w:t>
      </w:r>
    </w:p>
    <w:p>
      <w:r>
        <w:t>VIEWED its provision of April 27, 2022, with which, pursuant to Article 7, paragraph 3, of the Regulation, the deadline for concluding the procedure was extended for the evaluation of the commitments proposed by the professional;</w:t>
      </w:r>
    </w:p>
    <w:p>
      <w:r>
        <w:t>VIEWED the documents of the procedure;</w:t>
      </w:r>
    </w:p>
    <w:p>
      <w:r>
        <w:t>I. THE PARTY</w:t>
      </w:r>
    </w:p>
    <w:p>
      <w:r>
        <w:t>1. Mercedes-Benz Italia S.p.A. (hereinafter also “Mercedes”), as a professional, pursuant to Article 18, paragraph 1, letter b), of the Consumer Code. Mercedes is the Italian subsidiary of the Daimler group, active worldwide in the production and sale of automobiles under various brands, including Mercedes.</w:t>
      </w:r>
    </w:p>
    <w:p>
      <w:r>
        <w:t>II. THE COMMERCIAL PRACTICE</w:t>
      </w:r>
    </w:p>
    <w:p>
      <w:r>
        <w:t>2. The procedure concerns the methods of presentation, on the website www.mercedes-benz.it, of the elements that contribute to determining the cost to be incurred for leasing or renting the advertised cars.</w:t>
      </w:r>
    </w:p>
    <w:p>
      <w:r>
        <w:t>III. THE RESULTS OF THE PROCEDURE</w:t>
      </w:r>
    </w:p>
    <w:p>
      <w:r>
        <w:t>III.1 The procedure process</w:t>
      </w:r>
    </w:p>
    <w:p>
      <w:r>
        <w:t>3. Based on the information acquired for the application of the Consumer Code, on December 28, 2021, the investigative procedure PS12253 was initiated against Mercedes-Benz Italia S.p.A., pursuant to Articles 21 and 22 of the Consumer Code, regarding the possible omission and misleading nature of the presentation methods on the professional's website of the cost to be incurred for leasing or renting the advertised cars. At the first contact, the professional emphasized only the convenient amount of the installment, relegating essential information (down payment, redemption value, number of installments, mileage included in the offers, etc.) to sections that are not easily readable, the content of which can only be viewed following one or more actions by the consumer (clicking on one or more links, scrolling to the bottom of a page, enlarging the characters).</w:t>
      </w:r>
    </w:p>
    <w:p>
      <w:r>
        <w:t>4. The professional responded to the request for information made in the initiation communication and presented its defense arguments with notes received on February 11 and June 9, 2022.</w:t>
      </w:r>
    </w:p>
    <w:p>
      <w:r>
        <w:t>5. The professional was heard in a hearing by the Offices on March 3, 2022.</w:t>
      </w:r>
    </w:p>
    <w:p>
      <w:r>
        <w:t>6. On February 11, 2022, the professional submitted a proposal for commitments pursuant to Article 27, paragraph 7 of the Consumer Code and Article 9 of the Regulation, subsequently supplemented on March 11, 2022. A consolidated version of the commitments was filed on July 1, 2022.</w:t>
      </w:r>
    </w:p>
    <w:p>
      <w:r>
        <w:t>7. On April 27, 2022, the Party was informed of the sixty-day extension of the deadline for concluding the procedure pursuant to Article 7, paragraph 3, of the Regulation.</w:t>
      </w:r>
    </w:p>
    <w:p>
      <w:r>
        <w:t>8. On May 30, 2022, the Party was informed of the conclusion date of the investigative phase, pursuant to Article 16, paragraph 1, of the Regulation.</w:t>
      </w:r>
    </w:p>
    <w:p>
      <w:r>
        <w:t>9. On July 13, 2022, the opinion of the Authority for Communications Guarantees was received.</w:t>
      </w:r>
    </w:p>
    <w:p>
      <w:r>
        <w:t>III.2 The elements acquired and the commitments of the professional</w:t>
      </w:r>
    </w:p>
    <w:p>
      <w:r>
        <w:t>III.2.1 The elements acquired</w:t>
      </w:r>
    </w:p>
    <w:p>
      <w:r>
        <w:t>10. In its defenses, Mercedes argued the correctness of its actions, believing that the principle of “first contact” should be calibrated according to the type of good or service subject to the message; the car would not be purchased impulsively but only after an in-depth investigation by the consumer, which can take, according to some research, even dozens of weeks.</w:t>
      </w:r>
    </w:p>
    <w:p>
      <w:r>
        <w:t>11. Furthermore, regarding the contested message characterized by the claim “Yours for 580 euros per month...”, the professional pointed out that the other relevant information of the offer is provided on the same page, further down, albeit in smaller graphic characters, but still accessible considering the static nature of the internet medium. As for the page containing messages related to the “Current Offers” with the claim “Yours starting from... euros per month” and depiction of the related vehicles, the professional noted that it would effectively constitute an index or summary of the ongoing offers, to which a claim of exhaustiveness regarding the relevant elements of the offers cannot be relegated, as they can still be found on the subsequent screen.</w:t>
      </w:r>
    </w:p>
    <w:p>
      <w:r>
        <w:t>III.2.2 The commitments proposed by the professional</w:t>
      </w:r>
    </w:p>
    <w:p>
      <w:r>
        <w:t>12. As indicated above, the professional submitted a proposal for commitments (“Commitments”) on February 11 and March 11, 2022, providing a consolidated version on July 1, 2022.</w:t>
      </w:r>
    </w:p>
    <w:p>
      <w:r>
        <w:t>13. In particular, the professional commits to:</w:t>
        <w:br/>
        <w:t>(i) integrate, in the leasing offers, the indication of the amount of the Redemption and the total Mileage within the existing box that contains the relevant information of the offer "Yours for X euros per month...";</w:t>
        <w:br/>
        <w:t>(ii) include, in the text dedicated to each car of the “Current Offers” related to leasing and rental proposals, the indication of the existence and amount of the Down Payment and the Final Redemption, the amount and number of installments, the TAN/TAEG, and the total mileage;</w:t>
        <w:br/>
        <w:t>(iii) extend these communication methods of leasing offers to other digital channels, print, and TV.</w:t>
      </w:r>
    </w:p>
    <w:p>
      <w:r>
        <w:t>14. Mercedes commits to implement the described commitments within 15 days from the date of communication of the provision with which these commitments will be made mandatory.</w:t>
      </w:r>
    </w:p>
    <w:p>
      <w:r>
        <w:t>IV. OPINION OF THE AUTHORITY FOR COMMUNICATIONS GUARANTEES</w:t>
      </w:r>
    </w:p>
    <w:p>
      <w:r>
        <w:t>15. Since the commercial practice subject to this provision was disseminated through telecommunications means such as a website, on June 13, 2022, the opinion was requested from the Authority for Communications Guarantees, pursuant to Article 27, paragraph 6, of the Consumer Code.</w:t>
      </w:r>
    </w:p>
    <w:p>
      <w:r>
        <w:t>16. With the opinion received on July 13, 2022, the aforementioned Authority deemed that, in this case, the use of the internet by Mercedes-Benz Italia S.p.A. is suitable for developing a significant impact on consumers who, based on the information read on the professional's sites, could be induced to make a commercial decision that they otherwise would not have made, thus concretely developing the full promotional potential of the cited communication medium.</w:t>
      </w:r>
    </w:p>
    <w:p>
      <w:r>
        <w:t>V. EVALUATION OF THE COMMITMENTS</w:t>
      </w:r>
    </w:p>
    <w:p>
      <w:r>
        <w:t>17. Financing represents one of the most widespread methods of purchasing new cars. Over time, traditional financing characterized by a long duration and a variable down payment has been joined by so-called financing with a final balloon payment, where a large part of the expenditure is concentrated in the down payment and the final balloon payment, and the installment payment is reduced to 24-48 months. More recently, some car manufacturers have begun to offer consumers, as an alternative to purchase, leasing contracts often lasting three years as well as long-term rentals, structured based on a significant down payment, a monthly installment, and, in the case of financial leasing, a redemption option.</w:t>
      </w:r>
    </w:p>
    <w:p>
      <w:r>
        <w:rPr>
          <w:b/>
        </w:rPr>
        <w:t>[Pages 145–147]</w:t>
      </w:r>
    </w:p>
    <w:p>
      <w:r>
        <w:t>146 BULLETIN NO. 30 OF AUGUST 8, 2022</w:t>
      </w:r>
    </w:p>
    <w:p>
      <w:r>
        <w:t>18. Such proposals present an intrinsic complexity due to the presence of different elements (down payment, a number of monthly installments, final installment/residual value), which allow for multiple structuring of payments over time. Only the contextual knowledge of all the essential elements of the offer can enable a full awareness of the financial commitment required and its distribution over time, the latter being fundamental to assess its compatibility with one's income flows and savings capacity.</w:t>
      </w:r>
    </w:p>
    <w:p>
      <w:r>
        <w:t>19. This measure therefore arises from the need to counter the current practice in the automotive sector that emphasizes the low amount of the monthly installment or a price that does not include financial charges or expenses at the first contact. Such a presentation relies on an element that can be considered secondary in the overall economy of the payments envisaged in offers with a final installment or leasing and of a partial nature in traditional offers with a down payment. Similarly, the representation of a purchase price not inclusive of other charges or expenses misleads the consumer regarding the convenience of an offer that is much more burdensome than it appears.</w:t>
      </w:r>
    </w:p>
    <w:p>
      <w:r>
        <w:t>20. In light of the rationale underlying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economic commitment required and its distribution over time.</w:t>
      </w:r>
    </w:p>
    <w:p>
      <w:r>
        <w:t>21. In fact, the concentration in a single visual frame of all relevant economic information, conveyed clearly and with adequate graphic emphasis, allows the consumer to calculate with simple arithmetic operations the cost of using the vehicle and understand the payment methods over time.</w:t>
      </w:r>
    </w:p>
    <w:p>
      <w:r>
        <w:t>22. The proposed Commitments therefore represent a significant improvement in the communication regarding financing conditions, as they reduce information asymmetry and ensure transparent and immediately understandable offer conditions.</w:t>
      </w:r>
    </w:p>
    <w:p>
      <w:r>
        <w:t>23. Particularly commendable is the initiative consisting of the dissemination of specific Guidelines, which must be adhered to by both internal business functions and external agencies, in order to ensure the transparency of the communication of financial offers in line with the commitments made.</w:t>
      </w:r>
    </w:p>
    <w:p>
      <w:r>
        <w:t>24. Similarly, the fact that the professional has proposed measures that go beyond the scope of the allegations made at the outset is to be appreciated, having provided for the extension of the Commitments to other forms of communication via the internet (banners and social media) and also to offline communication (in particular, print and TV).</w:t>
      </w:r>
    </w:p>
    <w:p>
      <w:r>
        <w:t>25. In light of the above considerations, it is believed that the commitments presented - which are attached to this measure and constitute an integral part thereof - meet the requirements set forth in Article 27, paragraph 7, of the Consumer Code.</w:t>
      </w:r>
    </w:p>
    <w:p>
      <w:r>
        <w:t>BULLETIN NO. 30 OF AUGUST 8, 2022 147</w:t>
      </w:r>
    </w:p>
    <w:p>
      <w:r>
        <w:t>CONSIDERING, therefore, that the commitments presented by the company Mercedes-Benz Italia S.p.A., in the terms outlined above, are suitable to eliminate the possible profiles of unfairness of the commercial practice subject to investigation;</w:t>
      </w:r>
    </w:p>
    <w:p>
      <w:r>
        <w:t>CONSIDERING, to order the mandatory nature of the aforementioned commitments towards the company Mercedes-Benz Italia S.p.A.;</w:t>
      </w:r>
    </w:p>
    <w:p>
      <w:r>
        <w:t>CONSIDERING, therefore, that it is possible to close the procedure without ascertaining the infringement;</w:t>
      </w:r>
    </w:p>
    <w:p>
      <w:r>
        <w:t>RESOLVES</w:t>
      </w:r>
    </w:p>
    <w:p>
      <w:r>
        <w:t>a) to make mandatory, towards the company Mercedes-Benz Italia S.p.A., pursuant to Article 27, paragraph 7, of the Consumer Code and Article 9, paragraph 2, letter a), of the Regulation, the commitments proposed on February 11, 2022, subsequently supplemented on March 11, 2022, and presented in consolidated form on July 1, 2022, as described in the Form attached to this measure, which constitutes an integral part thereof;</w:t>
      </w:r>
    </w:p>
    <w:p>
      <w:r>
        <w:t>b) to close the procedure without ascertaining the infringement, pursuant to Article 27, paragraph 7, of the Consumer Code and Article 9, paragraph 2, letter a), of the Regulation;</w:t>
      </w:r>
    </w:p>
    <w:p>
      <w:r>
        <w:t>c) that the company Mercedes-Benz Italia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148 BULLETIN NO. 30 OF AUGUST 8, 2022</w:t>
      </w:r>
    </w:p>
    <w:p>
      <w:r>
        <w:t>This measure will be notified to the interested parties and published in the Bulletin of the Competition and Market Authority.</w:t>
      </w:r>
    </w:p>
    <w:p>
      <w:r>
        <w:t>THE SECRETARY GENERAL THE PRESIDENT</w:t>
      </w:r>
    </w:p>
    <w:p>
      <w:r>
        <w:t>Guido Stazi Roberto Rustichelli</w:t>
      </w:r>
    </w:p>
    <w:p>
      <w:r>
        <w:rPr>
          <w:b/>
        </w:rPr>
        <w:t>[Pages 148–150]</w:t>
      </w:r>
    </w:p>
    <w:p>
      <w:r>
        <w:t>BULLETIN NO. 30 OF AUGUST 8, 2022 149</w:t>
      </w:r>
    </w:p>
    <w:p>
      <w:r>
        <w:t>PS12254 - HYUNDAI - PRESENTATION OF CAR OFFER PRICES</w:t>
      </w:r>
    </w:p>
    <w:p>
      <w:r>
        <w:t>Measure No. 30267</w:t>
      </w:r>
    </w:p>
    <w:p>
      <w:r>
        <w:t>THE ANTITRUST AUTHORITY</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February 10, 2022, and supplemented on March 24, 2022, through which Hyundai Motor Company Italy S.r.l. submitted commitments pursuant to Article 27, paragraph 7, of the Consumer Code and Article 9 of the Regulation;</w:t>
      </w:r>
    </w:p>
    <w:p>
      <w:r>
        <w:t>VIEWED its measure of April 27, 2022, with which, pursuant to Article 7, paragraph 3, of the Regulation, the deadline for concluding the procedure for evaluating the commitments proposed by the professional was extended;</w:t>
      </w:r>
    </w:p>
    <w:p>
      <w:r>
        <w:t>VIEWED the documents of the procedure;</w:t>
      </w:r>
    </w:p>
    <w:p>
      <w:r>
        <w:t>I. THE PARTY</w:t>
      </w:r>
    </w:p>
    <w:p>
      <w:r>
        <w:t>1. The company Hyundai Motor Company Italy S.r.l. as a professional (hereinafter also Hyundai), pursuant to Article 18, letter b), of the Consumer Code. The company belongs to the group headed by the Korean company Hyundai Motor Company, active worldwide in the production and sale of automobiles under various brands, including Hyundai.</w:t>
      </w:r>
    </w:p>
    <w:p>
      <w:r>
        <w:t>II. THE COMMERCIAL PRACTICE</w:t>
      </w:r>
    </w:p>
    <w:p>
      <w:r>
        <w:t>2. The procedure concerns the methods of presentation, on the website www.hyundai.com/it.html, of the elements that contribute to determining the cost to be incurred for purchasing the advertised cars through financing.</w:t>
      </w:r>
    </w:p>
    <w:p>
      <w:r>
        <w:t>III. THE RESULTS OF THE PROCEDURE</w:t>
      </w:r>
    </w:p>
    <w:p>
      <w:r>
        <w:t>III.1 The procedure's process</w:t>
      </w:r>
    </w:p>
    <w:p>
      <w:r>
        <w:t>3. Based on the information acquired for the application of the Consumer Code, on December 28, 2021, the investigative procedure PS12254 was initiated against Hyundai Motor Company S.r.l.1, pursuant to Articles 21 and 22 of the Consumer Code, regarding the possible omission and misleading nature of the presentation methods on the professional's brand website of the cost to be incurred for purchasing the advertised cars through financing. At the first contact, the professional emphasized, in fact, the convenient amount of the installment or the price of the vehicle through the claim "Yours from €XX", relegating essential information about the overall costs (the amount of the down payment and the final max installment or Guaranteed Future Value, the number of installments, etc.) and the scope of the claim to sections that are not easily readable, the content of which can only be viewed following one or more actions by the consumer (clicking on one or more links, opening specific boxes containing the "Legal Notes", enlarging the characters).</w:t>
      </w:r>
    </w:p>
    <w:p>
      <w:r>
        <w:t>4. The professional had access to the documents of the procedure and extracted copies of the documents acquired in the file on January 26, 2022.</w:t>
      </w:r>
    </w:p>
    <w:p>
      <w:r>
        <w:t>5. Hyundai responded to the request for information made in the initiation communication and presented its defense arguments in a note received on January 27, 20222.</w:t>
      </w:r>
    </w:p>
    <w:p>
      <w:r>
        <w:t>6. The professional was heard by the Offices3 on March 11, 2022.</w:t>
      </w:r>
    </w:p>
    <w:p>
      <w:r>
        <w:t>7. On February 10, 2022, the professional submitted a proposal for commitments pursuant to Article 27, paragraph 7 of the Consumer Code and Article 9 of the Regulation, subsequently supplemented on March 24, 2022. A consolidated version of the commitments was filed on June 9, 20224.</w:t>
      </w:r>
    </w:p>
    <w:p>
      <w:r>
        <w:t>8. On April 27, 2022, the Party was informed of the sixty-day extension of the deadline for concluding the procedure pursuant to Article 7, paragraph 3, of the Regulation5.</w:t>
      </w:r>
    </w:p>
    <w:p>
      <w:r>
        <w:t>9. On May 30, 2022, the Parties were informed of the conclusion date of the investigative phase, pursuant to Article 16, paragraph 1, of the Regulation6.</w:t>
      </w:r>
    </w:p>
    <w:p>
      <w:r>
        <w:t>10. On July 12, the opinion of the Authority for Communications Guarantees was received.</w:t>
      </w:r>
    </w:p>
    <w:p>
      <w:r>
        <w:t>III.2 The elements acquired and the commitments of the professional</w:t>
      </w:r>
    </w:p>
    <w:p>
      <w:r>
        <w:t>III.2.1 The elements acquired</w:t>
      </w:r>
    </w:p>
    <w:p>
      <w:r>
        <w:t>11. In its defense, the professional argued the correctness of its actions, believing that it had reported on the homepage of the site, which represents the so-called "hook" moment for the consumer, all essential information for the consumer in a contextual manner and with prominent characters. In any case, the purchase of the car does not represent a so-called "impulse" purchase, so even the average consumer is ready to acquire the information and consider it in its entirety.</w:t>
      </w:r>
    </w:p>
    <w:p>
      <w:r>
        <w:t>12. The professional in December 2021 advertised its offers on Facebook, Instagram, and LinkedIn and on the local pages of some newspapers. On other media, the advertisements only concerned the vehicle, without indications regarding the purchase offers with financing.</w:t>
      </w:r>
    </w:p>
    <w:p>
      <w:r>
        <w:t>III.2.2 The commitments proposed by the professional</w:t>
      </w:r>
    </w:p>
    <w:p>
      <w:r>
        <w:t>13. As mentioned above, the professional submitted a proposal for commitments ("Commitments") on February 10 and March 24, 2022, providing a consolidated version on June 9, 2022.</w:t>
      </w:r>
    </w:p>
    <w:p>
      <w:r>
        <w:t>14. In particular, the professional commits to:</w:t>
      </w:r>
    </w:p>
    <w:p>
      <w:r>
        <w:t>i) eliminate from the homepage of the site the boxes of promotional messages, the sections containing economic data, as well as any other information related to the cost of the cars, limiting itself to providing the description of the models;</w:t>
      </w:r>
    </w:p>
    <w:p>
      <w:r>
        <w:t>ii) concentrate the information related to the cost of the vehicle, financing, and promotions on specific pages dedicated to each individual model, accessible via links from the "Promotions and offers" section. In these pages, boxes will be highlighted in which the number and amount of installments, promotional starting price, down payment, guaranteed future value, total amount due, TAN, TAEG will be provided simultaneously and with equal graphic prominence; the same economic information will also be described in more detail in a subsequent section of the page;</w:t>
      </w:r>
    </w:p>
    <w:p>
      <w:r>
        <w:t>iii) specify, in cases where the promotional price is accompanied by the claim "Yours from", the conditions to access that price (e.g., only with financing, scrapping, etc.) and the related financial charges;</w:t>
      </w:r>
    </w:p>
    <w:p>
      <w:r>
        <w:t>iv) eliminate from the advertising content published on social channels through videos and posts and on websites through banners, any reference to economic conditions. To obtain information on the cost of the vehicles, the consumer will have to click on a link that will lead them to the above-described page on Hyundai's website.</w:t>
      </w:r>
    </w:p>
    <w:p>
      <w:r>
        <w:t>v) include on Hyundai's website an educational video explaining to the consumer the structure of financing;</w:t>
      </w:r>
    </w:p>
    <w:p>
      <w:r>
        <w:t>vi) prepare a training plan and guidelines for the personnel involved in managing advertising, related to the creation and presentation of online advertisements (website, banners, social networks, third-party sites, etc.) and offline (print, TV, radio, etc.), based on the proposed commitments.</w:t>
      </w:r>
    </w:p>
    <w:p>
      <w:r>
        <w:t>15. The Party commits to implement the commitments described in points i) - iv) within 30 days and the commitments described in points v) and vi) within 90 days from the publication of the Authority's decision.</w:t>
      </w:r>
    </w:p>
    <w:p>
      <w:r>
        <w:t>IV. OPINION OF THE AUTHORITY FOR COMMUNICATIONS GUARANTEES</w:t>
      </w:r>
    </w:p>
    <w:p>
      <w:r>
        <w:t>16. Since the commercial practice subject to this measure was disseminated through telecommunications means such as a website, on June 13, 2022, the opinion was requested from the Authority for Communications Guarantees, pursuant to Article 27, paragraph 6, of the Consumer Code.</w:t>
      </w:r>
    </w:p>
    <w:p>
      <w:r>
        <w:t>17. With an opinion received on July 12, 2022, the aforementioned Authority deemed that, in this case, Hyundai's use of the internet is suitable for developing a significant impact on consumers who, based on the information read on the professional's website, could be induced to make a commercial decision that they would not otherwise have made, thus concretely developing the full promotional potential of the cited communication medium.</w:t>
      </w:r>
    </w:p>
    <w:p>
      <w:r>
        <w:t>V. EVALUATION OF THE COMMITMENTS</w:t>
      </w:r>
    </w:p>
    <w:p>
      <w:r>
        <w:t>18. Financing represents one of the most widespread methods of purchasing new cars. Over time, traditional financing characterized by a long duration and a variable down payment has been joined by so-called financing with a final max installment, where a large part</w:t>
      </w:r>
    </w:p>
    <w:p>
      <w:r>
        <w:rPr>
          <w:b/>
        </w:rPr>
        <w:t>[Pages 151–153]</w:t>
      </w:r>
    </w:p>
    <w:p>
      <w:r>
        <w:t>152 BULLETIN NO. 30 OF AUGUST 8, 2022</w:t>
      </w:r>
    </w:p>
    <w:p>
      <w:r>
        <w:t>of the expenditure is concentrated in the down payment and the final large installment, and the installment payment is reduced to 24-48 months.</w:t>
      </w:r>
    </w:p>
    <w:p>
      <w:r>
        <w:t>19. Such proposals present an intrinsic complexity due to the presence of different elements (down payment, a number of monthly installments, final large installment/residual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20. This provision therefore arises from the need to counter the current practice in the automotive sector that emphasizes the low amount of the monthly installment or a price that does not include financial charges or expenses at the first contact. Such a presentation relies on an element that can be considered secondary in the overall economy of the payments provided in offers with a final large installment. Similarly, the representation of a purchase price not inclusive of other charges or expenses misleads the consumer regarding the convenience of an offer that is much more burdensome than it appears.</w:t>
      </w:r>
    </w:p>
    <w:p>
      <w:r>
        <w:t>21. In light of the rationale underlying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22. In fact, the concentration in a single visual frame of all relevant economic information, conveyed clearly and with adequate graphic emphasis, allows the consumer to calculate with simple arithmetic operations the cost of the vehicle and understand the payment methods over time.</w:t>
      </w:r>
    </w:p>
    <w:p>
      <w:r>
        <w:t>23. Furthermore, in the case of purchase offers with financing where the price of the vehicle is indicated with the claim "Yours from...", the clarifications introduced will qualify the scope of the claim, making the consumer immediately aware that the indicated amount is contingent upon the activation of financing and does not represent the total expenditure to be incurred for the purchase of the vehicle.</w:t>
      </w:r>
    </w:p>
    <w:p>
      <w:r>
        <w:t>24. The proposed commitments therefore represent a significant improvement in the communication regarding financing conditions, as they reduce information asymmetry and ensure transparent and immediately understandable offer conditions.</w:t>
      </w:r>
    </w:p>
    <w:p>
      <w:r>
        <w:t>25. Particularly commendable is the circumstance that the professional has proposed measures that go beyond the scope of the allegations made at the outset, having provided for the extension of the commitments to other forms of communication via the internet (banners and social media) and the adoption of specific Guidelines, which will also dictate for offline communication (in particular, print and TV) the application of the same principles adopted by the professional for digital communication.</w:t>
      </w:r>
    </w:p>
    <w:p>
      <w:r>
        <w:t>26.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Hyundai Motor Company Italy Srl, in the terms outlined above, are suitable to eliminate the possible profiles of unfairness of the commercial practice subject to investigation;</w:t>
      </w:r>
    </w:p>
    <w:p>
      <w:r>
        <w:t>IT IS DEEMED to order the mandatory nature of the aforementioned commitments towards Hyundai Motor Company Italy S.r.l.;</w:t>
      </w:r>
    </w:p>
    <w:p>
      <w:r>
        <w:t>IT IS DEEMED, therefore, to be able to close the procedure without ascertaining the infringement;</w:t>
      </w:r>
    </w:p>
    <w:p>
      <w:r>
        <w:t>RESOLVES</w:t>
      </w:r>
    </w:p>
    <w:p>
      <w:r>
        <w:t>a) to make mandatory, towards Hyundai Motor Company Italy S.r.l., pursuant to Article 27, paragraph 7, of the Consumer Code and Article 9, paragraph 2, letter a), of the Regulation, the commitments proposed on February 10, 2022, subsequently supplemented on March 24, 2022, and presented in consolidated version on June 9, 2022,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Hyundai Motor Company Italy S.r.l.,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154–156]</w:t>
      </w:r>
    </w:p>
    <w:p>
      <w:r>
        <w:t>BULLETIN NO. 30 OF AUGUST 8, 2022 155</w:t>
      </w:r>
    </w:p>
    <w:p>
      <w:r>
        <w:t>PS12255 - KIA-PRICE PRESENTATION OF CAR OFFERS</w:t>
      </w:r>
    </w:p>
    <w:p>
      <w:r>
        <w:t>Measure No. 30268</w:t>
      </w:r>
    </w:p>
    <w:p>
      <w:r>
        <w:t>THE AUTHORITY FOR THE GUARANTEE OF COMPETITION AND THE MARKET</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February 11, 2022, and subsequently supplemented on March 24 and June 30, 2022, through which the company Kia Italia s.r.l. submitted commitments pursuant to Article 27, paragraph 7, of the Consumer Code and Article 9 of the Regulation;</w:t>
      </w:r>
    </w:p>
    <w:p>
      <w:r>
        <w:t>VIEWED its own measure of April 27, 2022, with which, pursuant to Article 7, paragraph 3, of the Regulation, the deadline for concluding the procedure was extended for the evaluation of the commitments proposed by the professional;</w:t>
      </w:r>
    </w:p>
    <w:p>
      <w:r>
        <w:t>VIEWED the documents of the procedure;</w:t>
      </w:r>
    </w:p>
    <w:p>
      <w:r>
        <w:t>I. THE PARTY</w:t>
      </w:r>
    </w:p>
    <w:p>
      <w:r>
        <w:t>1. Kia Italia s.r.l. (hereinafter also "Kia"), as a professional, pursuant to Article 18, paragraph 1, letter b), of the Consumer Code. Kia Italia is the Italian subsidiary of the eponymous company, active worldwide in the production and sale of vehicles under the Kia brand.</w:t>
      </w:r>
    </w:p>
    <w:p>
      <w:r>
        <w:t>II. THE COMMERCIAL PRACTICE</w:t>
      </w:r>
    </w:p>
    <w:p>
      <w:r>
        <w:t>2. The procedure concerns the methods of presentation, on the website https://www.kia.com/it/, of the elements that contribute to determining the cost to be incurred for purchasing through financing or for leasing the advertised cars.</w:t>
      </w:r>
    </w:p>
    <w:p>
      <w:r>
        <w:t>III. THE RESULTS OF THE PROCEDURE</w:t>
      </w:r>
    </w:p>
    <w:p>
      <w:r>
        <w:t>III.1 The procedure process</w:t>
      </w:r>
    </w:p>
    <w:p>
      <w:r>
        <w:t>3. Based on the information acquired for the application of the Consumer Code, on December 28, 2021, the investigative procedure PS12255 was initiated against Kia Italia, pursuant to Articles 21 and 22 of the Consumer Code, regarding the possible omission and misleading nature of the presentation methods on the website www.kia.com/it, of the cost to be incurred for purchasing through financing or for leasing the advertised cars. At the first contact, the professional emphasized only the favorable amount of the installment, relegating essential information (down payment, final maxi-installment, number of installments, etc.) to sections that are not easily readable, the content of which can only be viewed following one or more actions by the consumer (such as clicking on one or more links to access the pages dedicated to individual vehicles on promotion, scrolling through the landing pages, enlarging the font of the "Legal Notes").</w:t>
      </w:r>
    </w:p>
    <w:p>
      <w:r>
        <w:t>4. Kia had access to the documents of the procedure and extracted copies of the documents acquired in the file on January 20, 2022.</w:t>
      </w:r>
    </w:p>
    <w:p>
      <w:r>
        <w:t>5. The professional responded to the request for information made in the initiation communication and presented its defensive arguments with notes received on January 27 and 28, 2022.</w:t>
      </w:r>
    </w:p>
    <w:p>
      <w:r>
        <w:t>6. The professional was heard in a hearing by the Offices on March 10, 2022.</w:t>
      </w:r>
    </w:p>
    <w:p>
      <w:r>
        <w:t>7. On February 11, 2022, the professional submitted a proposal for commitments pursuant to Article 27, paragraph 7 of the Consumer Code and Article 9 of the Regulation, subsequently supplemented on March 24, 2022. A consolidated version of the commitments was filed on June 30, 2022.</w:t>
      </w:r>
    </w:p>
    <w:p>
      <w:r>
        <w:t>8. On April 27, 2022, the Party was notified of the sixty-day extension of the deadline for concluding the procedure pursuant to Article 7, paragraph 3, of the Regulation.</w:t>
      </w:r>
    </w:p>
    <w:p>
      <w:r>
        <w:t>9. On May 30, 2022, the Parties were notified of the conclusion date of the investigative phase, pursuant to Article 16, paragraph 1, of the Regulation.</w:t>
      </w:r>
    </w:p>
    <w:p>
      <w:r>
        <w:t>10. On July 12, 2022, the opinion of the Authority for Communications Guarantees was received.</w:t>
      </w:r>
    </w:p>
    <w:p>
      <w:r>
        <w:t>III.2 The elements acquired and the commitments of the professional</w:t>
      </w:r>
    </w:p>
    <w:p>
      <w:r>
        <w:t>III.2.1 The elements acquired</w:t>
      </w:r>
    </w:p>
    <w:p>
      <w:r>
        <w:t>11. The professional asserted the correctness of the commercial communications subject to the procedure because: (i) the homepage was designed to induce the user to choose, through the "Models" page (lacking economic information), the one of interest and then obtain all technical and economic information about it on the relevant detail page; the latter can also be reached through the "Promotions" section, designed to facilitate the comparison of different models through information (installment amount, type of promotion, APR) that, according to Kia, consumers consider most; (ii) the information on the site would be clear and complete, even in relation to the means of communication used; in fact, the purchase of a car, due to the value and importance of the asset, cannot be considered an "impulse" purchase and in this sector the average consumer would be accustomed to comparing competing offers based on all their characteristics; (iii) the information provided would comply with sector regulations (Article 123, paragraph 1, Legislative Decree No. 385 of September 1, 1993, containing the "Consolidated Banking Act").</w:t>
      </w:r>
    </w:p>
    <w:p>
      <w:r>
        <w:t>III.2.2 The commitments proposed by the professional</w:t>
      </w:r>
    </w:p>
    <w:p>
      <w:r>
        <w:t>12. The professional submitted a proposal for commitments ("Commitments") on February 11, 2022, supplemented on March 24, 2022, providing a consolidated version on June 30, 2022.</w:t>
      </w:r>
    </w:p>
    <w:p>
      <w:r>
        <w:t>13. With the aforementioned commitments, the professional proposed to: (i) modify the "promotions" page by removing references to the prices of the cars and inserting a link to the pages of individual models ("Learn more"); (ii) modify the pages dedicated to individual models ensuring "visibility, contextuality, and equal graphic dignity to all essential information of promotional offers" and "uniformity in the font size of the elements" relevant for both the financing "KIA Choice" and the leasing "K-Lease". In particular, immediately below the image of the individual model, the number and amount of the installments, promotional starting price, down payment or first advance payment, guaranteed future value or redemption price, APR and total amount due from the consumer in case of financing will be clearly visible. Alternatives available at the end of the installment plan will also be highlighted, and a larger font will be used for the legal notes than the current one; (iii) modify the print advertising according to the same criteria; (iv) prepare a training plan and internal guidelines for disseminating messages across all offline communication means (e.g., print, TV, and radio) and online (e.g., website, social networks, and banners on third-party sites) based on principles of completeness and contextuality of information; (v) include on its website an explanatory video of the structure of the types of financing, without advertising content.</w:t>
      </w:r>
    </w:p>
    <w:p>
      <w:r>
        <w:t>14. Kia commits to implement the described commitments within three months from the date of communication of the measure making these commitments mandatory.</w:t>
      </w:r>
    </w:p>
    <w:p>
      <w:r>
        <w:t>IV. OPINION OF THE AUTHORITY FOR COMMUNICATIONS GUARANTEES</w:t>
      </w:r>
    </w:p>
    <w:p>
      <w:r>
        <w:t>15. Since the commercial practice subject to this measure was disseminated through telecommunications means such as a website, on June 13, 2022, the opinion was requested from the Authority for Communications Guarantees, pursuant to Article 27, paragraph 6, of the Consumer Code.</w:t>
      </w:r>
    </w:p>
    <w:p>
      <w:r>
        <w:t>16. With the opinion received on July 12, 2022, the aforementioned Authority deemed that, in this case, Kia's use of the internet is suitable to develop a significant impact on consumers who, based on the information read on the professional's site, could be induced to make a commercial decision that they would not otherwise have made, thus concretely developing the full promotional potential of the cited means of communication.</w:t>
      </w:r>
    </w:p>
    <w:p>
      <w:r>
        <w:t>V. EVALUATION OF THE COMMITMENTS</w:t>
      </w:r>
    </w:p>
    <w:p>
      <w:r>
        <w:t>17. Financing represents one of the most widespread methods of purchasing new cars. Over time, traditional financing characterized by a long duration and a variable down payment has been joined by so-called financing with a final maxi-installment, where a large part of the total amount is due at the end of the financing period.</w:t>
      </w:r>
    </w:p>
    <w:p>
      <w:r>
        <w:rPr>
          <w:b/>
        </w:rPr>
        <w:t>[Pages 157–159]</w:t>
      </w:r>
    </w:p>
    <w:p>
      <w:r>
        <w:t>158 BULLETIN NO. 30 OF AUGUST 8, 2022</w:t>
      </w:r>
    </w:p>
    <w:p>
      <w:r>
        <w:t>of the expenditure is concentrated in the down payment and the final balloon payment, and the installment payment is reduced to 24-48 months. More recently, some car manufacturers have begun to offer consumers, as an alternative to purchase, leasing contracts often lasting three years, structured on the basis of a significant down payment, a monthly installment, and, in the case of financial leasing, the option to buy.</w:t>
      </w:r>
    </w:p>
    <w:p>
      <w:r>
        <w:t>18. Such proposals present an intrinsic complexity due to the presence of different elements (down payment, a number of monthly installments, final balloon payment/redemption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19. This provision therefore arises from the need to counter the current practice in the automotive sector that emphasizes the low amount of the monthly installment or a price that does not include financial charges or expenses at the first contact. This presentation relies on an element that can be considered secondary in the overall economy of the payments provided in offers with a final balloon payment or of a partial nature in traditional offers with a down payment. Similarly, the representation of a purchase price not inclusive of other charges or expenses misleads the consumer regarding the convenience of an offer that is much more burdensome than it appears.</w:t>
      </w:r>
    </w:p>
    <w:p>
      <w:r>
        <w:t>20. In light of the rationale underlying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21. In fact, the concentration in a single visual frame of all relevant economic information, conveyed clearly and with adequate graphic emphasis, allows the consumer to calculate with simple arithmetic operations the cost of the vehicle and understand the payment methods over time.</w:t>
      </w:r>
    </w:p>
    <w:p>
      <w:r>
        <w:t>22. The proposed Commitments therefore represent a significant improvement in the communication regarding financing conditions, as they reduce information asymmetry and ensure transparent and immediately understandable offer conditions.</w:t>
      </w:r>
    </w:p>
    <w:p>
      <w:r>
        <w:t>23. The commitment to dedicate a specific section of the website to the description of how financing and leasing work will further enhance the transparency of the offers in question.</w:t>
      </w:r>
    </w:p>
    <w:p>
      <w:r>
        <w:t>24. Particularly commendable is the fact that the professional has proposed measures that go beyond the scope of the allegations made at the outset, having provided for the extension of the Commitments to other forms of digital communication (e.g., social networks and banners on third-party sites) and offline (e.g., print, TV, and radio), which will be inspired by the principles of completeness and contextuality conveyed through a training plan and Guidelines.</w:t>
      </w:r>
    </w:p>
    <w:p>
      <w:r>
        <w:t>25.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the company Kia Italia s.r.l., in the terms outlined above, are suitable to eliminate the possible profiles of unfairness of the commercial practice subject to investigation;</w:t>
      </w:r>
    </w:p>
    <w:p>
      <w:r>
        <w:t>IT IS DEEMED appropriate to impose the obligations on the company Kia Italia s.r.l.;</w:t>
      </w:r>
    </w:p>
    <w:p>
      <w:r>
        <w:t>IT IS DEEMED, therefore, that the procedure can be closed without establishing the infringement;</w:t>
      </w:r>
    </w:p>
    <w:p>
      <w:r>
        <w:t>RESOLVES</w:t>
      </w:r>
    </w:p>
    <w:p>
      <w:r>
        <w:t>a) to make mandatory, towards the company Kia Italia s.r.l., pursuant to Article 27, paragraph 7, of the Consumer Code and Article 9, paragraph 2, letter a), of the Regulation, the commitments proposed on February 11, 2022, subsequently supplemented on March 24, 2022, and presented in consolidated form on June 30, 2022, as described in the Form attached to this provision, of which it constitutes an integral part;</w:t>
      </w:r>
    </w:p>
    <w:p>
      <w:r>
        <w:t>b) to close the procedure without establishing the infringement, pursuant to Article 27, paragraph 7, of the Consumer Code and Article 9, paragraph 2, letter a), of the Regulation;</w:t>
      </w:r>
    </w:p>
    <w:p>
      <w:r>
        <w:t>c) that the company Kia Italia s.r.l.,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160–162]</w:t>
      </w:r>
    </w:p>
    <w:p>
      <w:r>
        <w:t>BULLETIN NO. 30 OF AUGUST 8, 2022 161</w:t>
      </w:r>
    </w:p>
    <w:p>
      <w:r>
        <w:t>PS12256 - SUZUKI - PRESENTATION OF CAR OFFER PRICES</w:t>
      </w:r>
    </w:p>
    <w:p>
      <w:r>
        <w:t>Provision No. 30269</w:t>
      </w:r>
    </w:p>
    <w:p>
      <w:r>
        <w:t>THE ANTITRUST AUTHORITY</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February 11, 2022, and subsequently supplemented on February 28, 2022, through which Suzuki Italia S.p.A. submitted commitments pursuant to Article 27, paragraph 7, of the Consumer Code and Article 9 of the Regulation;</w:t>
      </w:r>
    </w:p>
    <w:p>
      <w:r>
        <w:t>VIEWED its provision of April 27, 2022, with which, pursuant to Article 7, paragraph 3, of the Regulation, the deadline for concluding the procedure was extended for the evaluation of the commitments proposed by the professional;</w:t>
      </w:r>
    </w:p>
    <w:p>
      <w:r>
        <w:t>VIEWED the documents of the procedure;</w:t>
      </w:r>
    </w:p>
    <w:p>
      <w:r>
        <w:t>I. THE PARTY</w:t>
      </w:r>
    </w:p>
    <w:p>
      <w:r>
        <w:t>1. Suzuki Italia S.p.A. (hereinafter also "Suzuki"), as a professional, pursuant to Article 18, letter b), of the Consumer Code. Suzuki is active in the marketing in Italy of cars produced by the eponymous group.</w:t>
      </w:r>
    </w:p>
    <w:p>
      <w:r>
        <w:t>II. THE COMMERCIAL PRACTICE</w:t>
      </w:r>
    </w:p>
    <w:p>
      <w:r>
        <w:t>2. The procedure concerns the methods of presentation, on the website www.suzuki.it, of the elements that contribute to determining the cost to be incurred to purchase the advertised cars through financing.</w:t>
      </w:r>
    </w:p>
    <w:p>
      <w:r>
        <w:t>III. THE RESULTS OF THE PROCEDURE</w:t>
      </w:r>
    </w:p>
    <w:p>
      <w:r>
        <w:t>III.1 The procedure process</w:t>
      </w:r>
    </w:p>
    <w:p>
      <w:r>
        <w:t>3. Based on the information acquired for the application of the Consumer Code, on December 28, 2021, the investigative procedure PS12256 was initiated against Suzuki Italia S.p.A., pursuant to Articles 21 and 22 of the Consumer Code, regarding the possible omission and misleading nature of the presentation methods, on the professional's website, of the cost to be incurred to purchase the advertised cars through financing. At the first contact, the professional emphasized only the convenient amount of the installment, relegating essential information (down payment, final installment, number of installments, etc.) to sections that were not easily readable, the content of which could only be viewed following one or more actions by the consumer (clicking on one or more links, scrolling a page to the bottom, enlarging the characters).</w:t>
      </w:r>
    </w:p>
    <w:p>
      <w:r>
        <w:t>4. Suzuki had access to the documents of the procedure and extracted copies of the documents acquired in the file on January 18, 2022.</w:t>
      </w:r>
    </w:p>
    <w:p>
      <w:r>
        <w:t>5. The professional responded to the request for information made in the initiation communication and presented its defense arguments with notes received on February 11 and 28 and May 5, 2022.</w:t>
      </w:r>
    </w:p>
    <w:p>
      <w:r>
        <w:t>6. On February 11, 2022, the professional submitted a proposal for commitments pursuant to Article 27, paragraph 7 of the Consumer Code and Article 9 of the Regulation, subsequently supplemented on February 28, 2022.</w:t>
      </w:r>
    </w:p>
    <w:p>
      <w:r>
        <w:t>7. On April 27, 2022, the Party was informed of the sixty-day extension of the deadline for concluding the procedure pursuant to Article 7, paragraph 3, of the Regulation.</w:t>
      </w:r>
    </w:p>
    <w:p>
      <w:r>
        <w:t>8. On May 30, 2022, the Parties were informed of the conclusion date of the investigative phase, pursuant to Article 16, paragraph 1, of the Regulation.</w:t>
      </w:r>
    </w:p>
    <w:p>
      <w:r>
        <w:t>9. On July 13, 2022, the opinion of the Authority for Communications Guarantees was received.</w:t>
      </w:r>
    </w:p>
    <w:p>
      <w:r>
        <w:t>III.2 The acquired elements and the commitments of the professional</w:t>
      </w:r>
    </w:p>
    <w:p>
      <w:r>
        <w:t>III.2.1 The acquired elements</w:t>
      </w:r>
    </w:p>
    <w:p>
      <w:r>
        <w:t>10. In its defenses, Suzuki argued the correctness of its actions, noting that it would adopt the necessary measures to provide consumers with all the necessary information to make an informed commercial decision, taking into account the restrictions in terms of space and time of the communication medium used as well as the measures adopted by the professional to provide information on other means.</w:t>
      </w:r>
    </w:p>
    <w:p>
      <w:r>
        <w:t>11. Suzuki believes that an average consumer using the Internet would be "normally informed and reasonably attentive and prudent as well as capable of acquiring all the information contained in the advertising messages" and that the correctness of its messages would be proven by the high number of financing contracts for the purchase of Suzuki cars resulting from the messages related to the initiation of the procedure.</w:t>
      </w:r>
    </w:p>
    <w:p>
      <w:r>
        <w:t>12. The professional submitted a proposal for commitments ("Commitments") on February 11, 2022, providing an integrated and consolidated version on February 28, 2022.</w:t>
      </w:r>
    </w:p>
    <w:p>
      <w:r>
        <w:t>13. The proposal, as integrated, provides that:</w:t>
        <w:br/>
        <w:t>(i) every reference to the amount of the installment will be removed from the section of the homepage of the corporate website dedicated to the promotions "Suzuki solutions"; by clicking on the "Discover more" button, one will reach another page where all the models involved in such promotions are presented; under each of them, in addition to the amount of the installment, the number of installments, the amount of the down payment, and the final installment will be indicated;</w:t>
        <w:br/>
        <w:t>(ii) every reference to the amount of the installment will be removed from the section of the homepage of the corporate website called "Discover all promotions"; by clicking on the "Discover more" button, one will reach a dedicated page where all the details of the promotion are presented, particularly the amount of the installment, the number of installments, the amount of the down payment, and the final installment;</w:t>
        <w:br/>
        <w:t>(iii) these communication methods will be adopted in all advertising messages, regardless of the means of dissemination.</w:t>
      </w:r>
    </w:p>
    <w:p>
      <w:r>
        <w:t>14. Suzuki committed to implement the commitments described no later than 30 days from the date of communication of the provision making these commitments mandatory.</w:t>
      </w:r>
    </w:p>
    <w:p>
      <w:r>
        <w:t>15. From the official surveys, it appears that the professional had already modified its website in mid-May 2022 in accordance with the proposed commitments.</w:t>
      </w:r>
    </w:p>
    <w:p>
      <w:r>
        <w:t>IV. OPINION OF THE AUTHORITY FOR COMMUNICATIONS GUARANTEES</w:t>
      </w:r>
    </w:p>
    <w:p>
      <w:r>
        <w:t>16. Since the commercial practice subject to this provision was disseminated through telecommunications means such as a website, on June 13, 2022, the opinion was requested from the Authority for Communications Guarantees, pursuant to Article 27, paragraph 6, of the Consumer Code.</w:t>
      </w:r>
    </w:p>
    <w:p>
      <w:r>
        <w:t>17. With the opinion received on July 13, 2022, the aforementioned Authority deemed that, in this case, the use of the internet by Suzuki Italia S.p.A. is suitable to develop a significant impact on consumers who, based on the information read on the professional's sites, could be induced to make a commercial decision that they otherwise would not have made, thus concretely developing the full promotional potential of the cited communication medium.</w:t>
      </w:r>
    </w:p>
    <w:p>
      <w:r>
        <w:t>V. EVALUATION OF THE COMMITMENTS</w:t>
      </w:r>
    </w:p>
    <w:p>
      <w:r>
        <w:t>18. Financing represents one of the most widespread methods of purchasing new cars. Over time, traditional financing characterized by a long duration and a variable down payment has been joined by so-called financing with a final installment, where a large part of the expenditure is concentrated in the down payment and the final installment, and the installment payment is reduced to 24-48 months.</w:t>
      </w:r>
    </w:p>
    <w:p>
      <w:r>
        <w:rPr>
          <w:b/>
        </w:rPr>
        <w:t>[Pages 163–165]</w:t>
      </w:r>
    </w:p>
    <w:p>
      <w:r>
        <w:t>164 BULLETIN NO. 30 OF AUGUST 8, 2022</w:t>
      </w:r>
    </w:p>
    <w:p>
      <w:r>
        <w:t>19. Such proposals present an intrinsic complexity due to the presence of different elements (down payment, a number of monthly installments, final installment/redemption value), which allow for multiple structuring of payments over time. Only the contextual knowledge of all the essential elements of the offer can enable a full awareness of the financial commitment required and its distribution over time, the latter being fundamental to assess its compatibility with one's income flows and savings capacity.</w:t>
      </w:r>
    </w:p>
    <w:p>
      <w:r>
        <w:t>20. This measure therefore arises from the need to counter the current practice in the automotive sector that emphasizes the low amount of the monthly installment or a price that does not include financial charges or expenses at the first contact. Such a presentation relies on an element that can be considered secondary in the overall economy of the payments provided in offers with a final installment. Similarly, the representation of a purchase price that does not include other charges or expenses misleads the consumer regarding the convenience of an offer that is much more burdensome than it appears.</w:t>
      </w:r>
    </w:p>
    <w:p>
      <w:r>
        <w:t>21. In light of the rationale for the investigative intervention in the sector, the commitments presented and partially already implemented by the professional appear proportionate to the outlined objectives and suitable for removing the possible infringement, as they aim to allow the consumer to appreciate, from the first contact with the economic conditions of the offer, the extent of the economic commitment required and its distribution over time.</w:t>
      </w:r>
    </w:p>
    <w:p>
      <w:r>
        <w:t>22. In fact, the concentration in a single visual frame of all relevant economic information, conveyed clearly and with adequate graphic emphasis, allows the consumer to calculate with simple arithmetic operations the cost of the vehicle and understand the payment methods over time.</w:t>
      </w:r>
    </w:p>
    <w:p>
      <w:r>
        <w:t>23. The proposed Commitments thus represent a significant improvement in the communication regarding financing conditions, as they reduce information asymmetry and ensure transparent and immediately understandable offer conditions.</w:t>
      </w:r>
    </w:p>
    <w:p>
      <w:r>
        <w:t>24. Particularly commendable is the circumstance that the professional has proposed measures that go beyond the scope of the allegations made at the outset, having provided for the extension of the Commitments to all advertising messages, regardless of the means of dissemination.</w:t>
      </w:r>
    </w:p>
    <w:p>
      <w:r>
        <w:t>25. In light of the above considerations, it is believed that the commitments presented - which are attached to this measure and constitute an integral part thereof - meet the requirements set forth in Article 27, paragraph 7, of the Consumer Code.</w:t>
      </w:r>
    </w:p>
    <w:p>
      <w:r>
        <w:t>CONSIDERING, therefore, that the commitments presented by the company Suzuki Italia S.p.A., in the terms outlined above, are suitable to eliminate the possible profiles of unfairness of the commercial practice subject to investigation;</w:t>
      </w:r>
    </w:p>
    <w:p>
      <w:r>
        <w:t>CONSIDERING, to order the mandatory nature of the aforementioned commitments towards the company Suzuki Italia S.p.A.;</w:t>
      </w:r>
    </w:p>
    <w:p>
      <w:r>
        <w:t>CONSIDERING, therefore, to be able to close the procedure without ascertaining the infringement;</w:t>
      </w:r>
    </w:p>
    <w:p>
      <w:r>
        <w:t>8 The amount of the down payment, the number and amount of the individual monthly installments, the amount of the final payment (final installment), the TAN and the TAEG.</w:t>
      </w:r>
    </w:p>
    <w:p>
      <w:r>
        <w:t>BULLETIN NO. 30 OF AUGUST 8, 2022 165</w:t>
      </w:r>
    </w:p>
    <w:p>
      <w:r>
        <w:t>RESOLUTION</w:t>
      </w:r>
    </w:p>
    <w:p>
      <w:r>
        <w:t>a) to make mandatory, towards the company Suzuki Italia S.p.A., pursuant to Article 27, paragraph 7, of the Consumer Code and Article 9, paragraph 2, letter a), of the Regulation, the commitments proposed on February 11, 2022, subsequently supplemented on February 28, 2022, as described in the Form attached to this measure, which constitutes an integral part thereof;</w:t>
      </w:r>
    </w:p>
    <w:p>
      <w:r>
        <w:t>b) to close the procedure without ascertaining the infringement, pursuant to Article 27, paragraph 7, of the Consumer Code and Article 9, paragraph 2, letter a), of the Regulation;</w:t>
      </w:r>
    </w:p>
    <w:p>
      <w:r>
        <w:t>c) that the company Suzuki Italia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Antitrust Authority.</w:t>
      </w:r>
    </w:p>
    <w:p>
      <w:r>
        <w:t>THE SECRETARY GENERAL THE PRESIDENT</w:t>
      </w:r>
    </w:p>
    <w:p>
      <w:r>
        <w:t>Guido Stazi Roberto Rustichelli</w:t>
      </w:r>
    </w:p>
    <w:p>
      <w:r>
        <w:t>166 BULLETIN NO. 30 OF AUGUST 8, 2022</w:t>
      </w:r>
    </w:p>
    <w:p>
      <w:r>
        <w:t>PS12257 - NISSAN-PRESENTATION OF CAR OFFER PRICES</w:t>
      </w:r>
    </w:p>
    <w:p>
      <w:r>
        <w:t>Measure No. 30270</w:t>
      </w:r>
    </w:p>
    <w:p>
      <w:r>
        <w:t>THE ANTITRUST AUTHORITY</w:t>
      </w:r>
    </w:p>
    <w:p>
      <w:r>
        <w:t>IN ITS MEETING of July 19, 2022;</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April 21, 2022, whereby the Party presented commitments pursuant to Article 27, paragraph 7, of the Consumer Code and Article 9 of the Regulation;</w:t>
      </w:r>
    </w:p>
    <w:p>
      <w:r>
        <w:t>VIEWED its measure of April 27, 2022, whereby, pursuant to Article 7, paragraph 3, of the Regulation, the deadline for concluding the procedure was extended, for the evaluation of the commitments proposed by the professional;</w:t>
      </w:r>
    </w:p>
    <w:p>
      <w:r>
        <w:t>VIEWED the acts of the procedure;</w:t>
      </w:r>
    </w:p>
    <w:p>
      <w:r>
        <w:t>I. THE PARTY</w:t>
      </w:r>
    </w:p>
    <w:p>
      <w:r>
        <w:t>1. NISSAN Italia S.r.l. (hereinafter also "NISSAN") as a professional, pursuant to Article 18, letter b), of the Consumer Code. The professional is the Italian subsidiary of the NISSAN group, active worldwide in the production and sale of automobiles under the "Nissan" brand.</w:t>
      </w:r>
    </w:p>
    <w:p>
      <w:r>
        <w:t>II. THE COMMERCIAL PRACTICES SUBJECT TO THE PROCEDURE</w:t>
      </w:r>
    </w:p>
    <w:p>
      <w:r>
        <w:t>2. The procedure concerns the methods of presentation, on the website www.nissan.it, of the elements that contribute to determining the cost to be incurred to purchase the advertised cars through financing.</w:t>
      </w:r>
    </w:p>
    <w:p>
      <w:r>
        <w:t>III. THE RESULTS OF THE PROCEDURE</w:t>
      </w:r>
    </w:p>
    <w:p>
      <w:r>
        <w:t>III.1) The course of the procedure</w:t>
      </w:r>
    </w:p>
    <w:p>
      <w:r>
        <w:t>3. Based on the information acquired for the application of the Consumer Code, on December 28, 2021, the investigative procedure PS12257 was initiated against NISSAN Italia S.r.l., pursuant to Articles 21 and 22 of the Consumer Code, regarding the possible omission and misleading nature of the presentation methods, on the professional's website, of the cost to be incurred to purchase the advertised cars through financing. At the first contact, the professional emphasized only the convenient amount of the installment, relegating...</w:t>
      </w:r>
    </w:p>
    <w:p>
      <w:r>
        <w:rPr>
          <w:b/>
        </w:rPr>
        <w:t>[Pages 166–168]</w:t>
      </w:r>
    </w:p>
    <w:p>
      <w:r>
        <w:t>BULLETIN NO. 30 OF AUGUST 8, 2022 167</w:t>
      </w:r>
    </w:p>
    <w:p>
      <w:r>
        <w:t>essential information (down payment, final installment, number of installments, etc.) in sections that are not easily readable, the content of which could only be viewed after multiple actions by the consumer (clicking on several links to access the landing pages containing the essential elements of the offer, scrolling through the landing pages, enlarging the text, and opening the boxes containing the "financing examples").</w:t>
      </w:r>
    </w:p>
    <w:p>
      <w:r>
        <w:t>4. On January 19, 2022, NISSAN accessed the documents of the proceeding and extracted copies of the documents acquired in the file.</w:t>
      </w:r>
    </w:p>
    <w:p>
      <w:r>
        <w:t>5. The professional responded to the request for information made in the initiation communication and replied to a subsequent request on March 8, 2022.</w:t>
      </w:r>
    </w:p>
    <w:p>
      <w:r>
        <w:t>6. NISSAN presented its defense arguments with notes received on February 10, 2022.</w:t>
      </w:r>
    </w:p>
    <w:p>
      <w:r>
        <w:t>7. On April 21, 2022, the professional submitted a proposal for commitments, pursuant to Article 27, paragraph 7, of the Consumer Code and Article 9 of the Regulation.</w:t>
      </w:r>
    </w:p>
    <w:p>
      <w:r>
        <w:t>8. On April 27, 2022, the Party was notified of a sixty-day extension of the deadline for concluding the proceeding pursuant to Article 7, paragraph 3, of the Regulation.</w:t>
      </w:r>
    </w:p>
    <w:p>
      <w:r>
        <w:t>9. On May 30, 2022, the Party was notified of the conclusion date of the investigative phase, pursuant to Article 16, paragraph 1 of the Regulation.</w:t>
      </w:r>
    </w:p>
    <w:p>
      <w:r>
        <w:t>10. On July 12, 2022, the opinion of the Authority for Communications Guarantees was received.</w:t>
      </w:r>
    </w:p>
    <w:p>
      <w:r>
        <w:t>III.2 The elements acquired and the commitments of the professional</w:t>
      </w:r>
    </w:p>
    <w:p>
      <w:r>
        <w:t>III.2.1 The elements acquired</w:t>
      </w:r>
    </w:p>
    <w:p>
      <w:r>
        <w:t>11. NISSAN represented that the commercial offer contained on the web pages of the corporate website cannot be considered misleading as it is aimed at an "average consumer" who, possessing minimal technical skills to navigate the internet, is normally able to understand the commercial offer as a whole by clicking on the "discover the offer" links and thereby accessing, in an extremely short time frame, all the elements that make up the commercial proposal. Consequently, the offer would be unsuitable to distort the economic behavior of the average consumer, nor can it be considered omissive as it contains all the necessary elements to make an informed commercial decision.</w:t>
      </w:r>
    </w:p>
    <w:p>
      <w:r>
        <w:t>12. Finally, NISSAN communicated that it had modified, starting from February 1, 2022, the presentation of the commercial proposal made on its website, attaching the relevant newly formulated web pages.</w:t>
      </w:r>
    </w:p>
    <w:p>
      <w:r>
        <w:t>13. Furthermore, the professional produced the video of the advertisement related to the "Juke Kiiro" model that aired on national television networks in February 2022, in which the number of installments, the amounts of the down payment, and the final installment were reported simultaneously, in clearly visible characters, below the amount of the installment.</w:t>
      </w:r>
    </w:p>
    <w:p>
      <w:r>
        <w:t>III.2.2 The commitments proposed by the professional</w:t>
      </w:r>
    </w:p>
    <w:p>
      <w:r>
        <w:t>14. The professional submitted a proposal for commitments ("Commitments") on April 21, 2022, structured as follows.</w:t>
      </w:r>
    </w:p>
    <w:p>
      <w:r>
        <w:t>15. The professional first noted that it had modified the presentation of the commercial proposal for "Nissan" branded vehicles on its corporate website as quickly as possible, removing any economic indications from the homepage (suitable for constituting a "first contact" with the consumer) and concentrating all the information of that offer on a single web page per model accessible by clicking on "discover the offers."</w:t>
      </w:r>
    </w:p>
    <w:p>
      <w:r>
        <w:t>16. That said, NISSAN committed to extend the logic already implemented on the website www.nissan.it to all digital and social communication channels used for the promotion of "Nissan" branded vehicles. In particular, the professional, for commercial offers that provide for installment formulas, commits to providing all economic indications of the offer (down payment, number of installments, final installment or "guaranteed future value," TAN, and TAEG) in the same context and immediately, without referring to other pages or requiring additional clicks.</w:t>
      </w:r>
    </w:p>
    <w:p>
      <w:r>
        <w:t>IV. OPINION OF THE AUTHORITY FOR COMMUNICATIONS GUARANTEES</w:t>
      </w:r>
    </w:p>
    <w:p>
      <w:r>
        <w:t>17. Since the commercial practice subject to this provision was disseminated through telecommunications means, such as a website, on June 13, 2022, the opinion was requested from the Authority for Communications Guarantees, pursuant to Article 27, paragraph 6, of the Consumer Code.</w:t>
      </w:r>
    </w:p>
    <w:p>
      <w:r>
        <w:t>18. In the opinion received on July 12, 2022, the aforementioned Authority considered that, in this case, NISSAN's use of the internet is suitable to develop a significant impact on consumers who, based on the information read on the professional's website, could be induced to make a commercial decision that they would not have otherwise made, thus concretely developing the full promotional potential of the cited communication medium.</w:t>
      </w:r>
    </w:p>
    <w:p>
      <w:r>
        <w:t>V. EVALUATION OF THE COMMITMENTS</w:t>
      </w:r>
    </w:p>
    <w:p>
      <w:r>
        <w:t>19. Financing represents one of the most common methods of purchasing new cars. Over time, traditional financing characterized by a long duration and a variable down payment has been accompanied by so-called financing with a final installment, where a large part of the expenditure is concentrated in the down payment and the final installment, and the installment payment is reduced to 24-48 months.</w:t>
      </w:r>
    </w:p>
    <w:p>
      <w:r>
        <w:t>20. Such proposals present an intrinsic complexity due to the presence of different elements (down payment, a number of monthly installments, final installment/redemption value), which allow for multiple payment structures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21. This provision therefore arises from the need to counter the current practice in the automotive sector that emphasizes the content of the monthly installment or a price that does not include financial charges or expenses at first contact. Such a presentation relies on an element that can be considered secondary in the overall economy of the payments provided in offers with a final installment. Similarly, the representation of a purchase price that does not include other charges or expenses lures the consumer into the convenience of an offer that is much more burdensome than it appears.</w:t>
      </w:r>
    </w:p>
    <w:p>
      <w:r>
        <w:t>22. In light of the rationale underlying the investigative intervention in the sector, the commitments presented - and partly already implemented -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23. In fact, the concentration in a single visual box of all relevant economic information, conveyed clearly and with adequate graphic emphasis, allows the consumer to calculate with simple arithmetic operations the cost of the vehicle and understand the payment methods over time.</w:t>
      </w:r>
    </w:p>
    <w:p>
      <w:r>
        <w:t>24. The proposed Commitments thus represent a significant improvement in the communication regarding financing conditions, as they reduce information asymmetry and ensure transparent and immediately understandable offer conditions.</w:t>
      </w:r>
    </w:p>
    <w:p>
      <w:r>
        <w:t>25. It is also commendable that the professional has proposed measures that go beyond the scope of the initiation contestations, having provided for the extension of the Commitments to all forms of digital and social communication. Moreover, the principles informing the Commitments are already applied in communications on television.</w:t>
      </w:r>
    </w:p>
    <w:p>
      <w:r>
        <w:t>26.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NISSAN Italia Srl in the terms outlined above are suitable to eliminate the possible profiles of unfairness of the commercial practice subject to investigation;</w:t>
      </w:r>
    </w:p>
    <w:p>
      <w:r>
        <w:t>IT IS DEEMED to impose the obligation of the aforementioned commitments on NISSAN Italia S.r.l.</w:t>
      </w:r>
    </w:p>
    <w:p>
      <w:r>
        <w:rPr>
          <w:b/>
        </w:rPr>
        <w:t>[Pages 169–171]</w:t>
      </w:r>
    </w:p>
    <w:p>
      <w:r>
        <w:t>170 BULLETIN NO. 30 OF AUGUST 8, 2022</w:t>
      </w:r>
    </w:p>
    <w:p>
      <w:r>
        <w:t>CONSIDERED, therefore, that it is possible to close the procedure without establishing the infringement;</w:t>
      </w:r>
    </w:p>
    <w:p>
      <w:r>
        <w:t>RESOLVES</w:t>
      </w:r>
    </w:p>
    <w:p>
      <w:r>
        <w:t>a) to make the commitments proposed on April 21, 2022, as described in the Form attached to this provision, which constitutes an integral part thereof, mandatory for the company NISSAN Italia S.r.l., pursuant to Article 27, paragraph 7, of the Consumer Code and Article 9, paragraph 2, letter a), of the Regulation;</w:t>
      </w:r>
    </w:p>
    <w:p>
      <w:r>
        <w:t>b) to close the procedure without establishing the infringement, pursuant to Article 27, paragraph 7, of the Consumer Code and Article 9, paragraph 2, letter a), of the Regulation;</w:t>
      </w:r>
    </w:p>
    <w:p>
      <w:r>
        <w:t>c) that the company NISSAN Italia S.r.l.,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t>BULLETIN NO. 30 OF AUGUST 8, 2022 171</w:t>
      </w:r>
    </w:p>
    <w:p>
      <w:r>
        <w:t>PS12258 - HONDA-PRESENTATION OF CAR OFFER PRICES</w:t>
      </w:r>
    </w:p>
    <w:p>
      <w:r>
        <w:t>Provision No. 30271</w:t>
      </w:r>
    </w:p>
    <w:p>
      <w:r>
        <w:t>THE ANTITRUST AUTHORITY</w:t>
      </w:r>
    </w:p>
    <w:p>
      <w:r>
        <w:t>IN ITS MEETING of July 19, 2022;</w:t>
      </w:r>
    </w:p>
    <w:p>
      <w:r>
        <w:t>HEARD the Rapporteur President Roberto Rustichelli;</w:t>
      </w:r>
    </w:p>
    <w:p>
      <w:r>
        <w:t>SEEN Part II, Title III, of Legislative Decree No. 206 of September 6, 2005, containing the "Consumer Code" and subsequent amendments (hereinafter, Consumer Code);</w:t>
      </w:r>
    </w:p>
    <w:p>
      <w:r>
        <w:t>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SEEN the communication received on February 11, 2022, and subsequently supplemented on April 28, 2022, by which Honda Motor Europe Limited submitted commitments pursuant to Article 27, paragraph 7, of the Consumer Code and Article 9 of the Regulation;</w:t>
      </w:r>
    </w:p>
    <w:p>
      <w:r>
        <w:t>SEEN its provision of April 27, 2022, by which, pursuant to Article 7, paragraph 3, of the Regulation, the deadline for concluding the procedure was extended for the evaluation of the commitments proposed by the professional;</w:t>
      </w:r>
    </w:p>
    <w:p>
      <w:r>
        <w:t>SEEN the acts of the procedure;</w:t>
      </w:r>
    </w:p>
    <w:p>
      <w:r>
        <w:t>I. THE PARTY</w:t>
      </w:r>
    </w:p>
    <w:p>
      <w:r>
        <w:t>1. Honda Motor Europe Limited (hereinafter also "Honda"), as a professional, pursuant to Article 18, paragraph 1, letter b), of the Consumer Code. Honda is the Italian subsidiary of the eponymous group active worldwide in the production and sale of automobiles under the Honda brand.</w:t>
      </w:r>
    </w:p>
    <w:p>
      <w:r>
        <w:t>II. THE COMMERCIAL PRACTICE SUBJECT OF THE PROCEDURE</w:t>
      </w:r>
    </w:p>
    <w:p>
      <w:r>
        <w:t>2. The procedure concerns the methods of presentation, on the website https://www.honda.it/cars.html, of the elements that contribute to determining the cost to be incurred for purchasing the advertised cars through financing.</w:t>
      </w:r>
    </w:p>
    <w:p>
      <w:r>
        <w:t>III. THE OUTCOMES OF THE PROCEDURE</w:t>
      </w:r>
    </w:p>
    <w:p>
      <w:r>
        <w:t>III.1 The course of the procedure</w:t>
      </w:r>
    </w:p>
    <w:p>
      <w:r>
        <w:t>3. Based on the information acquired for the application of the Consumer Code, on December 28, 2021, the investigative procedure PS/12258 was initiated against Honda, pursuant to Articles 21 and 22 of the Consumer Code, regarding the possible omission and misleading nature of the presentation methods on the website www.honda.it/cars.html of the cost to be incurred for purchasing the advertised cars through financing. At the first contact, the professional emphasized the convenient amount of the installment, relegating essential information (e.g., amount of the down payment and the final installment) to sections that were not easily readable, the content of which could only be viewed following one or more actions by the consumer (clicking on a link, scrolling the landing page dedicated to individual models, and enlarging the characters).</w:t>
      </w:r>
    </w:p>
    <w:p>
      <w:r>
        <w:t>4. Honda had access to the acts of the procedure and extracted copies of the documents acquired in the file on January 19, 2022.</w:t>
      </w:r>
    </w:p>
    <w:p>
      <w:r>
        <w:t>5. The professional responded to the request for information made in the initiation communication with a note received on January 27, 2022.</w:t>
      </w:r>
    </w:p>
    <w:p>
      <w:r>
        <w:t>6. The professional was heard in a hearing by the Offices on February 28, 2022.</w:t>
      </w:r>
    </w:p>
    <w:p>
      <w:r>
        <w:t>7. On February 11, 2022, the professional submitted a proposal for commitments pursuant to Article 27, paragraph 7 of the Consumer Code and Article 9 of the Regulation, subsequently supplemented on April 28, 2022.</w:t>
      </w:r>
    </w:p>
    <w:p>
      <w:r>
        <w:t>8. On April 27, 2022, the Party was informed of the sixty-day extension of the deadline for concluding the procedure pursuant to Article 7, paragraph 3, of the Regulation.</w:t>
      </w:r>
    </w:p>
    <w:p>
      <w:r>
        <w:t>9. On May 30, 2022, the Party was informed of the conclusion date of the investigative phase, pursuant to Article 16, paragraph 1, of the Regulation.</w:t>
      </w:r>
    </w:p>
    <w:p>
      <w:r>
        <w:t>10. On July 13, 2022, the opinion of the Authority for Communications Guarantees was received.</w:t>
      </w:r>
    </w:p>
    <w:p>
      <w:r>
        <w:t>III.2 The elements acquired and the commitments of the professional</w:t>
      </w:r>
    </w:p>
    <w:p>
      <w:r>
        <w:t>III.2.1 The elements acquired</w:t>
      </w:r>
    </w:p>
    <w:p>
      <w:r>
        <w:t>11. The professional asserted the correctness of the commercial communications subject to the procedure because: (i) the final installment would be a purely contingent cost and quantifying it at the first contact with the consumer could provide him with a misleading perception of the offer; (ii) the separation of the main claims from the financing example would take into account the Authority's previous interventions in the automobile sales sector.</w:t>
      </w:r>
    </w:p>
    <w:p>
      <w:r>
        <w:t>III.2.2 The commitments proposed by the professional</w:t>
      </w:r>
    </w:p>
    <w:p>
      <w:r>
        <w:t>12. The professional submitted a proposal for commitments ("Commitments") on February 11, 2022, providing an integrated version on April 28, 2022.</w:t>
      </w:r>
    </w:p>
    <w:p>
      <w:r>
        <w:t>13. With the aforementioned commitments, as integrated, the professional proposed to:</w:t>
      </w:r>
    </w:p>
    <w:p>
      <w:r>
        <w:t>(i) include, for each advertising message presenting the individual vehicle and the related promotional offer published on the homepage, a specific information box called "Easy Honda Financing," graphically distinct from the rest of the message, in which each individual cost item of the Financing (down payment, amount and number of installments, final installment, maximum amount due, TAN, and TAEG) will be indicated;</w:t>
      </w:r>
    </w:p>
    <w:p>
      <w:r>
        <w:t>(ii) modify the page dedicated to the individual model, accessible from the message on the homepage through a button "Discover the Promo details," in order to provide, in a clearer manner, the</w:t>
      </w:r>
    </w:p>
    <w:p>
      <w:r>
        <w:rPr>
          <w:b/>
        </w:rPr>
        <w:t>[Pages 172–174]</w:t>
      </w:r>
    </w:p>
    <w:p>
      <w:r>
        <w:t>BULLETIN NO. 30 OF AUGUST 8, 2022 173</w:t>
      </w:r>
    </w:p>
    <w:p>
      <w:r>
        <w:t>information on all potential cost items of the financing7, on the alternatives available at the end of the installment plan, and on the financial company;</w:t>
      </w:r>
    </w:p>
    <w:p>
      <w:r>
        <w:t>(iii) to provide a section of the website dedicated to illustrating the "Easy Honda" financing in language easily understandable to the consumer, accessible from the homepage and from the individual model pages via a specific button "Discover Easy Honda";</w:t>
      </w:r>
    </w:p>
    <w:p>
      <w:r>
        <w:t>(iv) to adopt corporate guidelines, in line with the commitments proposed for the website, regarding the preparation of advertising messages for vehicles purchasable with "Easy Honda" financing disseminated through other online and offline channels not subject to the procedure. In particular, for TV spots, the same information as in point (i) is to be disseminated, along with a minimum duration (4 seconds) of the display of the screen with the financing conditions. In banners on third-party sites and in live promotional communications8, only the total starting price of the vehicle will be indicated, and that it is purchasable with the "Easy Honda" formula, leaving the consumer the option to delve into the details of the offer by accessing the website. Also for print advertising and through billboards, flyers, and similar materials, the dissemination of the information referred to in point (i) is provided with adequate visibility. Finally, for radio advertising, depending on the time granted by the broadcaster, only the starting price of the vehicle and the possibility of financing will be indicated, or all cost components, in any case with a reference to the website for more information.</w:t>
      </w:r>
    </w:p>
    <w:p>
      <w:r>
        <w:t>14. Honda commits to implementing the commitments described within 30 days from the date of communication of the measure by which these commitments will be made mandatory.</w:t>
      </w:r>
    </w:p>
    <w:p>
      <w:r>
        <w:t>IV. OPINION OF THE AUTHORITY FOR GUARANTEES IN COMMUNICATIONS</w:t>
      </w:r>
    </w:p>
    <w:p>
      <w:r>
        <w:t>15. Since the commercial practice subject to this measure has been disseminated through telecommunications means such as a website, on June 13, 2022, the opinion was requested from the Authority for Guarantees in Communications, pursuant to Article 27, paragraph 6, of the Consumer Code9.</w:t>
      </w:r>
    </w:p>
    <w:p>
      <w:r>
        <w:t>16. In the opinion received on July 13, 2022, the aforementioned Authority deemed that, in this case, Honda's use of the internet is suitable for developing a significant impact on consumers who, based on the information read on the professional's websites, could be induced to make a commercial decision that they would not otherwise have made, thus concretely developing the full promotional potential of the cited communication medium.</w:t>
      </w:r>
    </w:p>
    <w:p>
      <w:r>
        <w:t>V. EVALUATION OF THE COMMITMENTS</w:t>
      </w:r>
    </w:p>
    <w:p>
      <w:r>
        <w:t>17. Financing represents one of the most widespread methods of purchasing new cars. Over time, traditional financing characterized by a long duration and a variable down payment has been joined by so-called financing with a final balloon payment, where a large part of the outlay is concentrated in the down payment and the final balloon payment10, and the installment payment is reduced to 24-48 months.</w:t>
      </w:r>
    </w:p>
    <w:p>
      <w:r>
        <w:t>18. Such proposals present an intrinsic complexity due to the presence of different elements (down payment, a number of monthly installments, final balloon payment/residual value), which allow for multiple structuring of payments over time. Only the contextual knowledge of all the essential elements of the offer can allow for a full awareness of the financial commitment required and its distribution over time, the latter being fundamental to assess its compatibility with one's income flows and savings capacity.</w:t>
      </w:r>
    </w:p>
    <w:p>
      <w:r>
        <w:t>19. This measure therefore arises from the need to counter the current practice in the automotive sector that emphasizes the significant amount of the monthly installment or a price that does not include financial charges or expenses at first contact. This presentation relies on an element that can be considered secondary in the overall economy of the payments provided in offers with a final balloon payment. Similarly, the representation of a purchase price not inclusive of other charges or expenses lures the consumer into the convenience of an offer that is much more burdensome than it appears.</w:t>
      </w:r>
    </w:p>
    <w:p>
      <w:r>
        <w:t>20. In light of the rationale underlying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economic commitment required and its distribution over time.</w:t>
      </w:r>
    </w:p>
    <w:p>
      <w:r>
        <w:t>21. In fact, the concentration in a single visual frame of all relevant economic information11, conveyed clearly and with adequate graphic emphasis, allows the consumer to calculate the cost of the vehicle with simple arithmetic operations and understand the payment methods over time.</w:t>
      </w:r>
    </w:p>
    <w:p>
      <w:r>
        <w:t>22. The proposed commitments thus represent a significant improvement in the communication regarding financing conditions, as they reduce information asymmetry and ensure transparent and immediately understandable offer conditions.</w:t>
      </w:r>
    </w:p>
    <w:p>
      <w:r>
        <w:t>23. The provision of a section of the website dedicated to illustrating the "Easy Honda" financing, in language easily understandable for the consumer, will further enhance the level of transparency of the commercial communications in question.</w:t>
      </w:r>
    </w:p>
    <w:p>
      <w:r>
        <w:t>24. Particularly commendable is the fact that the professional has proposed measures that go beyond the scope of the allegations made at the outset, having provided for the extension of the Commitments, through specific Guidelines, to other forms of communication via the internet (in particular banners on third-party sites) and offline (in particular TV spots, live promotional communications such as sat squeeze, print advertising, through billboards and similar, radio advertising).</w:t>
      </w:r>
    </w:p>
    <w:p>
      <w:r>
        <w:t>25. In light of the above considerations, it is believed that the commitments presented - which are attached to this measure and constitute an integral part thereof - meet the requirements set forth in Article 27, paragraph 7, of the Consumer Code.</w:t>
      </w:r>
    </w:p>
    <w:p>
      <w:r>
        <w:t>THEREFORE, it is deemed that the commitments presented by Honda Motor Europe Limited, in the terms outlined above, are suitable to eliminate the possible profiles of unfairness of the commercial practice subject to investigation;</w:t>
      </w:r>
    </w:p>
    <w:p>
      <w:r>
        <w:t>IT IS DEEMED appropriate to make the aforementioned commitments mandatory for Honda Motor Europe Limited;</w:t>
      </w:r>
    </w:p>
    <w:p>
      <w:r>
        <w:t>IT IS DEEMED, therefore, that the procedure can be closed without establishing the infringement;</w:t>
      </w:r>
    </w:p>
    <w:p>
      <w:r>
        <w:t>RESOLVES</w:t>
      </w:r>
    </w:p>
    <w:p>
      <w:r>
        <w:t>a) to make mandatory, for Honda Motor Europe Limited, pursuant to Article 27, paragraph 7, of the Consumer Code and Article 9, paragraph 2, letter a), of the Regulation, the commitments proposed on February 11, 2022, and subsequently supplemented on April 28, 2022, as described in the Form attached to this measure, which constitutes an integral part thereof;</w:t>
      </w:r>
    </w:p>
    <w:p>
      <w:r>
        <w:t>b) to close the procedure without establishing the infringement, pursuant to Article 27, paragraph 7, of the Consumer Code and Article 9, paragraph 2, letter a), of the Regulation;</w:t>
      </w:r>
    </w:p>
    <w:p>
      <w:r>
        <w:t>c) that Honda Motor Europe Limited,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175–177]</w:t>
      </w:r>
    </w:p>
    <w:p>
      <w:r>
        <w:t>176 BULLETIN NO. 30 OF AUGUST 8, 2022</w:t>
      </w:r>
    </w:p>
    <w:p>
      <w:r>
        <w:t>This provision will be notified to the interested parties and published in the Bulletin of the Authority for the Guarantee of Competition and the Market.</w:t>
      </w:r>
    </w:p>
    <w:p>
      <w:r>
        <w:t>THE SECRETARY GENERAL THE PRESIDENT</w:t>
        <w:br/>
        <w:t>Guido Stazi Roberto Rustichelli</w:t>
      </w:r>
    </w:p>
    <w:p>
      <w:r>
        <w:t>BULLETIN NO. 30 OF AUGUST 8, 2022 177</w:t>
      </w:r>
    </w:p>
    <w:p>
      <w:r>
        <w:t>PS12259 - M.M. AUTOMOBILI - PRESENTATION OF CAR OFFER PRICES</w:t>
        <w:br/>
        <w:t>Provision No. 30272</w:t>
      </w:r>
    </w:p>
    <w:p>
      <w:r>
        <w:t>THE AUTHORITY FOR THE GUARANTEE OF COMPETITION AND THE MARKET</w:t>
      </w:r>
    </w:p>
    <w:p>
      <w:r>
        <w:t>IN ITS MEETING of July 19, 2022;</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February 11, 2022, and subsequently supplemented on March 16, 2022, whereby the company M.M. Automobili Italia S.p.A. submitted commitments pursuant to Article 27, paragraph 7, of the Consumer Code and Article 9 of the Regulation;</w:t>
      </w:r>
    </w:p>
    <w:p>
      <w:r>
        <w:t>HAVING REGARD to its provision of April 27, 2022, whereby, pursuant to Article 7, paragraph 3, of the Regulation, the deadline for concluding the procedure was extended for the evaluation of the commitments proposed by the professional;</w:t>
      </w:r>
    </w:p>
    <w:p>
      <w:r>
        <w:t>HAVING REGARD to the documents of the procedure;</w:t>
      </w:r>
    </w:p>
    <w:p>
      <w:r>
        <w:t>I. THE PARTY</w:t>
      </w:r>
    </w:p>
    <w:p>
      <w:r>
        <w:t>1. The company M.M. Automobili Italia S.p.A. (hereinafter also "M.M. Automobili"), in its capacity as a professional, pursuant to Article 18, paragraph 1, letter b), of the Consumer Code. M.M. Automobili, by virtue of a distribution agreement, imports and exclusively markets in Italy the vehicles and spare parts under the Mitsubishi brand, manufactured by the Japanese company Mitsubishi Motors Corporation.</w:t>
      </w:r>
    </w:p>
    <w:p>
      <w:r>
        <w:t>II. THE COMMERCIAL PRACTICE</w:t>
      </w:r>
    </w:p>
    <w:p>
      <w:r>
        <w:t>2. The procedure concerns the methods of presentation, on the website https://www.mitsubishi-motors.it/, of the elements that contribute to determining the cost to be incurred to purchase the advertised cars through financing.</w:t>
      </w:r>
    </w:p>
    <w:p>
      <w:r>
        <w:t>III. THE RESULTS OF THE PROCEDURE</w:t>
      </w:r>
    </w:p>
    <w:p>
      <w:r>
        <w:t>III.1 The procedure process</w:t>
      </w:r>
    </w:p>
    <w:p>
      <w:r>
        <w:t>3. Based on the information acquired for the application of the Consumer Code, on December 28, 2021, the investigative procedure PS12259 was initiated against M.M. Automobili Italia S.p.A., pursuant to Articles 21 and 22 of the Consumer Code, regarding the possible omission and misleading nature of the presentation methods, on the professional's website, of the cost to be incurred to purchase the advertised cars through financing. At the first contact, the professional emphasized the claim "Yours from € [car price]", accompanied by the indication "with financing [offer name]", the TAN, and the TAEG.</w:t>
      </w:r>
    </w:p>
    <w:p>
      <w:r>
        <w:t>178 BULLETIN NO. 30 OF AUGUST 8, 2022</w:t>
      </w:r>
    </w:p>
    <w:p>
      <w:r>
        <w:t>Essential information to clarify the scope of the claim and the total costs (possible down payment, amount and number of installments, financial charges, etc.) are relegated to sections that are not easily readable, the content of which can only be viewed following one or more actions by the consumer (clicking on one or more links, scrolling to the bottom of a page, enlarging the characters).</w:t>
      </w:r>
    </w:p>
    <w:p>
      <w:r>
        <w:t>4. The professional responded to the request for information made in the initiation communication and presented its defense arguments in a note received on February 11, 2022.1</w:t>
      </w:r>
    </w:p>
    <w:p>
      <w:r>
        <w:t>5. The professional was heard by the Offices2 on March 8, 2022.</w:t>
      </w:r>
    </w:p>
    <w:p>
      <w:r>
        <w:t>6. On February 11, 2022, the professional submitted a proposal for commitments pursuant to Article 27, paragraph 7 of the Consumer Code and Article 9 of the Regulation, subsequently supplemented on March 16, 2022. A consolidated version of the commitments was filed on June 9, 2022.3</w:t>
      </w:r>
    </w:p>
    <w:p>
      <w:r>
        <w:t>7. On April 27, 2022, the Party was informed of the sixty-day extension of the deadline for concluding the procedure pursuant to Article 7, paragraph 3, of the Regulation4.</w:t>
      </w:r>
    </w:p>
    <w:p>
      <w:r>
        <w:t>8. On May 30, 2022, the Parties were informed of the conclusion date of the investigative phase, pursuant to Article 16, paragraph 1, of the Regulation5.</w:t>
      </w:r>
    </w:p>
    <w:p>
      <w:r>
        <w:t>9. On July 12, 2022, the opinion of the Authority for Guarantees in Communications was received.</w:t>
      </w:r>
    </w:p>
    <w:p>
      <w:r>
        <w:t>III.2 The acquired elements and the commitments of the professional</w:t>
      </w:r>
    </w:p>
    <w:p>
      <w:r>
        <w:t>III.2.1 The acquired elements</w:t>
      </w:r>
    </w:p>
    <w:p>
      <w:r>
        <w:t>10. In its defenses, the professional argued the correctness of its actions, believing it provided the consumer with complete and exhaustive information. According to the professional, the peculiarities of the dissemination medium (website) require that a limited number of information be provided on the homepage, which represent a summary of the various topics covered more in-depth within the site. Through the execution of a single action, in a manner entirely consistent with the normal navigation and consultation methods of a website, the consumer then has all the complete information related to the offer, allowing for full awareness of the economic commitment required for the purchase of the vehicle.</w:t>
      </w:r>
    </w:p>
    <w:p>
      <w:r>
        <w:t>11. The contested messages appeared exclusively on the website www.mitsubishi-motors.it and were not the subject of any advertising campaign (TV, radio, print, or otherwise).</w:t>
      </w:r>
    </w:p>
    <w:p>
      <w:r>
        <w:t>III.2.2 The commitments proposed by the professional</w:t>
      </w:r>
    </w:p>
    <w:p>
      <w:r>
        <w:t>12. As indicated above, the professional submitted a proposal for commitments ("Commitments") on February 11 and March 16, 2022, providing a consolidated version on June 9, 2022.</w:t>
      </w:r>
    </w:p>
    <w:p>
      <w:r>
        <w:t>13. In particular, the professional commits to:</w:t>
        <w:br/>
        <w:t xml:space="preserve">(i) integrate the information related to the traditional financing offer present on the homepage by including: number of installments, value of the installment, down payment; </w:t>
        <w:br/>
        <w:t>1 See prot. 19556 of February 11, 2022.</w:t>
        <w:br/>
        <w:t>2 See prot. 25418 of March 8, 2022.</w:t>
        <w:br/>
        <w:t>3 See prot. 26840 of February 11, 2022, prot. 26840 of March 16, 2022, prot. 46849 of June 9, 2022.</w:t>
        <w:br/>
        <w:t>4 See prot. 37068 of April 27, 2022.</w:t>
        <w:br/>
        <w:t>5 See prot. 44723 of May 30, 2022.</w:t>
      </w:r>
    </w:p>
    <w:p>
      <w:r>
        <w:rPr>
          <w:b/>
        </w:rPr>
        <w:t>[Pages 178–180]</w:t>
      </w:r>
    </w:p>
    <w:p>
      <w:r>
        <w:t>BULLETIN NO. 30 OF AUGUST 8, 2022 179</w:t>
      </w:r>
    </w:p>
    <w:p>
      <w:r>
        <w:t>(ii) to include, when using the claim “Yours from” followed by the promotional price applied, the indication “only with financing” followed by the expression “plus financial charges”;</w:t>
      </w:r>
    </w:p>
    <w:p>
      <w:r>
        <w:t>(iii) to integrate the detailed page of the promotion, accessible via the link “go to the promo” present on the homepage, with the same information as in points (i) and (ii);</w:t>
      </w:r>
    </w:p>
    <w:p>
      <w:r>
        <w:t>(iv) to make the Legal Notes placed under the quote request form more easily readable, by increasing the font size and highlighting the main items of the offer;</w:t>
      </w:r>
    </w:p>
    <w:p>
      <w:r>
        <w:t>(v) to extend the scope of the Commitments (i) and (ii) to any messages on social channels and to the previews of sponsored ads on search engines.</w:t>
      </w:r>
    </w:p>
    <w:p>
      <w:r>
        <w:t>14. The Party commits to implement the commitments described within 15 days from the acceptance of the commitments by the Authority.</w:t>
      </w:r>
    </w:p>
    <w:p>
      <w:r>
        <w:t>IV. OPINION OF THE AUTHORITY FOR GUARANTEES IN COMMUNICATIONS</w:t>
      </w:r>
    </w:p>
    <w:p>
      <w:r>
        <w:t>15. Since the commercial practice subject to this provision was disseminated through telecommunications means such as a website, on June 13, 2022, an opinion was requested from the Authority for Guarantees in Communications, pursuant to Article 27, paragraph 6, of the Consumer Code.</w:t>
      </w:r>
    </w:p>
    <w:p>
      <w:r>
        <w:t>16. In the opinion received on July 12, 2022, the aforementioned Authority deemed that, in this case, the use of the internet by M.M. Automobili is suitable to develop a significant impact on consumers who, based on the information read on the professional's website, could be induced to make a commercial decision that they would not have otherwise made, thus concretely developing the full promotional potential of the cited communication medium.</w:t>
      </w:r>
    </w:p>
    <w:p>
      <w:r>
        <w:t>V. EVALUATION OF THE COMMITMENTS</w:t>
      </w:r>
    </w:p>
    <w:p>
      <w:r>
        <w:t>17. Financing represents one of the most widespread methods of purchasing new cars. Over time, traditional financing characterized by a long duration and a variable down payment has been joined by so-called financing with a final balloon payment, where a large part of the expenditure is concentrated in the down payment and the final balloon payment, and the installment payment is reduced to 24-48 months.</w:t>
      </w:r>
    </w:p>
    <w:p>
      <w:r>
        <w:t>18. Such proposals present an intrinsic complexity due to the presence of different elements (down payment, a number of monthly installments, final balloon payment/residual value), which allow for multiple structuring of payments over time. Only the contextual knowledge of all the essential elements of the offer can allow for a full awareness of the financial commitment required and its distribution over time, this last element being fundamental to judge its compatibility with one's income flows and savings capacity.</w:t>
      </w:r>
    </w:p>
    <w:p>
      <w:r>
        <w:t>19. This provision therefore arises from the need to counter the current practice in the automotive sector that emphasizes at first contact the significant amount of the monthly installment or a price that does not include financial charges or expenses.</w:t>
      </w:r>
    </w:p>
    <w:p>
      <w:r>
        <w:t>6 The final balloon payment generally corresponds to the so-called “guaranteed future value” of the car at that moment (gross of any damages). In addition to its payment for the definitive purchase of the car, other options are often provided, ranging from refinancing to its use for the acquisition of a new car from the same manufacturer.</w:t>
      </w:r>
    </w:p>
    <w:p>
      <w:r>
        <w:t>180 BULLETIN NO. 30 OF AUGUST 8, 2022</w:t>
      </w:r>
    </w:p>
    <w:p>
      <w:r>
        <w:t>This presentation relies on an element that can be considered secondary in the overall economy of the payments provided in offers with a final balloon payment. Similarly, the representation of a purchase price not inclusive of other charges or expenses lures the consumer into the convenience of an offer that is much more burdensome than it appears.</w:t>
      </w:r>
    </w:p>
    <w:p>
      <w:r>
        <w:t>20. In light of the rationale underlying the investigative intervention in the sector, the commitments presented by the professional appear proportionate to the outlined objectives and suitable for removing the possible infringement, as they aim to allow the consumer to appreciate, from the first contact with the economic conditions of the offer, the extent of the financial commitment required and its distribution over time.</w:t>
      </w:r>
    </w:p>
    <w:p>
      <w:r>
        <w:t>21. In fact, the concentration in a single visual box of all relevant economic information, conveyed clearly and with adequate graphic emphasis, allows the consumer to calculate with simple arithmetic operations the cost of the vehicle and understand the payment methods over time. Furthermore, in the case of purchase offers with financing where the price of the vehicle is indicated with the claim “Yours from…”, the clarifications introduced to qualify the scope of the claim will make the consumer aware that the indicated value is contingent upon the activation of financing and does not represent the total expenditure to be incurred for the purchase of the vehicle.</w:t>
      </w:r>
    </w:p>
    <w:p>
      <w:r>
        <w:t>22. The proposed Commitments thus represent a significant improvement in the communication regarding financing conditions and price, as they reduce information asymmetry and ensure transparent and immediately understandable offer conditions.</w:t>
      </w:r>
    </w:p>
    <w:p>
      <w:r>
        <w:t>23. Particularly commendable is the fact that the professional has proposed measures that go beyond the scope of the allegations made at the outset, having provided for the extension of the Commitments to other forms of digital communication, where advertising announcements will be processed applying the same principles adopted by the professional for communication through its own website.</w:t>
      </w:r>
    </w:p>
    <w:p>
      <w:r>
        <w:t>24.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M.M. Automobili Italia S.p.A., in the terms outlined above, are suitable to eliminate the possible profiles of unfairness of the commercial practice subject to investigation;</w:t>
      </w:r>
    </w:p>
    <w:p>
      <w:r>
        <w:t>IT IS DEEMED to order the obligation of the aforementioned commitments towards M.M. Automobili Italia S.p.A.;</w:t>
      </w:r>
    </w:p>
    <w:p>
      <w:r>
        <w:t>IT IS DEEMED, therefore, to be able to close the procedure without ascertaining the infringement;</w:t>
      </w:r>
    </w:p>
    <w:p>
      <w:r>
        <w:t>RESOLVES</w:t>
      </w:r>
    </w:p>
    <w:p>
      <w:r>
        <w:t>a) to make mandatory, towards M.M. Automobili Italia S.p.A., pursuant to Article 27, paragraph 7, of the Consumer Code and Article 9, paragraph 2, letter a), of the Regulation, the commitments proposed on February 11, 2022, subsequently supplemented on March 16, 2022, and presented in consolidated version on June 9, 2022,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M.M. Automobili Italia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Market.</w:t>
      </w:r>
    </w:p>
    <w:p>
      <w:r>
        <w:t>THE SECRETARY GENERAL THE PRESIDENT</w:t>
      </w:r>
    </w:p>
    <w:p>
      <w:r>
        <w:t>Guido Stazi Roberto Rustichelli</w:t>
      </w:r>
    </w:p>
    <w:p>
      <w:r>
        <w:rPr>
          <w:b/>
        </w:rPr>
        <w:t>[Pages 181–183]</w:t>
      </w:r>
    </w:p>
    <w:p>
      <w:r>
        <w:t>182 BULLETIN NO. 30 OF AUGUST 8, 2022</w:t>
      </w:r>
    </w:p>
    <w:p>
      <w:r>
        <w:t>UNFAIR CLAUSES</w:t>
      </w:r>
    </w:p>
    <w:p>
      <w:r>
        <w:t>CV230 - GOLDCAR - ADMINISTRATIVE PRACTICE MANAGEMENT FEES</w:t>
      </w:r>
    </w:p>
    <w:p>
      <w:r>
        <w:t>Provision No. 30252</w:t>
      </w:r>
    </w:p>
    <w:p>
      <w:r>
        <w:t>THE ANTITRUST AUTHORITY</w:t>
      </w:r>
    </w:p>
    <w:p>
      <w:r>
        <w:t>IN ITS MEETING of July 19, 2022;</w:t>
      </w:r>
    </w:p>
    <w:p>
      <w:r>
        <w:t>HEARD the Rapporteur President Roberto Rustichelli;</w:t>
      </w:r>
    </w:p>
    <w:p>
      <w:r>
        <w:t>HAVING REGARD to Part III, Title 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decisions of November 4, 2021, January 18, 2022, March 29, 2022, and May 24, 2022, with which, pursuant to Articles 7, paragraph 3, and 23, paragraphs 1 and 5, of the Regulation, extensions of the deadline for concluding the procedure were ordered;</w:t>
      </w:r>
    </w:p>
    <w:p>
      <w:r>
        <w:t>HAVING REGARD to the acts of the procedure;</w:t>
      </w:r>
    </w:p>
    <w:p>
      <w:r>
        <w:t>CONSIDERED the following:</w:t>
      </w:r>
    </w:p>
    <w:p>
      <w:r>
        <w:t>I. THE PARTY</w:t>
      </w:r>
    </w:p>
    <w:p>
      <w:r>
        <w:t>1. Goldcar Italy S.r.l. (hereinafter, "Goldcar" or "the professional"), as a professional, pursuant to Article 3 of the Consumer Code. Goldcar engages in short-term car rental without a driver.</w:t>
      </w:r>
    </w:p>
    <w:p>
      <w:r>
        <w:t>II. THE CLAUSE SUBJECT TO EVALUATION</w:t>
      </w:r>
    </w:p>
    <w:p>
      <w:r>
        <w:t>2. The clause subject to investigation is contained in the "Rental Terms and Conditions" (hereinafter also T&amp;C) prepared by Goldcar for short-term car rental without a driver in Italian territory and available on the website https://www.goldcar.es/it/. The aforementioned T&amp;C are also supplemented by a specific price list called "TERMS AND CONDITIONS OF HIRE TARIFF GUIDE July, 2021" (hereinafter, Price List, available only in English), also available on the professional's website.</w:t>
      </w:r>
    </w:p>
    <w:p>
      <w:r>
        <w:t>3. Specifically, the clause under evaluation, limited to the contractual relationships between the professional and consumers, is the penalty clause transcribed below, derived from the provisions in Article 11 T&amp;C, as integrated by Article 6 T&amp;C and the table contained in the aforementioned Price List:</w:t>
      </w:r>
    </w:p>
    <w:p>
      <w:r>
        <w:t>- "6 - What are my obligations regarding the vehicle? [...] You and/or any Driver must drive the Vehicle in accordance with all applicable vehicle traffic regulations, ensuring that you and/or any Driver are aware of the local regulations governing driving [...]";</w:t>
        <w:br/>
        <w:t>- "11 - What are the other charges or costs that I may be required to pay? [...] in the event of a violation of the obligation established by the aforementioned Article 6 to comply with all vehicle traffic regulations, as provided by the communications/violations sent to us regarding the administrative penalty by competent authorities (such as Police, Highway Authority, Port Authority, Carabinieri, etc.), you and/or the Driver shall pay a contractual penalty (Fine Administration Charge), in addition to the sanction or tax referred to, the amount of which is indicated in the Price List applicable from time to time. You are fully responsible for the payment of such sanctions or taxes. In such cases, where possible, Goldcar will request the competent Authorities to notify the report directly to you and, where this is not possible, Goldcar will pay the relevant sanctions and then proceed to charge you for such amounts, in addition to the applicable penalty; [...]".</w:t>
      </w:r>
    </w:p>
    <w:p>
      <w:r>
        <w:t>4. As for the indication of the amount of the various penalties, this is available in the specific table of the Price List under the indication "You may incur some of the following charges during your hire period. These are not included in the rental charges". In this table, in fact, corresponding to the item "Fine Administration Charge", a contractual penalty of €55.00 (VAT exempt) is provided, with the clarification that it is "Applicable when customer receives traffic fines related to vehicle license plate within the rental contract period".</w:t>
      </w:r>
    </w:p>
    <w:p>
      <w:r>
        <w:t>III. THE INVESTIGATIVE FINDINGS</w:t>
      </w:r>
    </w:p>
    <w:p>
      <w:r>
        <w:t>a) The procedure process</w:t>
      </w:r>
    </w:p>
    <w:p>
      <w:r>
        <w:t>5. Based on the reports received and the information acquired for the application of Article 37 bis of the Consumer Code, on July 2, 2021, the procedure CV/230 was initiated against the company Goldcar Italy S.r.l.</w:t>
      </w:r>
    </w:p>
    <w:p>
      <w:r>
        <w:t>6. In the communication initiating the procedure, it was represented to Goldcar that the clause contained in Article 6.2, letters e) and f), of the "General Rental Conditions" prepared by Goldcar, could be unfair pursuant to Articles 33, 34, and 35 of the Consumer Code, as it could create a significant imbalance of rights and obligations arising from the contract to the detriment of the consumer. Concurrently with the communication initiating the procedure, Goldcar was requested to provide evidence suitable to overcome the presumption of unfairness referred to in Article 33 of the Consumer Code.</w:t>
      </w:r>
    </w:p>
    <w:p>
      <w:r>
        <w:t>7. On September 22, 2021, via the telematic platform Cisco Webex, the hearing of Goldcar's representatives took place pursuant to Article 12, paragraph 2, of the Regulation.</w:t>
      </w:r>
    </w:p>
    <w:p>
      <w:r>
        <w:t>8. The Authority was informed in its meeting of July 20, 2021, pursuant to Article 23, paragraph 6, of the Regulation, and on the same date, the consultation referred to in Article 37 bis, paragraph 1, of the Consumer Code was ordered, through the publication for 30 days, on the institutional website of the Authority (www.agcm.it), of a press release and the contractual clause subject to contestation. Within the consultation, on August 23, 2021, observations were received from the consumer association Codacons.</w:t>
      </w:r>
    </w:p>
    <w:p>
      <w:r>
        <w:t>9. In its meeting of November 4, 2021, the Authority ordered a sixty-day extension of the deadline for concluding the procedure for investigative needs, considering the necessity to examine the findings in the records for the evaluation of the case subject to the procedure as well as to ensure the Party an adequate right to defense. The deadline for concluding the procedure was extended, in the meeting of January 18, 2022, by an additional sixty days, also in light of the amendment to the Highway Code (hereinafter, CDS) made by Law No. 156 of November 9, 2021. By decision of March 29, 2022, an additional extension of fifty-eight days of the deadline for concluding the procedure was decided, considering the necessity to proceed with the objective extension of the procedure. Finally, on May 24, 2022, the Authority ordered a new extension of sixty days of the deadline for concluding the procedure for specific investigative needs, considering the necessity to examine the findings in the records for the evaluation of the case subject to the procedure in question as well as to ensure the Party the broadest exercise of the right of defense and an adequate adversarial process. The professional was notified of the aforementioned extension decisions on November 5, 2021, January 20, 2022, March 29, 2022, and May 25, 2022, respectively.</w:t>
      </w:r>
    </w:p>
    <w:p>
      <w:r>
        <w:t>10. By act of March 29, 2022, the professional was informed of the objective integration of the communication initiating the procedure regarding the clause contained in Articles 6 and 11 of the "Rental Terms and Conditions" applicable to rentals made in Italy and supplemented by the price list called "TERMS AND CONDITIONS OF HIRE TARIFF GUIDE July, 2021" – transcribed in point II of this provision – as potentially unfair pursuant to Articles 33, paragraphs 1 and 2, letter f), 34, and 35 of the Consumer Code.</w:t>
      </w:r>
    </w:p>
    <w:p>
      <w:r>
        <w:t>11. On March 30, 2022, pursuant to Article 37 bis of the Consumer Code and Article 23, paragraph 6, of the Regulation, a press release was published on the institutional website of the Authority for the purpose of a new public consultation on unfair clauses, which concluded on April 29, 2022. Within this consultation, on April 22, 2022, observations were received from the Chamber of Commerce of Pistoia-Prato (hereinafter, also CCPP).</w:t>
      </w:r>
    </w:p>
    <w:p>
      <w:r>
        <w:t>12. On June 14, 2022, the Party was informed of the conclusion date of the investigative phase pursuant to Article 16, paragraph 1, of the Regulation.</w:t>
      </w:r>
    </w:p>
    <w:p>
      <w:r>
        <w:t>13. The Party had access to the documents of the investigative file on July 29, 2021, August 24, 2021, and May 5, 2022.</w:t>
      </w:r>
    </w:p>
    <w:p>
      <w:r>
        <w:t>14. Goldcar, with communication received on October 5, 2021, submitted a first defense memorandum and, on July 5, 2022, submitted a concluding memorandum in which contractual modifications that the professional intends to adopt regarding the clause subject to investigation by October 31, 2022, were also proposed.</w:t>
      </w:r>
    </w:p>
    <w:p>
      <w:r>
        <w:rPr>
          <w:b/>
        </w:rPr>
        <w:t>[Pages 184–186]</w:t>
      </w:r>
    </w:p>
    <w:p>
      <w:r>
        <w:t>BULLETIN NO. 30 OF AUGUST 8, 2022 185</w:t>
      </w:r>
    </w:p>
    <w:p>
      <w:r>
        <w:t>b) The outcomes of the consultations on the Authority's website</w:t>
      </w:r>
    </w:p>
    <w:p>
      <w:r>
        <w:t>15. As part of the first consultation referred to in Article 37 bis, paragraph 1, of the Consumer Code, on August 23, 2021, a contribution was received from Codacons aimed at illustrating the aspects of abusiveness identified by it concerning the clause subject to the initiation communication, substantially similar to that of the subsequent objective integration of the same procedure. In particular, Codacons argued the abusiveness of the clause in question based on the provisions of the Consumer Code cited by the Authority, also stating that the same clause would introduce a burdensome penalty for the user, as well as being unjustified, and as such would be abusive pursuant to Article 33, paragraph 2, letter f), of the Consumer Code.</w:t>
      </w:r>
    </w:p>
    <w:p>
      <w:r>
        <w:t>16. On the occasion of the further consultation, convened pursuant to Article 37 bis, paragraph 1, of the Consumer Code following the objective integration of the procedure, in April 2022, the Chamber of Commerce of Pistoia-Prato presented its observations, reporting the remarks of the Commission for the control of unfair clauses included in contracts between professionals and consumers established at the same entity, which "agrees with what is reported by this Authority in the box relating to the aspects subject to evaluation" of abusiveness formulated regarding the contractual clause applicable in Italian territory, transcribed in point II of this provision and subject to integration.</w:t>
      </w:r>
    </w:p>
    <w:p>
      <w:r>
        <w:t>c) The recent regulatory changes</w:t>
      </w:r>
    </w:p>
    <w:p>
      <w:r>
        <w:t>17. The regulatory framework in the sector of car rental without a driver has recently been substantially innovated by Law No. 156 of November 9, 2021, converting, with amendments,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DL"), published in the Official Gazette on November 9, 2021, No. 267, and entered into force as of November 10, 2021, which amended several articles of the Highway Code (CDS). In particular, for what is of interest for this provision, Article 196 CDS (renamed "Principle of solidarity") was amended to introduce the express provision according to which, in cases of car rental without a driver (as per Article 84 CDS), "the lessee, on behalf of the owner, is jointly liable with the author of the violation."</w:t>
      </w:r>
    </w:p>
    <w:p>
      <w:r>
        <w:t>18. Therefore, based on the regulatory amendment that occurred during the investigative procedure, the joint liability of car rental companies for violations of the CDS has been expressly excluded from the regulatory provision that places the obligation to pay the fines related to violations committed during the rental period solely on the customers.</w:t>
      </w:r>
    </w:p>
    <w:p>
      <w:r>
        <w:t>d) The arguments presented by Goldcar during the procedure</w:t>
      </w:r>
    </w:p>
    <w:p>
      <w:r>
        <w:t>19. Goldcar, preliminarily regarding the merits, raised a presumed "procedural defect relating, in particular, to the procedural deadlines," as the extensions of the deadline for concluding the procedure ordered by the Authority would have been "adopted in the absence of the prerequisites provided for by the Regulation," with the consequence that any provision other than the archiving "in relation to the specific case would be adopted in violation of the (peremptory) deadline for concluding the procedure pursuant to Article 23, paragraph 5 of the Regulation."</w:t>
      </w:r>
    </w:p>
    <w:p>
      <w:r>
        <w:t>20. More specifically, according to Goldcar, Article 23 of the Regulation would allow for an extension "only once" of the deadline for concluding the procedure, only if there are "particular investigative needs, as well as in the case of subjective or objective extension of the procedure," as the explicit reference made by Article 23, paragraph 1, of the Regulation, to Article 7, paragraph 3 of the same Regulation, which grants the Authority the possibility to extend the procedure for unfair commercial practices, would not be fully applicable to procedures for abusive clauses. In this specific case, however, the Authority would have decided on blank extensions, without providing any justification for the compatibility (and consequent applicability) of the reference in the aforementioned Article 23 of the Regulation, "despite having already considerably before the adoption of the First Extension, the elements that would have determined it (as then occurred only at the end of March 2022) to initiate the Second Public Consultation."</w:t>
      </w:r>
    </w:p>
    <w:p>
      <w:r>
        <w:t>21. In this regard, the professional also specified that the deadlines provided for by the Regulation must be understood as peremptory in light of the aforementioned case law regarding the deadlines of sanctioning procedures of administrative authorities, also considering the substantially punitive nature of the sanctions imposed. In this specific case, in Goldcar's opinion, although the procedure regarding abusive clauses does not conclude with a sanction, the punitive function of any finding of abusiveness would be represented by the publication of the ruling, even in extract form, "on a dedicated section of the institutional website of the Authority, on the website of the operator that adopts the clause deemed abusive and by any other means deemed appropriate in relation to the need to fully inform consumers at the operator's care and expense." Such publication, in the professional's opinion, would contribute to making the procedure "infamous" (so-called degree of stigma), so much so that it could be classified among sanctioning ones.</w:t>
      </w:r>
    </w:p>
    <w:p>
      <w:r>
        <w:t>22. With reference to the merits of the allegations, the professional first stated that "the amount of the penalty, applied by Goldcar, besides being adequately justified based on activities and costs incurred by the Company, the financial risk related to violations not paid by customers, as well as the complexity of the activities that Goldcar is required to perform in this area, is to be considered reasonable and congruous." In this regard, according to Goldcar, the same CCPP, while considering the penalty abusive, as it is excessive, and suggesting a "significant reduction" of it, would not have deemed such a clause "tout court" unjustified, considering the existence of the burdens that the Company must bear.</w:t>
      </w:r>
    </w:p>
    <w:p>
      <w:r>
        <w:t>23. Goldcar also, reiterating the importance of compliance with the Highway Code and the duties of the consumer renting a vehicle also in light of the civil law discipline regarding rental/lease, stated that the contested penalty, insofar as it is based on the obligation to comply with the aforementioned provisions of the Highway Code and the civil code, should be considered as reproducing the same and, therefore, remain exempt from the finding of abusiveness pursuant to Article 34 of the Consumer Code.</w:t>
      </w:r>
    </w:p>
    <w:p>
      <w:r>
        <w:t>24. In any case, according to the professional, the application of the penalty subject to the procedure compensates Goldcar for the customer's contractual breach and the resulting administrative burden and, therefore, "cannot be considered a priori unjustified." In this regard, in fact, the same professional states that the management activity carried out in relation to the violations of the CDS by its customers would be "objectively much more burdensome and complex than that summarily outlined in the CRI" and, therefore, it had to equip itself "with an organization and resources to manage, depending on the mode of communication from the assessing entities (i.e., paper, certified email, or IT flows), the operations resulting from the notifications of the violations of the Highway Code committed by its customers."</w:t>
      </w:r>
    </w:p>
    <w:p>
      <w:r>
        <w:t>25. With reference to the contested manifest excessiveness of the penalty, according to Goldcar, "it would be operationally unreasonable, given the number of violations received by the Company, to hypothesize a modulation of the amount of the penalty, especially ex post, based on the type of violation committed by the customer (or the amount of the fine)." On the contrary, a predetermined penalty in a fixed amount, regardless of the amount of the sanction, would allow the consumer to know in advance the economic consequences of their non-compliance. Furthermore, the amount of the sanctions can also be, in practice, significantly greater than the requested penalty. Moreover, the penalty is applied only in cases where Goldcar "receives the communication (the so-called fine) from the assessing entity" and not, also, in cases where the consumer voluntarily pays the fine (before notification to Goldcar) within the prescribed terms "benefiting, where applicable, from the reduction of the amount."</w:t>
      </w:r>
    </w:p>
    <w:p>
      <w:r>
        <w:t>26. In Goldcar's opinion, moreover, "The argument that the penalty would be disproportionate to the daily rental cost is also not shareable," as "on average, rentals have a significantly longer duration than a single day" and, in any case, "it cannot be assumed that the daily rental cost for vehicles...</w:t>
      </w:r>
    </w:p>
    <w:p>
      <w:r>
        <w:rPr>
          <w:b/>
        </w:rPr>
        <w:t>[Pages 187–189]</w:t>
      </w:r>
    </w:p>
    <w:p>
      <w:r>
        <w:t>188 BULLETIN NO. 30 OF AUGUST 8, 2022</w:t>
      </w:r>
    </w:p>
    <w:p>
      <w:r>
        <w:t>of a lower range (assuming, without conceding, that such a parameter has any relevance) is lower than the amount of the penalty”15. In any case, according to the professional, “the price of a single day of rental cannot become a parameter to assess whether the penalty is disproportionate” due to the variability of prices resulting from factors such as seasonality, promotional campaigns, and the commercial decisions of the professional itself, while “if one were to investigate the relationship between a consideration and the amount of the penalty, for consistency with its own application practice, the total consideration for the main service stipulated in the contract should be relevant”16.</w:t>
      </w:r>
    </w:p>
    <w:p>
      <w:r>
        <w:t>27. The average rental price, according to Goldcar, “in the year 2019 was €157.00 per week and the average rental price in the years 2020 and 2021 was €171 per week,” with an average duration, in the same years, “of 7.2 days.” In light of the aforementioned data, therefore, according to the professional, the amount of the proposed penalty (€55) could not be considered manifestly disproportionate as it “cannot be deemed corresponding to the total price of the main service (i.e. the overall average rental price).”</w:t>
      </w:r>
    </w:p>
    <w:p>
      <w:r>
        <w:t>28. In any case, Goldcar highlighted that the penalty would be justified by the costs for managing fines and by the “considerable financial risk (also not identifiable ex ante) determined by the fact that there is joint liability of Goldcar with its customers as provided by Article 196 of the Highway Code (thus, Goldcar is obliged to pay in all cases where it is not possible to trace the customers)”17*.</w:t>
      </w:r>
    </w:p>
    <w:p>
      <w:r>
        <w:t>29. This risk, moreover, according to Goldcar “does not seem to have been excluded even by the recent amendment to Article 196 of the Highway Code” which, according to the professional, “does not appear, for the moment, to have significantly impacted the extent of the obligations placed on lessors and the economic risk associated with them,” both due to the non-retroactivity of the law, which does not apply to relationships that arose prior to its entry into force according to the most recent orientation of the Court of Cassation18, which due to the aforementioned reluctance of various local administrations and highway authorities to apply the new regulations, continues to consider the lessor jointly liable for the payment of administrative penalties and also initiates enforcement actions in this regard19.</w:t>
      </w:r>
    </w:p>
    <w:p>
      <w:r>
        <w:t>30. Finally, according to Goldcar, the actual cost incurred by the professional for the violation of the provisions of the Highway Code by the vehicle drivers could not be deduced from the comparison between the amounts collected from penalties and those related to costs incurred for each year as these latter “could, for each year, increase over time due to the late notification of payment notices related to administrative penalties imposed in previous years,” at least until the expiration of the five-year statute of limitations for the same. In this regard, the professional stated that “the clause in question appears essential, inter alia, to cover the costs arising from the non-payment of administrative penalties imposed on its customers” and, therefore, could not be considered unfair.</w:t>
      </w:r>
    </w:p>
    <w:p>
      <w:r>
        <w:t>31. With regard to the contested lack of clarity of the clause, Goldcar specified that it has implemented, “in perfect consistency with the commitment made at the conclusion of procedure IP 310,” a new and different set of contractual documentation applicable to rentals made with vehicle pickup in Italy, which differs from that used and applied by other companies in the same group. This documentation is accessible through the appropriate “drop-down menu,” with a wording “in red to better attract attention” that warns consumers that “Conditions may vary depending on the rental office.” Based on this notice, customers would be informed “that, to view the contractual conditions applicable to the rental they intend to make, it is necessary to select, through the so-called ‘drop-down menu,’ the rental office where (obviously) the vehicle will be picked up.” Furthermore, the professional would represent the existence of the penalty and its amount directly at the rental counter with appropriate informational material in multiple languages including Italian20. This formulation, in the professional's opinion, would be “expressed in clear and intelligible language, as well as drafted exhaustively”21.</w:t>
      </w:r>
    </w:p>
    <w:p>
      <w:r>
        <w:t>32. In any case, also in light of the entry into force of the amendment to Article 196 of the Highway Code and in order to further improve the intelligibility of the clauses, Goldcar communicated its intention to modify by October 31, 2022, Article 11 T&amp;C, in the part where the contested penalty is provided, as follows (in bold the changes; interlined the parts eliminated):</w:t>
        <w:br/>
        <w:t>“&lt;&lt;In case of violation of the obligation established by the aforementioned Article 6, and assumed by you, to comply with all regulations regarding vehicle circulation, as evidenced by the notifications/communications/penalties sent to us at Goldcar regarding the administrative penalty by competent authorities (such as Police, Highway Authority, Port Authority, Carabinieri, etc.) related to violations provided for by the applicable regulations on vehicle circulation, you and/or the Driver shall pay a contractual penalty (Fine Administration Charge) equal to the amount of €40, in addition to the sanction or fee to which it refers, the amount of which is indicated in the applicable Price List from time to time. You are fully responsible for the payment of such sanctions or fees. In such cases, where possible, Goldcar will request the competent Authorities to notify the report directly to you and, where this is not possible, Goldcar will pay the related sanctions and then proceed to charge you for such amounts, in addition to the applicable penalty. The imposition of the aforementioned penalty is aimed at discouraging the Driver from maintaining a driving style that does not comply with current regulations, which may endanger the safety of themselves, passengers, or third parties and damage the rented vehicle or others' property, as well as to compensate for the activity, completely unrelated to the rental contract, that Goldcar must carry out towards the competent Authorities.&gt;&gt;.”</w:t>
      </w:r>
    </w:p>
    <w:p>
      <w:r>
        <w:t>33. This modification, according to the professional, should allow the customer to know, without needing to consult the price list, the amount of the penalty that may be applicable, which has been reduced from €55 to €40 (about 25%) “in order to obtain […] a certain response for the future regarding its non-manifest disproportion.”</w:t>
      </w:r>
    </w:p>
    <w:p>
      <w:r>
        <w:t>IV. CONCLUDING ASSESSMENTS</w:t>
      </w:r>
    </w:p>
    <w:p>
      <w:r>
        <w:t>34. The assessments that follow concern the clause overall indicated in point II of this provision, which is characterized by aspects of unfairness pursuant to the provisions of Articles 33, 34, and 35 of the Consumer Code. In addition to the clause contested in the communication of objective integration of the procedure, the modifications that the professional has declared it intends to adopt by October 31, 2022, as indicated in the concluding memorandum22 and reported in the previous section III.d, are also subject to evaluation.</w:t>
      </w:r>
    </w:p>
    <w:p>
      <w:r>
        <w:t>The penalty clause subject to investigation</w:t>
      </w:r>
    </w:p>
    <w:p>
      <w:r>
        <w:t>35. It should be noted, in limine, that, according to the established orientation of the Court of Justice of the European Union23, the consumer protection system regarding unfair clauses established by Directive 93/13/EEC, transposed in Articles 33 et seq. of the Consumer Code, is based on the assumption that the consumer finds themselves in a situation of inferiority compared to the professional, regarding both bargaining power and the degree of information. In its constant</w:t>
      </w:r>
    </w:p>
    <w:p>
      <w:r>
        <w:rPr>
          <w:b/>
        </w:rPr>
        <w:t>[Pages 190–192]</w:t>
      </w:r>
    </w:p>
    <w:p>
      <w:r>
        <w:t>BULLETIN NO. 30 OF AUGUST 8, 2022 191</w:t>
      </w:r>
    </w:p>
    <w:p>
      <w:r>
        <w:t>jurisprudence, the Court has emphasized the nature and importance of the public interest in the protection of consumers, precisely because of such a position of inferiority, which leads them to adhere to the conditions set by the professional without being able to influence their content.</w:t>
      </w:r>
    </w:p>
    <w:p>
      <w:r>
        <w:t>36. Regarding the criterion of clarity and transparency that must necessarily inspire the drafting of contractual clauses, reference is made to the consolidated orientation of the aforementioned Court of Justice regarding the principle of extensive interpretation of the duty of information and transparency. The Court has established that this obligation operates not only on a merely formal and lexical level but also on an informational level, in the sense that the clauses, in correlation with each other, must allow the consumer to understand and evaluate, based on precise and intelligible criteria, the consequences that arise from adherence to the contract, including on an economic level.</w:t>
      </w:r>
    </w:p>
    <w:p>
      <w:r>
        <w:t>37. That said, and considering the preliminary objections raised by Goldcar regarding the alleged illegitimacy of the extensions of the deadline for concluding the proceedings, it is highlighted that these have been legitimately arranged in order to thoroughly evaluate the findings in the records, as well as to ensure the broadest exercise of the right to defense and contradiction of the professional, also in consideration of the objective integration of the proceedings and the consequent new public consultation. Furthermore, following the subsequent legislative amendment, it was deemed appropriate to grant Goldcar a reasonable period of time to verify the effects of the new provisions and assess the possibility of consequently revising its contractual conditions and, more generally, articulating its defenses also in light of the changed regulatory framework.</w:t>
      </w:r>
    </w:p>
    <w:p>
      <w:r>
        <w:t>38. Below, an assessment is made of the profiles of unfairness found in relation to the contractual clause subject to the integration of the initiation communication, within which it was represented to Goldcar that, for the clause considered in violation of the provisions of Article 33 of the Consumer Code, a legal presumption of unfairness is provided with a simultaneous reference to the burden of providing elements that constitute counter-evidence to this presumption.</w:t>
      </w:r>
    </w:p>
    <w:p>
      <w:r>
        <w:t>39. In this case, the penalty clause described in the previous point II of this provision is deemed unfair pursuant to Articles 33, paragraphs 1 and 2, letter f), 34, and 35 of the Consumer Code, as it creates a significant imbalance in the rights and obligations arising from the contract to the detriment of the consumer. The profiles of unfairness identified remain based on the reading and interpretation of the clause in light of the overall context of the entire adhesion contract in which it is included (Article 34, paragraph 1, of the Consumer Code) and the attached price list in English, which is not formulated clearly and understandably (Article 35, paragraph 1, of the Consumer Code), as it is suitable to "impose on the consumer, in case of non-fulfillment or delay in fulfillment, the payment of a sum of money as compensation, penalty clause or other equivalent title of manifestly excessive amount" (Article 33, paragraph 2, letter f) of the Consumer Code).</w:t>
      </w:r>
    </w:p>
    <w:p>
      <w:r>
        <w:t>40. Indeed, in the specific case of violation of the obligation to comply with all regulations regarding vehicle circulation by customers who have concluded a car rental contract without a driver, as established and notified to Goldcar by the competent authority, the clause in question - contained in Article 11 T&amp;C, as supplemented by the aforementioned Article 6 T&amp;C - imposes on the consumer customer the payment of a distinct and additional amount compared to the rental fee, which the professional acquires as a penalty in the amount indicated in the appropriate table reported in the Price List (€ 55.00 VAT exempt), in addition to the payment of the administrative monetary sanction imposed for the alleged violation of the rules related to vehicle circulation.</w:t>
      </w:r>
    </w:p>
    <w:p>
      <w:r>
        <w:t>41. Such a penalty is deemed unjustified, as well as manifestly excessive, in light of the management activity that Goldcar is required to perform, as the owner of the rented vehicle or as the manager of the car rental service without a driver on vehicles owned by third parties, following the notification of an infringement of the Highway Code and the failure to pay the toll/parking, which concretely consists of: (i) merely communicating to the verifying authority that imposed the administrative monetary sanction or notified the failure to pay the toll/parking, the personal and identifying data of the customer who rented the vehicle during the period to which the contestation refers, in order to allow the correct notification of the sanction; (ii) subsequently informing the customer of the notification received and the communication made to the verifying authority.</w:t>
      </w:r>
    </w:p>
    <w:p>
      <w:r>
        <w:t>42. Considering the nature of the activity carried out by the professional for the management of a practice related to the notification of a sanction in case of violation of the obligation to comply with all regulations regarding vehicle circulation, the provision of a contractual penalty of € 55 to be borne by the consumer customer, which is added to the payment of the rental cost and also of the sanction or what is due for the toll/parking, is therefore unjustified and manifestly disproportionate in amount, as it does not find adequate correspondence, in addition to (i) the type of acts that the professional is required to perform, also in relation to (ii) the daily rental cost (especially concerning lower-tier vehicles, which are usually more requested in the market) and (iii) the amounts that the consumer is required to pay for the alleged infringement (for example, in cases of prohibited parking, failure to pay for parking or tolls for short highway stretches, etc., the amount of the provided penalty can even exceed the amount of the sanction itself). In such cases, moreover, the deterrent function regarding the possible contested infringements is already fulfilled by the sanctions established and graduated by the legislator as well as those applied by other verifying authorities (highway and/or parking managers). Consequently, the contractual clause in question results in a significant imbalance in the rights and obligations arising from the rental contract, through the application of a manifestly excessive penalty, which the professional would manage to impose by exploiting its position of greater contractual strength, also proceeding to automatically charge this amount to the customer's credit card, based on the specific authorization given at the time of rental.</w:t>
      </w:r>
    </w:p>
    <w:p>
      <w:r>
        <w:t>43. With reference to the defensive arguments regarding the parameters used "to assess whether the penalty is disproportionate," it should first be noted that from the same data provided by the professional regarding the average weekly rental prices, it is derived that the average daily rental price was, respectively, € 22.42 in 2019, and € 24.42 in 2020 and 2021. In this regard, it is worth highlighting how Goldcar, on the one hand, contests this parameter by stating that "the price of a single day of rental cannot become a parameter to assess whether the penalty is disproportionate" due to the variability of prices (resulting from factors such as seasonality, promotional campaigns, and the professional's own commercial decisions), only to then suggest, in evident contradiction, to refer to the weekly rental price, as if this too does not undergo, like the daily price, variations due to the same factors mentioned. Moreover, it remains that a consumer can incur one of the violations in question even within a single day of rental, the daily cost is what is presented to consumers (as evidenced by the same image referred to in §62 of the final defensive memorandum) and constitutes the main evaluation parameter on the basis of which they make their respective economic choices.</w:t>
      </w:r>
    </w:p>
    <w:p>
      <w:r>
        <w:t>44. In this regard, furthermore, the investigative findings did not reveal fully sufficient elements to overcome the legal presumption of unfairness. The reasoning put forward by the professional, according to which the penalty in question would be necessary to address the "financial risk" related to the possible non-payment of administrative monetary sanctions by customers and the consequent possibility of being charged such sanctions, is not substantiated.</w:t>
      </w:r>
    </w:p>
    <w:p>
      <w:r>
        <w:rPr>
          <w:b/>
        </w:rPr>
        <w:t>[Pages 193–195]</w:t>
      </w:r>
    </w:p>
    <w:p>
      <w:r>
        <w:t>194 BULLETIN NO. 30 OF AUGUST 8, 2022</w:t>
      </w:r>
    </w:p>
    <w:p>
      <w:r>
        <w:t>joint and several liability, in addition to not being supported by the economic data provided29, is entirely lacking in merit and inadequate to undermine the abusive nature of the contractual clause in question.</w:t>
      </w:r>
    </w:p>
    <w:p>
      <w:r>
        <w:t>45. In this sense, in fact, the provision of a penalty amounting to € 55 for each practice, which is charged regardless of the actual payment of the administrative monetary sanction, is unjustified as it does not solely serve the purpose of compensating the professional for the damage actually caused by the consumer client but grants Goldcar greater advantages than those achievable from the regular execution of the contract, constituting “surreptitiously an additional source of profit” for the latter, as highlighted by the CCPP and as evidenced by the data provided by the professional, from which it emerges that the revenues derived from the application of penalties are significantly higher than the costs allegedly incurred for the management and organization of administrative practices as well as for the payments made jointly. Furthermore, each customer subject to a sanction for violations of vehicle circulation regulations is burdened with a charge that does not solely arise from their specific contractual non-fulfillment but from a more general and only “potential” risk of financial exposure of the professional, which is attributable to facts imputable to third parties, entirely unrelated to the contract, namely the indefinite generality of insolvent or untraceable customers.</w:t>
      </w:r>
    </w:p>
    <w:p>
      <w:r>
        <w:t>46. In this regard, the defensive argument that the penalty would not be applied in cases where the consumer voluntarily pays the fine within the prescribed terms “benefiting, where applicable, from the reduction of the amount,” is limited to cases where the sanction is notified by the competent authority directly to the consumer client, simultaneously with the ascertainment of the violation. Conversely, in all other cases (much more frequent and numerous) in which Goldcar “receives the communication (the so-called fine) from the assessing authority,” the responsible customer is still required to pay the penalty, even if they proceed to pay a reduced amount within the short term provided by law. In this regard, Goldcar has specified that in such cases it does not reimburse consumers “as the very purpose of the penalty is to cover a financial risk (in addition to the organizational and managerial costs associated with violations of the Highway Code by its clients), and after the re-notification to the actual offenders, the company does not know how many and which subjects will pay, how many and which of them will contest the fine, so the financial risk remains and the fee serves in some way to cover it. In other words, the fee in question (in addition to the organizational costs of such activity) effectively covers the risk associated with these situations”30.</w:t>
      </w:r>
    </w:p>
    <w:p>
      <w:r>
        <w:t>29 The data cited by Goldcar indeed shows a significant profit margin in favor of the professional against the overall costs incurred for the management described. In particular, Goldcar reported (cfr. communication prot. n. 40121 of April 26, 2021) that, in the three-year period 2018-2020, the revenues from the collection of the penalties in question amount to around [1-5] and [1-5] million euros, respectively, in 2018 and 2019 and around [100,000-500,000] euros in 2020 (the lower revenues of 2020 appear to be evidently attributable to the drastic decline in rentals resulting from the Covid-19 health emergency). Against such revenues, Goldcar declared (cfr. memory prot. n. 75762 received on October 5, 2021) that the amount of payments made jointly corresponds to the following amounts: [100,000-500,000] in 2018, [500,000 - 1 million] in 2019 and [100,000-500,000] in 2020. In addition, the following costs of managing and organizing administrative practices are added: [100,000-500,000] in 2018, [100,000-500,000] in 2019 and [100,000-500,000] in 2020. It should be noted that the joint payments and the management costs incurred in 2020 are also attributable to violations dating back to previous years.</w:t>
      </w:r>
    </w:p>
    <w:p>
      <w:r>
        <w:t>30 Cfr. minutes of the hearing of September 22, 2021 transmitted with communication prot. n. 82921 of 03/11/2021.</w:t>
      </w:r>
    </w:p>
    <w:p>
      <w:r>
        <w:t>195 BULLETIN NO. 30 OF AUGUST 8, 2022</w:t>
      </w:r>
    </w:p>
    <w:p>
      <w:r>
        <w:t>47. In any case, the illegality of the clauses under evaluation is corroborated by the recent legislative reform concerning the Highway Code, by virtue of which liability for the payment of administrative monetary sanctions imposed on consumer clients for violations ascertained during the respective rental period has been expressly excluded for car rental companies31, thereby undermining the asserted purpose of compensating for the “considerable financial risk (also not identifiable ex ante) determined by the fact that there is joint liability of Goldcar with its clients as provided for by Article 196 of the Highway Code (thus, Goldcar is obliged to pay in all cases where it is not possible to trace the clients)”32. Consequently, car rental companies only have a mere obligation to communicate to the assessing authorities the personal details of the rental service client, so that the report can be correctly notified to the latter as the actual responsible party for the contested violation. Nor can it be considered relevant in this regard, at least for the purposes of evaluating the clause in question, the alleged illegitimate application of sector regulations by local administrations and/or highway authorities.</w:t>
      </w:r>
    </w:p>
    <w:p>
      <w:r>
        <w:t>48. The amount of the stipulated penalty is therefore manifestly excessive in light of the aforementioned activities that the professional is concretely required to perform as well as considering the daily rental cost and the possible amount of the sanctions themselves, both in cases of violations of the Highway Code and in cases of non-payment of tolls/parking fees.</w:t>
      </w:r>
    </w:p>
    <w:p>
      <w:r>
        <w:t>49. Furthermore, taking into account the nature of the service subject to the contract and referring to the circumstances existing at the time of its conclusion and to the other provisions of the contract, the abusive nature of the clause concerning the described penalty is confirmed also with reference to Articles 34 and 35 of the Consumer Code, as this clause is not drafted in a clear and comprehensible manner, also in light of its overall presentation methods through the professional's website, as well as the indication of its amount in a specific price list, which integrates the contract conditions, available exclusively in English.</w:t>
      </w:r>
    </w:p>
    <w:p>
      <w:r>
        <w:t>50. In this regard, it should first be highlighted how the explicit reference made by the professional to the IP310 investigative procedure is entirely irrelevant and unjustified, as it concerned the repeated non-compliance of Goldcar with a previous sanctioning provision of the Authority (n. 26260 of November 30, 2016) relating, moreover, to the ancillary insurance services proposed by the same professional.</w:t>
      </w:r>
    </w:p>
    <w:p>
      <w:r>
        <w:t>51. With specific reference to the presentation methods of the contractual conditions on Goldcar's website, accessing the Italian version of the website https://www.goldcar.es/it/ and then clicking on the “TERMS AND CONDITIONS” section at the bottom of the aforementioned homepage, opens the web page containing “The special rental conditions” drafted in Italian (https://www.goldcar.es/it/tc/), which however immediately shows the contractual conditions applicable to rentals in Spanish territory (Spanish contract translated into Italian) rather than those applicable to rentals to be made in Italy, without this being adequately highlighted; to access instead the contractual conditions applicable to rentals in Italy, it is necessary to perform a specific activity and select from the appropriate dropdown menu an office for picking up the vehicle located in Italian territory. For this purpose, the Goldcar site merely provides (in red characters) the mere notice that “Conditions may vary depending on the rental office” as per the images below.</w:t>
      </w:r>
    </w:p>
    <w:p>
      <w:r>
        <w:t>52. Moreover, even after selecting the option of an office in Italian territory (Bari airport is the first among those available after opening the dropdown menu), the contractual conditions are not immediately displayed (as instead happens for the Spanish ones) but it is necessary to choose among the following different available options and view - through the “View” button - the related content: “Booking Terms and Conditions,” “Rental Terms and Conditions,” and “Tariff guide (PDF)” (cfr. image below).</w:t>
      </w:r>
    </w:p>
    <w:p>
      <w:r>
        <w:rPr>
          <w:b/>
        </w:rPr>
        <w:t>[Pages 196–198]</w:t>
      </w:r>
    </w:p>
    <w:p>
      <w:r>
        <w:t>BULLETIN NO. 30 OF AUGUST 8, 2022 197</w:t>
      </w:r>
    </w:p>
    <w:p>
      <w:r>
        <w:t>53. Furthermore, by selecting the option "Tariff guide (PDF)", the two items "Damage List" and "Tariff Guide" appear, containing a hyperlink to the same list in PDF format available exclusively in English, also in relation to the link "Damage List", which instead seems to suggest an Italian version. More specifically, on page 6 of 7, it is possible to find the indication of the penalty amount in relation to the applicable cases in the specific table from which the following images are extracted.</w:t>
      </w:r>
    </w:p>
    <w:p>
      <w:r>
        <w:t>The new clauses presented during the proceedings</w:t>
      </w:r>
    </w:p>
    <w:p>
      <w:r>
        <w:t>54. Goldcar has communicated its intention to adopt, by October 31, 2022, a new formulation of Article 11, T&amp;C, in the part concerning the contested penalty, which, however, does not appear suitable to fully overcome all aspects of unfairness subject to verification. In particular, the same elements of illegality already highlighted regarding the amount of the penalty described in point II of this provision remain, insofar as the new penalty amount, equal to €40, is manifestly excessive in light of the established absence of passive joint liability on the part of the car rental company as well as</w:t>
      </w:r>
    </w:p>
    <w:p>
      <w:r>
        <w:t>198 BULLETIN NO. 30 OF AUGUST 8, 2022</w:t>
      </w:r>
    </w:p>
    <w:p>
      <w:r>
        <w:t>due to both the mere activity of communicating to the verifying authorities the personal details of the customer responsible for the infringement that the professional is consequently required to perform, and the daily rental cost and the amounts of fines/tolls/parking fees, taking into account that the deterrent function regarding possible contested infringements is already performed by the penalties established and graduated by the legislator as well as those applied by other authorities (highway and/or parking managers) verifying. In fact, Goldcar appears to have limited itself to reviewing the amount of the penalty subject to the proceedings without, however, proceeding, as appropriately suggested by the Chamber of Commerce of Pistoia-Prato, "to a significant reduction of the amount, which must be merely representative of the aforementioned burden." At the same time, also in relation to the new formulation of the clause, the aspects of unfairness identified regarding the described presentation methods on the professional's website remain, such that it cannot be considered drafted in a clear and comprehensible manner.</w:t>
      </w:r>
    </w:p>
    <w:p>
      <w:r>
        <w:t>CONSIDERING that for the clause subject to verification, reproduced in point II of this provision, there is a legal presumption of unfairness pursuant to Article 33, paragraph 2, of the Consumer Code and that Goldcar has not provided fully sufficient elements to overcome this presumption;</w:t>
      </w:r>
    </w:p>
    <w:p>
      <w:r>
        <w:t>CONSIDERING, in particular, based on the aforementioned considerations, that the clause overall described in point II of this provision is unfair pursuant to Articles 33, paragraphs 1 and 2, letter f), 34 and 35 of the Consumer Code;</w:t>
      </w:r>
    </w:p>
    <w:p>
      <w:r>
        <w:t>CONSIDERING also, based on the aforementioned considerations, that the new formulation of the penalty clause in question, described in point III.d of this provision, does not appear suitable to fully overcome the aspects of unfairness pursuant to Articles 33, paragraphs 1 and 2, letter f), 34 and 35 of the Consumer Code;</w:t>
      </w:r>
    </w:p>
    <w:p>
      <w:r>
        <w:t>CONSIDERING that the publication of an excerpt of this provision is due to fully inform consumers of the unfairness of the penalty clause subject to this evaluation on the institutional website of the Authority and on that of Goldcar https://www.goldcar.es/it/ pursuant to Article 37 bis, paragraph 2, of the Consumer Code and Article 23, paragraph 8, of the Regulation;</w:t>
      </w:r>
    </w:p>
    <w:p>
      <w:r>
        <w:t>CONSIDERING it appropriate to determine a duration of thirty consecutive days for the aforementioned publication on the website https://www.goldcar.es/it/ and that there are no particular factual and legal elements to impose further measures for informing consumers;</w:t>
      </w:r>
    </w:p>
    <w:p>
      <w:r>
        <w:t>RESOLVES</w:t>
      </w:r>
    </w:p>
    <w:p>
      <w:r>
        <w:t>a) that the clause described in point II of this provision, which provides for the application of a penalty amounting to €55 to the consumer customer in the event of a violation by the latter of the regulations regarding vehicle circulation, verified and notified to Goldcar Italy S.r.l. by the competent authority in relation to the vehicle subject to the car rental contract without a driver, constitutes a case of an unfair clause pursuant to Articles 33, paragraphs 1 and 2, letter f), 34 and 35 of the Consumer Code for the reasons and within the limits stated in the motivation;</w:t>
      </w:r>
    </w:p>
    <w:p>
      <w:r>
        <w:t>BULLETIN NO. 30 OF AUGUST 8, 2022 199</w:t>
      </w:r>
    </w:p>
    <w:p>
      <w:r>
        <w:t>b) that the new formulation of the clause of Article 11 of the "Rental Terms and Conditions" applicable in Italy, which according to what was stated by Goldcar Italy S.r.l. should come into effect by October 31, 2022, in the version produced in the documents with the memorandum of July 5, 2022, does not appear suitable to fully overcome the identified aspects of unfairness in relation to the currently valid clause pursuant to Articles 33, paragraphs 1 and 2, letter f), 34 and 35 of the Consumer Code, for the reasons and within the limits stated in the motivation;</w:t>
      </w:r>
    </w:p>
    <w:p>
      <w:r>
        <w:t>ORDERS</w:t>
      </w:r>
    </w:p>
    <w:p>
      <w:r>
        <w:t>a) that Goldcar Italy S.r.l. publishes, at its own expense, an excerpt of the provision pursuant to Article 37 bis of the Consumer Code and Article 23, paragraph 8, of the Regulation, according to the following methods:</w:t>
      </w:r>
    </w:p>
    <w:p>
      <w:r>
        <w:t>1) the text of the excerpt of the provision is that reported in the annex to this provision;</w:t>
      </w:r>
    </w:p>
    <w:p>
      <w:r>
        <w:t>2) the text of the excerpt of the provision must be published for thirty consecutive days on the homepage of the website https://www.goldcar.es/it/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of Goldcar Italy S.r.l. https://www.goldcar.es/it/;</w:t>
      </w:r>
    </w:p>
    <w:p>
      <w:r>
        <w:t>c) the publication must fully reflect the setting, structure, and appearance of the excerpt attached to this provision; the methods of writing, printing, and dissemination must not be such as to nullify the effects of the publication; in particular, on the page of the website where the excerpt will be published, as well as on the remaining pages, nor elsewhere, there must not be messages that conflict with the content of the excerpt or that tend to mitigate its scope and meaning.</w:t>
      </w:r>
    </w:p>
    <w:p>
      <w:r>
        <w:t>Pursuant to Article 37 bis, paragraph 2, of the Consumer Code, in case of non-compliance, the Authority applies an administrative pecuniary sanction from €5,000 to €50,000.</w:t>
      </w:r>
    </w:p>
    <w:p>
      <w:r>
        <w:t>Against this provision, an appeal may be submitted to the TAR of Lazio, pursuant to Article 37 bis, paragraph 4, and Article 135, paragraph 1, letter b), of the Administrative Procedure Code (Legislative Decree July 2, 2010, No. 104),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This provision will be communicated to the interested parties and published in the Bulletin of the Authority for the Competition and the Market.</w:t>
      </w:r>
    </w:p>
    <w:p>
      <w:r>
        <w:rPr>
          <w:b/>
        </w:rPr>
        <w:t>[Pages 199–201]</w:t>
      </w:r>
    </w:p>
    <w:p>
      <w:r>
        <w:t>200 BULLETIN NO. 30 OF AUGUST 8, 2022</w:t>
      </w:r>
    </w:p>
    <w:p>
      <w:r>
        <w:t>The extract of the provision is also published, within twenty days from the communication of its adoption, in a specific section of the institutional website of the Authority.</w:t>
      </w:r>
    </w:p>
    <w:p>
      <w:r>
        <w:t>THE SECRETARY GENERAL THE PRESIDENT</w:t>
        <w:br/>
        <w:t>Guido Stazi Roberto Rustichelli</w:t>
        <w:br/>
        <w:t>__________________________________________________________________</w:t>
      </w:r>
    </w:p>
    <w:p>
      <w:r>
        <w:t>CV230 - GOLDCAR - ADMINISTRATIVE PRACTICE MANAGEMENT FEES</w:t>
      </w:r>
    </w:p>
    <w:p>
      <w:r>
        <w:t>Annexed to provision No. 30252</w:t>
      </w:r>
    </w:p>
    <w:p>
      <w:r>
        <w:t>Annexed to the provision of the Authority for the Guarantee of Competition and the Market of July 19, 2022, regarding administrative protection against unfair clauses pursuant to Article 37-bis of the Consumer Code.</w:t>
      </w:r>
    </w:p>
    <w:p>
      <w:r>
        <w:t>On July 2, 2021, the procedure CV230 - GOLDCAR - ADMINISTRATIVE PRACTICE MANAGEMENT FEES was initiated against the company Goldcar Italy S.r.l. (hereinafter, "Goldcar" or "professional").</w:t>
      </w:r>
    </w:p>
    <w:p>
      <w:r>
        <w:t>[OMISSIS]</w:t>
      </w:r>
    </w:p>
    <w:p>
      <w:r>
        <w:t>The clause subject to investigation is contained in the "Rental Terms and Conditions" (hereinafter also T&amp;C), prepared by Goldcar for short-term car rental without a driver in the Italian territory and available on the website https://www.goldcar.es/it/. The aforementioned T&amp;C are also supplemented by a specific price list called "TERMS AND CONDITIONS OF HIRE TARIFF GUIDE July, 2021" (hereinafter, Price List, available only in English), also available on the professional's website.</w:t>
      </w:r>
    </w:p>
    <w:p>
      <w:r>
        <w:t>Specifically, the evaluation concerns, limited to the contractual relationships between the professional and consumers, the penalty clause transcribed below, derived from the provisions in Article 11 T&amp;C, as supplemented by Article 6 T&amp;C and the table contained in the aforementioned Price List:</w:t>
      </w:r>
    </w:p>
    <w:p>
      <w:r>
        <w:t>- "6 - What are my obligations regarding the vehicle? [...] You and/or any Driver must drive the Vehicle in accordance with all applicable vehicle traffic regulations, ensuring that you and/or any Driver are aware of the local regulations governing driving [...]";</w:t>
        <w:br/>
        <w:t>- "11 - What are the other charges or costs/expenses that I may be required to pay? [...] in the event of a violation of the obligation established by the aforementioned Article 6 to comply with all traffic regulations, as provided by the notifications/violations sent to us regarding the administrative sanction by competent authorities (such as Police, Highway Authority, Port Authority, Carabinieri, etc.), you and/or the Driver must pay a contractual penalty (Fine Administration Charge), in addition to the sanction or tax referred to, the amount of which is indicated in the Price List applicable from time to time. You are fully responsible for the payment of such sanctions or taxes. In such cases, where possible, Goldcar will request the competent Authorities to notify the report directly to you and, where this is not possible, Goldcar will pay the relevant sanctions and then proceed to charge you for such amounts, in addition to the applicable penalty; [...]".</w:t>
      </w:r>
    </w:p>
    <w:p>
      <w:r>
        <w:t>As for the indication of the amount of the various penalties, this is available in the specific table of the Price List indicated under "You may incur some of the following charges during your hire period. These are not included in the rental charges".</w:t>
      </w:r>
    </w:p>
    <w:p>
      <w:r>
        <w:t>In this table, in fact, corresponding to the item "Fine Administration Charge", a contractual penalty of €55.00 (VAT exempt) is provided, with the specification that it is "Applicable when customer receives traffic fines related to vehicle license plate within the rental contract period".</w:t>
      </w:r>
    </w:p>
    <w:p>
      <w:r>
        <w:t>[OMISSIS]</w:t>
      </w:r>
    </w:p>
    <w:p>
      <w:r>
        <w:t>In any case, also in light of the entry into force of the amendment to Article 196 CDS and in order to further improve the intelligibility of the clauses, Goldcar has communicated the intention to modify by October 31, 2022, Article 11 T&amp;C, in the part where the contested penalty is provided, as follows (in bold the changes; interlined the parts deleted):</w:t>
      </w:r>
    </w:p>
    <w:p>
      <w:r>
        <w:t>"&lt;&lt;In the event of a violation of the obligation established by the aforementioned Article 6, and assumed by you, to comply with all traffic regulations, as evidenced by the notifications/communications/violations sent to Goldcar regarding the administrative sanction by competent authorities (such as Police, Highway Authority, Port Authority, Carabinieri, etc.) related to violations provided for by the applicable traffic regulations, you and/or the Driver must pay a contractual penalty (Fine Administration Charge) equal to the amount of €40, in addition to the sanction or tax referred to, the amount of which is indicated in the Price List applicable from time to time. You are fully responsible for the payment of such sanctions or taxes. In such cases, where possible, Goldcar will request the competent Authorities to notify the report directly to you and, where this is not possible, Goldcar will pay the relevant sanctions and then proceed to charge you for such amounts, in addition to the applicable penalty. The imposition of the aforementioned penalty is aimed at discouraging the Driver from adopting a driving style that does not comply with current regulations, which may endanger their own safety, that of passengers or third parties and damage the rented vehicle or others' property, as well as to compensate for the activity, entirely unrelated to the rental contract, that Goldcar must carry out towards the competent Authorities.&gt;&gt;".</w:t>
      </w:r>
    </w:p>
    <w:p>
      <w:r>
        <w:t>[OMISSIS]</w:t>
      </w:r>
    </w:p>
    <w:p>
      <w:r>
        <w:t>The evaluations that follow concern the clause overall indicated in point II of this provision, which is characterized by aspects of unfairness pursuant to the provisions of Articles 33, 34, and 35 of the Consumer Code. In addition to the clause contested in the communication of objective integration of the procedure, the modifications that the professional has declared to want to adopt by October 31, 2022, as indicated in the final memorandum and reported in the previous section III.d, are also subject to evaluation.</w:t>
      </w:r>
    </w:p>
    <w:p>
      <w:r>
        <w:t>[OMISSIS]</w:t>
      </w:r>
    </w:p>
    <w:p>
      <w:r>
        <w:t>202 BULLETIN NO. 30 OF AUGUST 8, 2022</w:t>
      </w:r>
    </w:p>
    <w:p>
      <w:r>
        <w:t>In this case, the penalty clause described in the previous point II of this provision is deemed unfair pursuant to Articles 33, paragraphs 1 and 2, letter f), 34, and 35 of the Consumer Code, as it creates a significant imbalance of rights and obligations arising from the contract to the detriment of the consumer. The identified aspects of unfairness remain based on the reading and interpretation of the clause in light of the overall context of the entire adhesion contract in which it is included (Article 34, paragraph 1, of the Consumer Code) and the attached price list in English, which is not formulated in a clear and comprehensible manner (Article 35, paragraph 1, of the Consumer Code), as it is suitable to "impose on the consumer, in case of non-fulfillment or delay in fulfillment, the payment of a sum of money as compensation, penalty clause or other equivalent title of manifestly excessive amount" (Article 33, paragraph 2, letter f) of the Consumer Code).</w:t>
      </w:r>
    </w:p>
    <w:p>
      <w:r>
        <w:t>[OMISSIS]</w:t>
      </w:r>
    </w:p>
    <w:p>
      <w:r>
        <w:t>Considering the nature of the activity carried out by the professional for the management of a practice related to the notification of a sanction in case of violation of the obligation to comply with all traffic regulations, the provision of a contractual penalty of €55 to be borne by the consumer customer, which is added to the payment of the rental cost and also of the sanction or what is due for toll/parking, is therefore unjustified and manifestly disproportionate in amount, as it does not find adequate correspondence, in addition to (i) the type of acts that the professional is required to perform, also in relation to (ii) the daily rental cost (especially with reference to lower-tier vehicles, which are normally more requested in the market) and (iii) the amounts that the consumer is required to pay for the alleged violation (for example, in cases of illegal parking, failure to pay for parking or tolls for short highway stretches, etc., the amount of the penalty may even exceed the amount of the sanction itself). In such cases, moreover, the deterrent function regarding possible contested violations is already fulfilled by the sanctions established and graduated by the legislator as well as those applied by other verifying entities (highway and/or parking managers). Consequently, the contractual clause in question results in creating a significant imbalance of rights and obligations arising from the rental contract to the detriment of the consumer, through the application of a penalty of manifestly excessive amount, which the professional would be able to impose by exploiting its position of greater contractual strength, also proceeding to automatically charge such amount to the customer's credit card, by virtue of the specific authorization given at the time of rental.</w:t>
      </w:r>
    </w:p>
    <w:p>
      <w:r>
        <w:t>[OMISSIS]</w:t>
      </w:r>
    </w:p>
    <w:p>
      <w:r>
        <w:t>Furthermore, taking into account the nature of the service subject to the contract and referring to the circumstances existing at the time of its conclusion and the other provisions of the contract, the unfair nature of the clause concerning the described penalty is also confirmed with reference to Articles 34 and 35 of the Consumer Code, as such clause is not drafted in a clear and comprehensible manner, also in light of its overall presentation methods through the professional's website, as well as the indication of its amount in a specific price list, which integrates the contract conditions, available exclusively in English.</w:t>
      </w:r>
    </w:p>
    <w:p>
      <w:r>
        <w:rPr>
          <w:b/>
        </w:rPr>
        <w:t>[Pages 202–204]</w:t>
      </w:r>
    </w:p>
    <w:p>
      <w:r>
        <w:t>BULLETIN NO. 30 OF AUGUST 8, 2022 203</w:t>
      </w:r>
    </w:p>
    <w:p>
      <w:r>
        <w:t>[OMISSIS]</w:t>
      </w:r>
    </w:p>
    <w:p>
      <w:r>
        <w:t>Goldcar has communicated its intention to adopt, by October 31, 2022, a new formulation of Article 11, T&amp;C, in the part concerning the contested penalty, which, however, does not appear to fully overcome all aspects of unfairness subject to assessment. In particular, the same elements of illegality already highlighted with reference to the amount of the penalty described in point II of this provision remain, insofar as the new penalty amount, set at € 40, is manifestly excessive in light of the established absence of joint and several liability on the part of the car rental company, as well as due to both the mere activity of communicating to the competent authorities the details of the customer responsible for the violation that the professional is consequently required to perform, and the daily rental cost and the amounts of fines/tolls/parking fees, considering that the deterrent function regarding possible contested violations is already fulfilled by the penalties established and graduated by the legislator as well as those applied by other authorities (highway and/or parking managers) that carry out assessments. In fact, Goldcar appears to have limited itself to reviewing the amount of the penalty subject to the procedure without, however, proceeding, as appropriately suggested by the Chamber of Commerce of Pistoia-Prato, “to a significant reduction of the amount, which must be merely representative of the aforementioned burden.” At the same time, also in relation to the new formulation of the clause, the aspects of unfairness identified regarding the described presentation methods on the professional's website remain, such that it cannot be considered drafted in a clear and comprehensible manner.</w:t>
      </w:r>
    </w:p>
    <w:p>
      <w:r>
        <w:t>[OMISSIS]</w:t>
      </w:r>
    </w:p>
    <w:p>
      <w:r>
        <w:t>CONSIDERED, in particular, on the basis of the aforementioned considerations, that the clause overall described in point II of this provision is unfair pursuant to Articles 33, paragraphs 1 and 2, letter f), 34 and 35 of the Consumer Code;</w:t>
      </w:r>
    </w:p>
    <w:p>
      <w:r>
        <w:t>CONSIDERED also, on the basis of the aforementioned considerations, that the new formulation of the penalty clause in question, described in point III.d of this provision, does not appear to fully overcome the aspects of unfairness pursuant to Articles 33, paragraphs 1 and 2, letter f), 34 and 35 of the Consumer Code;</w:t>
      </w:r>
    </w:p>
    <w:p>
      <w:r>
        <w:t>[OMISSIS]</w:t>
      </w:r>
    </w:p>
    <w:p>
      <w:r>
        <w:t>RESOLVES</w:t>
      </w:r>
    </w:p>
    <w:p>
      <w:r>
        <w:t>a) that the clause described in point II of this provision, which provides for the application of a penalty amounting to € 55 to the consumer customer in the event of a violation by the latter of the regulations regarding vehicle circulation, ascertained and notified to Goldcar Italy S.r.l. by the competent authority in relation to the vehicle subject to the car rental contract without a driver, constitutes a case of an unfair clause pursuant to Articles 33, paragraphs 1 and 2, letter f), 34 and 35 of the Consumer Code for the reasons and within the limits stated in the motivation;</w:t>
      </w:r>
    </w:p>
    <w:p>
      <w:r>
        <w:t>204 BULLETIN NO. 30 OF AUGUST 8, 2022</w:t>
      </w:r>
    </w:p>
    <w:p>
      <w:r>
        <w:t>b) that the new formulation of the clause of Article 11 of the "Rental Terms and Conditions" applicable in Italy, which according to what was stated by Goldcar Italy S.r.l. should come into effect by October 31, 2022, in the version produced in the documents with the memorandum of July 5, 2022, does not appear to fully overcome the aspects of unfairness assessed in relation to the currently applicable clause pursuant to Articles 33, paragraphs 1 and 2, letter f), 34 and 35 of the Consumer Code, for the reasons and within the limits stated in the motivation;</w:t>
      </w:r>
    </w:p>
    <w:p>
      <w:r>
        <w:t>[OMISSIS]</w:t>
      </w:r>
    </w:p>
    <w:p>
      <w:r>
        <w:t>Antitrust Authority Weekly Bulletin</w:t>
        <w:br/>
        <w:t>of Competition and Market Year XXXII - No. 30 - 2022</w:t>
        <w:br/>
        <w:t>Editorial Coordination Giulia Antenucci</w:t>
        <w:br/>
        <w:t>Editorial Team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