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https://www.agcm.it/dotcmsdoc/bollettini/2023/30-23.pdf</w:t>
      </w:r>
    </w:p>
    <w:p>
      <w:r>
        <w:t>Pages translated : 113</w:t>
      </w:r>
    </w:p>
    <w:p/>
    <w:p>
      <w:r>
        <w:rPr>
          <w:b/>
        </w:rPr>
        <w:t>[Pages 1–3]</w:t>
      </w:r>
    </w:p>
    <w:p>
      <w:r>
        <w:t>Bulletin</w:t>
        <w:br/>
        <w:t>Weekly</w:t>
        <w:br/>
        <w:t>Year XXXIII - No. 30</w:t>
        <w:br/>
        <w:t>Published on the website www.agcm.it</w:t>
        <w:br/>
        <w:t>August 7, 2023</w:t>
      </w:r>
    </w:p>
    <w:p>
      <w:r>
        <w:t>SUMMARY</w:t>
        <w:br/>
        <w:t>AGREEMENTS AND ABUSE OF DOMINANT POSITION 5</w:t>
        <w:br/>
        <w:t>I838C - RESTRICTIONS ON THE PURCHASE OF EXHAUSTED LEAD BATTERIES</w:t>
        <w:br/>
        <w:t>Decision No. 30739 5</w:t>
        <w:br/>
        <w:t>CONCENTRATION OPERATIONS 22</w:t>
        <w:br/>
        <w:t>C12550 - AUTOTORINO/MERCEDES-BENZ ROME</w:t>
        <w:br/>
        <w:t>Decision No. 30738 22</w:t>
        <w:br/>
        <w:t>C12535 - IP ITALIANA PETROLI/ESSO ITALIANA</w:t>
        <w:br/>
        <w:t>Decision No. 30745 27</w:t>
        <w:br/>
        <w:t>TELEVISION RIGHTS 72</w:t>
        <w:br/>
        <w:t>SR45 - SERIE B FOOTBALL LEAGUE/GUIDELINES FOR THE MARKETING OF AUDIOVISUAL RIGHTS</w:t>
        <w:br/>
        <w:t>SEASONS 2024/2025, 2025/2026, 2026/2027, 2027/2028 AND 2028/2029</w:t>
        <w:br/>
        <w:t>Decision No. 30744 72</w:t>
        <w:br/>
        <w:t>REPORTING AND CONSULTATIVE ACTIVITIES 88</w:t>
        <w:br/>
        <w:t>AS1902 - SICILIAN REGION - AWARD OF LOCAL PUBLIC TRANSPORT SERVICES</w:t>
        <w:br/>
        <w:t>BY ROAD 88</w:t>
        <w:br/>
        <w:t>AS1903 - PROVISIONS ON ELECTRONIC PAYMENTS CONTAINED IN THE</w:t>
        <w:br/>
        <w:t>BUDGET LAW 91</w:t>
        <w:br/>
        <w:t>AS1904 - REGULATION OF TRAINING COURSES AND PROCEDURES FOR THE</w:t>
        <w:br/>
        <w:t>QUALIFICATION OF DRIVING SCHOOL TEACHERS 94</w:t>
        <w:br/>
        <w:t>AS1905 - REQUIREMENTS AND PARAMETERS FOR REGISTRATION IN THE</w:t>
        <w:br/>
        <w:t>LIST OF AGENCIES OF NATIONAL RELEVANCE 95</w:t>
        <w:br/>
        <w:t>AS1906 - CITY OF MILAN - TENDER FOR THE AWARD OF THE</w:t>
        <w:br/>
        <w:t>INTEGRATIVE WELFARE SERVICE FOR MANAGERIAL STAFF 97</w:t>
        <w:br/>
        <w:t>UNFAIR TRADE PRACTICES 100</w:t>
        <w:br/>
        <w:t>PS12414 - SEO DIGITAL MARKETING</w:t>
        <w:br/>
        <w:t>Decision No. 30702 100</w:t>
        <w:br/>
        <w:t>PS12594 - PAYIU ITALIA - OBSTACLES TO THE ENJOYMENT OF CREDITS</w:t>
        <w:br/>
        <w:t>Notice of adoption of the decision confirming the precautionary measure 110</w:t>
        <w:br/>
        <w:t>PS12594 - PAYIU ITALIA - OBSTACLES TO THE ENJOYMENT OF CREDITS</w:t>
        <w:br/>
        <w:t>Decision No. 30742 111</w:t>
      </w:r>
    </w:p>
    <w:p>
      <w:r>
        <w:t>BULLETIN NO. 30 OF AUGUST 7, 2023 5</w:t>
        <w:br/>
        <w:t>AGREEMENTS AND ABUSE OF DOMINANT POSITION</w:t>
        <w:br/>
        <w:t>I838C - RESTRICTIONS ON THE PURCHASE OF EXHAUSTED LEAD BATTERIES</w:t>
        <w:br/>
        <w:t>Decision No. 30739</w:t>
        <w:br/>
        <w:t>THE ITALIAN COMPETITION AUTHORITY</w:t>
        <w:br/>
        <w:t>IN ITS MEETING of July 18, 2023;</w:t>
        <w:br/>
        <w:t>HEARD the Rapporteur, Professor Elisabetta Iossa;</w:t>
        <w:br/>
        <w:t>HAVING REGARD to Law No. 287 of October 10, 1990;</w:t>
        <w:br/>
        <w:t>HAVING REGARD to Presidential Decree No. 217 of April 30, 1998;</w:t>
        <w:br/>
        <w:t>HAVING REGARD to the "Communication on the procedures for the application of Article 14-ter of Law No. 287 of October 10, 1990," adopted in the meeting of September 6, 2012, and published in Bulletin No. 35 of September 17, 2012;</w:t>
        <w:br/>
        <w:t>HAVING REGARD to its resolution No. 29718 of June 15, 2021, which made the commitments pursuant to Article 14-ter, paragraph 1, of Law No. 287/90 mandatory for an indefinite period with respect to COBAT, COBAT RIPA, Eco-bat S.r.l., Piombifera Italiana S.p.A., Piomboleghe S.r.l., ESI Ecological Scrap Industry S.p.A., Fiamm Energy Technology S.p.A., Società Italiana Accumulatori Produzione Ricerca Avezzano - SIAPRA S.p.A. and Clarios Italia S.r.l., under the terms attached to the same resolution;</w:t>
        <w:br/>
        <w:t>HAVING REGARD to the request from COBAT and COBAT RIPA received on October 20, 2022, aimed at obtaining a reassessment, for the purposes of the revocation or revision of the commitments made mandatory by resolution No. 29718 of June 15, 2021, consisting of "revoking commitment No. 2 and 3 (the latter in the part strictly related to the allocation of exhausted batteries through auctions, i.e., that related to the mechanism and criteria for determining the auction base) of COBAT and commitment No. 2 of COBAT RIPA; and during the review procedure of the commitments, to order the suspension of the mandatory nature of commitments No. 2 and 3 of COBAT and commitment No. 2 of COBAT RIPA";</w:t>
        <w:br/>
        <w:t>HAVING REGARD to its resolution No. 30384 of November 22, 2022, which initiated an investigation against COBAT and COBAT RIPA in order to evaluate the request for revocation of the commitments referred to in resolution No. 29718 of June 15, 2021 submitted by them;</w:t>
        <w:br/>
        <w:t>HAVING REGARD to the participation in the procedure of FIAMM Energy Technology S.p.A.;</w:t>
        <w:br/>
        <w:t>HAVING REGARD to its resolution No. 30551 of March 21, 2023, extending the deadline for concluding the procedure to July 28, 2023 due to the need for further investigative deepening;</w:t>
        <w:br/>
        <w:t>HAVING REGARD to the acts of the procedure and the documentation acquired during the investigation;</w:t>
        <w:br/>
        <w:t>CONSIDERED the following:</w:t>
      </w:r>
    </w:p>
    <w:p>
      <w:r>
        <w:rPr>
          <w:b/>
        </w:rPr>
        <w:t>[Pages 4–6]</w:t>
      </w:r>
    </w:p>
    <w:p>
      <w:r>
        <w:t>6 BULLETIN NO. 30 OF AUGUST 7, 2023</w:t>
      </w:r>
    </w:p>
    <w:p>
      <w:r>
        <w:t>I. INTRODUCTION</w:t>
      </w:r>
    </w:p>
    <w:p>
      <w:r>
        <w:t>1. On October 20, 2022, COBAT S.p.A. Benefit Company (hereinafter also COBAT) and COBAT RIPA submitted a request aimed at the revision of the commitments set forth in the resolution of June 15, 2021, no. 29718 (closing of procedure I838 Restrictions on the purchase of used lead batteries), due to alleged "drastic transformations of the market context."</w:t>
      </w:r>
    </w:p>
    <w:p>
      <w:r>
        <w:t>2. In the request, the Authority was asked "to revoke commitment no. 2 and 3 (the latter in the part strictly related to the allocation of used batteries through auctions, i.e., that related to the mechanism and criteria for determining the auction base price) of COBAT and commitment no. 2 of COBAT RIPA; and pending the revision procedure of the commitments, to suspend the obligation of commitments no. 2 and 3 of COBAT and commitment no. 2 of COBAT RIPA." COBAT argued that the reason why the last auctions had gone deserted was particularly attributable to the exit from the market of the largest Italian operator in treatment (smelter): Eco-Bat S.r.l. (hereinafter also Ecobat).</w:t>
      </w:r>
    </w:p>
    <w:p>
      <w:r>
        <w:t>3. In this regard, according to the Parties, the auction tool had demonstrated its inadequacy to regulate transactions in this market where, on one hand, other consortia different from COBAT engage in private negotiations and not competitive procedures, and on the other hand, with the exit of the smelters from the COBAT social structure (in implementation of the commitments made with the Authority in the context of procedure I838), there was no longer a potential conflict of interest that justified the need for competitive mechanisms for the allocation of used batteries.</w:t>
      </w:r>
    </w:p>
    <w:p>
      <w:r>
        <w:t>4. In the meeting of November 22, 2022, the Authority decided to initiate a specific investigative phase to ascertain "in contradiction with the Party and any interested third parties," whether the "evolution of the relevant sector is such as to justify the revocation or revision of the commitments made mandatory by resolution of June 15, 2021, no. 29718." In this provision, the Authority also considered that the possibility for COBAT S.p.A. to engage in private negotiations where the auctions go deserted represents for the consortium an opportunity that allows it to adequately overcome the difficulties presented in the revision request, without urgency to suspend commitments no. 2 and 3 of COBAT and commitment no. 2 of COBAT RIPA pending the conduct of this procedure.</w:t>
      </w:r>
    </w:p>
    <w:p>
      <w:r>
        <w:t>1 COBAT was transformed into a capital company at the end of June 2021, immediately after the closure of procedure I838, in implementation of structural commitment no. 1 and became a Benefit Company on July 6, 2021, initiating within its business operation a path characterized by common benefit objectives aimed at the community, workers, and the environment.</w:t>
      </w:r>
    </w:p>
    <w:p>
      <w:r>
        <w:t>2 RIPA is an acronym for recycling of batteries and lead accumulators. COBAT RIPA (hereinafter, "COBAT RIPA") is a consortium for the management of waste batteries and lead accumulators, established as of June 1, 2018, as part of the split into several distinct consortia of COBAT - National Consortium for Collection and Recycling, initially contemplated as a single mandatory consortium and subsequently, with Legislative Decree no. 188/2008, became a collection and treatment system that provides services in competition with other systems. At the time of the establishment of COBAT RIPA, the COBAT SERVICES consortium was also created, later renamed COBAT (hereinafter "COBAT" and, together with COBAT RIPA, "COBAT system"), which was entrusted with coordination and organizational/administrative support functions to the various sector consortia. COBAT RIPA and COBAT initially had a similar statutory structure and consortium composition, with the division of consortia into three categories A1, A2, and A3, among which the A1 category was overwhelmingly predominant (80%), which included producers/importers of lead accumulators and smelters (or recyclers) historically adhering to the consortium, and were therefore qualified as "founding" members. While COBAT has remained unchanged to date, effective January 1, 2020, the Statute of COBAT RIPA significantly modified the governance of the consortium, primarily by eliminating the division of consortia into categories A1, A2, and A3 and significantly reducing the number of shares allocated to smelters.</w:t>
      </w:r>
    </w:p>
    <w:p>
      <w:r>
        <w:t>BULLETIN NO. 30 OF AUGUST 7, 2023 7</w:t>
      </w:r>
    </w:p>
    <w:p>
      <w:r>
        <w:t>5. On March 21, 2023, the Authority decided, with provision no. 30551, to extend the deadline for concluding the procedure to July 28, 2023, for further investigative insights, originally set for March 31, 2023.</w:t>
      </w:r>
    </w:p>
    <w:p>
      <w:r>
        <w:t>II. THE PARTIES</w:t>
      </w:r>
    </w:p>
    <w:p>
      <w:r>
        <w:t>6. COBAT RIPA is a consortium for the management of waste batteries and lead accumulators (RIPA), established as of June 1, 2018, as part of the split into several distinct consortia of COBAT - National Consortium for Collection and Recycling, initially contemplated as a single mandatory consortium and subsequently, with Legislative Decree no. 188/2008, became a collection and treatment system that provides services in competition with other systems. The revenue generated by COBAT RIPA in 2021 was approximately 5.7 million euros.</w:t>
      </w:r>
    </w:p>
    <w:p>
      <w:r>
        <w:t>7. COBAT S.p.A. (hereinafter COBAT) is a benefit company, transformed into a capital company immediately after the closure of the procedure I838 cited in implementation of structural commitment no. 1 (this commitment was conceived as a preliminary phase to the sale of shares in COBAT by the smelters or recyclers). COBAT performs coordination and organizational/administrative support functions to the various sector consortia belonging to the COBAT system (COBAT RIPA, COBAT RAEE, COBAT TYRE, COBAT COMPOSITI). The revenue generated by COBAT in 2022 was over 92 million euros.</w:t>
      </w:r>
    </w:p>
    <w:p>
      <w:r>
        <w:t>8. FIAMM Energy Technology S.p.A. (hereinafter "FIAMM") is a joint venture established in 2016 following the transfer by Fiamm S.p.A. of the business branch related to batteries for vehicles and industrial applications with lead technology; FIAMM is currently jointly controlled by Hitachi Chemical Company Ltd. (51%) and Elettra 1938 S.p.A. (49%). FIAMM is a category A1 member of COBAT (category producers/importers), and held the same share in COBAT RIPA before the aforementioned statutory modification, after which it participates in 70% of the consortium fund of COBAT RIPA together with all other adhering producers/importers. In the period from April 2019 to March 2020, FIAMM generated consolidated revenue of approximately 371 million euros.</w:t>
      </w:r>
    </w:p>
    <w:p>
      <w:r>
        <w:t>III. THE INVESTIGATIVE PROCEDURE I838</w:t>
      </w:r>
    </w:p>
    <w:p>
      <w:r>
        <w:t>9. With Provision no. 29718 closing the procedure I838, the Authority made the commitments presented by the Consortium mandatory, pursuant to Article 14-ter of Law no. 287/1990, within the relevant procedure, as they were deemed "such as to eliminate the anticompetitive profiles subject to the investigation."</w:t>
      </w:r>
    </w:p>
    <w:p>
      <w:r>
        <w:t>10. The procedure I838 was initiated by the Authority on December 3, 2019, to ascertain any violations of Article 101 of the Treaty on the Functioning of the European Union (hereinafter, "TFEU") consisting of a complex agreement involving various levels of the supply chain for the recovery of used lead batteries, according to a strategy that appeared aimed at ensuring historical members of COBAT and COBAT RIPA a continuous flow of waste at controlled prices and excluding competing collection systems from the market. This complex strategy seemed to concern the negotiation stage of COBAT with collectors and was implemented by acquiring and using for exclusionary purposes confidential information on the supply points of the collectors (the holders of the waste), also applying differentiated purchase prices for used batteries depending on the origin of the waste, in order to reduce the collection base of competing systems, while simultaneously increasing the flow of waste guaranteed to the historical members of COBAT.</w:t>
      </w:r>
    </w:p>
    <w:p>
      <w:r>
        <w:t>11. The used batteries thus collected by the COBAT system would then be sold, according to the hypothesis formulated by the Authority, in a substantially administered manner for prices and quantities only to the historical members of COBAT and COBAT RIPA, of category A1; this conduct seemed to have been defined within the Boards of Directors or Executive Committees of COBAT RIPA and/or COBAT, in both cases with the necessary contribution of the smelters and at least one of the producers Fiamm and Clarios.</w:t>
      </w:r>
    </w:p>
    <w:p>
      <w:r>
        <w:t>12. In this regard, from the information in the records, it seemed to emerge that within the consortium bodies the parties to the procedure had decided to proceed with a pro-rata distribution of the used batteries collected by COBAT, at progressively lower prices in order to progressively lower the value of the resource purchased for upstream operators in the supply chain, with the intent to stabilize the market. On one hand, in some cases, part of the collected waste was then sold to recyclers in the context of tenders, these, in addition to being reserved for only recyclers adhering to COBAT (thus excluding non-consortium national recyclers and foreign recyclers), appeared potentially distorted by the interaction of the smelters within the consortium bodies of COBAT RIPA/COBAT, in which the market stabilization strategy was simultaneously defined.</w:t>
      </w:r>
    </w:p>
    <w:p>
      <w:r>
        <w:t>13. In the context of these tenders reserved for COBAT recyclers, it was hypothesized that they had divided the different tender lots, in the sense that each recycler would submit bids only for the lots in which other operators do not participate, based on a territorial partition criterion, so as not to generate any increase compared to the auction base price; in this way, the stability of the market value stabilization strategy along the supply chain would thus have been ensured, while also affecting the competitive allocation dynamics of volumes among the different smelters. There were then other conducts hypothesized in the initiation and extension provision of the procedure that also formed part of the complex agreement under dispute.</w:t>
      </w:r>
    </w:p>
    <w:p>
      <w:r>
        <w:t>14. In order to remove the critical issues raised by the Authority, on February 8, 2021, COBAT RIPA, COBAT, FIAMM, Siapra, Clarios, Eco-bat, Piomboleghe, and Piombifera submitted a set of common commitments pursuant to Article 14-ter of Law no. 287/1990, aimed at resolving the critical issues highlighted by the Authority in the initiation and extension provisions of the procedure, supplemented with ancillary modifications in response to the outcome of the public consultation on the commitments.</w:t>
      </w:r>
    </w:p>
    <w:p>
      <w:r>
        <w:t>15. The commitments proposed by the Parties of procedure I838, accepted and made mandatory by the College with the closure of the same without ascertaining the infringement, were:</w:t>
      </w:r>
    </w:p>
    <w:p>
      <w:r>
        <w:rPr>
          <w:b/>
        </w:rPr>
        <w:t>[Pages 7–9]</w:t>
      </w:r>
    </w:p>
    <w:p>
      <w:r>
        <w:t>BULLETIN NO. 30 OF AUGUST 7, 2023 9</w:t>
      </w:r>
    </w:p>
    <w:p>
      <w:r>
        <w:t>i. a structural commitment related to the divestment of shares held by recyclers in COBAT and COBAT RIPA (exit of the smelters from the consortium); COBAT, Fiamm, Siapra, Clarios, Eco-Bat, Piomboleghe, and Piombifera Italiana have committed to ensuring the divestment of the smelters' shares from COBAT following its transformation into a joint-stock company and the amendment of the consortium's bylaws;</w:t>
      </w:r>
    </w:p>
    <w:p>
      <w:r>
        <w:t>ii. a commitment by COBAT to allocate the exhausted batteries collected by it, within the framework of the so-called free collection of batteries, "exclusively through electronic auctions open to all authorized parties, both Italian and foreign." COBAT has committed that the auction base in the electronic tenders and the prices applied to the collectors will be defined exclusively by its General Management and its Operational Management (with explicit provisions regarding the method of setting the auction base price, the sizing of the lots, and the regulation of the electronic auctions);</w:t>
      </w:r>
    </w:p>
    <w:p>
      <w:r>
        <w:t>iii. a commitment to define the auction base in the electronic tenders and the prices applied to the collectors exclusively by the General Management and Operational Management;</w:t>
      </w:r>
    </w:p>
    <w:p>
      <w:r>
        <w:t>6 Following the observations presented in the market test, COBAT RIPA, COBAT, Fiamm, Siapra, Clarios, Eco-Bat, Piomboleghe, and Piombifera have integrated the first version of this structural commitment in order to equip the company resulting from the transformation of the COBAT consortium into S.p.A. with internal safeguards aimed at ensuring compliance with competition rules at every stage of waste management (collection, intermediation, treatment, and recycling) and providing for the establishment of an antitrust compliance officer, tasked with overseeing compliance with antitrust regulations with the obligation to submit to the Authority, by December 31 of each year of the five-year period 2021-2025, a report accounting for compliance with the commitments undertaken and competition law.</w:t>
      </w:r>
    </w:p>
    <w:p>
      <w:r>
        <w:t>7 The free collection is that which COBAT carries out independently from the waste holders on behalf of COBAT RIPA; COBAT also carries out an "intermediated collection" in the interest of other operators and based on specifications defined by them. A first type of intermediated collection is carried out on quantities of exhausted batteries offered through the portal of the National Coordination Center for Batteries and Accumulators (CDCNPA). This is a type of collection carried out by COBAT on behalf of COBAT RIPA. In this case, COBAT RIPA recognizes an efficiency bonus to the waste holders while the price for the transfer to buyers is collected by COBAT taking into account the efficiency bonus paid by COBAT RIPA and the costs for logistical activities. Another type of intermediated collection is that directly between COBAT and the waste holder. In such cases, the holder invites COBAT to purchase a certain quantity of batteries at a certain price. At that point, COBAT seeks a buyer to whom it delivers the waste from the collection center to the destination location. COBAT, in these cases, pays the holder the consideration and collects the transfer price from the buyer (including the costs of logistical services and its own remuneration). A final type of intermediated collection is carried out based on an indirect intermediation relationship, as COBAT receives an order from a party other than the holder (for example, a producer) who has contracted with the waste holder for certain quantities and certain considerations. COBAT performs the logistics service for the collection of the batteries and delivery to the agreed destination. Sometimes it is provided that COBAT purchases these batteries from the intermediary and resells them to the final buyer. In this case, the transfer price to the final buyer is set by COBAT.</w:t>
      </w:r>
    </w:p>
    <w:p>
      <w:r>
        <w:t>8 "The lots put up for auction will be identified considering the volumes of exhausted batteries collected, taking into account the territorial distribution of COBAT's collection points; the size of the lots will take into account the production capacity of accredited operators and the potential market in order to define, where possible, asymmetric lots with respect to the distribution of the capacities of individual operators and a number of lots lower than the number of potential competitors" (paragraph 39 of the final decision). The successful bidder will also be free to choose between the terms of sale ex-works and delivered duty paid (in the latter case, transportation costs will be calculated based on objective parameters, in relation to the distance between the location where the exhausted batteries are located and the delivery location, based on a table attached to the notices of the electronic auctions and freely consultable by all accredited parties).</w:t>
      </w:r>
    </w:p>
    <w:p>
      <w:r>
        <w:t>9 COBAT's commitment 2 is also linked to commitment no. 2 presented by COBAT RIPA, according to which COBAT RIPA would delegate the performance of its institutional activities through outsourcing contracts or other legal instruments only to companies or consortia that committed to transferring the exhausted batteries through an auction system modeled on that illustrated in commitment no. 2 of COBAT.</w:t>
      </w:r>
    </w:p>
    <w:p>
      <w:r>
        <w:t>10 The auction base is defined taking into account the secondary lead prices recorded on the LME, the cost incurred by COBAT for the collection of exhausted batteries from the free collection, and the outcomes of previous auctions, with the aim of ensuring the sustainability and efficiency of the collection system. The auction base cannot be lower than the average collection cost observed in the last month. The assignment procedure provides for a single session, during which participants may submit a single upward bid for each of the lots put up for auction.</w:t>
      </w:r>
    </w:p>
    <w:p>
      <w:r>
        <w:t>10 BULLETIN NO. 30 OF AUGUST 7, 2023</w:t>
      </w:r>
    </w:p>
    <w:p>
      <w:r>
        <w:t>iv. a behavioral commitment aimed at strengthening measures to limit access to sensitive information by COBAT members;</w:t>
      </w:r>
    </w:p>
    <w:p>
      <w:r>
        <w:t>v. a commitment not to apply the exclusivity obligation provided for by Article 9 of the COBAT Bylaws and not to introduce such a provision in the Bylaws of the newly established COBAT S.p.A.;</w:t>
      </w:r>
    </w:p>
    <w:p>
      <w:r>
        <w:t>vi. a commitment by COBAT, within the framework of the so-called free collection of batteries, not to request from the collectors information about the waste holders from whom they source.</w:t>
      </w:r>
    </w:p>
    <w:p>
      <w:r>
        <w:t>16. It should be noted, for completeness, that the Authority has adopted acknowledgment letters of compliance with the commitments on November 16, 2021, December 3, 2021, and March 22, 2022, regarding compliance with the commitment to divest the shares held by the smelters in COBAT.</w:t>
      </w:r>
    </w:p>
    <w:p>
      <w:r>
        <w:t>IV. The request for revision of commitments presented by COBAT in October 2022 and the initiation of investigation I838C</w:t>
      </w:r>
    </w:p>
    <w:p>
      <w:r>
        <w:t>a. The request for revision of commitments presented by COBAT S.p.A. and COBAT RIPA</w:t>
      </w:r>
    </w:p>
    <w:p>
      <w:r>
        <w:t>16. The request for revision of commitments, presented by COBAT and COBAT RIPA on October 20, 2022, concerns only the commitment sub ii) related to the conduct of electronic auctions to allocate the batteries collected within the framework of the free collection and part of the commitment sub iii), as well as the commitment of COBAT RIPA which, on its part, had bound itself to delegate the performance of its institutional activities (through outsourcing contracts or other legal instruments) only to companies or consortia that committed to transferring to COBAT RIPA through an auction system modeled on that illustrated in commitment sub ii) presented by COBAT and the other Parties.</w:t>
      </w:r>
    </w:p>
    <w:p>
      <w:r>
        <w:t>17. COBAT and COBAT RIPA justified the request by arguing that the current market context makes the commitment in question no longer feasible. In fact, in Italy, recyclers (smelters) are experiencing a period of extreme difficulty due to the increase in energy costs, which has significantly impacted the management costs of particularly energy-intensive activities such as the one in question.</w:t>
      </w:r>
    </w:p>
    <w:p>
      <w:r>
        <w:t>18. In particular, the main Italian smelter Ecobat, on September 1, 2022, informed COBAT of its suspension of activity at both of its plants (Paderno Dugnano and Marcianise), proceeding to put employees on layoff starting October 1, 2022, due to the "exponential, extraordinary, exceptional, and entirely unpredictable increase in the cost of electricity and gas" which has made management losses "no longer economically sustainable."</w:t>
      </w:r>
    </w:p>
    <w:p>
      <w:r>
        <w:t>19. COBAT highlighted that Ecobat represents the operator with the greatest capacity for treating exhausted batteries at the national level (about 60% of total capacity) and that in the period 2021-22 it won approximately 59% of the exhausted lead batteries put up for auction at the base auction price. The individual lots will be awarded based on the best economic offer. Paragraphs 37 and 38 of the final decision.</w:t>
      </w:r>
    </w:p>
    <w:p>
      <w:r>
        <w:t>11 For this purpose, COBAT has modified the informational obligations imposed on collectors by the contracts concluded with the consortium and proceeded to delete all data relating to the holders of the waste collected within the framework of the free collection, currently in its possession, to those essential by virtue of regulatory obligations, and to return the definition of prices applied to collectors exclusively to the General Management and Operational Management of COBAT.</w:t>
      </w:r>
    </w:p>
    <w:p>
      <w:r>
        <w:t>12 Doc. 1.</w:t>
      </w:r>
    </w:p>
    <w:p>
      <w:r>
        <w:t>13 Doc. 1, annex 2, as confirmed by the hearing of Ecobat (doc. 9).</w:t>
      </w:r>
    </w:p>
    <w:p>
      <w:r>
        <w:t>BULLETIN NO. 30 OF AUGUST 7, 2023 11</w:t>
      </w:r>
    </w:p>
    <w:p>
      <w:r>
        <w:t>COBAT manages over 90% of the volumes of exhausted batteries allocated through auctions (on its own and on behalf of the producers awarded the lots).</w:t>
      </w:r>
    </w:p>
    <w:p>
      <w:r>
        <w:t>20. COBAT and COBAT RIPA attached to their request for revision a communication from the CDCNPA (National Coordination Center for Batteries and Accumulators) to the Ministry of Ecological Transition (currently the Ministry of the Environment and Energy Security) in its capacity as regulator of environmental protection consortia. The CDCNPA wrote to the Ministry requesting, in light of the suspension of Ecobat's activity, a temporary increase in the authorized limits and timeframes for the storage of waste from lead batteries and accumulators. This is to protect collectors and collection systems from potential criminal consequences arising from the storage of unallocated exhausted batteries in quantities or for periods of time exceeding what is currently permitted by the authorizations they hold.</w:t>
      </w:r>
    </w:p>
    <w:p>
      <w:r>
        <w:t>21. The activities of the other two smelters historically active in Italy (Piombifera Italiana S.p.A. and Piomboleghe S.r.l.) would also have been negatively affected by the market context. In fact, Piombifera Italiana S.p.A. did not participate in any of the auctions held by COBAT in 2022 and in September 2022 also communicated the temporary suspension of deliveries to its only active plant, due to reaching maximum storage capacity. In any case, the combined treatment capacity of Piombifera Italiana S.p.A. and Piomboleghe S.r.l. would represent a largely minority share of the exhausted batteries collected by COBAT, not to mention that at the plants of these companies, volumes of waste are also treated on behalf of competing systems of COBAT which, to date, have these two plants as their only outlets.</w:t>
      </w:r>
    </w:p>
    <w:p>
      <w:r>
        <w:t>22. In light of this situation, COBAT informed, in the report of October 2022, that the last three electronic auctions organized had been deserted (September 1 and 12 and October 10, 2022) for which the consortium planned to initiate, in accordance with what is provided for in commitment sub ii), private negotiations for the allocation of the related volumes.</w:t>
      </w:r>
    </w:p>
    <w:p>
      <w:r>
        <w:t>23. COBAT and COBAT RIPA concluded that the auctions, in their view, no longer represent a practically feasible tool for the allocation of exhausted lead batteries. Meanwhile, according to COBAT, there is no expectation that foreign operators (smelters) will participate in the auctions (none to date have applied for accreditation), as the requirements imposed by Italian environmental regulations for the export of exhausted lead batteries do not align well with participation in the auctions: potential foreign operators would indeed have to identify storage facilities in Italy where to store the exhausted batteries potentially awarded while awaiting...</w:t>
      </w:r>
    </w:p>
    <w:p>
      <w:r>
        <w:rPr>
          <w:b/>
        </w:rPr>
        <w:t>[Pages 10–12]</w:t>
      </w:r>
    </w:p>
    <w:p>
      <w:r>
        <w:t>12 BULLETIN NO. 30 OF AUGUST 7, 2023</w:t>
      </w:r>
    </w:p>
    <w:p>
      <w:r>
        <w:t>of obtaining export authorizations (which would require three to six months, given that they concern hazardous waste) and this would represent a significant burden considering the possibility, alternatively, of negotiating private quantities with deliveries spread throughout the year for which a single export authorization can be requested.</w:t>
      </w:r>
    </w:p>
    <w:p>
      <w:r>
        <w:t>24. In a more general perspective, not directly linked to the current difficulties of national smelters, COBAT has deemed it "appropriate to reconsider the very necessity of a commitment to allocate exhausted batteries through auctions." The Party, in this regard, emphasized that, following compliance with the structural commitment sub i), recyclers are no longer part of the social structure of COBAT and COBAT RIPA and, therefore, any possible competitive distortion in the allocation process of exhausted accumulators in favor of the same smelters is eliminated by definition.</w:t>
      </w:r>
    </w:p>
    <w:p>
      <w:r>
        <w:t>25. Given this situation, the continued implementation of the commitment for which COBAT requests a review would place it at a competitive disadvantage compared to competing collection systems "which are not required to allocate lead waste through auctions but are free to resort to private negotiations (a tool that makes exportation and thus allocation to foreign operators much easier [...]). Competing systems could therefore leverage the more flexible and efficient allocation methods they have to encourage producers adhering to COBAT RIPA to look elsewhere to fulfill the obligations arising from extended producer responsibility."</w:t>
      </w:r>
    </w:p>
    <w:p>
      <w:r>
        <w:t>b. The initiation of the procedure and the decision to extend the deadline for the conclusion of the procedure</w:t>
      </w:r>
    </w:p>
    <w:p>
      <w:r>
        <w:t>26. The Authority, with decision of November 22, 2022, no. 30384, initiated procedure I838C to evaluate the request for revocation or revision concerning the commitments made binding by resolution of June 15, 2021, no. 29718, without ordering the adoption of the precautionary measures requested by the Parties as it deemed that the possibility for COBAT to conduct private negotiations where the auctions go deserted adequately allows overcoming the difficulties represented in the request for revision. The Authority therefore did not consider there to be urgency in ordering the suspension of commitments sub ii) and iii) of COBAT and commitment no. 2 of COBAT RIPA during the course of the procedure.</w:t>
      </w:r>
    </w:p>
    <w:p>
      <w:r>
        <w:t>27. FIAMM was admitted to participate in the procedure following the submission of a relevant request.</w:t>
      </w:r>
    </w:p>
    <w:p>
      <w:r>
        <w:t>28. With decision of March 21, 2023, no. 30551, the deadline for the conclusion of the procedure was extended for further investigative insights.</w:t>
      </w:r>
    </w:p>
    <w:p>
      <w:r>
        <w:t>29. On June 28, 2023, the Communication of Investigative Findings (hereinafter, "CRI") was sent to the Parties granting a deadline for the possible submission of briefs, which the Parties decided not to submit.</w:t>
      </w:r>
    </w:p>
    <w:p>
      <w:r>
        <w:t>V. THE INVESTIGATIVE ACTIVITY CARRIED OUT</w:t>
      </w:r>
    </w:p>
    <w:p>
      <w:r>
        <w:t>30. During the investigation, the Offices engaged in discussions with numerous stakeholders aimed at understanding the dynamics of the market for recycling exhausted lead batteries and its developments in order to assess the appropriateness of eliminating the obligation for COBAT and COBAT RIPA to allocate exhausted batteries through tender.</w:t>
      </w:r>
    </w:p>
    <w:p>
      <w:r>
        <w:t>31. In particular, Ecobat was heard in a hearing on December 2, 2022, COBAT on January 12, 2023, FIAMM on February 7, 2023, the Ministry of the Environment and Energy Security (MASE) on February 21, 2023, Piombifera on May 22, 2023, Innovatec S.p.A. (parent company of COBAT S.p.A.) on May 25, 2023.</w:t>
      </w:r>
    </w:p>
    <w:p>
      <w:r>
        <w:t>32. Requests for information were sent to Clarios, Piombifera, and Piomboleghe on March 2, 2023, to COBAT on April 4 and May 15, 2023, to Fiamm on May 10, 2023, to Ecobat on May 15, 2023, all of which received responses. COBAT submitted a brief, lastly, on June 19, 2023.</w:t>
      </w:r>
    </w:p>
    <w:p>
      <w:r>
        <w:t>33. COBAT and COBAT RIPA accessed the documents on January 3, March 2, and May 11, 2023, and FIAMM on February 1, 2023.</w:t>
      </w:r>
    </w:p>
    <w:p>
      <w:r>
        <w:t>VI. THE INFORMATION OBTAINED FROM MARKET OPERATORS</w:t>
      </w:r>
    </w:p>
    <w:p>
      <w:r>
        <w:t>34. From the information obtained from the two smelters active in the Italian market (in addition to Ecobat), it emerged that their failure to participate in COBAT auctions following Ecobat's exit from the market, i.e., since September 2022, was due to the excessively high level of the base auction price set by the consortium, compared to what the same smelters were able to obtain in private negotiations. This situation did not make procurement through the auction channel economically advantageous also due to the excess supply that had arisen with the suspension of activities by Ecobat, which had led to a generalized reduction in the prices of used batteries.</w:t>
      </w:r>
    </w:p>
    <w:p>
      <w:r>
        <w:t>35. In particular, Piomboleghe stated: "in the year 2022, in many cases the Company deemed it unprofitable to participate in the aforementioned auctions called by COBAT, due to the excessively burdensome prices for the purchase of such exhausted batteries, and considering the increase in production costs that the Company had to face (referring to energy, gas, auxiliary production, etc.); in the six instances in which it participated in the auctions, it did not manage to win any lots; only in two cases did it propose a considerable increase over the base auction price, and obtained the related award [the company participated in six auctions overall and only in two cases was awarded lots]. In these cases, however, the price level reached did not allow covering the transformation costs, making participation absolutely uninteresting."</w:t>
      </w:r>
    </w:p>
    <w:p>
      <w:r>
        <w:t>36. Similarly, Piombifera stated: "[omitted]*. This is because [...], following the suspension of Ecobat's transformation activities in Italy starting in October 2022, there was a significant decrease in demand compared to supply in the national market for purchasing exhausted batteries, which affected the selling price of the batteries, resulting in a significant reduction in the purchase price of exhausted batteries" and further "As can be seen from the reported data, the prices paid by Piombifera Italiana for the purchase of batteries following individual negotiations with its suppliers were [omitted]. It is evident that the eventual purchase price that would result from an auction award would have been far higher for Piombifera Italiana compared to the price obtained from purchases through its own suppliers considering the mechanism of upward bids relative to the base auction price established by the COBAT auction regulations in addition to the transportation costs of the material to the Piombifera Italiana plant. [Omitted]"</w:t>
      </w:r>
    </w:p>
    <w:p>
      <w:r>
        <w:t>37. In quite a contrasting manner compared to the position of the smelters, the battery producer FIAMM in the hearing minutes reported that "[...] it participated in auctions but also acquired scrap through private negotiations and [that] both tools have proven to work. Moreover, when auctions were identified as a tool for the allocation of scrap, COBAT had a different governance structure. FIAMM participated in the auctions from their first occurrence until just before Ecobat's activity was halted. During this period, FIAMM did not notice significant differences between auctions and private negotiations and, in particular,</w:t>
      </w:r>
    </w:p>
    <w:p>
      <w:r>
        <w:t>38 Already announced in August 2022.</w:t>
      </w:r>
    </w:p>
    <w:p>
      <w:r>
        <w:t>39 See docs. 36 and 37.</w:t>
      </w:r>
    </w:p>
    <w:p>
      <w:r>
        <w:t>40 Doc. 36.</w:t>
      </w:r>
    </w:p>
    <w:p>
      <w:r>
        <w:t>* In this version, some data are omitted, as elements of confidentiality or secrecy of the information were deemed to exist.</w:t>
      </w:r>
    </w:p>
    <w:p>
      <w:r>
        <w:t>41 Doc. 38.</w:t>
      </w:r>
    </w:p>
    <w:p>
      <w:r>
        <w:t>42 Doc. 22.</w:t>
      </w:r>
    </w:p>
    <w:p>
      <w:r>
        <w:rPr>
          <w:b/>
        </w:rPr>
        <w:t>[Pages 13–15]</w:t>
      </w:r>
    </w:p>
    <w:p>
      <w:r>
        <w:t>BULLETIN NO. 30 OF AUGUST 7, 2023 15</w:t>
      </w:r>
    </w:p>
    <w:p>
      <w:r>
        <w:t>there are no significant differences between the auction award prices and the prices negotiated in the market”43.</w:t>
      </w:r>
    </w:p>
    <w:p>
      <w:r>
        <w:t>38. Piombifera also raised a concern regarding the size of the lots44: “the sizes of the lots put up for tender do not seem to allow for effective competitive comparison among small operators, such as Piombifera Italiana, as evidenced by the fact that the awards have systematically involved market players with greater processing capacity”45.</w:t>
      </w:r>
    </w:p>
    <w:p>
      <w:r>
        <w:t>39. On May 16, 2023, Ecobat informed the Authority of the resumption of activity at both the plants in Paderno Dugnano (MI) and Marcianise (CE): “The planned restart date for secondary lead production is July 1, 2023, with some preliminary activities (e.g., battery reception, possible crushing and separation of batteries, etc.) in the two months prior. Production will gradually resume, at a reduced level and with different operational plans at the two plants: in Paderno, crushing-desulfurization activities and a specialized foundry activity are planned, while all plants will be operational in Marcianise”46.</w:t>
      </w:r>
    </w:p>
    <w:p>
      <w:r>
        <w:t>40. On May 16, 2023, COBAT communicated47 that: “following the non-allocation of the lots related to auctions no. 14 and 15 (held on March 24, 2023, and April 18, 2023, respectively), a private negotiation was initiated for the supply of exhausted lead batteries with Ecobat S.r.l. which informed COBAT of the reopening of its plants starting from July 1 of this year.”</w:t>
      </w:r>
    </w:p>
    <w:p>
      <w:r>
        <w:t>41. COBAT simultaneously communicated the absence of participants in auction no. 16/2023 held from May 19 to 23, 2023, and the initiation of a private negotiation with Ecobat for the transfer of approximately [7,500-15,000] tons of exhausted batteries put out to tender that went deserted.</w:t>
      </w:r>
    </w:p>
    <w:p>
      <w:r>
        <w:t>42. The controlling partner of COBAT S.p.A. (Innovatec S.p.A., hereinafter also “Innovatec”), in the hearing on May 25, reiterated that: “The exit of the smelters from COBAT, in the absence of an obligation for the collectors of exhausted batteries to confer, has led over time to the smelters purchasing directly from the collectors, bypassing the Company. This, in particular, was possible when EcoBat S.r.l. suspended its activity as the supply of batteries in Italy at that time significantly exceeded demand, and thus the two smaller smelters were able to easily procure directly from the collectors for the volumes they needed.”</w:t>
      </w:r>
    </w:p>
    <w:p>
      <w:r>
        <w:t>43. Innovatec believed that the impact of the auction system on the “functioning of the markets for the collection and recycling of exhausted lead batteries” should be carefully evaluated. In fact, this allocation criterion for materials “would suffer from some structural limitations: i) the dynamics observed in the phase of waste transfer by collectors who, considering the hazardous nature of exhausted batteries, are bound by stringent quantitative storage limits at their warehouses and therefore favor operators who guarantee greater continuity in purchases, continuity that cannot be guaranteed by allocation through auction; ii) the need for smelters and foreign operators to resort to procurement methods that ensure (also based on long-term contracts) a continuous flow of waste to be recycled in order to achieve an adequate utilization rate of their plants; iii) the need for COBAT to plan purchasing activities and, correspondingly, the transfer of waste, without having to wait to know the outcomes of the tenders to determine the quantities of batteries that must be collected and subsequently transported to the designated plants for recycling; and iv) the very limited number of potential participants in tenders at the national level (which in itself represents a limit to the proper deployment of the competitive potential of the auction tool) who, as stated above, have no interest in participating as they can do without the intermediation of COBAT and the established absence of any interest from foreign operators in participating.”</w:t>
      </w:r>
    </w:p>
    <w:p>
      <w:r>
        <w:t>44. COBAT would thus be burdened by a very significant competitive constraint, being the only operator in the sector (not only national but also European) required to resort to an inefficient sales tool that would heavily prejudice it, as evidenced by the decline in managed volumes (the market share held by COBAT in the recycling of exhausted lead batteries would be in constant decline, as would the revenue generated from this activity).</w:t>
      </w:r>
    </w:p>
    <w:p>
      <w:r>
        <w:t>45. Furthermore, COBAT, in the memorandum submitted on June 19, 202348, specified and articulated the characteristics of the market that would emerge after the closure of proceeding I838, stating that: “The exit of the smelters from the corporate structure has [therefore] led to an opening of the market in the manner hoped for by the Authority, to the extent that the divestment of the shares held by the smelters has eliminated any structural and functional constraint with COBAT and COBAT RIPA, guaranteeing this productive category the possibility of carrying out treatment activities for exhausted batteries on behalf of any operator (including competing supply chain consortia), as well as procuring exhausted batteries from anyone (even directly from the holders of the waste).”</w:t>
      </w:r>
    </w:p>
    <w:p>
      <w:r>
        <w:t>46. COBAT also noted that in the past the consortium provided mechanisms for the allocation of exhausted batteries through auctions that could be participated in (only) by consortium members. In the new auction mechanism that has descended from the acceptance of commitments, the former consortium operators (smelters) have continued “in a logic of initial continuity with the past, to procure from COBAT, for limited quantities, also following the implementation of the commitments.” To confirm this, only the former historical members of COBAT participated in the auctions held until September 2022, despite the opening of participation to all operators, both Italian and foreign, provided they had the certifications and authorizations required by law and applicable regulations.</w:t>
      </w:r>
    </w:p>
    <w:p>
      <w:r>
        <w:t>47. COBAT then emphasized that actual participation in the auctions held until September 2022 was always limited to these companies, even though the base and award prices were to be considered in line with the prices of private negotiations. Regarding the level of the base auction price, COBAT stated in the hearing that the company auctions volumes of exhausted batteries that it procures on the market at a time subsequent to the holding of the auction itself, which is why, not having yet made the purchases of batteries at the time of the auction, it does not have an exact knowledge of the price at which it will purchase, and this, at least in part, explains why the base auction price must include a safety margin for the company.</w:t>
      </w:r>
    </w:p>
    <w:p>
      <w:r>
        <w:t>48. Furthermore, private negotiations would guarantee, both for foreign operators (who prefer longer-term contracts that justify the activation of administrative and bureaucratic procedures for the export of hazardous waste) and for Italian operators, greater flexibility. On this point, COBAT stated that: “national operators (including former COBAT consortium members) have expressed and still express a strong preference for entering into long-term contracts, a mode (incompatible, as seen above, with the auction mechanism) that better guarantees the continuity of business activities for both producers and treatment companies. Through long-term contracts, operators can indeed have advance knowledge of the quantities of exhausted batteries and secondary lead that they will receive periodically, without facing the typical uncertainty of tender procedures”49.</w:t>
      </w:r>
    </w:p>
    <w:p>
      <w:r>
        <w:t>49. Finally, COBAT pointed out that the smelters, who previously relied on its intermediation activities when the auctions were reserved for them, in the new context where they no longer hold shares in the consortium/company, have turned to alternative channels, procuring exhausted batteries directly from the collectors, as they are free to choose. The collectors, for their part, considering the substantial shortage of outlets in the downstream market (heavily influenced by the suspension of Ecobat's activity, which has always represented the main national smelter in terms of capacity) have faced problems in the last two years related to reaching the maximum storage limit for exhausted batteries (which, as hazardous waste, are subject to specific quantitative and temporal limits of retention) and have preferred to transfer the collected batteries to subjects capable of guaranteeing them greater continuity and regularity in purchases and, through this route, a greater flow of incoming and outgoing waste.</w:t>
      </w:r>
    </w:p>
    <w:p>
      <w:r>
        <w:t>50. In a context of market opening, COBAT therefore concluded that the circumstance that it alone, among all operators, is required to resort to a specific allocation mechanism: “in the absence of an obligation for the other parties of the original proceeding to participate and/or a provision of equal scope for competing operators, exposes the Company to a serious operational rigidity that is already penalizing it today and will penalize it even more in the future. As stated, in fact, all operators in the sector (smelters and producers) can freely sell and purchase the exhausted batteries they need, without being required to use the intermediation activities of COBAT and defining new operational modalities that allow them to best respond to the changing needs of waste holders and buyers. COBAT, on the other hand, must comply with a constraint [...] that particularly incisively limits and conditions its activities in a market characterized, on the one hand, by an extremely reduced pool of potential auction buyers and, on the other hand, by a particularly large number of subjects offering the collected exhausted batteries”50.</w:t>
      </w:r>
    </w:p>
    <w:p>
      <w:r>
        <w:rPr>
          <w:b/>
        </w:rPr>
        <w:t>[Pages 16–18]</w:t>
      </w:r>
    </w:p>
    <w:p>
      <w:r>
        <w:t>18 BULLETIN NO. 30 OF AUGUST 7, 2023</w:t>
      </w:r>
    </w:p>
    <w:p>
      <w:r>
        <w:t>VII. Assessments</w:t>
      </w:r>
    </w:p>
    <w:p>
      <w:r>
        <w:t>51. In light of the investigation conducted and the evidence acquired, it is believed that the market for the sale of exhausted lead batteries to recyclers in the Italian geographical context presents characteristics such that the request for review submitted by COBAT is deserving of acceptance.</w:t>
      </w:r>
    </w:p>
    <w:p>
      <w:r>
        <w:t>52. The mechanism of the competitive auction in a context where there is (i) discretion on the part of the operators (smelters and producers) regarding the method of purchasing exhausted batteries (which can therefore be negotiated privately); (ii) an obligation to allocate through auction on the part of only one consortium among those present in this market; (iii) a situation of limited treatment capacity by companies operating in Italy, resulting in limited demand for exhausted batteries from national smelters; and (iv) an excess supply of lead batteries, does not appear to represent an effective means to ensure fair, non-discriminatory, and competitive allocation of the batteries themselves.</w:t>
      </w:r>
    </w:p>
    <w:p>
      <w:r>
        <w:t>53. At the same time, this method of allocation does not seem to be indispensable for ensuring the proper functioning of COBAT, as, on the one hand, the exit of the smelters from the corporate structure of the benefit company (following a specific structural commitment made in the context of procedure I838) has eliminated any structural and functional link between COBAT and COBAT RIPA and this category of operators, to whom ad hoc auctions were previously reserved; on the other hand, alternative allocation methods represent a competitive constraint in themselves regarding the intermediation activity carried out by COBAT.</w:t>
      </w:r>
    </w:p>
    <w:p>
      <w:r>
        <w:t>54. What has emerged from the evidence on record is that COBAT, particularly since September 2022, has not set base auction price levels consistent with the situation of excess supply of exhausted batteries caused by Ecobat's exit from the market. This situation appears to be attributable to COBAT's explanation that the assessment of the base auction price is made by COBAT on volumes of exhausted batteries not yet purchased, for which the company must therefore apply a cautious approach that overestimates rather than underestimates the forecasted purchase cost of the exhausted batteries to be put up for auction. This estimate, moreover, could be particularly complex in periods of changing market conditions that reflect on prices, as occurred for exhausted lead battery waste following Ecobat's exit from the market.</w:t>
      </w:r>
    </w:p>
    <w:p>
      <w:r>
        <w:t>55. This thesis appears to be confirmed by the data provided by Piombifera and Piomboleghe, in the context of this procedure, from which it can be observed that the base prices of COBAT auctions remained relatively competitive compared to market prices until Ecobat's exit from the market. In other words, after the suspension of Ecobat's activity, the base prices of the auctions were not adjusted by COBAT to the descending level of market prices and, therefore, were found to be higher and unprofitable even considering the excess supply that made other sources of supply easily usable. In this sense, Piombifera, in response to the requested information, stated: "the value set as the base price for COBAT auctions has been largely higher than the sale price of batteries practiced by suppliers and by COBAT itself in the context of private negotiations."</w:t>
      </w:r>
    </w:p>
    <w:p>
      <w:r>
        <w:t>56. The auction mechanism adopted with the commitments is also structured according to a system of upward bids relative to a base price. The latter is known to the market, as it is published, and thus represents a reference price that to some extent provides a competitive advantage in the context of private negotiations for potential discounts or even just to match the sale price in this latter channel to the base auction price set by COBAT. From this perspective, therefore, in a situation where there is transparency of the economic conditions of the COBAT auctions and flexibility of choice by buyers, the COBAT auctions tend to be disregarded as a procurement method. Additionally, as highlighted by COBAT, smelters often initiate negotiations for the purchase of exhausted batteries directly with waste holders (collectors) without even utilizing the intermediation activity of the consortia.</w:t>
      </w:r>
    </w:p>
    <w:p>
      <w:r>
        <w:t>57. In this context, in light of the characteristics of the product and the market concerned, particularly as it has developed following the exit of the smelters from COBAT and, therefore, following the implementation of commitment sub i) which concluded procedure I838, the auction tool has not proven useful for obtaining particularly competitive award prices, given the mechanism of bidding relative to the base price which, as seen above, has rather provided an advantage for achieving better prices in the channel of private negotiations to which operators have preferentially oriented themselves over time.</w:t>
      </w:r>
    </w:p>
    <w:p>
      <w:r>
        <w:t>58. For this reason, operators (historical consortia of COBAT) participated in the auctions convened by COBAT only in an initial phase, subsequently deciding to procure through other sales channels.</w:t>
      </w:r>
    </w:p>
    <w:p>
      <w:r>
        <w:t>59. In light of the competition between direct negotiations of exhausted batteries by holders directly with smelters (and with producers) and sales through compliance consortia under EPR (Extended Producer Responsibility) such as COBAT RIPA via COBAT, it is believed that private negotiations are likely to ensure a reasonable level of competitiveness in the market as well as greater flexibility in organizing sales and their timing.</w:t>
      </w:r>
    </w:p>
    <w:p>
      <w:r>
        <w:t>60. Furthermore, due to the outcomes of the auctions (from September 2021 to today) for the allocation of exhausted batteries collected by COBAT (in the free collection mode) and in light of the characteristics and evolution of the market for the sale of exhausted batteries, the changed competitive context has shown the limits of the binding nature of commitment sub ii) and iii) undertaken by COBAT and of commitment no. 2 undertaken by COBAT RIPA as per the decision closing procedure I838.</w:t>
      </w:r>
    </w:p>
    <w:p>
      <w:r>
        <w:t>61. In this situation, then, the conduct of auctions for COBAT, in addition to creating a procedural burden also in terms of timing compared to direct negotiations, has not allowed (from September 2022 to today) the benefit company to allocate quantities through the auction mechanism, significantly reducing the revenue attributable to this intermediation activity based on the comparison presented by COBAT between the volumes and revenue of the early months of 2022 and the corresponding months of 2023.</w:t>
      </w:r>
    </w:p>
    <w:p>
      <w:r>
        <w:t>62. In light of the considerations set forth above, it is believed that the request for review of the commitments submitted by COBAT and COBAT RIPA can be accepted with the revocation of commitment sub ii) and iii) (the latter in the part strictly related to the allocation of exhausted batteries through auctions, i.e. regarding the mechanism and criteria for determining the base auction price) of COBAT and of commitment no. 2 of COBAT RIPA.</w:t>
      </w:r>
    </w:p>
    <w:p>
      <w:r>
        <w:t>20 BULLETIN NO. 30 OF AUGUST 7, 2023</w:t>
      </w:r>
    </w:p>
    <w:p>
      <w:r>
        <w:t>VIII. CONCLUSIONS</w:t>
      </w:r>
    </w:p>
    <w:p>
      <w:r>
        <w:t>63. In conclusion, due to the experience of conducting the auction mechanism for the allocation of exhausted batteries collected by COBAT in the free collection mode after the closure of procedure I838 (from September 2021 to today) and in light of the characteristics and evolution of the market for the sale of exhausted batteries described above, the changed competitive context appears to render the necessity of maintaining the binding nature of commitment sub ii) and iii) (the latter in the part strictly related to the allocation of exhausted batteries through auctions, i.e. regarding the mechanism and criteria for determining the base auction price) of COBAT and of commitment no. 2 of COBAT RIPA obsolete.</w:t>
      </w:r>
    </w:p>
    <w:p>
      <w:r>
        <w:t>THEREFORE, IT IS CONSIDERED that the conditions for the partial revocation of the commitments made binding by the Authority with resolution of June 15, 2021, no. 29718 (closing procedure I838 Restrictions on the purchase of exhausted lead batteries) exist, limited to commitment sub ii) and iii) (the latter in the part strictly related to the allocation of exhausted batteries through auctions, i.e. regarding the mechanism and criteria for determining the base auction price) of COBAT and to commitment no. 2 of COBAT RIPA, all other commitments in the decision remaining binding;</w:t>
      </w:r>
    </w:p>
    <w:p>
      <w:r>
        <w:t>All of the above having been stated and considered:</w:t>
      </w:r>
    </w:p>
    <w:p>
      <w:r>
        <w:t>RESOLVES</w:t>
      </w:r>
    </w:p>
    <w:p>
      <w:r>
        <w:t>a) to accept the request for partial revocation submitted by the company COBAT S.p.A. Benefit Company and COBAT RIPA on October 20, 2022;</w:t>
      </w:r>
    </w:p>
    <w:p>
      <w:r>
        <w:t>b) to partially revoke the commitments made binding by the Authority with resolution of June 15, 2021, no. 29718, limited to commitment sub ii) and iii) (the latter in the part strictly related to the allocation of exhausted batteries through auctions, i.e. regarding the mechanism and criteria for determining the base auction price) of COBAT S.p.A. and to commitment no. 2 of COBAT RIPA, all other commitments in the same decision remaining binding.</w:t>
      </w:r>
    </w:p>
    <w:p>
      <w:r>
        <w:t>Against this decision, an appeal may be filed with the TAR of Lazio, pursuant to Article 135, paragraph 1, letter b), of the Code of Administrative Procedure (Legislative Decree of July 2, 2010, no. 104), within sixty days from the date of notification of the decision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decision itself.</w:t>
      </w:r>
    </w:p>
    <w:p>
      <w:r>
        <w:rPr>
          <w:b/>
        </w:rPr>
        <w:t>[Pages 19–21]</w:t>
      </w:r>
    </w:p>
    <w:p>
      <w:r>
        <w:t>BULLETIN NO. 30 OF AUGUST 7, 2023 21</w:t>
      </w:r>
    </w:p>
    <w:p>
      <w:r>
        <w:t>This decision will be notified to the interested parties and published in the Bulletin of the Italian Competition Authority.</w:t>
      </w:r>
    </w:p>
    <w:p>
      <w:r>
        <w:t>THE SECRETARY GENERAL THE PRESIDENT</w:t>
        <w:br/>
        <w:t>Guido Stazi Roberto Rustichelli</w:t>
      </w:r>
    </w:p>
    <w:p>
      <w:r>
        <w:t>22 BULLETIN NO. 30 OF AUGUST 7, 2023</w:t>
      </w:r>
    </w:p>
    <w:p>
      <w:r>
        <w:t>CONCENTRATION OPERATIONS</w:t>
      </w:r>
    </w:p>
    <w:p>
      <w:r>
        <w:t>C12550 - AUTOTORINO/MERCEDES-BENZ ROMA</w:t>
      </w:r>
    </w:p>
    <w:p>
      <w:r>
        <w:t>Decision No. 30738</w:t>
      </w:r>
    </w:p>
    <w:p>
      <w:r>
        <w:t>THE ITALIAN COMPETITION AUTHORITY</w:t>
      </w:r>
    </w:p>
    <w:p>
      <w:r>
        <w:t>IN ITS MEETING of July 18, 2023;</w:t>
      </w:r>
    </w:p>
    <w:p>
      <w:r>
        <w:t>HEARD the Rapporteur, Saverio Valentino;</w:t>
      </w:r>
    </w:p>
    <w:p>
      <w:r>
        <w:t>HAVING REGARD to Regulation (EC) No. 139/2004 of the Council, of January 20, 2004, concerning the control of concentrations between undertakings;</w:t>
      </w:r>
    </w:p>
    <w:p>
      <w:r>
        <w:t>HAVING REGARD to Law No. 287 of October 10, 1990;</w:t>
      </w:r>
    </w:p>
    <w:p>
      <w:r>
        <w:t>HAVING REGARD to the D.P.R. No. 217 of April 30, 1998;</w:t>
      </w:r>
    </w:p>
    <w:p>
      <w:r>
        <w:t>HAVING REGARD to the communication made by Autotorino S.p.A. received on June 27, 2023;</w:t>
      </w:r>
    </w:p>
    <w:p>
      <w:r>
        <w:t>HAVING REGARD to the documentation on file;</w:t>
      </w:r>
    </w:p>
    <w:p>
      <w:r>
        <w:t>CONSIDERING the following:</w:t>
      </w:r>
    </w:p>
    <w:p>
      <w:r>
        <w:t>I. THE PARTIES</w:t>
      </w:r>
    </w:p>
    <w:p>
      <w:r>
        <w:t>1. Autotorino S.p.A. (hereinafter also "Autotorino") is a company active in the retail sale of motor vehicles (for passenger and commercial transport, new and used) and spare parts, as well as in the provision of after-sales services, in various provinces of Northern Italy. The company is also marginally active in the sale of motorcycles in a limited number of provinces in Northern Italy, and in the sale of motor vehicles and vans to rental/leasing companies throughout the national territory. Autotorino is controlled by an individual who holds 57% of the share capital, of which 10% directly and 47% indirectly through the company Vanini Holding S.r.l. ("Vanini Holding"). The revenue generated in Italy by Autotorino in the financial year 2022 amounts to [1-2]* billion euros.</w:t>
      </w:r>
    </w:p>
    <w:p>
      <w:r>
        <w:t>2. Mercedes-Benz Roma S.p.A. (hereinafter also "MBR" or "Target") is primarily active in the national sale of motor vehicles and vans to companies engaged in financial leasing or rental activities. MBR also operates in the province of Rome, in the retail distribution of: (i) passenger vehicles; (ii) vans; (iii) spare parts for motor vehicles intended for passenger transport and commercial vehicles. MBR is also active, in the same province, in the provision of maintenance and repair services for passenger vehicles and commercial vehicles. These activities will be continued by the Target following the completion of the operation. MBR is controlled by Mercedes-Benz Italia S.p.A. and generated, in the financial year 2022, a revenue of [100-532] million euros.</w:t>
      </w:r>
    </w:p>
    <w:p>
      <w:r>
        <w:t>* In this version, some data are omitted, as elements of confidentiality or secrecy of the information were deemed to exist.</w:t>
      </w:r>
    </w:p>
    <w:p>
      <w:r>
        <w:t>BULLETIN NO. 30 OF AUGUST 7, 2023 23</w:t>
      </w:r>
    </w:p>
    <w:p>
      <w:r>
        <w:t>II. DESCRIPTION OF THE OPERATION</w:t>
      </w:r>
    </w:p>
    <w:p>
      <w:r>
        <w:t>3. The operation consists of the sale by Mercedes-Benz Italia to Autotorino of the shares representing the entire share capital of MBR. As a result of the operation, Autotorino will be the sole shareholder of MBR. The rationale of the operation is, therefore, attributable to Autotorino's intention to extend its retail sale of motor vehicles and vans in a geographical area where it is currently not present. Following the completion of the operation, MBR will change its corporate name and will conclude with the seller the standard contracts used to regulate relations with its sales network. The wholesale sale to companies engaged in financial leasing or rental activities, on the other hand, will not be continued except until the natural expiration of the contracts still in execution (December 31, 2024). No ancillary restrictions are foreseen for the operation.</w:t>
      </w:r>
    </w:p>
    <w:p>
      <w:r>
        <w:t>III. QUALIFICATION OF THE OPERATION</w:t>
      </w:r>
    </w:p>
    <w:p>
      <w:r>
        <w:t>4. The notified operation, as aimed at acquiring exclusive control of an undertaking,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undertakings concerned was over 532 million euros and the total revenue generated, in the last financial year at the national level, by at least two of the undertakings concerned was over 32 million euros.</w:t>
      </w:r>
    </w:p>
    <w:p>
      <w:r>
        <w:t>IV. EVALUATION OF THE OPERATION</w:t>
      </w:r>
    </w:p>
    <w:p>
      <w:r>
        <w:t>The product market</w:t>
      </w:r>
    </w:p>
    <w:p>
      <w:r>
        <w:t>5. From a product perspective, the sectors affected by the operation in question are those in which the target company operates, namely: (i) the retail distribution of new and used passenger vehicles and commercial vehicles; (ii) the retail distribution of spare parts for passenger vehicles and commercial vehicles; (iii) after-sales services for assistance, maintenance, and repair of motor vehicles; and (iv) the wholesale distribution of new and used passenger vehicles and commercial vehicles (in this case, to companies engaged in financial leasing or rental)1.</w:t>
      </w:r>
    </w:p>
    <w:p>
      <w:r>
        <w:t>6. The market under (i) concerns the distribution activity of new and used passenger vehicles and commercial vehicles to end consumers. Manufacturers market their vehicles, in fact, through...</w:t>
      </w:r>
    </w:p>
    <w:p>
      <w:r>
        <w:t>1 See, among others, Decision No. 28273 of June 17, 2020, C12300 - Eurocar Italia/Erre Esse; Decision No. 27594 of March 12, 2019, C12219 - Eurocar Italia/Saottini Auto; Decision No. 27458 of December 12, 2018, C12203 - Eurocar/Dorigoni; Decision No. 26906 of December 13, 2017, C12137 - PAG Italy/Branch of Staremilia; Decision No. 22264 of March 30, 2011, C10979 - TT Holding/Autostella; and Decision No. 20359 of October 1, 2009, C10265 - TT Holding/Camar; see also the European Commission Decisions of August 1, 2018, COMP/M.8963 - Eurocar/Bonaldi and September 10, 2018, COMP/M.9070 - Eurocar/Vicentini.</w:t>
      </w:r>
    </w:p>
    <w:p>
      <w:r>
        <w:rPr>
          <w:b/>
        </w:rPr>
        <w:t>[Pages 22–24]</w:t>
      </w:r>
    </w:p>
    <w:p>
      <w:r>
        <w:t>24 BULLETIN NO. 30 OF AUGUST 7, 2023</w:t>
      </w:r>
    </w:p>
    <w:p>
      <w:r>
        <w:t>through distribution companies (controlled companies or third-party operators) which, in turn, make use of a sales network to customers.</w:t>
      </w:r>
    </w:p>
    <w:p>
      <w:r>
        <w:t>7. Within this market, various segments can be identified, distinguishing between passenger cars and commercial vehicles, new and used vehicles, based on performance, size, and price of the marketed cars. However, distributors frequently offer different types of products (city cars, mid-range, upper-range, etc.) and the differences have been decreasing over the years due to the tendency of car manufacturers to offer more accessories even for medium and small displacement cars. For the purposes of this operation, however, it does not seem necessary to arrive at an exact delimitation of the market.</w:t>
      </w:r>
    </w:p>
    <w:p>
      <w:r>
        <w:t>8. In the context of sector sub ii), related to the retail marketing of spare parts and accessories for passenger cars and commercial vehicles, two categories of products can be identified: original spare parts and equivalent ones (i.e., of corresponding quality). Original spare parts are marketed under the brand of the car manufacturer; equivalent spare parts, on the other hand, are supplied by independent operators in the component sector (who may also supply the same car manufacturers). The prices of equivalent spare parts are significantly lower, varying also depending on the type of spare part considered. However, there is a significant substitutability from the demand side between original and equivalent spare parts of corresponding quality (variable depending on the age and economic class of the vehicle, as well as the type of spare part). From the supply side, moreover, the service centers of car manufacturers can retail both original and equivalent spare parts.</w:t>
      </w:r>
    </w:p>
    <w:p>
      <w:r>
        <w:t>9. The market for after-sales service for vehicles sub iii) is characterized by strong fragmentation of supply. The repair and maintenance activity is carried out by a wide range of operators, such as: a) authorized workshops and dealers; b) independent workshops; c) service stations; d) specialized auto centers; e) quick service assistance. Warranty assistance is instead performed by entities authorized by car manufacturers.</w:t>
      </w:r>
    </w:p>
    <w:p>
      <w:r>
        <w:t>10. With reference to market sub iv), following the guidelines outlined by the European Commission, it can be stated that the wholesale distribution of motor vehicles constitutes a market distinct from that of the retail distribution of motor vehicles, since wholesale sales among professionals have characteristics that are entirely different from those that characterize sales of vehicles from professionals to consumers at the retail level.</w:t>
      </w:r>
    </w:p>
    <w:p>
      <w:r>
        <w:t>The geographical market</w:t>
      </w:r>
    </w:p>
    <w:p>
      <w:r>
        <w:t>11. As for the geographical relevance, the size of the markets sub i), ii), and iii) can be considered local, in light of consumer purchasing behaviors and, in particular, the importance attributed by them to the proximity of sales and assistance points. In the various precedents related to the markets in question, the Authority has defined local markets based on administrative boundaries, identifying markets with a tendency towards provincial size. In this specific case, following this approach, considering the operational scope of the company subject to acquisition, the relevant geographical market could be deemed confined to the province of Rome.</w:t>
      </w:r>
    </w:p>
    <w:p>
      <w:r>
        <w:t>12. Alternatively, it is possible to define local areas taking into account the size of the catchment areas of the individual sales points of the companies involved and the propensity for mobility from the demand side. In this regard, it is possible to hypothesize the existence of a catchment area identified by the areas located around the dealerships of MBR subject to acquisition that can be reached within 40 or 60 minutes of driving for market sub i) and within 20 minutes of driving for markets sub ii) and iii) (hereinafter, the isochrones). With reference to point sub iv), taking into account some precedents, it can be stated that the relevant markets have a broader geographical dimension compared to retail distribution, considering that the demand comes from professional operators active throughout the territory. For the purposes of this operation, however, it does not seem necessary to precisely delineate the geographical extent of the markets, as this would not affect the assessment of the operation in question.</w:t>
      </w:r>
    </w:p>
    <w:p>
      <w:r>
        <w:t>The effects of the operation</w:t>
      </w:r>
    </w:p>
    <w:p>
      <w:r>
        <w:t>13. With reference to markets sub i), ii), and iii), it should be noted that Autotorino is not active in the province of Rome. Therefore, the operation involves merely replacing one operator with another and does not result in any change in the competitive structure. Furthermore, the shares held by MBR in the aforementioned markets are modest:</w:t>
        <w:br/>
        <w:t>- in the retail market for passenger vehicles, MBR's share is [1-5%];</w:t>
        <w:br/>
        <w:t>- in the retail market for commercial vehicles, MBR's share is [5-10%];</w:t>
        <w:br/>
        <w:t>- in the retail market for spare parts for passenger vehicles and commercial vehicles, MBR's share is [1-5%];</w:t>
        <w:br/>
        <w:t>- in the market for the provision of after-sales service, MBR's share is [1-5%].</w:t>
        <w:br/>
        <w:t>In market sub iv) for the sale of passenger vehicles to rental/leasing companies, following the operation, the Autotorino Group will hold a market share of [1-5%]. It should be noted, however, that Autotorino will cease the aforementioned activities upon the expiration of the contracts still in execution. Finally, it is important to keep in mind that in all markets affected by the operation, numerous and qualified competitors are active.</w:t>
      </w:r>
    </w:p>
    <w:p>
      <w:r>
        <w:t>14. In light of the above considerations, the concentration in question does not appear to be capable of hindering competition in the affected markets or of establishing or strengthening a dominant position.</w:t>
      </w:r>
    </w:p>
    <w:p>
      <w:r>
        <w:t>THEREFORE, it is deemed that the operation in question does not significantly hinder effective competition in the relevant market pursuant to Article 6, paragraph 1, of Law No. 287/1990 and does not lead to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decision will be published in the Bulletin of the Italian Competition Authority.</w:t>
      </w:r>
    </w:p>
    <w:p>
      <w:r>
        <w:t>THE SECRETARY GENERAL THE PRESIDENT</w:t>
      </w:r>
    </w:p>
    <w:p>
      <w:r>
        <w:t>Guido Stazi Roberto Rustichelli</w:t>
      </w:r>
    </w:p>
    <w:p>
      <w:r>
        <w:rPr>
          <w:b/>
        </w:rPr>
        <w:t>[Pages 25–27]</w:t>
      </w:r>
    </w:p>
    <w:p>
      <w:r>
        <w:t>BULLETIN NO. 30 OF AUGUST 7, 2023 27</w:t>
      </w:r>
    </w:p>
    <w:p>
      <w:r>
        <w:t>C12535 – ITALIAN PETROLI/ESSO ITALIANA</w:t>
        <w:br/>
        <w:t>Decision No. 30745</w:t>
      </w:r>
    </w:p>
    <w:p>
      <w:r>
        <w:t>THE ITALIAN COMPETITION AUTHORITY</w:t>
      </w:r>
    </w:p>
    <w:p>
      <w:r>
        <w:t>IN ITS MEETING of August 1, 2023;</w:t>
      </w:r>
    </w:p>
    <w:p>
      <w:r>
        <w:t>HEARD the Rapporteur, Professor Elisabetta Iossa;</w:t>
      </w:r>
    </w:p>
    <w:p>
      <w:r>
        <w:t>HAVING REGARD to Council Regulation (EC) No. 139/2004 of January 20, 2004, on the control of concentrations between undertakings;</w:t>
      </w:r>
    </w:p>
    <w:p>
      <w:r>
        <w:t>HAVING REGARD to Law No. 287 of October 10, 1990;</w:t>
      </w:r>
    </w:p>
    <w:p>
      <w:r>
        <w:t>HAVING REGARD to Presidential Decree No. 217 of April 30, 1998;</w:t>
      </w:r>
    </w:p>
    <w:p>
      <w:r>
        <w:t>HAVING REGARD to the communication from Italiana Petroli S.p.A. received on April 11, 2023;</w:t>
      </w:r>
    </w:p>
    <w:p>
      <w:r>
        <w:t>HAVING REGARD to the resolution interrupting the deadlines for incompleteness of the communication, sent to Italiana Petroli S.p.A. and Esso Italiana S.r.l. on May 10, 2023;</w:t>
      </w:r>
    </w:p>
    <w:p>
      <w:r>
        <w:t>HAVING REGARD to the information and documentation sent by Italiana Petroli S.p.A. on May 19 and 23, 2023;</w:t>
      </w:r>
    </w:p>
    <w:p>
      <w:r>
        <w:t>HAVING REGARD to the Authority's resolution of June 13, 2023;</w:t>
      </w:r>
    </w:p>
    <w:p>
      <w:r>
        <w:t>HAVING REGARD to Decision No. 30664 of June 19, 2023, by which the Authority decided to initiate an investigation, pursuant to Article 16, paragraph 4, of Law No. 287/1990, against Italiana Petroli S.p.A. and Esso Italiana S.r.l.;</w:t>
      </w:r>
    </w:p>
    <w:p>
      <w:r>
        <w:t>HAVING REGARD to the request for participation in the proceedings by Eni Sustainable Mobility S.p.A. submitted on July 6, 2023, and accepted on the same date;</w:t>
      </w:r>
    </w:p>
    <w:p>
      <w:r>
        <w:t>HAVING REGARD to the Communication of Investigative Findings sent on July 11, 2023;</w:t>
      </w:r>
    </w:p>
    <w:p>
      <w:r>
        <w:t>HAVING REGARD to the concluding memoranda submitted by Italiana Petroli S.p.A. and Esso Italiana S.r.l. on July 20, 2023, and the final hearing before the College held on July 24, 2023;</w:t>
      </w:r>
    </w:p>
    <w:p>
      <w:r>
        <w:t>HAVING REGARD to the communication of July 20, 2023, in which Italiana Petroli S.p.A. presented corrective measures aimed at addressing the competitive concerns highlighted in the Communication of Investigative Findings;</w:t>
      </w:r>
    </w:p>
    <w:p>
      <w:r>
        <w:t>HAVING REGARD to the documents of the proceedings and the documentation acquired during the investigation;</w:t>
      </w:r>
    </w:p>
    <w:p>
      <w:r>
        <w:t>CONSIDERING the following:</w:t>
      </w:r>
    </w:p>
    <w:p>
      <w:r>
        <w:t>I. THE PARTIES</w:t>
      </w:r>
    </w:p>
    <w:p>
      <w:r>
        <w:t>1. Italiana Petroli S.p.A. (hereinafter, "IP") is a company active in the refining, distribution, and marketing of petroleum products for automotive use. IP is under the exclusive control of Api Holding S.p.A., the parent company of the API group (hereinafter, "API group"). The API group operates at an integrated level in the downstream oil cycle, from crude oil procurement, refining, logistics, to the distribution and sale of products, both on the ordinary network (road and highway) and off-network (wholesale and retail).</w:t>
      </w:r>
    </w:p>
    <w:p>
      <w:r>
        <w:t>In 2022, the consolidated revenue of the API Group was approximately 9.2 billion euros, primarily generated in Italy.</w:t>
      </w:r>
    </w:p>
    <w:p>
      <w:r>
        <w:t>2. Esso Italiana S.r.l. (hereinafter also "Esso Italiana" or "ESSO") is a company active in the downstream sector of refining, marketing, and distribution of petroleum products. The share capital of ESSO is wholly owned by the Belgian company Exxonmobil Petroleum &amp; Chemical BVBA (hereinafter "ESSO group"). ESSO is currently present in the retail market through a so-called branded wholesale organizational model (since in February 2018 it completed the transition by divesting all its owned retail outlets on the road and highway network).</w:t>
      </w:r>
    </w:p>
    <w:p>
      <w:r>
        <w:t>The consolidated global revenue of the ESSO Group was approximately 398.6 billion euros in 2022, of which about 11.5 billion euros were generated exclusively in Italy. The revenue (including sales to controlled and controlling companies) generated by the business branch subject to acquisition in 2021 was approximately [5-6]* billion euros, of which [5-6] billion euros were generated exclusively in Italy.</w:t>
      </w:r>
    </w:p>
    <w:p>
      <w:r>
        <w:t>3. Eni Sustainable Mobility S.p.A. (hereinafter also "ESM" or "ENI"), as an intervening third party, is a company belonging to the Eni group, engaged in bioraffination, marketing, and distribution of all energy carriers for mobility and, therefore, active in the fuel sector, including biofuels, electric recharging at service stations, hydrogen, bitumen, lubricants, and fuels in general, as well as in offering services related to mobility such as car sharing Enjoy, catering, and generally the services present at retail outlets. In 2022, the Eni group achieved a global revenue of approximately 133 billion euros.</w:t>
      </w:r>
    </w:p>
    <w:p>
      <w:r>
        <w:t>II. DESCRIPTION OF THE OPERATION</w:t>
      </w:r>
    </w:p>
    <w:p>
      <w:r>
        <w:t>4. The communicated operation consists of the acquisition of exclusive control by IP of a newly established company in which ESSO will confer its downstream oil activities, excluding the lubricants and chemicals branch. An agreement between the Parties (Sale &amp; Purchase Agreement, hereinafter "SPA") was signed on December 20, 2022 (hereinafter also the Operation).</w:t>
      </w:r>
    </w:p>
    <w:p>
      <w:r>
        <w:t>5. ESSO undertakes, in particular, to confer into the NewCo: (1) its downstream oil activities still present in Italy (excluding the lubricants and chemicals branch); (2) its stakes in the companies Sarpom2 (75.04%), Engycalor3 (100%), and Disma4 (12.5%); (3) its contracts for the supply of bitumen and other products (gasolines and diesel); (4) all its logistical assets, hydrocarbon storage, and its working capital.</w:t>
      </w:r>
    </w:p>
    <w:p>
      <w:r>
        <w:t>The shares of the NewCo will therefore be fully acquired by IP, which will come to hold exclusive control over ESSO's business. IP has emphasized that the operation aims, in particular, to achieve: (i) significant economic and industrial synergies and a reduction of costs necessary to counter the predictable decline in sales volumes (due to the increase in raw material prices and the gradual electrification of the vehicle fleet); (ii) the strengthening of IP's activity in logistics markets, thanks to the integration of ESSO's assets; (iii) the increase in IP's capacity to manage future conversion choices of plants in the perspective of energy transition; and (iv) the company's ability to achieve significant environmental benefits such as the downsizing of the Ancona refinery and the rationalization of refining in the tributary area of the Po Valley with emission advantages for the national system.</w:t>
      </w:r>
    </w:p>
    <w:p>
      <w:r>
        <w:t>6. The Operation is cumulatively subject to obtaining: (i) authorization from the Italian Competition Authority and (ii) Golden Power authorization from the Presidency of the Council of Ministers (the latter was granted on March 7, 2023).</w:t>
      </w:r>
    </w:p>
    <w:p>
      <w:r>
        <w:t>7. Section 27 of the SPA provides for a non-competition clause and stipulates that ESSO shall refrain for a period of five years from engaging in activities in Italy that compete with those subject to the transferred business. This clause, in the Parties' perspective, would be directly connected to the realization of the operation, as it is instrumental in ensuring the full value of the business subject to acquisition, allowing IP to attract ESSO's clientele and fully exploit its know-how. For this reason, IP believes that it should be considered an ancillary restriction to the Operation in question, as it is of a duration strictly necessary for the complete transfer to IP of ESSO's know-how; geographically limited to the territory (Italy) in which the ESSO Group provided the products/services subject to transfer before the transfer of the Business; concerning only the products/services that constitute the subject of ESSO's activity; directed exclusively at the ESSO group.</w:t>
      </w:r>
    </w:p>
    <w:p>
      <w:r>
        <w:t>III. QUALIFICATION OF THE OPERATION</w:t>
      </w:r>
    </w:p>
    <w:p>
      <w:r>
        <w:t>8. The communicated operation constitutes a concentration pursuant to Article 5, paragraph 1, letter b), of Law No. 287/1990, as it involves the acquisition of control of an undertaking. The Operation is subject to the obligation of prior notification provided for by Article 16, paragraph 1, of Law No. 287/1990 as the total revenue generated, in the last financial year at the national level, by the group of interested undertakings exceeded 532 million euros and the total revenue generated individually, in the last financial year at the national level, by at least two of the interested undertakings exceeded 32 million euros5.</w:t>
      </w:r>
    </w:p>
    <w:p>
      <w:r>
        <w:t>The operation does not have European relevance, as both IP and ESSO generate more than two-thirds of their respective revenues in Italy (see Article 1, paragraph 2, of Regulation (EC) No. 139/2004).</w:t>
      </w:r>
    </w:p>
    <w:p>
      <w:r>
        <w:t>9. The above-described non-competition obligation can be considered an ancillary restriction to the Operation limited to the products and services that constitute the subject of the activities.</w:t>
      </w:r>
    </w:p>
    <w:p>
      <w:r>
        <w:t>5 See Decision No. 30507 of March 14, 2023.</w:t>
      </w:r>
    </w:p>
    <w:p>
      <w:r>
        <w:rPr>
          <w:b/>
        </w:rPr>
        <w:t>[Pages 28–30]</w:t>
      </w:r>
    </w:p>
    <w:p>
      <w:r>
        <w:t>30 BULLETIN NO. 30 OF AUGUST 7, 2023</w:t>
      </w:r>
    </w:p>
    <w:p>
      <w:r>
        <w:t>economic activities transferred, to the geographical area of the acquired activities and limited to a duration of two years6, given that IP is already present in the relevant markets.</w:t>
      </w:r>
    </w:p>
    <w:p>
      <w:r>
        <w:t>IV. THE INITIATION OF THE PROCEDURE AND THE INVESTIGATIVE ACTIVITY</w:t>
      </w:r>
    </w:p>
    <w:p>
      <w:r>
        <w:t>10. Following the notification of the Concentration, the Authority, on May 10, 2023, decided to suspend the deadlines due to incomplete information provided. On May 23, 2023, the notifying party completed the submission of the requested supplementary information.</w:t>
      </w:r>
    </w:p>
    <w:p>
      <w:r>
        <w:t>11. On June 19, 2023, the Authority initiated an investigation pursuant to Article 16, paragraph 4 of Law No. 287/1990, against Italiana Petroli S.p.A. and Esso Italiana S.r.l.7 (hereinafter also jointly referred to as "the Parties"), believing that the Operation was likely to significantly hinder effective competition, pursuant to Article 6, paragraph 1, of Law No. 287/1990, particularly due to the establishment or strengthening of a dominant position in the wholesale markets for petroleum products off-network (distinguished by each type of product), in the retail markets for petroleum products off-network (distinguished by each type of product), in the market for the distribution of fuels for road vehicles on the ordinary road network and in the market for the distribution of fuels for road vehicles on the motorway network, as well as in the local segments of each of these markets.</w:t>
      </w:r>
    </w:p>
    <w:p>
      <w:r>
        <w:t>12. Even before the initiation of the investigation, numerous requests for information had been sent to third parties. In particular, information was requested from other operators active in the markets for fuel distribution on the road network (ordinary and motorway)8, from competitors active in the off-network sale of petroleum products9, from entities that purchase ESSO fuels to exclusively supply retail outlets operating under that brand (the so-called branded wholesalers, see infra)10, and from numerous customers of the Parties in the off-network markets (over 630, both B2B and B2C types, see infra)11. All these entities provided feedback (requests for information from network competitors, off-network and BW of ESSO)12 while about two-thirds (approximately 430) of the customers in the off-network markets responded to the questionnaire. Prior to the initiation, on April 18, 2023, the company Eurogarage Italia S.p.A. (hereinafter also "EGI"), the branded wholesaler that supplies the largest number of ESSO-branded retail outlets with fuels from that company (see infra), was heard in a hearing.</w:t>
      </w:r>
    </w:p>
    <w:p>
      <w:r>
        <w:t>13. During the investigation, further requests for information were also sent to the Parties, which were promptly responded to13.</w:t>
      </w:r>
    </w:p>
    <w:p>
      <w:r>
        <w:t>6 See, in this regard, the Commission Communication on restrictions directly related and necessary to concentrations (2005/C-56/03), in particular paragraph 20.</w:t>
      </w:r>
    </w:p>
    <w:p>
      <w:r>
        <w:t>7 See doc. 624 and 628 (decision to initiate investigation, No. 30644).</w:t>
      </w:r>
    </w:p>
    <w:p>
      <w:r>
        <w:t>8 See doc. 103, 105, 163, 71, 219, 158, 156, 119, 618, 113, 275, 167, 218, 89, 70, 86, 85, 282, 82, 212, 61, 216, 34, 28.</w:t>
      </w:r>
    </w:p>
    <w:p>
      <w:r>
        <w:t>9 See doc. 10, 31, 103, 105, 71, 76, 26, 83, 14, 37, 18, 180, 23, 78, 19, 72, 17, 60, 22, 61, 77, 13, 35, 11, 32, 20, 88, 12, 33, 8, 29, 24, 79, 9, 30, 16, 40, 25, 80.</w:t>
      </w:r>
    </w:p>
    <w:p>
      <w:r>
        <w:t>10 See doc. 283, 299, 273, 298, 216, 301, 296, 302, 277, 276, 599, 294, 291, 275, 288, 293, 290, 282, 289, 287, 279, 274.</w:t>
      </w:r>
    </w:p>
    <w:p>
      <w:r>
        <w:t>11 See doc. 263.</w:t>
      </w:r>
    </w:p>
    <w:p>
      <w:r>
        <w:t>12 See responses from off-network operators doc. 572, 607, 568, 584, 569, 504, 522, 315, 571, 400, 588, 565, 414, 513, 157, 330, 346, 292, 573, 211, 227, 566, 575, 577; BW responses: 553, 627, 600, 591, 601, 634, 582, 626, 550, 558, 615, 620, 621, 594, 567, 576, 592, 593, 645, 608, 581, 602, 603, 563, 630, 605, 617; Network responses: 572, 584, 568, 574, 564, 609, 596, 597, 619, 552, 642, 578, 576, 228, 570, 583, 586, 515, 379, 554, 598, 622, 592, 595, 555, 473, 644, 643.</w:t>
      </w:r>
    </w:p>
    <w:p>
      <w:r>
        <w:t>13 See doc. 625 and 629 and related responses doc. 639, 640, 641, 650.</w:t>
      </w:r>
    </w:p>
    <w:p>
      <w:r>
        <w:t>BULLETIN NO. 30 OF AUGUST 7, 2023 31</w:t>
      </w:r>
    </w:p>
    <w:p>
      <w:r>
        <w:t>14. On July 6, 2023, ENI submitted a request to participate in the procedure, which was accepted on the same date14.</w:t>
      </w:r>
    </w:p>
    <w:p>
      <w:r>
        <w:t>15. During the investigative procedure, IP and ESSO were heard jointly (on July 6, 202315) and ENI (on July 10, 2023)16. IP, ESSO, and ENI exercised their right of access to the documents17.</w:t>
      </w:r>
    </w:p>
    <w:p>
      <w:r>
        <w:t>16. On July 11, 2023, the Communication of Investigative Findings (hereinafter also CRI) was sent to the Parties. On July 13 and 14, 2023, the economic and legal advisors of IP and ESSO then had access via the data-room to the information provided by competitors and their customers18, information used to reach the allegations raised in the communication of investigative findings19.</w:t>
      </w:r>
    </w:p>
    <w:p>
      <w:r>
        <w:t>17. The Parties and ENI requested to participate in the final hearing20 and submitted final submissions on July 2021. The final hearing took place before the College on July 2422.</w:t>
      </w:r>
    </w:p>
    <w:p>
      <w:r>
        <w:t>V. INVESTIGATIVE FINDINGS</w:t>
      </w:r>
    </w:p>
    <w:p>
      <w:r>
        <w:t>18. The Operation under examination involves two of the main oil groups active in the Italian territory and is of national importance for the entire sector downstream of oil refining, consisting of the sale of petroleum products and bitumen. This sale, in addition to originating from the same refineries or from the loading plants and bases located in the Italian territory (as in the case of sales of so-called off-network petroleum products and bitumen), occurs, in the case of fuels for road vehicles, also through the retail distribution networks spread across ordinary roads and Italian motorways.</w:t>
      </w:r>
    </w:p>
    <w:p>
      <w:r>
        <w:t>19. Due to the operations of the acquired company, the operation results in horizontal overlaps in the markets for off-network wholesale and retail distribution of petroleum products, in the retail distribution markets for fuels for road vehicles on the ordinary road network and motorway, and in the market for the marketing of traditional road bitumen23.</w:t>
      </w:r>
    </w:p>
    <w:p>
      <w:r>
        <w:t>14 See doc. 652 and 655.</w:t>
      </w:r>
    </w:p>
    <w:p>
      <w:r>
        <w:t>15 See doc. 659.</w:t>
      </w:r>
    </w:p>
    <w:p>
      <w:r>
        <w:t>16 See doc. 715.</w:t>
      </w:r>
    </w:p>
    <w:p>
      <w:r>
        <w:t>17 See doc. 637, 638, 661, 662, 728, and 730.</w:t>
      </w:r>
    </w:p>
    <w:p>
      <w:r>
        <w:t>18 See doc. 737.</w:t>
      </w:r>
    </w:p>
    <w:p>
      <w:r>
        <w:t>19 The consultants then drafted the non-confidential report that was sent respectively to IP and ESSO (see doc. 741 and 742).</w:t>
      </w:r>
    </w:p>
    <w:p>
      <w:r>
        <w:t>20 See doc. 734, 736, and 740. ENI subsequently withdrew the previously submitted request (see doc. 748).</w:t>
      </w:r>
    </w:p>
    <w:p>
      <w:r>
        <w:t>21 See doc. 745, 746, 747.</w:t>
      </w:r>
    </w:p>
    <w:p>
      <w:r>
        <w:t>22 See doc. 753.</w:t>
      </w:r>
    </w:p>
    <w:p>
      <w:r>
        <w:t>23 With regard to the market for the marketing of traditional road bitumen, in the cited initiation decision, the suitability of the operation to lead to the establishment or strengthening of a dominant position of the Parties or a significant obstacle to competition was excluded based on the available data that allowed estimating the market share that the Parties would hold in a catchment area constructed with a radius greater than 300 km (a distance that, in some previous cases of the Authority, has been hypothesized as the effective distance within which the product is generally sold, while recognizing the possibility that, in fact, companies may be able to serve any customer in the Italian territory, even at greater distances). The merging parties are also both active in the markets of refining and oil logistics, positioned upstream of the aforementioned distribution and sale markets of petroleum and bituminous products. However, both in the case of refining and in that of oil logistics, the entirety of the production is captive, meaning it is currently used by the Parties solely for their own sales (network and off-network) in the downstream markets of petroleum and bituminous products. The effects of the Operation on consumers, therefore, can be assessed by considering the overlaps of the same in these latter markets (net of any vertical effects).</w:t>
      </w:r>
    </w:p>
    <w:p>
      <w:r>
        <w:t>V.1 Markets for the wholesale and retail sale of off-network petroleum products</w:t>
      </w:r>
    </w:p>
    <w:p>
      <w:r>
        <w:t>V.1.1. Definition of the markets</w:t>
      </w:r>
    </w:p>
    <w:p>
      <w:r>
        <w:t>20. The Parties are active in the off-network sale markets of petroleum products and, in particular, of gasoline, diesel for road vehicles, agricultural diesel, heating diesel, marine diesel, LPG, kerosene, and fuel oils, where each product represents a distinct commodity category24. Each of these markets can theoretically be divided into off-network wholesale and retail markets, although this distinction may in some cases be blurred25. The Parties have, in any case, distinguished, in the data provided, the values of sales made in the wholesale segment (identified as business-to-business - hereinafter also "B2B" - i.e., sales made by oil companies to large retailers in the primary distribution phase) and those made in the retail segment (identified as business-to-customers - hereinafter also "B2C" - i.e., off-network sales made to end users of such petroleum products, including individual service stations and belonging to a secondary phase of distribution)26.</w:t>
      </w:r>
    </w:p>
    <w:p>
      <w:r>
        <w:t>21. Based on what has been described regarding the distributors affiliated with oil companies (including those affiliated through the so-called BW contracts), the off-network B2B and B2C markets towards third-party customers (intermediaries, end consumers, or individual plants that do not use the company's brand nor have exclusive purchasing ties with it) do not include the product transfers of the Parties to retail distributors that display their own brand and are affiliated with them in various ways.</w:t>
      </w:r>
    </w:p>
    <w:p>
      <w:r>
        <w:t>22. The geographical extent of the market, in line with the recent practice of the Authority27, should be identified in traceable user basins, using a certain radius around each facility used for the sale of the aforementioned petroleum products.</w:t>
      </w:r>
    </w:p>
    <w:p>
      <w:r>
        <w:t>23. The Parties argued, in the notification, that the geographical extent of the off-network B2B and B2C markets for petroleum products would be, respectively, macro-regional (for B2B markets) and provincial (for B2C markets) and, using this criterion, provided an estimate of their market shares solely for the so-called "relevant markets," i.e., for those in which the joint share of the Parties exceeds 15%. Based on this information, the Operation involved reaching significant joint shares in some cases, both in B2B and B2C markets.</w:t>
      </w:r>
    </w:p>
    <w:p>
      <w:r>
        <w:t>24. As highlighted in the initiation decision, this approach is not shareable, as it does not reflect - nor, in light of the scope of the Operation and the available information, can it be justified - the actual competitive dynamics in the relevant markets.</w:t>
      </w:r>
    </w:p>
    <w:p>
      <w:r>
        <w:rPr>
          <w:b/>
        </w:rPr>
        <w:t>[Pages 31–33]</w:t>
      </w:r>
    </w:p>
    <w:p>
      <w:r>
        <w:t>BULLETIN NO. 30 OF AUGUST 7, 2023 33</w:t>
      </w:r>
    </w:p>
    <w:p>
      <w:r>
        <w:t>approximating in any way - the criterion used by the Authority in the most recent practice, consisting of a substantial analysis that takes into account the actual shipping distances of the products and, therefore, the actual constraint represented by transportation costs, regardless of the administrative boundaries in which the plants are located.</w:t>
      </w:r>
    </w:p>
    <w:p>
      <w:r>
        <w:t>25. To this end, the Authority requested the notifying Party, in the aforementioned request for information interrupting the deadlines for the assessment of the notified Operation, necessary information, on the one hand, for the construction of catchment areas (hereinafter also "CA") traceable around the Parties' plants and, on the other hand, for reconstructing their market position, in terms of volumes sold from such logistical bases.</w:t>
      </w:r>
    </w:p>
    <w:p>
      <w:r>
        <w:t>26. In particular, local markets were traced around the logistical bases used by IP to carry out off-network sales, using a radius of 150 km. In order to define this geographical dimension, the Authority submitted an online questionnaire to over 630 buyers of petroleum products sold by the Parties, who are also their main customers, in the off-network B2B and B2C markets.</w:t>
      </w:r>
    </w:p>
    <w:p>
      <w:r>
        <w:t>27. Based on the information collected, resulting from the aforementioned mass consultation of the interested parties, it was possible to deduce that the distance within which shipments of such petroleum products occur - and, therefore, the radius to be used for defining the plants belonging to each catchment area - is equal to 150 km from the suppliers' depots for both B2B and B2C markets.</w:t>
      </w:r>
    </w:p>
    <w:p>
      <w:r>
        <w:t>28. From the results of this questionnaire, in fact, to which over two-thirds of the interviewed subjects (430) responded, it emerged that 80% of these operators, active in the B2B and/or B2C markets, source from logistical bases located within a distance of 150 km.</w:t>
      </w:r>
    </w:p>
    <w:p>
      <w:r>
        <w:t>V.1.2. The market position of the Parties</w:t>
      </w:r>
    </w:p>
    <w:p>
      <w:r>
        <w:t>29. In order to reconstruct the market position of IP and ESSO in the local markets centered around IP's depots, the information provided by the Parties regarding the sales of each individual petroleum product from each base falling within these geographical markets was used. In fact, the information requested from IP also allowed for the identification of the set of bases (used by the Parties and competitors) belonging to these catchment areas and that, therefore, can be considered in competition with the logistical base from which off-network sales are made by IP located at the center of the same CA (centroid).</w:t>
      </w:r>
    </w:p>
    <w:p>
      <w:r>
        <w:t>30. Additionally, in the perspective of reconstructing the volumes of sales overall made - by the Parties and competitors - within these defined geographical markets, requests were sent to the main market operators active in the off-network market.</w:t>
      </w:r>
    </w:p>
    <w:p>
      <w:r>
        <w:t>31. Therefore, using the data provided by the Parties and third parties active in these markets, their market position was estimated, in terms of volumes sold in the off-network channel, starting from the logistical bases located within 150 km from the bases used by IP to carry out such sales.</w:t>
      </w:r>
    </w:p>
    <w:p>
      <w:r>
        <w:t>32. The tables that follow (see tables 1-4) show the market shares of the Parties in the B2B markets of individual petroleum products, for the catchment areas in which they, following the Operation, would hold a joint market share exceeding 40%, as a result of an increase attributable to the concentration, of at least 3%.</w:t>
      </w:r>
    </w:p>
    <w:p>
      <w:r>
        <w:t>Table 1 – off-network B2B gasoline sales</w:t>
        <w:br/>
        <w:t>Base centroid name IP ESSO IP + ESSO</w:t>
        <w:br/>
        <w:t>Trecate San Martino [1-5%] [45-50%] [45-50%]</w:t>
        <w:br/>
        <w:t>Trecate SARPOM [1-5%] [45-50%] [45-50%]</w:t>
        <w:br/>
        <w:t>Savona [5-10%] [35-40%] [40-45%]</w:t>
        <w:br/>
        <w:t>SIGEMI – Lacchiarella [1-5%] [45-50%] [45-50%]</w:t>
        <w:br/>
        <w:t>SIGEMI – Arquata [1-5%] [45-50%] [50-55%]</w:t>
        <w:br/>
        <w:t>Napoli – Sonatrach [5-10%] [40-45%] [45-50%]</w:t>
        <w:br/>
        <w:t>Napoli – Q8 [5-10%] [40-45%] [45-50%]</w:t>
      </w:r>
    </w:p>
    <w:p>
      <w:r>
        <w:t>Table 2 – off-network B2B LPG sales</w:t>
        <w:br/>
        <w:t>Base centroid name IP ESSO IP + ESSO</w:t>
        <w:br/>
        <w:t>Trecate SARPOM [1-5%] [70-75%] [75-80%]</w:t>
      </w:r>
    </w:p>
    <w:p>
      <w:r>
        <w:t>Table 3 – off-network B2B heating oil sales</w:t>
        <w:br/>
        <w:t>Base centroid name IP ESSO IP + ESSO</w:t>
        <w:br/>
        <w:t>SIGEMI – Arquata [1-5%] [50-55%] [55-60%]</w:t>
        <w:br/>
        <w:t>SIGEMI – San Quirico [5-10%] [35-40%] [45-50%]</w:t>
      </w:r>
    </w:p>
    <w:p>
      <w:r>
        <w:t>Table 4 – off-network B2B kerosene sales</w:t>
        <w:br/>
        <w:t>Base centroid name IP ESSO IP + ESSO</w:t>
        <w:br/>
        <w:t>Trecate SARPOM [15-20%] [45-50%] [60-65%]</w:t>
      </w:r>
    </w:p>
    <w:p>
      <w:r>
        <w:t>33. As can be seen from tables 1-4, the Operation results in a significant growth of the Parties' position, up to a cumulative share exceeding 40%, in eleven local markets related to gasoline, LPG, heating oil, and kerosene. These markets, generally defined around the same IP plants (used for the sale of multiple petroleum products), concern the northwestern area of the Country and, in the case of gasoline and diesel, also the Naples area.</w:t>
      </w:r>
    </w:p>
    <w:p>
      <w:r>
        <w:t>34. Regarding B2C, the following tables (see tables 5-6) report the market shares held by the Parties in the respective local markets of individual petroleum products, referring, in this case as well, to only the catchment areas in which these shares would reach, following the Operation, a level exceeding 40% and would be increased by the Operation itself by an amount of at least 3%.</w:t>
      </w:r>
    </w:p>
    <w:p>
      <w:r>
        <w:t>Table 5 – off-network B2C diesel sales</w:t>
        <w:br/>
        <w:t>Base centroid name IP ESSO IP + ESSO</w:t>
        <w:br/>
        <w:t>Savona [25-30%] [10-15%] [40-45%]</w:t>
      </w:r>
    </w:p>
    <w:p>
      <w:r>
        <w:t>Table 6 – off-network B2C heating oil sales</w:t>
        <w:br/>
        <w:t>Base centroid name IP ESSO IP + ESSO</w:t>
        <w:br/>
        <w:t>Trecate SARPOM [15-20%] [40-45%] [60-65%]</w:t>
        <w:br/>
        <w:t>SIGEMI – Lacchiarella [20-25%] [45-50%] [65-70%]</w:t>
        <w:br/>
        <w:t>SIGEMI – Arquata [20-25%] [45-50%] [65-70%]</w:t>
        <w:br/>
        <w:t>SIGEMI – San Quirico [20-25%] [50-55%] [75-80%]</w:t>
        <w:br/>
        <w:t>Chivasso [20-25%] [50-55%] [70-75%]</w:t>
      </w:r>
    </w:p>
    <w:p>
      <w:r>
        <w:t>35. The previous tables show that, even with reference to the B2C market, there are six catchment areas, all located in the northwestern area of the Country, in which the Operation entails a very significant growth of the joint market share to a level exceeding 40% (sometimes significantly, up to levels that can exceed 75%), in the sales of diesel and heating oil.</w:t>
      </w:r>
    </w:p>
    <w:p>
      <w:r>
        <w:t>V.2 Fuel distribution markets for road and highway use</w:t>
      </w:r>
    </w:p>
    <w:p>
      <w:r>
        <w:t>V.2.1 Definition of markets</w:t>
      </w:r>
    </w:p>
    <w:p>
      <w:r>
        <w:t>36. The market for the distribution of fuels for road use on the ordinary road network, according to the Authority's practice, is distinct from the market for the distribution of fuels for road use on the highway network. Conversely, these markets do not present, within themselves, a segmentation with respect to the type of fuel offered.</w:t>
      </w:r>
    </w:p>
    <w:p>
      <w:r>
        <w:t>37. With reference to the geographical extent of the market, in line with the practice adopted in previous cases, it is necessary to define the breadth of the market taking into account the actual substitutability links existing between plants from the perspective of final consumers. From the consumer's point of view, in fact, competition occurs at the local level, among the various plants located in the territory. Therefore, local markets have been identified by resorting to the definition of catchment areas, i.e. geographical areas identified around the plants of one of the Parties (so-called "centroids") based on a certain radius, definable in terms of distance or travel time (in the latter case referred to as "isochrones").</w:t>
      </w:r>
    </w:p>
    <w:p>
      <w:r>
        <w:t>38. This radius, in the Authority's most recent practice, has been set at 20 km for the ordinary road network and 100 km for the highway network. Also in order to verify the appropriateness of this radius,</w:t>
      </w:r>
    </w:p>
    <w:p>
      <w:r>
        <w:rPr>
          <w:b/>
        </w:rPr>
        <w:t>[Pages 34–36]</w:t>
      </w:r>
    </w:p>
    <w:p>
      <w:r>
        <w:t>36 BULLETIN NO. 30 OF AUGUST 7, 2023</w:t>
      </w:r>
    </w:p>
    <w:p>
      <w:r>
        <w:t>and thus the scope of the market under consideration, the Authority commissioned the company SWG S.p.A. Benefit Company (hereinafter also SWG) to conduct a market research survey, carried out through the administration of a questionnaire to a representative sample - on a national basis - of consumers who regularly refuel with fuels.</w:t>
      </w:r>
    </w:p>
    <w:p>
      <w:r>
        <w:t>39. Through the survey, their behavior in terms of travel habits was investigated, specifically asking respondents to indicate the driving distance in minutes they would travel to find an alternative to the station where they last refueled in the event that they found it closed.</w:t>
      </w:r>
    </w:p>
    <w:p>
      <w:r>
        <w:t>40. In this regard, the responses to the survey highlighted the distribution of travel times reported in the following table, from which it emerges that a wide majority of consumers - about 88% - travel to find a refueling station on the ordinary network within a distance of 15 minutes from the closed station.</w:t>
      </w:r>
    </w:p>
    <w:p>
      <w:r>
        <w:t>Table 7 – Consumer Mobility on the Ordinary Network</w:t>
        <w:br/>
        <w:t>Driving Time Percentage in terms of number of respondents (%)</w:t>
        <w:br/>
        <w:t>Up to 5 minutes 26%</w:t>
        <w:br/>
        <w:t>Between 5 and 10 minutes 37%</w:t>
        <w:br/>
        <w:t>Between 10 and 15 minutes 25%</w:t>
        <w:br/>
        <w:t>Between 15 and 20 minutes 8%</w:t>
        <w:br/>
        <w:t>Between 20 and 30 minutes 2%</w:t>
        <w:br/>
        <w:t>Over 30 minutes 1%</w:t>
        <w:br/>
        <w:t>Source and elaborations: AGCM processing on SWG survey data</w:t>
      </w:r>
    </w:p>
    <w:p>
      <w:r>
        <w:t>41. The responses provided by consumers in the survey therefore allow us to assert that fuel purchases on the ordinary network do not extend beyond the boundaries of isochrones of 15 minutes and, on this basis, in line with the Authority's practice, it is possible to define the relevant geographic market.</w:t>
      </w:r>
    </w:p>
    <w:p>
      <w:r>
        <w:t>42. Regarding the motorway network, the survey commissioned by the Authority allowed for the verification of the adequacy of the market scope of the product in question as previously considered. In particular, it emerged that consumers, when looking for an alternative refueling station to the one found closed on the motorway, are willing in 94% of cases to travel up to 60 km.</w:t>
      </w:r>
    </w:p>
    <w:p>
      <w:r>
        <w:t>Table 8 – Consumer Mobility on the Motorway Network</w:t>
        <w:br/>
        <w:t>Driving Time Percentage in terms of number of respondents (%)</w:t>
        <w:br/>
        <w:t>Up to 20 km 40%</w:t>
        <w:br/>
        <w:t>Between 20 and 40 km 35%</w:t>
        <w:br/>
        <w:t>Between 40 and 60 km 19%</w:t>
        <w:br/>
        <w:t>Between 60 and 80 km 4%</w:t>
        <w:br/>
        <w:t>Over 80 km 2%</w:t>
        <w:br/>
        <w:t>Source and elaborations: AGCM processing on SWG survey data</w:t>
      </w:r>
    </w:p>
    <w:p>
      <w:r>
        <w:t>43. Therefore, in light of the responses provided by consumers in the survey, it is believed that the correct geographical dimension of the market for fuel purchases on the motorway network is identified by the area delineated within a radius of 60 km from the stations located at the center of the isochrones.</w:t>
      </w:r>
    </w:p>
    <w:p>
      <w:r>
        <w:t>V.2.2. Management Forms in the Fuel Distribution Market: The Presence of IP and ESSO</w:t>
      </w:r>
    </w:p>
    <w:p>
      <w:r>
        <w:t>44. The refueling stations operating on the road and motorway networks under the brands (also called "colors" or "flags") of oil companies can generally be grouped into the following types, based on the possible configurations of ownership and management structures:</w:t>
      </w:r>
    </w:p>
    <w:p>
      <w:r>
        <w:t>- company-owned and operated sales points (Company Owned and Company Operated - “COCO”);</w:t>
        <w:br/>
        <w:t>- sales points leased from the company and operated by it (Company Leased and Company Operated - “CLOCO”);</w:t>
        <w:br/>
        <w:t>- company-owned sales points operated by a third-party dealer, who purchases fuel from the company (Company Owned and Dealer Operated - “CODO”);</w:t>
        <w:br/>
        <w:t>- sales points leased by the company from third parties and operated by a third-party dealer, who purchases fuel from the company (Company Leased and Dealer Operated - “CLODO”);</w:t>
        <w:br/>
        <w:t>- sales points owned by third parties and operated by third-party dealers who exclusively purchase fuel from the company (Dealer Owned and Dealer Operated - “DODO”);</w:t>
        <w:br/>
        <w:t>- ESSO operates in Italy through a proprietary-management structure akin to DODO, which takes the form of contractual relationships with a "branded" wholesaler (referred to as branded wholesaler or BW) that exclusively purchases fuel from the oil company and simultaneously grants the sales points (whether managed by itself or by third parties also through forms of agreements such as CODO, DODO) a sublicense to use the company's brand.</w:t>
      </w:r>
    </w:p>
    <w:p>
      <w:r>
        <w:t>45. In cases of management by a third party, transfer prices are generally set through two methods: (1) the List Price formula, in which the company supplies fuel to the manager at a price established based on a discount from a retail price recommended by the company itself (but not directly binding for the manager); (2) the Platts+ formula, which consists of a predetermined selling price established based on the international Platts quotation of petroleum products, to which an additional component is added; (3) in the case of BW, the transfer price is set [omissis].</w:t>
      </w:r>
    </w:p>
    <w:p>
      <w:r>
        <w:t>46. With reference to the latter, it is noted that [omissis].</w:t>
      </w:r>
    </w:p>
    <w:p>
      <w:r>
        <w:t>47. [omissis].</w:t>
      </w:r>
    </w:p>
    <w:p>
      <w:r>
        <w:t>48. IP and ESSO are active, even indirectly, in the distribution of fuels, through distribution networks configured in various ways in terms of ownership, management, and contractual arrangements. In particular, some "contracted" stations under the IP brand and stations bearing the ESSO brand would not be owned by the post-merger entity but would be contractually linked to it with exclusive constraints that often [omissis]. Therefore, these are stations exclusively designated for the sale of products from the oil companies whose brand they display.</w:t>
      </w:r>
    </w:p>
    <w:p>
      <w:r>
        <w:t>49. It seems appropriate to examine in greater detail the contractual relationships between the Parties and the distribution networks under their own brand, as ESSO and IP claim not to be horizontal competitors in the retail market due to the absence of ESSO in that market with directly managed distribution stations (company operated: COCO, CLOCO).</w:t>
      </w:r>
    </w:p>
    <w:p>
      <w:r>
        <w:t>50. ESSO is neither the owner nor in a managerial position of the sales points under its brand. The company has, in fact, sold the ownership of such sales points to third parties in recent years, simultaneously concluding with these parties wholesale agreements called "branded wholesale" (or branded wholesale agreement “BWA”) and has established that these parties, "branded wholesalers" (also referred to as "BW"), contract a certain number of sales points under the ESSO brand. ESSO has also set contractual constraints for exclusive supply of fuels under its brand [omissis] similar or entirely comparable to those used in the retail distribution networks of other oil companies. Such contracts have a multi-year duration [omissis]. ESSO claims, in light of this structure, that it is not active in retail distribution, but only engages in wholesale sales such as those to BW and, therefore, is present only at the extra-network level.</w:t>
      </w:r>
    </w:p>
    <w:p>
      <w:r>
        <w:t>51. IP, with a similar argument, has claimed that the IP acquiring group should correctly be attributed in the retail distribution market only the sales points it directly manages, thus excluding the sales points that, while using the [omissis].</w:t>
      </w:r>
    </w:p>
    <w:p>
      <w:r>
        <w:rPr>
          <w:b/>
        </w:rPr>
        <w:t>[Pages 37–39]</w:t>
      </w:r>
    </w:p>
    <w:p>
      <w:r>
        <w:t>BULLETIN NO. 30 OF AUGUST 7, 2023 39</w:t>
      </w:r>
    </w:p>
    <w:p>
      <w:r>
        <w:t>the IP brand, are not in fact managed by the company (these are the so-called "dealer operated" sales points, namely CODO, CLODO, and DODO).</w:t>
      </w:r>
    </w:p>
    <w:p>
      <w:r>
        <w:t>52. With specific regard to the contractual relationships between ESSO and the BW, the BWA (branded wholesaler agreement) contracts of ESSO submitted by the Party [omissis] have been examined.</w:t>
      </w:r>
    </w:p>
    <w:p>
      <w:r>
        <w:t>53. First of all, the BWA contracts provide, in addition to the exclusivity obligation that the BW must guarantee regarding the full supply of the sales points under the ESSO brand [omissis]. [omissis].</w:t>
      </w:r>
    </w:p>
    <w:p>
      <w:r>
        <w:t>54. The distribution form adopted by ESSO does not appear to deviate significantly from the similar distribution methods known as CODO or DODO that the Authority has always assessed as part of the distribution network of the oil company that exclusively supplies its branded sales points. For this reason, the position of IP regarding sales made by distributors under its brand contracted in CODO and DODO modes cannot be shared.</w:t>
      </w:r>
    </w:p>
    <w:p>
      <w:r>
        <w:t>55. In fact, the wholesale sale in the off-network market to companies ("white pumps") that decide how much of the products to purchase from suppliers active in that market, the contractual duration, and the commercial policy in retail resale is substantially different from the situation that arises with BW contracts in which wholesalers, like the contractual solutions CODO and DODO, have a multi-year obligation to purchase products exclusively from the oil company and the sale of products occurs in facilities fully supplied by the supplying oil company, with its brand and with [omissis]. In this context, as will be more specifically argued in the section "Assessments," the decisions of oil companies that use such distribution models are destined to fully impact downstream distribution levels (up to affecting the retail price), if only due to the exclusivity supply obligations associated with the use of the brand. ESSO itself, moreover, systematically states in its financial statements that it is present in the fuel distribution market on the network, asserting that "Esso Italiana operates - even indirectly - through a branded fuel distribution network."</w:t>
      </w:r>
    </w:p>
    <w:p>
      <w:r>
        <w:t>56. In line with the Authority's precedents, therefore, the analysis of the structure of the relevant markets has been carried out considering the consistency of the networks and the volumes supplied by all facilities bearing the same brand, whether they are owned by the vertically integrated operator or are linked to it, even indirectly, by contractual ties.</w:t>
      </w:r>
    </w:p>
    <w:p>
      <w:r>
        <w:t>57. At the same time, the specificities of the distribution relationships that characterize the IP network and the ESSO network have been duly considered in the analysis of unilateral effects carried out through the GUPPI index (see infra).</w:t>
      </w:r>
    </w:p>
    <w:p>
      <w:r>
        <w:t>58. In order to have as precise a picture as possible of the structure of the (almost 4000) local markets affected by the concentration operation also in terms of volumes, during the investigation activity, specific requests for information were made to acquire detailed data on the quantities of fuel supplied by each of the branded distributors as well as from the white pumps of the major retailers. The acquired data - which cover a large part of the total number of facilities present in the local markets - have been used to reconstruct the structure of the local markets based on the volumes actually supplied by the facilities present therein during 2022.</w:t>
      </w:r>
    </w:p>
    <w:p>
      <w:r>
        <w:t>V.2.3. The market position of the Parties at the national level</w:t>
      </w:r>
    </w:p>
    <w:p>
      <w:r>
        <w:t>59. In general, it is observed that, at the national level, the Operation involves the establishment of the first operator in terms of network size, with a widespread presence throughout the Italian territory, and consequently the main vertically integrated operators active on a national basis will decrease from five to four.</w:t>
      </w:r>
    </w:p>
    <w:p>
      <w:r>
        <w:t>60. Table 9 shows the shares of each operator based on the number of facilities present in the Italian territory. Following the notified Operation, the Parties would exclusively supply 29% of the existing facilities and would jointly become the first operator in the national territory, compared to the second operator - ENI - with a share in terms of the number of facilities under its brand equal to 18%. In terms of volumes supplied, the entity resulting from the concentration will hold a share of [20-25%], compared to a share of [15-20%] of the second operator (ENI). The other two oil operators, with branded networks, active at the national level will have significantly lower shares: Q8 will have a share, respectively in number and volume supplied, of 13%- [10-15%] and Tamoil a share of 7%- [5-10%]. The 33%- [35-40%] of the market is instead served by the white pumps.</w:t>
      </w:r>
    </w:p>
    <w:p>
      <w:r>
        <w:t>Table 9 – Number of facilities and volumes at the national level (2022)</w:t>
      </w:r>
    </w:p>
    <w:p>
      <w:r>
        <w:t>% number Total volume % volume</w:t>
        <w:br/>
        <w:t>Total number of facilities on supplied at national level supplied on total</w:t>
        <w:br/>
        <w:t>facilities national (liters) total national (2022)</w:t>
        <w:br/>
        <w:t>IP 4220 19% [omissis] [10-15%]</w:t>
        <w:br/>
        <w:t>Esso 2316 10% [omissis] [5-10%]</w:t>
        <w:br/>
        <w:t>Post-merger entity 6536 29% [omissis] [20-25%]</w:t>
        <w:br/>
        <w:t>Eni 4040 18% [omissis] [15-20%]</w:t>
        <w:br/>
        <w:t>Q8 2823 13% [omissis] [10-15%]</w:t>
        <w:br/>
        <w:t>Tamoil 1622 7% [omissis] [5-10%]</w:t>
        <w:br/>
        <w:t>White pumps 7334 33% [omissis] [35-40%] (in aggregate)</w:t>
        <w:br/>
        <w:t>Total 22355 100% [omissis] 100%</w:t>
        <w:br/>
        <w:t>Source: AGCM elaborations. Source MISE: total supplied market and number of white pumps</w:t>
      </w:r>
    </w:p>
    <w:p>
      <w:r>
        <w:t>45 The volumes supplied by the white pumps have been estimated using the methodology described in Appendix 1.</w:t>
      </w:r>
    </w:p>
    <w:p>
      <w:r>
        <w:t>BULLETIN NO. 30 OF AUGUST 7, 2023 41</w:t>
      </w:r>
    </w:p>
    <w:p>
      <w:r>
        <w:t>V.2.4. The position of the Parties in the distribution on the ordinary road network</w:t>
      </w:r>
    </w:p>
    <w:p>
      <w:r>
        <w:t>61. That said, regarding the distribution of fuels on the road network, the position of the Parties has been examined within local markets defined as isochrones of 15 minutes centered on the IP facilities.</w:t>
      </w:r>
    </w:p>
    <w:p>
      <w:r>
        <w:t>62. Out of a total of 3,945 isochrones (corresponding to all the IP branded facilities present in Italy), the number of local markets in which the Parties overlap is 3,407. Therefore, about 86% of the IP branded facilities are currently subject to competition from ESSO branded facilities.</w:t>
      </w:r>
    </w:p>
    <w:p>
      <w:r>
        <w:t>63. The following Table indicates the distribution of market shares, both in terms of the number of facilities and the volumes supplied, that the post-merger entity will hold in the geographic markets where there is an overlap between the Parties.</w:t>
      </w:r>
    </w:p>
    <w:p>
      <w:r>
        <w:t>Table 10 – Number of local markets where the parties overlap and distribution of market shares</w:t>
      </w:r>
    </w:p>
    <w:p>
      <w:r>
        <w:t>Market share Market share</w:t>
        <w:br/>
        <w:t>Number of facilities Supplied volumes</w:t>
        <w:br/>
        <w:t>≥30% ≥40% ≥50% ≥30% ≥40% ≥50%</w:t>
        <w:br/>
        <w:t>No. local markets 2,342 935 191 1,132 419 99</w:t>
        <w:br/>
        <w:t>No. local markets with also 11000≤(cid:4)(cid:4)(cid:5)≤2.000 and ∆(cid:4)(cid:4)(cid:5)≥250 2,341 935 191 1,110 419 99</w:t>
        <w:br/>
        <w:t>or (cid:4)(cid:4)(cid:5)&gt;2000 and ∆(cid:4)(cid:4)(cid:5)≥150</w:t>
        <w:br/>
        <w:t>No. local markets with overlaps 3,407</w:t>
        <w:br/>
        <w:t>Source: AGCM elaborations.</w:t>
        <w:br/>
        <w:t>*Joint market shares are considered only in local markets where the market share of IP and Esso is strictly above 2%.</w:t>
      </w:r>
    </w:p>
    <w:p>
      <w:r>
        <w:t>64. In terms of the number of facilities, the joint market share is equal to or greater than 30% in 2,342 local markets (about 69% of the isochrones with overlaps) and equal to or greater than 40% in 935 local markets.</w:t>
      </w:r>
    </w:p>
    <w:p>
      <w:r>
        <w:t>65. In terms of volumes supplied, the joint market share is at least 30% in 1,152 local markets (about 34% of the isochrones with overlaps) and at 40% in 419 local markets.</w:t>
      </w:r>
    </w:p>
    <w:p>
      <w:r>
        <w:t>66. The local markets where the share is greater than or equal to 50% are 191, considering the positioning of the Parties in terms of facility size, and 99 considering the volumes supplied.</w:t>
      </w:r>
    </w:p>
    <w:p>
      <w:r>
        <w:t>67. The described scenario does not change substantially even taking into account the values that the HHI index and the delta HHI would assume downstream of the operation (see the second row of the table), considering those situations where there would also be: i) an HHI greater than or equal to 1,000 and less than or equal to 2,000, with a delta of attention not less than 250 or ii) an HHI greater than 46 For the purposes of identifying local markets, all IP facilities have been considered regardless of their contractual relationships with the Party. In other words, local markets have been defined based on catchment areas centered on all facilities displaying the IP brand, even if managed or owned by third parties.</w:t>
      </w:r>
    </w:p>
    <w:p>
      <w:r>
        <w:rPr>
          <w:b/>
        </w:rPr>
        <w:t>[Pages 40–42]</w:t>
      </w:r>
    </w:p>
    <w:p>
      <w:r>
        <w:t>42 BULLETIN NO. 30 OF AUGUST 7, 2023</w:t>
        <w:br/>
        <w:t>2,000 with a delta not less than 15047. The number of isochrones with a market share - in terms of the number of plants - greater than or equal to 30% and with HHI indices above the thresholds described above would be 2,341 and 1,110 in terms of volumes. Considering shares greater than or equal to 40% and 50%, however, the situation would not change in any way compared to the picture derived solely from the analysis of market shares48.</w:t>
      </w:r>
    </w:p>
    <w:p>
      <w:r>
        <w:t>68. The figures below illustrate the location of the isochrones on the ordinary network in which the post-merger entity would hold a combined market share of at least 40% in terms of the number of plants and output. The local markets in question are distributed throughout the Italian territory, with the largest number of problematic areas located in the Center, followed by the Northwest and the South, as illustrated in the following Table 11.</w:t>
        <w:br/>
        <w:t>Figure 1. Isochrones with overlaps and market shares (in number of plants) greater than 40%</w:t>
        <w:br/>
        <w:t>Source: AGCM elaborations.</w:t>
      </w:r>
    </w:p>
    <w:p>
      <w:r>
        <w:t>47 Regarding the level of post-merger HHI and delta HHI to be considered, see the "Guidelines for the assessment of horizontal concentrations pursuant to the Council Regulation on the control of concentrations between undertakings," in GUCE 2004/C 31/03.</w:t>
      </w:r>
    </w:p>
    <w:p>
      <w:r>
        <w:t>48 It should be noted that, for the purposes of calculating the HHI indices, the component attributable to white pumps was not considered. This is therefore a cautious approach as it leads to an underestimation of the absolute value of the HHI index and does not affect, in any case, the variations of the HHI indices attributable to the concentration operation.</w:t>
      </w:r>
    </w:p>
    <w:p>
      <w:r>
        <w:t>BULLETIN NO. 30 OF AUGUST 7, 2023 43</w:t>
        <w:br/>
        <w:t>Figure 2. Isochrones with overlaps and market shares (in volume) greater than 40%.</w:t>
        <w:br/>
        <w:t>Source: AGCM elaborations.</w:t>
        <w:br/>
        <w:t>Table 11 – Number of local markets with overlaps and with market shares greater than 30% by macro area market share category</w:t>
        <w:br/>
        <w:t>Market Share</w:t>
        <w:br/>
        <w:t>Number of Plants Volume</w:t>
        <w:br/>
        <w:t>Macro Areas ≥ 30% ≥ 40% ≥ 50% ≥ 30% ≥ 40% ≥ 50%</w:t>
        <w:br/>
        <w:t>Northeast 296 140 28 143 75 32</w:t>
        <w:br/>
        <w:t>Northwest 652 224 30 272 65 9</w:t>
        <w:br/>
        <w:t>Center 768 299 69 382 141 35</w:t>
        <w:br/>
        <w:t>South 626 272 64 335 138 23</w:t>
        <w:br/>
        <w:t>Source: data from the parties processed by AGCM.</w:t>
      </w:r>
    </w:p>
    <w:p>
      <w:r>
        <w:t>69. In order to have further elements to assess the impact of changes in market structure resulting from the operation in question in terms of unilateral effects, also to take into account the specificities of the case in question illustrated above, further quantitative analyses were conducted regarding the incentives of the entity resulting from the concentration to increase fuel prices charged on the IP-branded network and/or on the ESSO-branded network, both through control of the final price charged and/or recommended, and through control of the price of fuel sold to affiliated distributors that are part of the distribution networks of the two operators.</w:t>
      </w:r>
    </w:p>
    <w:p>
      <w:r>
        <w:t>44 BULLETIN NO. 30 OF AUGUST 7, 2023</w:t>
        <w:br/>
        <w:t>70. Such competitive concerns were examined through economic models commonly used in the control of concentrations, which quantify the incentive of the parties to increase prices through the GUPPI index: the higher the GUPPI, the greater the incentive to raise the price. In particular, in each local market, two GUPPI indices were calculated to quantify both the incentive of the post-merger entity to increase fuel prices charged on the IP network and the incentive of the post-merger entity to increase fuel prices charged on the ESSO network49.</w:t>
      </w:r>
    </w:p>
    <w:p>
      <w:r>
        <w:t>71. In this specific case - as detailed in the Technical Appendix - the analysis was conducted taking into account the specific characteristics of the markets in question and, in particular:</w:t>
        <w:br/>
        <w:t>i) the variety of relationships between the post-merger entity and the IP and ESSO branded distributors;</w:t>
        <w:br/>
        <w:t>ii) the vertical integration of the entity resulting from the concentration;</w:t>
        <w:br/>
        <w:t>iii) the presence that the post-merger entity will have both in the network market and in the off-network market, that is, as a supplier of the white pumps present in the various local markets.</w:t>
      </w:r>
    </w:p>
    <w:p>
      <w:r>
        <w:t>72. The results of the analysis conducted at the level of individual catchment areas are summarized in the following Table, which reports the number of local markets in which the GUPPI on the ESSO side and the IP side falls within various ranges. As can be seen from the data reported in Table 12, regarding the incentive of IP to increase prices as a result of the concentration operation, it is noted that the GUPPI is greater than or equal to 3% in 84 local markets and greater than or equal to 4% and 5% in 14 local markets. If, instead, the incentive to increase prices (at the "wholesale" level) charged on the ESSO-branded network is considered, the GUPPI is at least 3% in 2,755 local markets, at least 4% in 2,210, and at least 5% in 1,660 local markets.</w:t>
        <w:br/>
        <w:t>Table 12 – Analysis of GUPPI indices</w:t>
        <w:br/>
        <w:t>Value of the GUPPI index_ESSO GUPPI_IP</w:t>
        <w:br/>
        <w:t>0-2% 279 2755</w:t>
        <w:br/>
        <w:t>2-3% 373 568</w:t>
        <w:br/>
        <w:t>3-4% 545 56</w:t>
        <w:br/>
        <w:t>4-5% 550 14</w:t>
        <w:br/>
        <w:t>5-10% 1488 14</w:t>
        <w:br/>
        <w:t>&gt;10% 172 0</w:t>
        <w:br/>
        <w:t>Total 3407 3407</w:t>
      </w:r>
    </w:p>
    <w:p>
      <w:r>
        <w:t>73. In particular, a GUPPI of at least 5% is recorded in almost half (about 49%) of the local markets with overlaps, as shown in the following table.</w:t>
        <w:br/>
        <w:t>49 The GUPPI related to IP distributors can be interpreted as the value of sales diverted to the ESSO network as a fraction of the lost revenues of the product distributed through the IP network. Symmetrically, the GUPPI related to ESSO distributors can be interpreted as the value of sales diverted to the IP network as a fraction of the lost revenues of the product distributed through the ESSO network.</w:t>
      </w:r>
    </w:p>
    <w:p>
      <w:r>
        <w:rPr>
          <w:b/>
        </w:rPr>
        <w:t>[Pages 43–45]</w:t>
      </w:r>
    </w:p>
    <w:p>
      <w:r>
        <w:t>BULLETIN NO. 30 OF AUGUST 7, 2023 45</w:t>
        <w:br/>
        <w:t>Table 13 – Number of local markets with overlaps on the ordinary network with GUPPI of at least 3%</w:t>
        <w:br/>
        <w:t>Incidence on total markets with</w:t>
        <w:br/>
        <w:t>Value of the GUPPI index ESSO</w:t>
        <w:br/>
        <w:t>overlaps</w:t>
        <w:br/>
        <w:t>GUPPI&gt;3% 2755 81%</w:t>
        <w:br/>
        <w:t>GUPPI&gt;4% 2210 65%</w:t>
        <w:br/>
        <w:t>GUPPI&gt;5% 1660 49%</w:t>
        <w:br/>
        <w:t>Total markets with overlaps 3407</w:t>
        <w:br/>
        <w:t>74. As can be derived from the following figure, the incentives to increase prices on the ESSO network are widespread throughout the national territory, and are particularly high in the Center, the Northwest, and the South of the Country.</w:t>
      </w:r>
    </w:p>
    <w:p>
      <w:r>
        <w:t>46 BULLETIN NO. 30 OF AUGUST 7, 2023</w:t>
        <w:br/>
        <w:t>Figure 3. Distribution of isochrones with overlaps and GUPPI for Esso exceeding 5%</w:t>
        <w:br/>
        <w:t>75. Furthermore, the incentive of the post-merger entity to increase the prices (at the "wholesale") charged on the ESSO branded network has been analyzed considering catchment areas built around the logistics bases from which ESSO supplies its "Branded Wholesalers," in order to take into account the fact that the transfer price that ESSO applies to its BW varies depending on the different logistics bases used. This analysis allows for the identification of all competing plants (including those branded IP) that compete with the ESSO plants supplied from a given logistics base of ESSO and that would capture the lost sales from the ESSO plants due to the increase in the transfer price of fuel to such plants and to consider, therefore, that such price is defined in light of the competitive conditions that characterize "on average" the local markets served by the logistics bases of ESSO.</w:t>
        <w:br/>
        <w:t>76. The post-merger entity will have a stronger (weaker) incentive to increase the transfer price from the bases that supply the ESSO plants that compete more (or less) with IP, because through the latter it would recapture a larger share of the lost retail sales due to the increase in the transfer price (which, due to the exclusive relationship, the BW can only pass on to the retail price50). It follows that the incentive to increase the transfer price to the BW depends on the extent to which the IP plants are able to bind the prices of the ESSO plants at the retail level and on the profitability of the IP sales, similarly to what occurs in the local level analysis.</w:t>
        <w:br/>
        <w:t>77. The following Table shows the values of the GUPPI index, for the ESSO branded plants, estimated at the level of the logistics base from which the BW are supplied. As emerges from the data reported in the Table, with reference to the incentive of the post-merger entity to increase prices (at the "wholesale") as a result of the concentration operation, it is noted that the GUPPI is greater than or equal to 3% for 20 of the 27 logistics bases currently used by ESSO, for 14 if considering a threshold of 4%, and for 4 applying a GUPPI of at least 5%. In particular, considering a threshold of the index equal to 5%, the incentives of the post-merger entity to increase the transfer prices to the ESSO BW at the logistics base level are particularly widespread in the Center and in an area of the South of the Country.</w:t>
        <w:br/>
        <w:t>Table 14 – Analysis of GUPPI indices at the logistics base level</w:t>
        <w:br/>
        <w:t>Base Name Region Macroarea GUPPI for Esso</w:t>
        <w:br/>
        <w:t>Civitavecchia Lazio Center [&gt;5%]</w:t>
        <w:br/>
        <w:t>Rome Lazio Center [&gt;5%]</w:t>
        <w:br/>
        <w:t>Falconara Marche Center [&gt;5%]</w:t>
        <w:br/>
        <w:t>Eni Taranto Puglia South [&gt;5%]</w:t>
        <w:br/>
        <w:t>Pescara Abruzzo South [4-5%]</w:t>
        <w:br/>
        <w:t>Porto Torres Sardinia South [4-5%]</w:t>
        <w:br/>
        <w:t>Livorno Tuscany Center [4-5%]</w:t>
        <w:br/>
        <w:t>Chivasso Piedmont Northwest [4-5%]</w:t>
        <w:br/>
        <w:t>Vado Ligure Liguria Northwest [4-5%]</w:t>
        <w:br/>
        <w:t>Vibo Eni Calabria South [4-5%]</w:t>
        <w:br/>
        <w:t>Vibo Ludoil Calabria South [4-5%]</w:t>
        <w:br/>
        <w:t>Trecate Piedmont Northwest [4-5%]</w:t>
        <w:br/>
        <w:t>Arluno Lombardy Northwest [4-5%]</w:t>
        <w:br/>
        <w:t>Oristano Sardinia South [4-5%]</w:t>
        <w:br/>
        <w:t>Cagliari Sardinia South [3-4%]</w:t>
        <w:br/>
        <w:t>Cremona Lombardy Northwest [3-4%]</w:t>
        <w:br/>
        <w:t>Milazzo Sicily South [3-4%]</w:t>
      </w:r>
    </w:p>
    <w:p>
      <w:r>
        <w:rPr>
          <w:b/>
        </w:rPr>
        <w:t>[Pages 46–48]</w:t>
      </w:r>
    </w:p>
    <w:p>
      <w:r>
        <w:t>48 BULLETIN NO. 30 OF AUGUST 7, 2023</w:t>
        <w:br/>
        <w:t>Verona Veneto North-East [3-4%]</w:t>
        <w:br/>
        <w:t>Naples Energas Campania South [3-4%]</w:t>
        <w:br/>
        <w:t>Naples Sonatrach Campania South [3-4%]</w:t>
        <w:br/>
        <w:t>Ravenna Emilia-Romagna North-East [&lt;3%]</w:t>
        <w:br/>
        <w:t>Visco Friuli Venezia-Giulia North-East [&lt;3%]</w:t>
        <w:br/>
        <w:t>Trento Trentino Alto Adige North-East [&lt;3%]</w:t>
        <w:br/>
        <w:t>Augusta Sicily South [&lt;3%]</w:t>
        <w:br/>
        <w:t>Marghera – ENI Veneto North-East [&lt;3%]</w:t>
        <w:br/>
        <w:t>Palermo Eni Sicily South [&lt;3%]</w:t>
        <w:br/>
        <w:t>Palermo</w:t>
        <w:br/>
        <w:t>Sicily South [&lt;3%]</w:t>
        <w:br/>
        <w:t>Sonatrach</w:t>
        <w:br/>
        <w:t>Source: AGCM elaborations.</w:t>
        <w:br/>
        <w:t>V.2.5. The position of the Parties in the distribution on the motorway network</w:t>
        <w:br/>
        <w:t>78. Regarding the motorway network, an analysis of the effects of the operation in the local markets defined based on isometrics of 60 km centered on the IP-branded plants has been conducted.</w:t>
        <w:br/>
        <w:t>79. In terms of the number of plants, the joint market share is equal to or greater than 30% in 52 local markets (almost 90% of the isometrics with overlaps), equal to or greater than 40% in 41 local markets, and equal to or greater than 50% in 15 isometrics.</w:t>
        <w:br/>
        <w:t>80. As shown in the following table, in terms of volumes supplied, the number of situations where the joint market share is at least 30% is 43 (about 74% of the markets with overlaps), in 31 cases the joint market share exceeds or is equal to 40%, and in 17 it is at least 50%.</w:t>
        <w:br/>
        <w:t>Table 15 – Number of local markets where the parties overlap and distribution of market shares</w:t>
        <w:br/>
        <w:t>Market share Market share</w:t>
        <w:br/>
        <w:t>Number of plants Supplied volumes</w:t>
        <w:br/>
        <w:t>≥30% ≥40% ≥50% ≥30% ≥40% ≥50%</w:t>
        <w:br/>
        <w:t>N. local markets 52 41 15 43 31 17</w:t>
        <w:br/>
        <w:t>N. local markets with also</w:t>
        <w:br/>
        <w:t>11000≤(cid:4)(cid:4)(cid:5)≤2,000 and ∆(cid:4)(cid:4)(cid:5)≥250 52 41 15 43 31 17</w:t>
        <w:br/>
        <w:t>or (cid:4)(cid:4)(cid:5)&gt;2000 and ∆(cid:4)(cid:4)(cid:5)≥150</w:t>
        <w:br/>
        <w:t>N. local markets with</w:t>
        <w:br/>
        <w:t>58</w:t>
        <w:br/>
        <w:t>overlaps</w:t>
        <w:br/>
        <w:t>Source: AGCM elaborations.</w:t>
        <w:br/>
        <w:t>*Joint market shares are considered only in local markets where the market share of IP and ESSO is strictly greater than 2%.</w:t>
      </w:r>
    </w:p>
    <w:p>
      <w:r>
        <w:t>BULLETIN NO. 30 OF AUGUST 7, 2023 49</w:t>
        <w:br/>
        <w:t>81. Similarly to the analysis conducted in the local markets on the ordinary road network, the incentive to increase prices through the GUPPI has also been measured for the motorway network, and the results of the analyses conducted are summarized in the following Table.</w:t>
        <w:br/>
        <w:t>Table 16 – Analysis of GUPPI indices</w:t>
        <w:br/>
        <w:t>Value</w:t>
        <w:br/>
        <w:t>GUPPI_ESSO GUPPI_IP</w:t>
        <w:br/>
        <w:t>of the index</w:t>
        <w:br/>
        <w:t>0-2% 0 34</w:t>
        <w:br/>
        <w:t>2-3% 3 10</w:t>
        <w:br/>
        <w:t>3-4% 5 9</w:t>
        <w:br/>
        <w:t>4-5% 7 1</w:t>
        <w:br/>
        <w:t>5-10% 25 4</w:t>
        <w:br/>
        <w:t>&gt;10% 18 0</w:t>
        <w:br/>
        <w:t>Total 58 58</w:t>
        <w:br/>
        <w:t>82. As can be seen from the data presented in the previous Table, regarding the incentive of the post-merger entity to increase the wholesale prices charged to IP-branded plants as a result of the concentration operation, the GUPPI is equal to or greater than 3% in 14 local markets (24% of the areas where they overlap), at least equal to 4% in 5 local markets, and equal to or greater than 5% in 4 local markets. Conversely, considering the incentive of the post-merger entity to increase the wholesale prices charged on the ESSO-branded network, the GUPPI is equal to or greater than 3% in 55 local markets, at least equal to 4% in 50 isometrics, and 5% in 43.</w:t>
        <w:br/>
        <w:t>83. In particular, on the motorway network, if a threshold of 4% is considered, incentives for the post-merger entity to increase prices on the ESSO-branded network can be detected in approximately 86% of the areas with overlaps (see the following table).</w:t>
        <w:br/>
        <w:t>Table 17 – Number of local markets on the motorway network with GUPPI of at least 3%</w:t>
        <w:br/>
        <w:t>Incidence on total markets</w:t>
        <w:br/>
        <w:t>Values of the GUPPI index ESSO</w:t>
        <w:br/>
        <w:t>with overlaps</w:t>
        <w:br/>
        <w:t>GUPPI&gt;3% 55 95%</w:t>
        <w:br/>
        <w:t>GUPPI&gt;4% 50 86%</w:t>
        <w:br/>
        <w:t>GUPPI&gt;5% 43 74%</w:t>
        <w:br/>
        <w:t>Total markets with overlaps 58</w:t>
      </w:r>
    </w:p>
    <w:p>
      <w:r>
        <w:t>50 BULLETIN NO. 30 OF AUGUST 7, 2023</w:t>
        <w:br/>
        <w:t>VI. THE ARGUMENTS OF THE PARTIES</w:t>
        <w:br/>
        <w:t>VI.1. On the geographical definition of the relevant off-network markets</w:t>
        <w:br/>
        <w:t>84. Regarding the off-network markets, the Parties argued that the Authority would have overestimated the competitive issues caused by the Operation in such markets, due to a "too restrictive" geographical definition of the relevant markets, with reference to their geographical definition. In particular, regarding off-network markets in general, the radius adopted for identifying the geographical market, equal to 150 km, would be considered excessively reduced by IP. In fact, if a customer, as indicated in the questionnaire sent to customers, in most cases receives the product from a sales base located within 150 km, the willingness to travel that distance should also be deemed present in the opposite direction from the central plant. In other words, if the customer travels 150 km towards the central plant, they would similarly be willing to travel another 150 km towards a competing plant located in the opposite direction and, therefore, up to 300 km away from the central plant. From this consideration, IP believes that a relevant geographical market size compatible with the evidence on record should be over 250 km, which would be "coincident" with the extent used by the Parties at the time of notification, when they defined the off-network markets as having a macro-regional geographical extension51.</w:t>
        <w:br/>
        <w:t>VI.2. On the kerosene market</w:t>
        <w:br/>
        <w:t>85. Specifically regarding the kerosene market, the Parties specified in their final submissions, in addition to what was stated in the notification form (in which no difference between kerosene and other petroleum products was highlighted), that, concerning B2C sales made to airlines, it would have a national or broader dimension, due to the particular dynamics of demand. Airlines, in fact, tend to identify a single contractual counterparty for their supplies, through centralized procedures, regardless of the local size of the markets hypothetically attributable to the individual airports served. This dimension, along with the significant bargaining power of buyers, would render the Operation unproblematic concerning the off-network sales markets for kerosene. The Parties also emphasized the presence of qualified competitors of the post-merger entity in the off-network markets, capable of containing its market power52.</w:t>
        <w:br/>
        <w:t>86. Finally, during the final hearing53 - and through a specific integration sent following this, at the end of the last day of the investigative phase54 - the Parties stated that the sales data provided by ESSO in response to the Authority's request for information regarding, among other things, kerosene sales in the off-network markets, was incorrect, as the company would have erroneously attributed all its kerosene sales to B2B markets while, in reality, a large part of those sales would be made directly to airlines and therefore, as such, attributable to the B2C market in which IP is not present.</w:t>
        <w:br/>
        <w:t>51 See doc. 745.</w:t>
        <w:br/>
        <w:t>52 See doc. 745.</w:t>
        <w:br/>
        <w:t>53 See doc. 753.</w:t>
        <w:br/>
        <w:t>54 See doc. 752, 754, 755, and 756.</w:t>
      </w:r>
    </w:p>
    <w:p>
      <w:r>
        <w:rPr>
          <w:b/>
        </w:rPr>
        <w:t>[Pages 49–51]</w:t>
      </w:r>
    </w:p>
    <w:p>
      <w:r>
        <w:t>BULLETIN NO. 30 OF AUGUST 7, 2023 51</w:t>
      </w:r>
    </w:p>
    <w:p>
      <w:r>
        <w:t>The market shares of the Parties calculated in the CRI for the B2B kerosene sales market, considered problematic in certain catchment areas, should therefore have been corrected in the sense of significantly reducing the presence of ESSO (as well as, concurrently, of the post-merger entity). As a result of this correction, ESSO's share would decrease to approximately [15-20%] (from approximately [45-50%] estimated in the CRI) and the overall share of the Parties following the Operation to approximately [40-45%] (well below the estimated value in the CRI of approximately [60-65%])55.</w:t>
      </w:r>
    </w:p>
    <w:p>
      <w:r>
        <w:t>VI.3. On the nature of the effects of the Operation in the network market</w:t>
      </w:r>
    </w:p>
    <w:p>
      <w:r>
        <w:t>87. The Parties, as already anticipated in the section of the Investigative Findings, argued the lack of horizontal competition between them in the retail market, due to the fact that ESSO is not present in this market through directly managed facilities. ESSO believes, that by selling its fuels only to BW, the company would only be present at the off-network B2B level and would therefore not be a competitor of IP in the fuel distribution in which its BWs would be active56.</w:t>
      </w:r>
    </w:p>
    <w:p>
      <w:r>
        <w:t>88. This argument is based on the lack of power of the oil company to decide the final price at its branded service stations. For the same reason, IP argues that its presence in the retail market cannot be assessed by including sales made by its branded facilities managed in CODO and DODO mode, as the oil company does not manage the facility and does not determine the "pump" price.</w:t>
      </w:r>
    </w:p>
    <w:p>
      <w:r>
        <w:t>89. More specifically, IP has argued that oil companies (and even more so ESSO due to the BW management model) do not control the prices related to the network (nor, a fortiori, are they capable of distinguishing between road and highway facilities or controlling the final price of a single facility and no other competitive variable related to them) and do not perceive the profits related to that level of the supply chain. The fact that the wholesale price may influence the retail price – and that the decisions of downstream operators influence the profits of those upstream – valid for every vertical supply relationship – does not imply, in the company's opinion, that the supplier can be considered present in the downstream market.</w:t>
      </w:r>
    </w:p>
    <w:p>
      <w:r>
        <w:t>In this regard, the Parties observe that the interests of the operators of the ESSO branded sales points are not aligned with those of that company: an increase in the margin achieved in the downstream market, for example due to a hypothetical cartel, would not benefit ESSO. The misalignment of interests would make the nature of the concentration non-horizontal and would therefore justify less stringent evaluative standards. In this specific case, the operator of the IP facilities would continue, in fact, to perceive the ESSO facilities as competitors57.</w:t>
      </w:r>
    </w:p>
    <w:p>
      <w:r>
        <w:t>90. IP acknowledges that "the incentives of IP and ESSO may nonetheless change as a result of the Operation, to the extent that – as correctly noted by the Offices – the volumes lost by IP at the retail level may be recovered by ESSO at the wholesale level, and vice versa"58. However, in IP's opinion, this is a competitive concern that relates to vertical concentrations. The verticality of the operation would also emerge implicitly from the formula used for the GUPPI (in fact that, called vGUPPI, specific to vertical concentrations). It would have been omitted, continues IP, to consider that the Parties, since they do not directly manage many of the facilities of their branded networks, cannot directly influence the retail price and it is not taken for granted that the facility managers decide to pass on to the final price a potential increase in upstream prices by the merging parties. The managers, in fact, could decide to keep fuel prices relatively low in order to retain customers and thus encourage the consumption of other types of services (non-oil).</w:t>
      </w:r>
    </w:p>
    <w:p>
      <w:r>
        <w:t>In conclusion, IP believes that the misalignment of the operators' incentives (due to the vertical aspects of the Operation) and the fact that increases in wholesale prices may not fully translate into increases in final prices should lead to a correction of the GUPPI estimates or, alternatively, to consider a higher critical threshold for this indicator. In this regard, the company shows that, adopting a threshold for the GUPPI equal to 10% (used in recent cases of vertical concentrations), based on its estimates, the number of critical areas would decrease drastically. [omissis]. [omissis]59.</w:t>
      </w:r>
    </w:p>
    <w:p>
      <w:r>
        <w:t>91. IP and ESSO equate the relationships of the BWs and the ESSO branded service stations with the oil company to franchise agreements to argue that the entrepreneurial autonomy of the franchisee would not allow attributing to the franchisor the sales made by the former. The Parties add that being licensees of the brand and sourcing exclusively from ESSO would not be sufficient to attribute the sales in question to the oil company considering the "complete autonomy" with which the BWs organize their "own retail sales network"60.</w:t>
      </w:r>
    </w:p>
    <w:p>
      <w:r>
        <w:t>VI.4. On the contractual limits to the discretionary modification of the sale price to the BWs</w:t>
      </w:r>
    </w:p>
    <w:p>
      <w:r>
        <w:t>92. The Parties also argue that, given the characteristics of the BWA contract, the post-merger entity would not have the capacity to modify the sale prices to the wholesalers in a discretionary manner and, therefore, even if an incentive to do so were demonstrated, this would not be possible or would not be economically and commercially reasonable. On this point, ESSO argues that [omissis]61[omissis].</w:t>
      </w:r>
    </w:p>
    <w:p>
      <w:r>
        <w:t>VI.5. On the methodologies for calculating the GUPPI and diversion ratios</w:t>
      </w:r>
    </w:p>
    <w:p>
      <w:r>
        <w:t>93. Furthermore, IP argues that the GUPPI estimate made in the CRI is not correct, as it uses diversion ratios based on market shares representative of the competitive constraints of the centroid facility, belonging, in the adopted approach, to IP, to estimate the incentive to increase prices related to ESSO facilities. This association, in IP's opinion, would make the diversion ratios used inaccurate and therefore unrepresentative62.</w:t>
      </w:r>
    </w:p>
    <w:p>
      <w:r>
        <w:t>59 Cfr. doc. 745 and 746.</w:t>
        <w:br/>
        <w:t>60 Specifically, IP attributes this alleged autonomy to the service stations and ESSO to the BWs. The Parties refer to some community decisions including, in particular, COMP/M.6278 - TAKEDA / NYCOMED of 2011 and point 19 of the consolidated Communication of the Commission on the criteria for jurisdiction under Regulation (EC) No. 139/2004 of the Council concerning the control of concentrations between undertakings: "franchise agreements as such do not normally confer the franchisor control over the activities of the franchisee," cfr. doc. 745 and 746.</w:t>
        <w:br/>
        <w:t>61 [omissis].</w:t>
        <w:br/>
        <w:t>62 Cfr. doc. 745.</w:t>
      </w:r>
    </w:p>
    <w:p>
      <w:r>
        <w:t>BULLETIN NO. 30 OF AUGUST 7, 2023 53</w:t>
      </w:r>
    </w:p>
    <w:p>
      <w:r>
        <w:t>94. The company has also criticized the use of diversion ratios estimated based solely on market share but ignoring the factor of distance between facilities, in contradiction with the evidence from the same survey, from which it would emerge instead that the location of the sales point would constitute the second most relevant factor (after price) in identifying the service station by consumers. Ignoring distance, in IP's judgment, undermines the significance of the diversion ratios used by the Authority63.</w:t>
      </w:r>
    </w:p>
    <w:p>
      <w:r>
        <w:t>95. IP then argued that the value of ESSO's GUPPI estimated in the CRI is affected by the use of an inadequate reference also regarding the other fundamental ingredient of this indicator, IP's margin (which allows to "value" the sales that the merging parties would reclaim in the event of an increase in ESSO's prices). The value used in the CRI to represent IP's margin would, in the opinion of this company, be overestimated for two reasons: the non-consideration of certain costs of the company ([omissis] which would have been erroneously considered fixed costs) and the inclusion of the margin realized by IP in refining. Regarding this latter aspect, IP argues that the Authority, by including the margins associated with refining, would have implicitly assumed that the increase in demand would translate into an increase in the refined products from the company, a circumstance that [omissis]64. Furthermore, IP considers in any case inappropriate the decision to use [omissis]65.</w:t>
      </w:r>
    </w:p>
    <w:p>
      <w:r>
        <w:t>96. Still in relation to the calculation of the diversion ratios, IP has objected that the methodology used would be affected by the absence of an outside good, this latter element capturing the possibility that the consumer reacts to a price increase by purchasing alternative products outside the relevant geographic or product market66.</w:t>
      </w:r>
    </w:p>
    <w:p>
      <w:r>
        <w:t>97. The Parties have therefore shown the results of their estimates, made adopting assumptions different from those employed by the Authority, which would indicate a substantial reduction of the areas to be considered critical67.</w:t>
      </w:r>
    </w:p>
    <w:p>
      <w:r>
        <w:t>VI.6. The arguments of ENI</w:t>
      </w:r>
    </w:p>
    <w:p>
      <w:r>
        <w:t>98. ENI, in the hearing, expressed concern that, following the Operation, a single entity would come to hold the ownership of two of the main fuel brands used in the Italian distribution networks. This, in fact, would confer significant bargaining power to the new entity to the extent that it would also make it more attractive in the eyes of retailers (particularly the largest ones). In light of this, ENI argues, the markets in which harmful consequences for competition could occur, already identified in the initiation decision, could become many more than those currently identified by the Authority. In other words, in ENI's opinion, the theories of harm63 Cfr. doc. 745. 64 The refining activity, therefore, constitutes an opportunity cost for the Parties. 65 Cfr. doc. 745. 66 Cfr. doc. 745. 67 The number of areas identified by the Parties, however, is not directly comparable to that identified by the Authority as such areas have been defined differently. To make the data comparable, reference should be made to the total number of ESSO branded facilities falling within the markets deemed critical. From this comparison, a lesser divergence between the results of the two analyses would emerge. This is because in the Authority's analysis, the number of problematic ESSO facilities is lower than the number of critical markets since an ESSO facility can fall into several local markets that may also present significant overlap. On the other hand, the number of ESSO facilities that fall within the critical local markets is higher than the number of problematic centroids. Cfr. doc. 745 and 746.</w:t>
      </w:r>
    </w:p>
    <w:p>
      <w:r>
        <w:rPr>
          <w:b/>
        </w:rPr>
        <w:t>[Pages 52–54]</w:t>
      </w:r>
    </w:p>
    <w:p>
      <w:r>
        <w:t>54 BULLETIN NO. 30 OF AUGUST 7, 2023</w:t>
      </w:r>
    </w:p>
    <w:p>
      <w:r>
        <w:t>highlighted by the Authority at the outset should be considered valid not only in a static sense but also in a dynamic sense, taking into account, that is, the potential future growth of the IP and ESSO branded networks.</w:t>
      </w:r>
    </w:p>
    <w:p>
      <w:r>
        <w:t>99. The company has, moreover, stated that the possible effects of the Operation, related to the dynamics of distribution on the network and in particular to the distribution networks managed by third-party operators contracted with the oil companies, do not depend on the specific methods of contracting (CODO, DODO, or BW)68.</w:t>
      </w:r>
    </w:p>
    <w:p>
      <w:r>
        <w:t>VII. EVALUATIONS</w:t>
      </w:r>
    </w:p>
    <w:p>
      <w:r>
        <w:t>Premise</w:t>
      </w:r>
    </w:p>
    <w:p>
      <w:r>
        <w:t>100. The Operation in question, as already emphasized, involves two of the main oil groups active in the Italian territory and has undeniable significance for the entire sector downstream of oil refining, which is largely constituted by the sale of petroleum products in Italy. The sales of such products occur from refineries or loading plants located in Italy (as in the case of sales of so-called off-network petroleum products) and, in the case of fuels for road transport, also through retail distribution networks (service stations or management plants) spread across ordinary roads and Italian highways.</w:t>
      </w:r>
    </w:p>
    <w:p>
      <w:r>
        <w:t>101. The Operation presents, as will be seen, significant competitive effects, also through the creation of a dominant position, with critical issues identified in various off-network and network markets. In this regard, it is noted that the entity resulting from the concentration operation:</w:t>
        <w:br/>
        <w:t>- will represent a vertically integrated operator in all stages of the supply chain in a position of control over two of the main refineries present in Italy and a wide and extensive logistics network. The presence of the entity resulting from the concentration in the relevant markets in question must also be considered in light of the fact that it will also be an important supplier of white pumps present in the various local markets, especially in certain areas of the Country. Therefore, even a significant percentage of competing plants on the network will resell fuels purchased (in the off-network market) from the Parties.</w:t>
        <w:br/>
        <w:t>- will be the only national operator to simultaneously control two important "historic" brands in fuel distribution in Italy, becoming by far the first operator in terms of network size (29% of the plants, compared to 18% of the second operator ENI) and volumes (almost 25%), with a widespread presence throughout the Italian territory. It is noted in this regard that there are only three competing operators that control networks with brands widely distributed at the national level, two of which have market shares and notoriety significantly lower than the IP and ESSO brands. In the relevant markets, it does not seem plausible to expect a substantial entry of new operators in the near future nor an expansion of competing distribution networks69.</w:t>
      </w:r>
    </w:p>
    <w:p>
      <w:r>
        <w:t>102. Also taking into account the (local) dimension that the Operation assumes in the fuel distribution sector, the Parties overlap in 3,407 out of a total of 3,945 identified catchment areas. Furthermore, these overlaps are significant, as in about one-third of them (1,152), the joint market share in terms of volumes supplied exceeds 30%, and in over 419 isochrones, the joint share is even over 40%. In terms of the number of plants, the joint market share exceeds 30% in 2,342 cases (almost 70% of the total isochrones with overlaps) and exceeds 40% in 935 cases. The same variations in the HHI index (see above) confirm the significant impact of the Operation on the structure of local markets: indeed, in almost all local markets where the entity resulting from the concentration will hold shares exceeding 30%, the thresholds of concern are exceeded (1000≤HHI≤2000 and ∆HHI≥250 or HHI&gt;2000 and ∆HHI≥150).</w:t>
      </w:r>
    </w:p>
    <w:p>
      <w:r>
        <w:t>VII.1 WHOLESALE AND RETAIL MARKETS FOR OFF-NETWORK PETROLEUM PRODUCTS</w:t>
      </w:r>
    </w:p>
    <w:p>
      <w:r>
        <w:t>103. The relevant markets affected by the Operation are the off-network markets. They are, as described previously, distinguished, from a commodity perspective, based on the specific petroleum product marketed (gasoline, diesel, agricultural diesel, heating oil, marine diesel, LPG, kerosene, fuel oils) and are further divided for each of these products between wholesale sales (B2B, made to wholesalers and large retailers) and retail sales (B2C, made to individual service stations and end consumers). The geographical dimension of these markets, on the other hand, is local, due to the costs of transporting and shipping the products. It is identified, in line with the most recent practice of the Authority, through the substantial criterion of so-called catchment areas, aimed at identifying the actual competitive constraints of each point of sale based on distance (or travel time). In this case, as mentioned, the relevant markets include the plants located within 150 km of the logistics bases used by IP to carry out off-network sales70.</w:t>
      </w:r>
    </w:p>
    <w:p>
      <w:r>
        <w:t>104. In this regard, the objection of the Parties that, considering the possibility for the customer to move 150 km not only towards the central plant but also in the opposite direction (and therefore the existence of competitive constraints for the central plant that can extend even beyond 250 km), the relevant market should have been considered of macro-regional size, as indicated in the notification form of the concentration, is unfounded. The adoption of such an approach, in fact, is in open contradiction with all the most recent guidelines of the Authority and with the possibility of making a substantial assessment that reflects the actual competitive constraints exercised between points of sale based on their location. Evaluating the positions of the Parties using administrative divisions is indeed affected by the distortions represented by the boundaries of these (of a regional type and, with it, macro-regional) and leads to the identification of sets of points of sale in the same market in a completely artificial manner and lacking any connection with the actual catchment areas71. Furthermore, the macro-regional groupings adopted by the Parties in the notification for quantifying their market shares are inconsistent even with a distance of 250-300 km.</w:t>
      </w:r>
    </w:p>
    <w:p>
      <w:r>
        <w:t>105. In any case, using catchment areas with a wider radius - equal to 250 km - as could at most be inferred from the Parties' objection regarding customer mobility72, would not reduce at all - but rather increase - the market share of the Parties and the growth thereof attributable to the Operation, leading for example to identifying critical issues even in the area of Rome where, instead, they are absent with the 150 km radius used by the Authority. In fact, since the Parties are widely present throughout the national territory, using a wider radius entails the inclusion in the larger catchment areas of additional plants of the same Parties, with an increase in their market share.</w:t>
      </w:r>
    </w:p>
    <w:p>
      <w:r>
        <w:t>106. Regarding the geographical dimension of the kerosene market, it is noted that, in any case, the market in which the Parties overlap (B2B) does not concern tenders or contracts of a national or international type between end users (airlines) and the single operator (which instead concerns the B2C market, in which IP is not active).</w:t>
      </w:r>
    </w:p>
    <w:p>
      <w:r>
        <w:t>107. With reference then to the correction of the information provided by the Parties regarding ESSO sales in the kerosene market - and in particular the failure to attribute certain volumes to the B2C market - it is deemed acceptable in light of the documentation submitted. Taking into account this correction, the market shares of the Parties in the catchment area related to the B2B kerosene sales market indicated in Table 4 change, as the share attributable to IP becomes [25-30%] and that attributable to ESSO is [15-20%], for a joint share of approximately [40-45%].</w:t>
      </w:r>
    </w:p>
    <w:p>
      <w:r>
        <w:t>108. In conclusion, regarding the off-network markets, and in particular concerning B2B sales, the Operation is likely to determine, for certain types of petroleum products, critical issues, to the extent that it leads to significant overlaps (understood as changes in market share of 3% or more), which result in a joint market share - expressed in terms of volumes sold from the logistics bases that fall within each of the relevant local markets - exceeding 40% (sometimes significantly, reaching levels of up to 80%)73. This particularly concerns certain product markets related to gasoline, LPG, heating oil, and kerosene, which are geographically concentrated in the northwestern area of the Country and, in the case of gasoline, also in the Neapolitan area, for a total of 11 local markets.</w:t>
      </w:r>
    </w:p>
    <w:p>
      <w:r>
        <w:t>109. Similarly, also with reference to the B2C market, the Operation results in significant overlaps, with very substantial increases, leading to a joint share exceeding 40% (and sometimes significantly higher, reaching levels of up to 80%)74. In particular, this occurs for sales of diesel and heating oil, in various catchment areas located in the northwestern area of the Country, for a total of 6 local markets.</w:t>
      </w:r>
    </w:p>
    <w:p>
      <w:r>
        <w:rPr>
          <w:b/>
        </w:rPr>
        <w:t>[Pages 55–57]</w:t>
      </w:r>
    </w:p>
    <w:p>
      <w:r>
        <w:t>BULLETIN NO. 30 OF AUGUST 7, 2023 57</w:t>
      </w:r>
    </w:p>
    <w:p>
      <w:r>
        <w:t>110. In these areas, therefore, the reunification of sales of the products mentioned in the local markets into a single decision-making center is likely to create competitive issues, resulting in an increase in the market share of the Parties and, with it, an incentive for the post-merger entity to worsen the economic conditions offered to its customers (whether they are retailers or end consumers) to its advantage.</w:t>
      </w:r>
    </w:p>
    <w:p>
      <w:r>
        <w:t>VII.2. MARKETS FOR THE DISTRIBUTION OF FUELS FOR ROAD AND HIGHWAY USE</w:t>
      </w:r>
    </w:p>
    <w:p>
      <w:r>
        <w:t>111. The market for the distribution of fuels for road use, as already examined above, is distinct from the market for the distribution of fuels for highway use. Conversely, these markets do not exhibit segmentation regarding the type of fuel offered.</w:t>
      </w:r>
    </w:p>
    <w:p>
      <w:r>
        <w:t>112. With reference to the geographical extent, the breadth of the market takes into account the actual substitutability links existing between facilities from the perspective of end consumers making purchases. The local markets have been identified, as already analyzed in the section "Investigative Findings," by using the definition of catchment areas, i.e., geographical areas identified around the facilities of one of the Parties (so-called "centroids") based on a certain radius, definable in terms of time (15 minutes of travel, in the case of the ordinary network) or distance (60 km, in the case of the highway network), based on the evidence emerged in the survey.</w:t>
      </w:r>
    </w:p>
    <w:p>
      <w:r>
        <w:t>VII.2.1 Criteria for Evaluating Effects</w:t>
      </w:r>
    </w:p>
    <w:p>
      <w:r>
        <w:t>113. The effects of the Operation on the network markets, in addition to being based on a structural analysis, have been examined from the perspective of taking into account the peculiarities of the distribution networks of the Parties, and ultimately the different incentives of the post-merger entity to increase prices, incentives that can be realized either through direct control of retail prices or recommended by IP over part of its network, or through indirect control of the latter by defining the transfer price of the product from ESSO to the Branded Wholesaler.</w:t>
      </w:r>
    </w:p>
    <w:p>
      <w:r>
        <w:t>114. In particular, in this case - as illustrated in detail in the Technical Appendix - the analysis has been conducted considering the specific characteristics of the markets in question and, in particular:</w:t>
        <w:br/>
        <w:t>i) the variety of relationships that exist between the post-merger entity and the distributors under the IP and ESSO brands;</w:t>
        <w:br/>
        <w:t>ii) the vertical integration of the entity resulting from the concentration;</w:t>
        <w:br/>
        <w:t>iii) the presence that the entity resulting from the concentration will have both in the network market and in the off-network market, that is, as a supplier of the white pumps present in the various local markets.</w:t>
      </w:r>
    </w:p>
    <w:p>
      <w:r>
        <w:t>115. As already highlighted in the section regarding the Investigative Findings, the main competitive concerns relate to the risk of an increase in prices charged at ESSO-branded facilities. Therefore, for the purpose of identifying critical local markets, the analysis is structured in such a way as to identify the latter starting from the examination of the incentive - estimated through the GUPPI index - to increase the transfer price to the BW by ESSO at the various logistics bases where the oil company supplies the facilities displaying its brand.</w:t>
      </w:r>
    </w:p>
    <w:p>
      <w:r>
        <w:t>116. Once the bases where ESSO has a high incentive to increase such prices have been identified, the local markets in which the ESSO facilities supplied by the same fall have been identified.</w:t>
      </w:r>
    </w:p>
    <w:p>
      <w:r>
        <w:t>117. Secondly, from the set of critical markets thus identified, only some have been selected as a precaution for the Parties where: i) the ESSO facilities present a high incentive to increase prices due to local competitive conditions, ii) the joint market share in fuel sales of the IP and ESSO facilities is at least 30%.</w:t>
      </w:r>
    </w:p>
    <w:p>
      <w:r>
        <w:t>VII.2.2 Replies to the Parties' Arguments</w:t>
      </w:r>
    </w:p>
    <w:p>
      <w:r>
        <w:t>On the competition between IP and ESSO in the retail market for fuels for road use</w:t>
      </w:r>
    </w:p>
    <w:p>
      <w:r>
        <w:t>118. Regarding the presence of the Parties in the local fuel distribution markets, it is first necessary to clear the field of arguments related to the lack of horizontal relationships between IP and ESSO in the retail market. In fact, the scope of the Operation and, above all, its characteristics cannot be fully understood without considering the links between the various levels of the distribution chain and the contractual relationships between oil companies and other parties involved in the distribution phase, particularly those active in retail distribution networks that use the brands of the companies themselves and are responsible for exclusively selling the fuels marketed by them.</w:t>
      </w:r>
    </w:p>
    <w:p>
      <w:r>
        <w:t>119. In particular, although there is a widespread network of ESSO-branded sales points in Italy (over 2,300), the Parties, as seen in the section "Parties' Arguments," argue that the Operation does not involve any type of overlap in the distribution of fuels on the network since ESSO does not own, nor is it in a position to manage such sales points and, therefore, is not in a position to determine the retail price charged by them.</w:t>
      </w:r>
    </w:p>
    <w:p>
      <w:r>
        <w:t>120. ESSO qualifies its contracts with the BW as wholesale sales (which should be considered in the off-network market, just like sales to white pumps). The acquiring group IP, on the other hand, has argued that it can only be attributed in the retail distribution market to the sales points it directly manages, thus excluding the sales points that, while using the IP brand, are not actually managed by the company (these are the CODO, CLODO, and DODO sales points).</w:t>
      </w:r>
    </w:p>
    <w:p>
      <w:r>
        <w:t>121. Such arguments cannot be shared as, as already examined in the section of the Investigative Findings, the characteristics of the exclusive contracts binding wholesalers and distributors to the oil company significantly limit their entrepreneurial autonomy and leave the oil company significant and decisive decision-making powers regarding pricing policies (even in the case of BW through the identification of the price charged to such wholesalers), marketing policies, and management of sales points, activities that can be carried out at the same, products that can be sold, and decisions regarding the development of its network.</w:t>
      </w:r>
    </w:p>
    <w:p>
      <w:r>
        <w:t>122. Moreover, it does not seem possible to overlook the analysis of the horizontal overlaps that the Operation would create in the local retail distribution markets for fuels for road use among the sales points that use the brands of the merging parties. In fact, while admitting that ESSO has no direct control over the economic conditions practiced by the sales points under its brand and is linked to the company only indirectly, namely through the BWA contracts, and that, similarly, IP has no direct control over the commercial policies of its CODO, CLODO, and DODO sales points, the fact that these sales points sell, based on multi-year contracts, exclusively products of their respective companies, seems decisive in configuring a horizontal relationship between them at the retail distribution level.</w:t>
      </w:r>
    </w:p>
    <w:p>
      <w:r>
        <w:t>123. Conversely, to argue that (the contracted retailers, the BW) or even the managers of the sales points (due to the fact of setting the retail price) are the operators present at this level of the chain would end up (in the case of "colored" fuel distribution facilities, to which cascading exclusivity clauses apply throughout the distribution chain, for homogeneous and essential products) attributing market shares to parties whose entrepreneurial autonomy is significantly compressed by the product transfer conditions decided primarily at the level of the supplying oil company, conditions that are then destined to fully flow down to the downstream distribution levels (even impacting the retail price), if only due to the exclusivity obligations of supply connected to the use of the brand.</w:t>
      </w:r>
    </w:p>
    <w:p>
      <w:r>
        <w:t>124. ESSO, in its final memorandum, identified the BW as operators present in the market for the distribution of fuels under its brand ("Thus, it is the BW that operate in the retail distribution of fuels through their sales network") which, as is known, also use CODO and DODO forms of contracting. This position, which, moreover, contradicts the position expressed by IP which, in turn, believes it is not present in the retail market precisely to the extent that it is present with CODO and DODO management forms, appears, however, to be unacceptable.</w:t>
      </w:r>
    </w:p>
    <w:p>
      <w:r>
        <w:t>125. The Parties, in fact, with such arguments intend to essentially assimilate the management forms of BW, CODO, and DODO to the management forms used by operators who buy fuels wholesale in the off-network market (despite the respective differences between BW contracts, on the one hand, and CODO and DODO, on the other). However, wholesale fuel sales in the off-network market to companies that independently decide how much of the products to purchase from suppliers active in that market, the contractual duration, and, downstream, the commercial policy in retail resale appear significantly different from the situation that arises with BW contracts in which wholesalers, like the contractual solutions of CODO and DODO, have multi-year purchase obligations for fuels that bind them exclusively to the oil company and the sale of products occurs in facilities that are in turn fully supplied by the same, with its brand and with a series of ancillary services and limitations related to the brand and subject to the approval of the same oil company [omitted].</w:t>
      </w:r>
    </w:p>
    <w:p>
      <w:r>
        <w:t>126. Regarding the comparison with the franchise contract, it is noted that the Parties refer to it in an attempt to demonstrate the lack of control by the oil company over the distribution network of fuels under its brand. However, this conclusion is contradicted by the facts. As for the CODO and DODO contracts, as mentioned, the Authority has historically included such management forms within the scope of the retail activity of the oil company, a position that... [omitted]</w:t>
      </w:r>
    </w:p>
    <w:p>
      <w:r>
        <w:rPr>
          <w:b/>
        </w:rPr>
        <w:t>[Pages 58–60]</w:t>
      </w:r>
    </w:p>
    <w:p>
      <w:r>
        <w:t>60 BULLETIN NO. 30 OF AUGUST 7, 2023</w:t>
        <w:br/>
        <w:t>that ESSO itself seems to confirm insofar as, with the final memorandum, it attributed the presence in the retail market to the BW that use the CODO and DODO management forms.</w:t>
      </w:r>
    </w:p>
    <w:p>
      <w:r>
        <w:t>127. The conclusion, however, cannot be different even with regard to the BW of ESSO since the interposition of an additional level of marketing (oil company - BW - distribution operators i.e. CODO, DODO etc.) has not affected the characteristics that characterize the contractual relationships in this sector, namely exclusive contracts throughout the supply chain, of multi-year duration [omissis], with multiple limitations and constraints on the economic activity by the oil company licensee of the brand towards the contractual counterparty.</w:t>
      </w:r>
    </w:p>
    <w:p>
      <w:r>
        <w:t>128. Since the facilities managed by the BW (or, in any case, by third-party operators in the case of CODO, CLODO, and DODO) are bound to offer exclusively the fuel of the Parties, there is an immediate connection between the wholesale price and the resale price to final consumers. Therefore, the fact that the oil company does not set the retail price of each distributor under its brand, to the extent that it can significantly influence through the level of the wholesale price, along with the other characteristics examined, including primarily the exclusivity of supply, reveals a reality in which, beyond the statements, the BW do not have the entrepreneurial autonomy that ESSO claims to attribute to them. It therefore seems correct to attribute the volumes sold by the distribution networks under the ESSO brand to the oil company that holds control powers over the management and marketing of the same and that presents itself to consumers with its own brand.</w:t>
      </w:r>
    </w:p>
    <w:p>
      <w:r>
        <w:t>129. It is noted, in support, that ENI itself, during the hearing, as reported in the section "Arguments of the Parties," confirmed this position by stating that the possible effects of the Operation, related to the dynamics of distribution on the network and, in particular, to the distribution networks managed by third-party operators contracted with the oil companies, do not depend on the specific methods of contracting (CODO, DODO, or BW).</w:t>
      </w:r>
    </w:p>
    <w:p>
      <w:r>
        <w:t>130. Moreover, unlike non-contracted distributors - the so-called "white pumps" - each additional unit of fuel sold by each contracted distributor necessarily represents an additional unit of fuel sold wholesale by the oil company. For this reason, companies are not indifferent to the level of sales and, therefore, to the level of competitive pressure exerted on the facilities. At the same time, companies, as exclusive suppliers of the facilities, have the ability to indirectly influence the level of the retail selling price through the wholesale price charged to them (directly or through the intermediation of wholesalers specifically contracted), which constitutes a minimum limit to the final selling price selected by the operator and which, at the same time, represents income for the oil company.</w:t>
      </w:r>
    </w:p>
    <w:p>
      <w:r>
        <w:t>131. In the described context, in fact, the level of local competitive pressure borne by a contracted facility (or a group of contracted facilities located in a certain area) induces the company that supplies it exclusively to limit the level of the wholesale price charged to that facility (or group of facilities). Therefore, the removal or attenuation of such local competitive pressure abstractly attributable to the Operation could induce the company to increase the level of such "wholesale" prices.</w:t>
      </w:r>
    </w:p>
    <w:p>
      <w:r>
        <w:t>132. In other words, at the moment when IP were to take over from ESSO in the exclusive supplies to the ESSO-branded facilities, it would know that part of the sales it would lose in the event of increasing prices (at retail or wholesale) of the IP-branded distributors would be recovered from the sales of the ESSO-branded distributors (which, in the post-merger scenario, would represent revenue for IP as they would be supplied exclusively by it) and this circumstance would constitute an incentive to proceed with such a price increase compared to the pre-merger scenario. Conversely, following the concentration, IP could find it profitable to increase the prices (wholesale) charged to ESSO distributors, supplied exclusively by it, since it would know that part of the volumes lost in retail sales by ESSO-branded distributors due to such an increase would be recovered by the IP-branded network.</w:t>
      </w:r>
    </w:p>
    <w:p>
      <w:r>
        <w:t>133. The extent of such effects, being linked to the substitutability between individual distribution facilities for final consumers, therefore depends on the local overlaps between the IP and ESSO-branded distribution facilities and requires, accordingly, an analysis of such overlaps. Therefore, the assessment of the effects of the Operation cannot disregard such an analysis.</w:t>
      </w:r>
    </w:p>
    <w:p>
      <w:r>
        <w:t>134. This approach, moreover, is consistent with the Authority's practice, which has, in its precedents, included in its assessments also the sales points (CODO and DODO) for which the oil company was not directly involved in setting the retail price.</w:t>
      </w:r>
    </w:p>
    <w:p>
      <w:r>
        <w:t>135. The Parties themselves, contrary to what was claimed in the notification, acknowledged in their final memoranda that the incentives of IP and ESSO may change as a result of the Operation and, therefore, implicitly recognize the need for the Authority to measure the horizontal overlaps between the sales points of the IP and ESSO-branded networks. It is the very evidence of this necessity (which would not be perceived if, for example, ESSO sold fuel exclusively to so-called "white pumps," devoid of exclusive purchasing constraints from the company and other constraints that instead weigh on the BW) to indicate that the Operation in question cannot be considered comparable to a typical vertical concentration (which typically does not require an analysis of overlaps). The analysis carried out by the Authority and the quantification of the effects of the Operation in the network markets, in any case, regardless of the terminology used, reflects and takes into account the specific characteristics of the Parties' distribution networks and their actual possibilities of influencing competitive variables at various levels of the supply chain.</w:t>
      </w:r>
    </w:p>
    <w:p>
      <w:r>
        <w:t>On the ability of ESSO to change wholesale prices</w:t>
      </w:r>
    </w:p>
    <w:p>
      <w:r>
        <w:t>136. The Parties argued that, contrary to what was hypothesized by the Authority at the outset, ESSO (and in the future the post-merger entity), even if it had the incentive, would not have the ability to increase the wholesale price charged to branded wholesalers, as this, based on existing contracts, changes according to predetermined criteria and is not under the unilateral control of ESSO (or, following the Operation, of the post-merger entity). Furthermore, the Parties add, the wholesaler holding the sales points currently branded ESSO would always have the option not to renew the agreement with ESSO in the future and to switch to another oil company or an alternative distribution form, should the post-merger entity establish excessively burdensome supply conditions.</w:t>
      </w:r>
    </w:p>
    <w:p>
      <w:r>
        <w:t>137. In order to respond to the first objection (ESSO's ability to change prices to BW), it is necessary to examine the price revision mechanisms provided for in the contracts concluded between ESSO and the branded wholesalers. In this regard, as already seen in the section "Investigative Findings," it is noted that [omissis].</w:t>
      </w:r>
    </w:p>
    <w:p>
      <w:r>
        <w:t>138. In fact, the criteria provided in the BWA, [omissis].</w:t>
      </w:r>
    </w:p>
    <w:p>
      <w:r>
        <w:t>139. [omissis].</w:t>
      </w:r>
    </w:p>
    <w:p>
      <w:r>
        <w:t>140. [omissis].</w:t>
      </w:r>
    </w:p>
    <w:p>
      <w:r>
        <w:t>141. Contrary to what ESSO claimed, for which it would not be convenient [omissis], it is observed that in areas where the post-merger entity would hold, even as a result of the Operation, significant market power, increasing prices [omissis] would not be burdensome but rather profitable.</w:t>
      </w:r>
    </w:p>
    <w:p>
      <w:r>
        <w:t>142. [omissis].</w:t>
      </w:r>
    </w:p>
    <w:p>
      <w:r>
        <w:t>143. Regarding the possibility that branded wholesalers may, in the face of an increase in wholesale prices by ESSO, not renew the contract and turn to an alternative supplier, it is noted that the contracts concerning the vast majority of the contracted volumes (80%) with the ESSO BW do not expire within the next 3 years ([omissis]) and on the other hand, that, even following the expiration of the contract, the switching cost associated with a brand change for the sales points represents a burden (in terms, for example, of coloring and structuring the facility and operational methods) that could confer to the post-merger entity.</w:t>
      </w:r>
    </w:p>
    <w:p>
      <w:r>
        <w:rPr>
          <w:b/>
        </w:rPr>
        <w:t>[Pages 61–63]</w:t>
      </w:r>
    </w:p>
    <w:p>
      <w:r>
        <w:t>BULLETIN NO. 30 OF AUGUST 7, 2023 63</w:t>
      </w:r>
    </w:p>
    <w:p>
      <w:r>
        <w:t>a significant contractual power. This is further confirmed by the evidence that the number of facilities that have actually changed brand is very limited90.</w:t>
      </w:r>
    </w:p>
    <w:p>
      <w:r>
        <w:t>On the estimation of the effects of the Operation in the network markets and the thresholds adopted</w:t>
      </w:r>
    </w:p>
    <w:p>
      <w:r>
        <w:t>144. With reference to the Parties' objection regarding the incorrect reconstruction of the incentive to increase prices at ESSO facilities, it is believed that this argument is unfounded. It is noted, first of all, that this incentive has been estimated precisely in line with what the Parties represented regarding the circumstance that it is not this oil company that directly controls the retail price at the individual facilities displaying its brand (price ultimately determined by the Branded Wholesalers and/or by third-party operators of the facilities). ESSO, in fact, defines the transfer prices to the BW at the logistical base level.</w:t>
      </w:r>
    </w:p>
    <w:p>
      <w:r>
        <w:t>The analysis carried out, therefore, was not aimed at capturing the incentive to increase prices (by the operator) of the individual ESSO-branded facility, but the incentive from the entity resulting from the concentration to increase the wholesale supply prices charged by the various logistical bases used by the BWs.</w:t>
      </w:r>
    </w:p>
    <w:p>
      <w:r>
        <w:t>145. Only as an extremely cautious measure for the Parties, some local markets in which ESSO facilities source from a logistical base with a GUPPI above the critical threshold, but which do not simultaneously meet further requirements, have been deemed non-critical. The dispute, in fact, has been confined to a subset of such markets – those in which the joint market share was found to be at least 30% and the GUPPI calculated at the local market level (with reference to all ESSO facilities therein) is above the critical threshold.</w:t>
      </w:r>
    </w:p>
    <w:p>
      <w:r>
        <w:t>In light of the above, therefore, any analyses of the individual catchment areas centered also on ESSO facilities would have been additional, but would not have replaced those carried out on the catchment areas centered on IP facilities (as the Parties erroneously seem to suggest with their argument in this regard), without improving the assessment of their market position.</w:t>
      </w:r>
    </w:p>
    <w:p>
      <w:r>
        <w:t>146. Regarding the estimation of margins, it should be noted that the alleged variable nature of the costs that have been excluded for the calculation of the GUPPI91 has not been supported by evidentiary and documentary elements that allow for the precise identification of the drivers that determine their variations.</w:t>
      </w:r>
    </w:p>
    <w:p>
      <w:r>
        <w:t>147. As for the inclusion of the refining margin, it is observed that it does not seem possible to ignore the vertically integrated nature of the Parties. For example, it should be considered that from the same business plan of the Operation it emerges that one of its purposes is precisely to ensure an outlet for the volumes refined internally by the post-merger entity.</w:t>
      </w:r>
    </w:p>
    <w:p>
      <w:r>
        <w:t>That said, it is highlighted that the refining margin has been considered only for a portion, corresponding to the incidence of the refined volumes on those sold overall in the network and off-network markets. In other words, the analysis carried out takes into account the actual procurement mix of the Parties, that is to say to what extent sales in the network and off-network markets are supplied by products refined internally by the Parties rather than by products purchased on the market from third-party operators.</w:t>
      </w:r>
    </w:p>
    <w:p>
      <w:r>
        <w:t xml:space="preserve">90 See doc. 1. </w:t>
        <w:br/>
        <w:t>91 In fact, for the purposes of calculating the GUPPI, it is recalled that what matters are the incremental margins – with respect to which the margins net of variable costs constitute a proxy – derived from the sale of an additional unit of product.</w:t>
      </w:r>
    </w:p>
    <w:p>
      <w:r>
        <w:t>64 BULLETIN NO. 30 OF AUGUST 7, 2023</w:t>
      </w:r>
    </w:p>
    <w:p>
      <w:r>
        <w:t>148. Still on the criteria for calculating the GUPPI, it is believed that the methodology adopted for the evaluation of the diversion ratios is correct in this case.</w:t>
      </w:r>
    </w:p>
    <w:p>
      <w:r>
        <w:t>It is reiterated, first of all, that the objective of the analysis was not to quantify the incentives to increase prices of the individual ESSO facility (which, as highlighted by the Parties, is not directly controllable by the entity resulting from the concentration).</w:t>
      </w:r>
    </w:p>
    <w:p>
      <w:r>
        <w:t>Moreover, unlike other retail markets, distance assumes, in this specific context, lesser relevance, insofar as 90% of consumers do not specifically travel to refuel but do so along a habitual route92. Therefore, as the need to minimize the distance to reach a facility is lessened, this does not represent a factor of choice as significant as in other markets93. Rather, other characteristics are relevant, such as price convenience – according to the survey, the main criterion for choice – this last element can be more fully captured by estimating the diversion ratios94 based on market shares expressed in terms of volumes supplied (which, instead, have been ignored in the Parties' estimates)95.</w:t>
      </w:r>
    </w:p>
    <w:p>
      <w:r>
        <w:t>149. The fact that distance in this context constitutes a less important factor of choice than in other markets can also be inferred from the survey data on the movements reported by consumers to refuel, contained in Table 7 of the "Investigative Findings" section. This table, in fact, shows how the shares of consumers traveling increasing distances do not necessarily decrease. For example, considering the mobility indicated by users on the ordinary road network (see Table 7), if 26% of consumers would travel distances within 5 minutes of driving, the share of those who would make longer trips, between 5 and 10 minutes of driving, increases – and does not decrease – to 37%. Therefore, in light of such elements, it appears that as distance increases, the willingness of consumers to move does not necessarily decrease, and ultimately does not diminish the ability of facilities to capture customers, in the presence of other choice factors.</w:t>
      </w:r>
    </w:p>
    <w:p>
      <w:r>
        <w:t>150. In any case, the methodology for estimating the diversion ratios based on market shares is more favorable to the Parties, resulting in DRs lower than those calculated based on the number of facilities and distance96.</w:t>
      </w:r>
    </w:p>
    <w:p>
      <w:r>
        <w:t>151. Regarding the absence, in the estimation of the diversion ratios, of an outside good, that is to say the possibility that the consumer in response to a price increase purchases products outside the geographical or product market, it is believed that this circumstance does not occur in this market, where the volumes lost due to a price increase at facilities displaying a certain brand in a given area (and, even more so, of a single facility) are likely to be completely captured by other competing facilities located within the same area. This is in consideration of: i) the nature of the product in question; ii) the presence of a high number of alternative facilities in each relevant market; and iii) the absence of alternative channels for purchasing fuel.</w:t>
      </w:r>
    </w:p>
    <w:p>
      <w:r>
        <w:t>152. Regarding the critical threshold of the GUPPI (4%), deemed by the Parties to be too low and not in line with the authority's practice (5%), it is noted that, as is known, the GUPPI index underestimates the competitive concerns arising from the concentration operation. In fact, even firms active in the same market that do not participate in the concentration can benefit from the reduction of competitive pressure that results from the concentration, as the price increase by the post-merger entity can shift some of the demand towards rival firms that, in turn, may consider it profitable to raise their prices as well.</w:t>
      </w:r>
    </w:p>
    <w:p>
      <w:r>
        <w:t>153. Furthermore, the critical threshold depends on the specific characteristics of the market and, in this case, the sector is characterized by inelastic demand, which concerns the distribution of a primary consumer good with a significant impact on household spending.</w:t>
      </w:r>
    </w:p>
    <w:p>
      <w:r>
        <w:t>154. The approach adopted appears to be conservative compared to that adopted by other authorities in fuel distribution markets: in particular, the English authority has used a threshold of 1.5%, much lower than that used in the present proceeding97.</w:t>
      </w:r>
    </w:p>
    <w:p>
      <w:r>
        <w:t>155. Regarding the circumstance that the analysis of incentives to increase prices does not consider the ultimate impact on final consumers, it is first observed that the retail price is almost entirely made up of the transfer price. Moreover, from the evidence on record, although the operators of ESSO-branded facilities may decide not to fully pass on the price increases suffered in order to avoid significant volume losses, it appears that there is an almost total risk of pass-through of the increases in transfer prices to the BWs on retail prices98.</w:t>
      </w:r>
    </w:p>
    <w:p>
      <w:r>
        <w:t>156. However – to take this observation into account, in light of the peculiarities of the case at hand, and from the perspective of a retail-level analysis – it is deemed appropriate to adopt, in an extremely cautious manner, a critical threshold of the GUPPI of 5%, higher than the 4% indicated in the CRI. In light of this correction, the number of critical local markets identified is reduced to 537 (of which 5 on the motorway network).</w:t>
      </w:r>
    </w:p>
    <w:p>
      <w:r>
        <w:t>On the quantification of the effects of the Operation in the network markets</w:t>
      </w:r>
    </w:p>
    <w:p>
      <w:r>
        <w:t>157. In the market for fuel distribution on the ordinary road network, the concentration operation will result in the creation of the first operator active on a national scale, with a market share of [20-25%] in terms of volumes supplied and 29% in terms of facilities.</w:t>
      </w:r>
    </w:p>
    <w:p>
      <w:r>
        <w:t xml:space="preserve">97 See CMA (Competition and Markets Authority), J Sainsbury PLC / Asda Group Ltd merger inquiry, decision of July 9, 2019. </w:t>
        <w:br/>
        <w:t>98 For example, a very recent empirical analysis shows that pass-through in the fuel distribution sector is almost total in local markets characterized by the presence of at least 4 competing facilities, a condition that is substantially always verified in the local markets examined. See Genakos, Christos, and Mario Pagliero. 2022. “Competition and Pass-Through: Evidence from Isolated Markets.” American Economic Journal: Applied Economics, 14 (4): 35-57. Furthermore, from a recent study by DG COMP (2020) (available at the following link: https://copenhageneconomics.com/wp-content/uploads/2021/12/copenhagen-economics_march_ifr-report.pdf), which reports a review of empirical studies estimating the extent of pass-through also in the fuel distribution sector, it emerges that such pass-through is almost total (93%) in Italy and averages around 100% in Europe.</w:t>
      </w:r>
    </w:p>
    <w:p>
      <w:r>
        <w:rPr>
          <w:b/>
        </w:rPr>
        <w:t>[Pages 64–66]</w:t>
      </w:r>
    </w:p>
    <w:p>
      <w:r>
        <w:t>66 BULLETIN NO. 30 OF AUGUST 7, 2023</w:t>
      </w:r>
    </w:p>
    <w:p>
      <w:r>
        <w:t>158. In order to identify the critical issues arising from the operation, a threshold of the GUPPI index equal to 5% was considered, taking into account the specificities of the fuel distribution market and the ownership and management structure of the Parties' distribution networks, as well as in light of the arguments presented by them.</w:t>
      </w:r>
    </w:p>
    <w:p>
      <w:r>
        <w:t>159. By adopting this criterion, the total number of competitively problematic catchment areas in relation to ordinary road distribution is reduced to 532 and in relation to motorway distribution to 599.</w:t>
      </w:r>
    </w:p>
    <w:p>
      <w:r>
        <w:t>160. In conclusion, therefore, the analyses carried out confirm that the concentration is likely to significantly hinder effective competition in the distribution of fuels on ordinary road and motorway networks, also through the establishment of a dominant position.</w:t>
      </w:r>
    </w:p>
    <w:p>
      <w:r>
        <w:t>VIII. THE CORRECTIVE MEASURES PROPOSED BY THE PARTIES</w:t>
      </w:r>
    </w:p>
    <w:p>
      <w:r>
        <w:t>161. In the final memorandum, IP proposed several measures in order to address the competitive concerns raised in the Communication of Investigative Findings.</w:t>
      </w:r>
    </w:p>
    <w:p>
      <w:r>
        <w:t>162. The first two measures listed below pertain to off-network markets, the last to network markets.</w:t>
      </w:r>
    </w:p>
    <w:p>
      <w:r>
        <w:t>i) Provision of transit and storage capacity on SIGEMI</w:t>
      </w:r>
    </w:p>
    <w:p>
      <w:r>
        <w:t>163. IP commits to making available on the SIGEMI system, for a period of 15 years (from January 1, 2024), a quantity of capacity sufficient to allow non-vertically integrated third-party operators to store and transit petroleum products in the overall measure of 40% of the quantities of gasoline, 30% of the quantity of diesel, and 90% of the volumes of heating oil placed on the market by IP in the previous year.</w:t>
      </w:r>
    </w:p>
    <w:p>
      <w:r>
        <w:t>164. The transit rates will be fair, non-discriminatory, and will not exceed those applied by SIGEMI to third-party operators and known to IP for the provision of services similar to those subject to these remedies.</w:t>
      </w:r>
    </w:p>
    <w:p>
      <w:r>
        <w:t>165. The capacity is made available to non-vertically integrated third parties and any entities controlled or connected to them that meet adequate requirements of financial, reputational, and logistical reliability and comply with the efficiency and legality standards set by sector regulations and API Group policies.</w:t>
      </w:r>
    </w:p>
    <w:p>
      <w:r>
        <w:t>ii) Provision of B2B product on additional logistical bases</w:t>
      </w:r>
    </w:p>
    <w:p>
      <w:r>
        <w:t>166. IP commits to making available on an annual basis, in favor of third-party operators and for a period of five years, the following quantities of product at a cost-oriented price:</w:t>
        <w:br/>
        <w:t>- 12,000 tons of B2B gasoline from the Sonatrach depot in Naples from January 1, 2024;</w:t>
        <w:br/>
        <w:t>- 12,000 tons of B2B LPG from Sarpom Trecate from January 1, 2024.</w:t>
      </w:r>
    </w:p>
    <w:p>
      <w:r>
        <w:t>167. Regarding kerosene, initially IP had committed to making it available to vertically integrated third parties of primary national and international standing with adequate requirements of financial, reputational, logistical reliability and a consolidated multi-year experience in the aviation sector - [omitted].</w:t>
      </w:r>
    </w:p>
    <w:p>
      <w:r>
        <w:t>168. Following the correction of the data transmitted by ESSO (see above) regarding the volumes of kerosene sold in 2022 in the B2B market, the Parties have stated that they do not consider it necessary to provide for any measure because there would be no competitive issues in the market in question. However, should the Authority assess the persistence of some critical issues in the market in question, in the alternative the Parties request that the provision of product be reduced, compared to the initial proposal, in order to take into account the impact of the operation in light of the new data.</w:t>
      </w:r>
    </w:p>
    <w:p>
      <w:r>
        <w:t>iii) Elimination of exclusives in the local markets deemed critical</w:t>
      </w:r>
    </w:p>
    <w:p>
      <w:r>
        <w:t>169. IP commits to unilaterally integrating contracts with all Branded Wholesalers providing for:</w:t>
        <w:br/>
        <w:t>a. the option for them to release from exclusivity 20% of the actual supply requirement related to the year in which purchases are made for all the plants they serve located in the [omitted] local markets on the ordinary network identified as critical in the CRI or in the smaller number of local markets deemed actually critical by the Authority in light of the observations made by the Parties;</w:t>
        <w:br/>
        <w:t>b. a reduction of the minimum purchase requirements of the Branded Wholesalers proportional to the possible reduction of ESSO fuel purchases by the distributors to whom the above option will be granted.</w:t>
      </w:r>
    </w:p>
    <w:p>
      <w:r>
        <w:t>IX. EVALUATION OF THE PROPOSED MEASURES</w:t>
      </w:r>
    </w:p>
    <w:p>
      <w:r>
        <w:t>170. Regarding the measure referred to in point i), it appears suitable to resolve the critical issues in all off-network B2C diesel and heating oil markets and in some of the off-network B2B gasoline markets (Trecate Sarpom, Trecate San Martino, Savona, Sigemi Lacchiarella, Sigemi Arquata), provided that the transit and storage capacity made available to third-party operators is clearly and preemptively quantified based on IP's sales for the year 2022. In fact, with the implementation of the proposed measure, in the aforementioned markets the joint market share or the increase in that share would fall below the critical thresholds.</w:t>
      </w:r>
    </w:p>
    <w:p>
      <w:r>
        <w:t>171. Furthermore, the suitability of this measure to remove competitive concerns is contingent upon a redefinition of the requirements imposed on third-party operators, aimed at excluding efficiency assessments and requirements set solely within the framework of API Group policies. Their excessively discretionary nature could indeed hinder the effective implementation of the measure.</w:t>
      </w:r>
    </w:p>
    <w:p>
      <w:r>
        <w:t>172. The measure referred to in point ii) is suitable to remove the remaining competitive issues in the off-network B2B gasoline (Naples Sonatrach, Naples Q8) and LPG (Trecate Sarpom) markets as the volumes of product made available to competitors at these logistical bases allow for the sterilization of the effects of hindering effective competition that the operation is capable of producing.</w:t>
      </w:r>
    </w:p>
    <w:p>
      <w:r>
        <w:t>173. Regarding kerosene, it is believed that, even in light of the new data on sales in the off-network B2B market provided by the Parties, competitive issues still persist, as the joint market share and its increase, respectively equal to [40-45%] and [15-20%], remain above the critical thresholds. Therefore, there remains a need to provide for a product transfer in favor of third-party operators equal to 6,330 tons at the Trecate Sarpom depot, in order to sterilize the restrictive impact of the Operation on competitive conditions in that product and geographical market.</w:t>
      </w:r>
    </w:p>
    <w:p>
      <w:r>
        <w:t>174. Regarding network markets (point iii), regardless of the final number of local markets identified as critical, the percentage of elimination of exclusive supplies contained in contracts to the BW is not sufficient to remove the competitive concerns raised in the CRI. In fact, given ESSO's margin, a price increase of 5% would still be profitable if the reduction in the volume sold remained below 30%. Therefore, it appears necessary that Branded Wholesalers be granted the option to release at least 30% of the actual supply requirement related to the year in which purchases are made for all the plants they serve located in critical areas.</w:t>
      </w:r>
    </w:p>
    <w:p>
      <w:r>
        <w:t>175. Furthermore, the remedy, in order to be considered suitable, must be interpreted as aimed at allowing the release of a number of plants corresponding to the volumes ("supply requirement") subject to the removal of exclusivity in critical areas. Only in these terms can the effects of the operation be sterilized.</w:t>
      </w:r>
    </w:p>
    <w:p>
      <w:r>
        <w:t>176. Regarding the measures related to the off-network market, in light of their complexity also in terms of implementation, it is deemed appropriate to provide for a specific trustee responsible for monitoring ("Monitoring Trustee") and overseeing the activities required of the Party to comply with the measures set forth in this decision.</w:t>
      </w:r>
    </w:p>
    <w:p>
      <w:r>
        <w:t>X. CONCLUSIONS</w:t>
      </w:r>
    </w:p>
    <w:p>
      <w:r>
        <w:t>177. The investigation has established that the concentration under examination is likely to significantly hinder, pursuant to Article 6, paragraph 1, of Law No. 287/1990, effective competition, also through the establishment or strengthening of a dominant position, in 17 off-network local markets (11 B2B type and 6 B2C type) and 537 network local markets (of which 532 on ordinary networks and 5 on motorway networks).</w:t>
      </w:r>
    </w:p>
    <w:p>
      <w:r>
        <w:t>178. Based on the preceding considerations, it is believed that the concentration operation under examination is likely to be authorized only in the presence of measures suitable to sterilize its anti-competitive effects and to effectively safeguard the operation of competitive comparison pursuant to Article 6, paragraph 2, of Law No. 287 of October 10, 1990.</w:t>
      </w:r>
    </w:p>
    <w:p>
      <w:r>
        <w:rPr>
          <w:b/>
        </w:rPr>
        <w:t>[Pages 67–69]</w:t>
      </w:r>
    </w:p>
    <w:p>
      <w:r>
        <w:t>BULLETIN NO. 30 OF AUGUST 7, 2023 69</w:t>
      </w:r>
    </w:p>
    <w:p>
      <w:r>
        <w:t>CONSIDERED, therefore, based on the elements emerged during the investigation, that the operation in question is likely to cause, pursuant to Article 6, paragraphs 1 and 2, of Law No. 287/1990, a significant obstacle to competition, also through the creation and strengthening of a dominant position in the relevant markets identified above, such as to eliminate or substantially and durably reduce competition;</w:t>
      </w:r>
    </w:p>
    <w:p>
      <w:r>
        <w:t>CONSIDERED to prescribe to the company Italiana Petroli S.p.A., pursuant to Article 6, paragraph 2, of Law No. 287/1990, the necessary measures to prevent the realization of the distorting effects on competition caused by the implementation of the concentration in question;</w:t>
      </w:r>
    </w:p>
    <w:p>
      <w:r>
        <w:t>CONSIDERED, therefore, that the communicated concentration operation is authorized subject to the full, effective, and timely execution of all measures prescribed in this decision;</w:t>
      </w:r>
    </w:p>
    <w:p>
      <w:r>
        <w:t>CONSIDERED that any failure to implement the aforementioned measures would result in the realization of a concentration operation in violation of the prohibition set forth in Article 6, paragraph 1, of Law No. 287/1990;</w:t>
      </w:r>
    </w:p>
    <w:p>
      <w:r>
        <w:t>CONSIDERED, furthermore, that the non-compete obligations between the Parties are ancillary to this operation only to the limits described above and that the Authority reserves the right to evaluate the aforementioned agreements that exceed the indicated limits;</w:t>
      </w:r>
    </w:p>
    <w:p>
      <w:r>
        <w:t>RESOLVES</w:t>
      </w:r>
    </w:p>
    <w:p>
      <w:r>
        <w:t>to authorize the communicated concentration operation, provided that Italiana Petroli S.p.A. fully and effectively implements the following measures prescribed pursuant to Article 6, paragraph 2, of Law No. 287/1990:</w:t>
      </w:r>
    </w:p>
    <w:p>
      <w:r>
        <w:t>a) making available transit and storage capacity on the SIGEMI system for a period of fifteen years starting from January 1, 2024:</w:t>
        <w:br/>
        <w:t>i. suitable to allow the storage and transit of petroleum products in the overall measure of 40% of the quantities of gasoline, 30% of the quantity of diesel, and 90% of the volumes of heating diesel put into consumption in the off-network markets by IP in 2022;</w:t>
        <w:br/>
        <w:t>ii. in favor of third-party operators not vertically integrated and any entities controlled or connected to them that possess adequate requirements of financial, reputational, and logistical reliability that comply with the legality standards provided by sector regulations;</w:t>
        <w:br/>
        <w:t>iii. at fair and non-discriminatory relative rates, and such as not to exceed those applied by SIGEMI to third-party operators and known to IP for the provision of services similar to those subject to these remedies;</w:t>
      </w:r>
    </w:p>
    <w:p>
      <w:r>
        <w:t>b) making available, for a period of five years starting from January 1, 2024, the following quantities of product:</w:t>
        <w:br/>
        <w:t>i. 12,000 tons of B2B gasoline from the Sonatrach depot in Naples in favor of third-party operators;</w:t>
        <w:br/>
        <w:t>ii. 12,000 tons of B2B LPG from Sarpom Trecate in favor of third-party operators;</w:t>
        <w:br/>
        <w:t>iii. 6,330 tons of B2B kerosene from Sarpom Trecate in favor of vertically integrated third-party operators of primary national and international standing with adequate requirements of financial, reputational, logistical, and technical reliability;</w:t>
        <w:br/>
        <w:t>iv. at a cost-oriented price.</w:t>
      </w:r>
    </w:p>
    <w:p>
      <w:r>
        <w:t>BULLETIN NO. 30 OF AUGUST 7, 2023 70</w:t>
      </w:r>
    </w:p>
    <w:p>
      <w:r>
        <w:t>c) reporting in a dedicated section of the Party's website, accessible from its homepage - and with adequate graphic prominence - the content of these measures and the related offer conditions;</w:t>
      </w:r>
    </w:p>
    <w:p>
      <w:r>
        <w:t>d) revising contracts with all Branded Wholesalers providing for:</w:t>
        <w:br/>
        <w:t>i. the option for the latter to release from exclusivity 30% of the supply needs of the plants on the ordinary network served by them in the 532 critical areas;</w:t>
        <w:br/>
        <w:t>ii. a reduction of the minimum purchase proportional to any reduction in ESSO fuel purchases in favor of distributors exercising the option referred to above;</w:t>
      </w:r>
    </w:p>
    <w:p>
      <w:r>
        <w:t>e) appointing a trustee responsible for monitoring ("Monitoring Trustee") the implementation of measures a) and b) related to off-network markets:</w:t>
        <w:br/>
        <w:t>i. Within 40 days from the notification of the decision, Italiana Petroli S.p.A. shall submit for the Authority's approval the name of a subject it proposes to appoint as the monitoring trustee. The proposal must contain sufficient information to allow the Authority to verify that the proposed trustee meets the requirements of point iii) and must include: 1. the terms of the proposed mandate, which will include all necessary provisions to enable the trustee to fulfill its obligations under these measures; 2. the curriculum vitae; 3. the outline of a work plan describing how the trustee will carry out the assigned tasks.</w:t>
        <w:br/>
        <w:t>ii. The Authority has the right to approve or reject the proposed trustee and to approve the proposed mandate or modify it appropriately to enable the trustee to perform its functions;</w:t>
        <w:br/>
        <w:t>iii. the Monitoring Trustee must meet the following characteristics: 1) be an independent subject with respect to the Parties and the companies belonging to their respective groups; 2) possess the necessary qualifications to carry out its mandate; 3) not be, nor have been exposed to, a conflict of interest. In particular, the trustee must not have held any significant position on behalf of the Parties and related groups in the year preceding their appointment;</w:t>
        <w:br/>
        <w:t>iv. Within one week from the communication of the Authority's approval decision, the Party must appoint the Monitoring Trustee, who shall perform the following tasks:</w:t>
        <w:br/>
        <w:t>1. verify that the capacity made available on the SIGEMI system is suitable to transit and store 40% of the quantities of gasoline, 30% of the quantity of diesel, and 90% of the volumes of heating diesel put into consumption in the off-network markets by IP in 2022;</w:t>
        <w:br/>
        <w:t>2. verify that the offer rates for the capacity on SIGEMI referred to in point a) are fair and non-discriminatory;</w:t>
        <w:br/>
        <w:t>3. verify that the sale prices of the volumes of products referred to in point b) are cost-oriented;</w:t>
        <w:br/>
        <w:t>4. act as a point of contact for any requests from third parties, particularly third parties interested in accessing the capacity made available on SIGEMI and/or purchasing the volumes of products offered on other logistical bases;</w:t>
        <w:br/>
        <w:t>5. carry out mediation activities for the resolution of disputes that may arise between the Party and third parties regarding the prescribed remedies;</w:t>
      </w:r>
    </w:p>
    <w:p>
      <w:r>
        <w:t>BULLETIN NO. 30 OF AUGUST 7, 2023 71</w:t>
      </w:r>
    </w:p>
    <w:p>
      <w:r>
        <w:t>6. verify that there are no unjustified obstacles to the purchase of capacity and/or volumes of the products offered pursuant to these remedies;</w:t>
      </w:r>
    </w:p>
    <w:p>
      <w:r>
        <w:t>7. submit to the Authority a written report on the progress of the implementation of measures a) and b) related to off-network markets by December 31 of each year.</w:t>
      </w:r>
    </w:p>
    <w:p>
      <w:r>
        <w:t>v. By December 31, 2023, the Party must submit to the Authority a report accounting for the implementation of measure sub d).</w:t>
      </w:r>
    </w:p>
    <w:p>
      <w:r>
        <w:t>The above measures will come into effect upon notification of the authorization decision of this operation.</w:t>
      </w:r>
    </w:p>
    <w:p>
      <w:r>
        <w:t>This decision will be notified to the interested parties and published in the Bulletin of the Italian Competition Authority.</w:t>
      </w:r>
    </w:p>
    <w:p>
      <w:r>
        <w:t>Against this decision, an appeal may be submitted to the TAR of Lazio, pursuant to Article 135, paragraph 1, letter b), of the Code of Administrative Procedure (Legislative Decree July 2, 2010, No. 104),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decision itself.</w:t>
      </w:r>
    </w:p>
    <w:p>
      <w:r>
        <w:t>THE SECRETARY GENERAL THE PRESIDENT</w:t>
        <w:br/>
        <w:t>Guido Stazi Roberto Rustichelli</w:t>
      </w:r>
    </w:p>
    <w:p>
      <w:r>
        <w:rPr>
          <w:b/>
        </w:rPr>
        <w:t>[Pages 70–72]</w:t>
      </w:r>
    </w:p>
    <w:p>
      <w:r>
        <w:t>72 BULLETIN NO. 30 OF AUGUST 7, 2023</w:t>
        <w:br/>
        <w:t>TELEVISION RIGHTS</w:t>
        <w:br/>
        <w:t>SR45 - SERIE B FOOTBALL LEAGUE / GUIDELINES FOR THE MARKETING OF AUDIOVISUAL RIGHTS FOR THE 2024/2025, 2025/2026, 2026/2027, 2027/2028, AND 2028/2029 SEASONS</w:t>
        <w:br/>
        <w:t>Provision No. 30744</w:t>
        <w:br/>
        <w:t>THE ITALIAN COMPETITION AUTHORITY</w:t>
        <w:br/>
        <w:t>IN ITS MEETING of July 18, 2023;</w:t>
        <w:br/>
        <w:t>HEARD the Rapporteur, Professor Elisabetta Iossa;</w:t>
        <w:br/>
        <w:t>HAVING REGARD to Law No. 287 of October 10, 1990;</w:t>
        <w:br/>
        <w:t>HAVING REGARD to Legislative Decree No. 9 of January 9, 2008, concerning "Regulation of the ownership and marketing of sports audiovisual rights and related resource allocation";</w:t>
        <w:br/>
        <w:t>HAVING REGARD to Article 6, paragraph 1, of the aforementioned Legislative Decree, according to which the National Professional League Serie B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additional rules" established to ensure participants in competitive procedures "conditions of absolute fairness, transparency, and non-discrimination";</w:t>
        <w:br/>
        <w:t>HAVING REGARD, furthermore, to Article 6, paragraph 6, of the same Legislative Decree, which establishes that the Authority for Guarantees in Communications and the Italian Competition Authority shall verify, for their respective areas of competence, the compliance of the Guidelines with the principles and provisions of Legislative Decree No. 9/2008 and approve them within sixty days of receipt;</w:t>
        <w:br/>
        <w:t>HAVING REGARD to the Guidelines pursuant to Legislative Decree No. 9/2008 of the National Professional League Serie B for the centralized sale of audiovisual rights related to the sports seasons 2024/2025, 2025/2026, 2026/2027, 2027/2028, and 2028/2029 received on May 24, 2023;</w:t>
        <w:br/>
        <w:t>HAVING REGARD to the public consultation convened by the Authority with resolution of June 13, 2023;</w:t>
        <w:br/>
        <w:t>CONSIDERING the following:</w:t>
        <w:br/>
        <w:t>I. THE NATIONAL PROFESSIONAL LEAGUE SERIE B</w:t>
        <w:br/>
        <w:t>1. The National Professional League Serie B (hereinafter also "LNPB") privately associates the sports clubs affiliated with the Italian Football Federation (hereinafter "FIGC") that participate in the Serie B Championships and that, for this purpose, utilize the services of professional football players. The LNPB, as a trade association of sports clubs affiliated with the FIGC, enjoys organizational and administrative autonomy. Among the tasks assigned to the LNPB are the organization of the Serie B Championship - structured in the "Regular Season," "Play-Off," and "Play-Out" tournaments - and the event of the Primavera 2 Championship.</w:t>
        <w:br/>
        <w:t>2. Legislative Decree No. 9 of January 9, 2008 (hereinafter also "Melandri Decree" or, simply, "Decree"), recognizes the LNPB, as the organizer of the aforementioned competitions, and the sports clubs, as organizers of the individual events of such competition, as co-holders of the related audiovisual rights and assigns their exercise to the LNPB itself.</w:t>
        <w:br/>
        <w:t>II. THE CONTENT OF THE GUIDELINES</w:t>
        <w:br/>
        <w:t>3. Below are summarized the main contents of the Guidelines prepared by the LNPB, as communicated to the Authority in a note dated May 24, 2023.</w:t>
        <w:br/>
        <w:t>i. Rights subject to commercialization and format of the events</w:t>
        <w:br/>
        <w:t>4. The Guidelines in question regulate the centralized marketing of sports audiovisual rights related to the sports seasons 2024/2025, 2025/2026, 2026/2027, 2027/2028, and 2028/2029 in compliance with conditions of fairness, transparency, equal treatment, and non-discrimination. For each competition, the duration of each individual license may vary.</w:t>
        <w:br/>
        <w:t>5. The LNPB will proceed with the centralized sale of primary audiovisual rights (live broadcast rights of events) and secondary rights (rights to broadcast replays, highlights, and key images of events) related to the competitions it organizes, namely the Serie B Championship and the Primavera 2 Championship.</w:t>
        <w:br/>
        <w:t>6. The format of the Serie B Championship consists of the regular season (hereinafter also referred to as "Regular Season") and the subsequent phases, called "Play-Off" and "Play-Out." The regular season involves the participation of 20 (twenty) teams, with a round-trip match format. Each team plays one home match and one away match against each of the other teams, for a total of 380 (three hundred eighty) events in the regular season. The Championship normally takes place between the second half of August and the following June. Each matchday of the Serie B Championship typically spans multiple match days, usually between Friday and Monday1.</w:t>
        <w:br/>
        <w:t>The teams ranked 1st and 2nd in the regular season of the Serie B Championship are directly promoted to the Serie A Championship for the following season, while the teams ranked from 3rd to 8th place participate in a "Play-Off" phase with a format subject to approval by the FIGC each sports season2. The teams ranked last, second to last, and third to last in the regular season of the Serie B Championship are directly relegated to the Lega Pro Championship for the following season, while the teams ranked fourth to last and fifth to last participate in a "Play-Out" phase, with home and away matches, with a format subject to approval by the FIGC each sports season, to determine the fourth team that is relegated from the Serie3.</w:t>
        <w:br/>
        <w:t>1 Some midweek rounds are scheduled by the LNPB at times not occupied by the commitments of the senior national team and preferably not during European Cup matches.</w:t>
        <w:br/>
        <w:t>2 The current format provides for:</w:t>
        <w:br/>
        <w:t>i. a preliminary round among the teams ranked 5th, 6th, 7th, and 8th in the regular season;</w:t>
        <w:br/>
        <w:t>ii. two semifinals between the winners and the teams ranked 3rd and 4th in the regular season, with home and away matches;</w:t>
        <w:br/>
        <w:t>iii. the final with home and away matches.</w:t>
        <w:br/>
        <w:t>If, however, there is a difference of fourteen or more points between the 3rd and 4th place teams in the regular season, the play-offs are not played, and the 3rd place team in the regular season is directly promoted.</w:t>
        <w:br/>
        <w:t>3 However, the team ranked fourth to last in the regular season is directly relegated if it is separated by four or more points from the team ranked fifth to last.</w:t>
      </w:r>
    </w:p>
    <w:p>
      <w:r>
        <w:t>73 BULLETIN NO. 30 OF AUGUST 7, 2023</w:t>
        <w:br/>
        <w:t>7. Within the rules defined by the FIGC, the LNPB determines the participation rules (such as, by way of example only, the number of participating teams, as well as the number of teams promoted and relegated) and/or the rules of conduct (such as, by way of example only, the format of the competitions, the competition calendar, matches to be scheduled in advance and postponed, start times, and the methods of conducting all events of the competitions it organizes, also reserving, by way of example, the right to make changes to the sports regulations in compliance with the rules provided by the sports system, introduce mechanisms for play-offs, and/or play-outs) and consequently, the total number of matches to be played.</w:t>
        <w:br/>
        <w:t>8. The period and rules for conducting the Competitions may be modified due to legislative or regulatory measures, including extraordinary ones, issued by the competent governmental or sports authorities. Such modifications (including, without limitation to the foregoing and by way of example, the suspension of competitions for health reasons, or their conduct behind closed doors, or at times of distribution of match days and matches different from the ordinary) do not constitute grounds for licensees to make any request for reduction and/or modification of the compensation. The LNPB is also reserved the right to make changes to the sports regulations in compliance with the rules provided by the sports system.</w:t>
        <w:br/>
        <w:t>ii. Criteria for forming audiovisual rights packages</w:t>
        <w:br/>
        <w:t>9. The LNPB intends to maintain a flexible strategy throughout the marketing process to promote competition among different communication operators and, at the same time, pursue the best economic result in the marketing of audiovisual rights.</w:t>
        <w:br/>
        <w:t>10. The LNPB intends to carry out distinct centralized sales procedures in the first instance and form multiple packages that differ from each other depending on the market to which they are intended and the exclusive or non-exclusive nature of their exploitation.</w:t>
        <w:br/>
        <w:t>11. The composition of each package and the rules governing its exploitation will be described in the corresponding invitation to tender. Consequently, the invitations to tender regulate the relationships between the LNPB and the awardees in accordance with the provisions of Legislative Decree No. 9/2008 and these Guidelines.</w:t>
        <w:br/>
        <w:t>12. The LNPB, pursuant to Article 7, paragraph 8, of Legislative Decree No. 9/20084, reserves the right to market even a single package for the live broadcasts of all events of the Serie B Championship or the Primavera 2 competition, or to assign all packages related to live broadcasts to a single operator. Furthermore, the Guidelines state that, with reference to the offer of audiovisual rights related to the Serie B Championship and the Primavera 2 competition, certain provisions of the Decree do not apply (i.e. Article 8, paragraphs 2 and 3, Article 9, paragraph 4, Article 14, paragraph 4).</w:t>
        <w:br/>
        <w:t>13. That said, the Guidelines define the criteria for forming concerning the following packages of rights: (i) packages exercisable on an exclusive basis in the national territory; (ii) packages exercisable on</w:t>
        <w:br/>
        <w:t>4 "The marketing of audiovisual rights related to competitions of professional football categories below the Serie A championship and other professional team sports covered by this decree, as well as those related to national cups and other events organized based on the outcome of the competitions, are subject to the provisions of Sections I, II, and III of this chapter, excluding Articles 8, paragraphs 2 and 3, and Article 9, paragraph 4, as well as the provisions of Sections IV and V of this chapter except for Article 14, paragraph 4."</w:t>
      </w:r>
    </w:p>
    <w:p>
      <w:r>
        <w:rPr>
          <w:b/>
        </w:rPr>
        <w:t>[Pages 73–75]</w:t>
      </w:r>
    </w:p>
    <w:p>
      <w:r>
        <w:t>BULLETIN NO. 30 OF AUGUST 7, 2023 75</w:t>
      </w:r>
    </w:p>
    <w:p>
      <w:r>
        <w:t>non-exclusive basis in the national territory; (iii) audio packages; (iv) packages intended for the international market. The LNPB reserves the right to form audiovisual rights packages for emerging platforms that may be identified in the future by the Authority for Guarantees in Communications.</w:t>
      </w:r>
    </w:p>
    <w:p>
      <w:r>
        <w:t>14. The criteria for the formation of audiovisual rights packages exercisable on an exclusive basis in the national territory are as follows (paragraph 23 of the Guidelines, letters a) to m)):</w:t>
        <w:br/>
        <w:t>a) the packages are formed taking into account market conditions and, therefore, for the exercise of audiovisual rights for each platform (sale "by platform") or according to sales methods that put different platforms in competition (sale "by product"), or with both methods for certain events; common criteria will be provided for all forms of transmission for domestic users or for commercial establishments of events organized by the LNPB;</w:t>
        <w:br/>
        <w:t>b) in the formation of individual packages, the LNPB takes into account the technological and economic development of the various platforms and the evolution of viewing terminals;</w:t>
        <w:br/>
        <w:t>c) the invitations to tender may allow - by setting fees and access prices - particular forms of exploitation that disregard the type of platform used;</w:t>
        <w:br/>
        <w:t>d) the initial offer to the market includes, regardless of the sales method, a minimum number of live broadcasts equal to 50% of the events of the Serie B Championship. The LNPB reserves the right to subsequently allocate a different number of live broadcasts for commercialization;</w:t>
        <w:br/>
        <w:t>e) in the case of "by product" sales or in the case of sales with both methods (by platform and by product), the commercialization of the events of the Serie B Championship or the Primavera 2 competition may include multiple audiovisual rights packages;</w:t>
        <w:br/>
        <w:t>f) the commercialization includes the free-to-air transmission of highlights and related images. The LNPB reserves the right to proceed with the commercialization of at least one independent package for the free-to-air transmission of delayed highlights and related images of the Serie B Championship, including interviews, even with the first broadcast in time slots after the match day;</w:t>
        <w:br/>
        <w:t>g) pursuant to Article 7, paragraph 8, of Legislative Decree No. 9/2008, the LNPB reserves the right to commercialize even a single package for the live broadcasts of all events of the Serie B Championship and/or the Primavera 2 Championship or to assign to a single operator all packages related to the live broadcasts of events of such Competitions;</w:t>
        <w:br/>
        <w:t>h) regarding interviews with registered players, a regulation will be prepared that enhances the direct contributions of the protagonists of the events;</w:t>
        <w:br/>
        <w:t>i) a reserve in favor of sports clubs and the LNPB of the rights referred to in paragraphs 50 and 51 of these Guidelines is provided;</w:t>
        <w:br/>
        <w:t>j) the invitations to tender and/or the market offers contain the indication regarding the availability by the LNPB of the audiovisual signal of the events as well as the related access price to the signal;</w:t>
        <w:br/>
        <w:t>k) to the assignees of certain packages, the right to enjoy integrations of the images of the events and/or to access particular production methods may be granted;</w:t>
        <w:br/>
        <w:t>l) a regulation will be prepared for the advertising exploitations granted to the assignees. The LNPB and the sports clubs reserve the right to autonomously proceed, in compliance with applicable regulations, to advertising exploitations not expressly granted to the assignees and/or identified in the corresponding invitations to tender;</w:t>
        <w:br/>
        <w:t>m) the criteria related to the only full live broadcasts for commercial establishments of the images of the events of the Serie B Championship (excluding, for example, interactions between fields for simultaneous viewing of events in a single context) will be identical to the criteria that will be adopted for domestic users, with the principle that a single licensee may exclusively acquire a package with the live broadcasts of all events.</w:t>
      </w:r>
    </w:p>
    <w:p>
      <w:r>
        <w:t>15. The criteria for the formation of audiovisual rights packages exercisable on a non-exclusive basis in the national territory are as follows (point 24 of the Guidelines):</w:t>
        <w:br/>
        <w:t>a) the exploitation of non-exclusive rights is permitted in forms that ensure a profitable exploitation of the non-exclusive packages by the respective assignees without prejudicing the exploitation of exclusive rights;</w:t>
        <w:br/>
        <w:t>b) the commercialization may include one or more packages of non-exclusive rights exercisable free-to-air throughout the national territory for the transmission of delayed highlights in the time slot to be determined at the time of publication of the related market offer;</w:t>
        <w:br/>
        <w:t>c) the offer of a package of rights aimed at local broadcasters relating to highlights may be provided, to be exercised with embargoes and methods that do not prejudice the exploitation of the rights on live broadcasts and other rights of highlights marketed on a national basis;</w:t>
      </w:r>
    </w:p>
    <w:p>
      <w:r>
        <w:t>16. The LNPB reserves the right to convert non-assigned rights from non-exclusive to exclusive and vice versa or to combine non-exclusive rights with exclusive packages provided that this does not cause any prejudice to operators who have already acquired exclusive primary rights for the Italian territory.</w:t>
      </w:r>
    </w:p>
    <w:p>
      <w:r>
        <w:t>17. The LNPB intends to evaluate, based on market conditions, the possibility of reintroducing for the next marketing cycle the mechanism already used in the previous cycle, which provides for the commercialization on a non-exclusive basis of all matches of the Serie B Championship, including Play Off and Play Out, with a specific package intended for DTT and DTH platforms and a package intended for the Internet platform with price modulation based on the number of buyers for each package. As a variant, the preparation of a package composed of one match for each match day, which will be chosen by the LNPB, to be offered exclusively, with the licensee having the right to broadcast even free-to-air, could be provided.</w:t>
      </w:r>
    </w:p>
    <w:p>
      <w:r>
        <w:t>18. Due to the continuous developments in the digital field, the LNPB may evaluate, both at the national and international level, the opportunity to offer to the market specific packages of secondary rights relating to highlights and/or related images, in exclusive and/or non-exclusive form, intended for exploitation on digital platforms, including social media platforms, also in order to promote the competitions, intercept new audience segments, and respond to increasingly widespread consumption habits.</w:t>
      </w:r>
    </w:p>
    <w:p>
      <w:r>
        <w:t>19. The criteria for the formation of radio rights packages exercisable in the national territory are as follows (paragraph 26 of the Guidelines):</w:t>
        <w:br/>
        <w:t>a) the commercialization includes a package of radio rights with the live broadcasts of all events of the Serie B Championship to be exercised on an exclusive basis nationally;</w:t>
        <w:br/>
        <w:t>b) the commercialization also includes packages intended for operators at the local or national level or in both areas, exercisable on a non-exclusive basis, which include up to a maximum of four significant live audio extracts relating to the events of the Serie B Championship, in such a way that their duration does not prejudice the exploitation of the packages of other assignees and preserves the exercise of the right of chronicle as provided by the Regulation for the exercise of radio chronicle issued by the Authority for Guarantees in Communications. The LNPB also reserves the right to package radio rights for the Primavera 2 competition.</w:t>
      </w:r>
    </w:p>
    <w:p>
      <w:r>
        <w:t>20. The LNPB, due to the regulatory provisions introduced by the so-called PNRR-bis Decree (Decree-Law of April 30, 2022, No. 36 converted with Law of June 29, 2022, No. 79), will proceed to the commercialization of audiovisual rights in international territories, individually understood or grouped in specific geographical areas without the obligation to carry out competitive procedures and without time limits on the duration of individual contracts, initiating negotiations with operators and/or intermediaries capable of ensuring the best valorization of the rights, taking into account the specificities required in the various territories.</w:t>
      </w:r>
    </w:p>
    <w:p>
      <w:r>
        <w:t>21. The LNPB will implement forms of commercialization oriented to the aforementioned market logics and may, even with respect to individual geographical areas, proceed to the commercialization of audiovisual rights also through distribution agreements. The subject or subjects assigned the audiovisual rights must implement a distribution and dissemination strategy aimed at safeguarding the enjoyment of events in territories where there is a strong presence of Italian communities, for the benefit of which a minimum level of dissemination in the Italian language may be provided, aimed at maximizing the visibility of the events.</w:t>
      </w:r>
    </w:p>
    <w:p>
      <w:r>
        <w:t>22. The LNPB also reserves, both at the national and international level, the right to commercialize the so-called "betting" rights, as well as the rights for the creation of Non-Fungible Tokens ("NFT") and rights related to the Metaverse, as well as any subsequent developments concerning rights related to technologies of future invention that are the subject of products related to the entire Competitions organized by the LNPB. Betting rights refer to the rights to transmit, distribute, and make available both via personal computers, tablets, and/or mobile devices and in betting centers the live broadcasts of events, as part of legal products, services, or applications in the betting sector. The aforementioned rights will be marketed in ways chosen at the discretion of the LNPB.</w:t>
      </w:r>
    </w:p>
    <w:p>
      <w:r>
        <w:t>iii. The assignment procedures</w:t>
      </w:r>
    </w:p>
    <w:p>
      <w:r>
        <w:t>23. The procedures for the commercialization of audiovisual rights are carried out according to the rules of private law. The LNPB, at the time of carrying out competitive procedures and the assignment of audiovisual rights included in the packages, operates in a position of private autonomy.</w:t>
      </w:r>
    </w:p>
    <w:p>
      <w:r>
        <w:t>24. The subjects admitted to participate in the assignment procedures:</w:t>
        <w:br/>
        <w:t>(i) must be primary operators in the national and international sector, meaning operators capable of having a distribution capacity with adequate coverage of the national territory (having transmission capacity capable of reaching at least 80% of the Italian population in the national territory), the means and organization necessary to support the activities resulting from the assignment, adequate solvency guarantees and economic resources, either their own or guaranteed by partners, sufficient to ensure the exact fulfillment of the obligations contemplated by the assignment, according to criteria that will be indicated in the invitations to tender;</w:t>
      </w:r>
    </w:p>
    <w:p>
      <w:r>
        <w:rPr>
          <w:b/>
        </w:rPr>
        <w:t>[Pages 76–78]</w:t>
      </w:r>
    </w:p>
    <w:p>
      <w:r>
        <w:t>78 BULLETIN NO. 30 OF AUGUST 7, 2023</w:t>
      </w:r>
    </w:p>
    <w:p>
      <w:r>
        <w:t>(ii) must not be in a control situation pursuant to paragraph 1 of Article 2359 of the Civil Code in relation to other communication operators or independent intermediaries participating in the procedure for the same packages, under penalty of exclusion.</w:t>
      </w:r>
    </w:p>
    <w:p>
      <w:r>
        <w:t>25. The LNPB specifies that, with reference to audiovisual rights exercisable in international territory, discussions/negotiations may be conducted with both communication operators and agencies as well as other intermediaries of any nationality. The subjects must possess proven capability in the field of exploitation (if operators) and/or international distribution (if intermediaries) of audiovisual rights related to sporting events and football, in particular, based on their own management experienced in such international markets for independent intermediaries, with sufficient means and organization to support the activities consequent to the assignment, adequate guarantees of solvency and economic resources, either their own or guaranteed by partners, such as to ensure the exact fulfillment of the obligations contemplated by the assignment according to criteria that will be indicated. Both for the commercialization in the national and international territory, communication operators and/or intermediaries for whom, at the time of the submission of the offer, bankruptcy proceedings or liquidation procedures are ongoing are not allowed to participate in competitive procedures or discussions/negotiations. Furthermore, subjects with whom there is pending litigation for non-payment or delayed payment of fees provided for in licensing contracts concerning audiovisual rights assigned as a result of previous competitive procedures are not allowed to participate, except for those subjects who have accompanied the offer with a bank guarantee on first demand for the payment of any amount accrued and not yet paid.</w:t>
      </w:r>
    </w:p>
    <w:p>
      <w:r>
        <w:t>26. Independent intermediaries must not be in situations of control or connection or similar control in relation to communication operators, the LNPB, and sports companies, must possess proven capability in the field of national distribution of rights, as well as meet certain solvency and reliability requirements, to guarantee the exact fulfillment of the obligations contemplated by the assignment.</w:t>
      </w:r>
    </w:p>
    <w:p>
      <w:r>
        <w:t>27. The LNPB specifies that, in the cases indicated above, both subjects that are in a control or connection relationship pursuant to the cited provisions will be excluded from the procedure. Exclusion will also occur when the offers of two or more operators participating in the tender can be attributed, based on unequivocal elements, to a single decision-making center.</w:t>
      </w:r>
    </w:p>
    <w:p>
      <w:r>
        <w:t>28. The announcement of the start of competitive procedures related to packages offered exclusively in the national territory and the related deadlines for submitting offers is published in two national daily newspapers, on the official website of the LNPB, and disseminated through a specific press release on the same date. Furthermore, the contents of the packages offered to the market, along with the essential conditions of assignment, are described in detail only on the official website of the LNPB. The deadlines for submitting offers are set according to reasonable criteria, in any case not less than fifteen working days from the date of publication of the invitation to submit offers.</w:t>
      </w:r>
    </w:p>
    <w:p>
      <w:r>
        <w:t>29. Offers must be submitted in a sealed envelope at the registered office of the LNPB by the deadline set by the corresponding invitation to submit offers. Each envelope must contain a single and independent offer for the package intended to be acquired.</w:t>
      </w:r>
    </w:p>
    <w:p>
      <w:r>
        <w:t>30. The LNPB evaluates the admissibility of the offers based on the criteria set forth in the Guidelines and admits to participate in the procedure only those subjects, among the bidders, who:</w:t>
        <w:br/>
        <w:t>– possess and unconditionally accept all the requirements, limits, and obligations provided for in these Guidelines and in the relevant invitation to offer;</w:t>
        <w:br/>
        <w:t>– offer guarantees of fulfillment that the LNPB deems satisfactory at its discretion;</w:t>
        <w:br/>
        <w:t>– have transmission capacity capable of reaching at least 80% of the Italian population in the national territory regarding the packages for the national market.</w:t>
      </w:r>
    </w:p>
    <w:p>
      <w:r>
        <w:t>31. The LNPB will consider as inadmissible any offers subject to any type of condition. Furthermore, if there is pending litigation against the bidder with the LNPB for non-payment or delayed payment of fees provided for in licensing contracts concerning audiovisual rights assigned as a result of the immediately preceding competitive procedure, the bidding subject must, under penalty of ineffectiveness of its offer, provide a guarantee for the payment of any amount accrued and not yet paid.</w:t>
      </w:r>
    </w:p>
    <w:p>
      <w:r>
        <w:t>32. Of the offers that are admitted to participate in the procedure, the LNPB prepares a ranking based on the price contemplated by each offer. The rights will then be assigned to the subject that submitted the highest offer, provided it exceeds the minimum price, as long as all other conditions set forth by the Guidelines and the invitations to submit offers are respected.</w:t>
      </w:r>
    </w:p>
    <w:p>
      <w:r>
        <w:t>33. In the case of unassigned packages, the LNPB decides whether to initiate a new competitive procedure from the beginning or to proceed with private negotiations, reserving the right in both cases to make changes to the packages themselves. An invitation to participate in private negotiations will be given on the official website of the LNPB within a maximum period of thirty days from the date set for the opening of the envelopes or from the date on which the rights return to the availability of the LNPB. All subjects who have communicated their expression of interest in response to the invitation to participate will be admitted to the private negotiations.</w:t>
      </w:r>
    </w:p>
    <w:p>
      <w:r>
        <w:t>34. Each private negotiation related to exclusive rights to be exercised in the national territory will take place in a single day at the location that will be identified by the LNPB and communicated to the bidders in response to their participation in the private negotiation. Participating subjects will be heard in separate rooms by the President assisted by their executives and/or consultants, and in the presence of a notary. Any changes to the packages will be communicated by the LNPB during the negotiation, at the end of which each participant must submit their offer by depositing it in a sealed envelope delivered to the notary present in charge of receiving it. The notary will proceed to open the envelopes by the next working day following the submission of the offers. Until that maximum deadline, the offers will be kept by the notary. The outcome of each private negotiation for the rights related to the national territory will be announced on the official website of the LNPB.</w:t>
      </w:r>
    </w:p>
    <w:p>
      <w:r>
        <w:t>35. If, during the private negotiation, within sixty days, the LNPB does not receive any offers or receives offers deemed insufficient, it may initiate new competitive procedures or continue the private negotiation for a maximum of an additional thirty days, also based on new compositions of the packages. The possible negative outcome of the competitive procedures must be declared by the competent Assembly of the LNPB. The LNPB reminds that it retains the right, in each of the aforementioned cases, not to assign the rights and to proceed with commercialization through its own Channel.</w:t>
      </w:r>
    </w:p>
    <w:p>
      <w:r>
        <w:t>36. In the case of packages returned to its availability following the termination of a licensing contract or for another reason, the LNPB reserves the right to initiate new competitive procedures through an invitation to offer or private negotiations (in case of urgency) and/or to use the audiovisual rights through its thematic channel.</w:t>
      </w:r>
    </w:p>
    <w:p>
      <w:r>
        <w:t>37. The types of exercisable audiovisual rights, both on an exclusive and non-exclusive basis, are generally determined by the LNPB at the same time as the start of competitive procedures related to the audiovisual rights offered for live broadcasts in national territory and, pending licensing contracts, may be modified provided that the primary exclusive audiovisual rights for the Italian territory of the latter are not prejudiced.</w:t>
      </w:r>
    </w:p>
    <w:p>
      <w:r>
        <w:t>38. The start of assignment procedures related to non-exclusive packages is announced on the official website of the LNPB. The assignment of non-exclusive packages is finalized by the LNPB with respect to all operators who, possessing the necessary requirements, accept the sales conditions, offer the price requested by the LNPB, and transmit, duly signed, the standard licensing contract, the text of which is attached to the offer to the market and simultaneously published on the official website of the LNPB.</w:t>
      </w:r>
    </w:p>
    <w:p>
      <w:r>
        <w:t>39. It is at the discretion of the LNPB to accept memberships to non-exclusive packages even during or after the first or second sports season to which these Guidelines refer. In this case, the fee is due from the operator pro rata temporis in relation to the actual duration of the license where the prerequisites are met. Finally, for such packages, the LNPB has the discretion to accept assignment requests whose effectiveness is retroactive to the beginning of the ongoing sports season at the time of the request, subject to the payment of the entire fee.</w:t>
      </w:r>
    </w:p>
    <w:p>
      <w:r>
        <w:t>40. It is also at the discretion of the LNPB to grant local broadcasters requesting the assignment of a non-exclusive rights package the right to withdraw from the license for that or those sports seasons in which no team from the catchment area of the interested local broadcaster participates in the competition subject to the package in question.</w:t>
      </w:r>
    </w:p>
    <w:p>
      <w:r>
        <w:t>41. If the LNPB intends to proceed with the assignment of all audiovisual rights of a competition exercisable in Italian territory to an independent intermediary, pursuant to Article 7, paragraph 4, of Legislative Decree No. 9/2008, it conducts a specific competitive procedure, announcing it through the timely publication of a notice on its official website and in at least two of the main national daily newspapers. The assignment of the rights occurs through a competitive procedure having the same criteria provided for the direct assignment of exclusive rights. The LNPB proceeds with the actual assignment of audiovisual rights to the selected independent intermediary once the deadline set by law has elapsed from the communication to the Authority for the Guarantee of Competition and the Market of the results and the criteria adopted in the relevant competitive procedure. The independent intermediary may proceed with the formation and modification of the packages in agreement with the LNPB and with prior approval from the Authority for Guarantees in Communications and the Authority for the Guarantee of Competition and the Market, while respecting the competitive procedures provided for by Article 7 of Legislative Decree No. 9/2008.</w:t>
      </w:r>
    </w:p>
    <w:p>
      <w:r>
        <w:rPr>
          <w:b/>
        </w:rPr>
        <w:t>[Pages 79–81]</w:t>
      </w:r>
    </w:p>
    <w:p>
      <w:r>
        <w:t>BULLETIN NO. 30 OF AUGUST 7, 2023 81</w:t>
      </w:r>
    </w:p>
    <w:p>
      <w:r>
        <w:t>42. Each assignee must undertake to exercise audiovisual rights in compliance with the Guidelines and all the provisions of the invitation to tender related to the package awarded to it, the Audiovisual Production Regulation, the Editorial Guidelines, other regulations, and communications from the LNPB, as well as national and international sports regulations as applicable and in compliance with the Media and Sports Code and all provisions aimed at repressing unsportsmanlike conduct related to the world of gaming and betting.</w:t>
      </w:r>
    </w:p>
    <w:p>
      <w:r>
        <w:t>43. Pursuant to Article 11, paragraph 6, of Legislative Decree No. 9/2008, it is prohibited for communication operators who are assignees to enter into sublicensing agreements with third parties. The licensee, only if provided for in the assigned package, may conclude, pursuant to Article 11, paragraph 7, of the Decree and upon payment authorization from the LNPB, non-exclusive agreements concerning the full and simultaneous or deferred retransmission of the schedule, marked with its own brand, on one or more audiovisual platforms of third operators.</w:t>
      </w:r>
    </w:p>
    <w:p>
      <w:r>
        <w:t>44. Pursuant to Article 11, paragraph 8, of Legislative Decree No. 9/2008, the independent intermediary assigned audiovisual rights is required to sublicense those rights without modifying the packages and in fair, transparent, and non-discriminatory ways, providing in the sublicensing contracts concluded with the operators the discretionary right for the LNPB to terminate, after a notice to comply, the assignment to the licensee and to step into the aforementioned contracts if the financial conditions of the independent intermediary (a delay of more than thirty days in the payment of one of the license fees) have become such as to put the achievement of the counter-performance in evident danger, unless the licensee complies promptly or provides, equally promptly, suitable guarantees.</w:t>
      </w:r>
    </w:p>
    <w:p>
      <w:r>
        <w:t>Furthermore, all assignees of the rights are obliged to impose on the end users of the audiovisual products (private users and commercial establishments) the prohibition of using the audiovisual products for carrying out activities other than mere viewing of the images of the events independently or in combination with other rights, unless such activities are expressly permitted.</w:t>
      </w:r>
    </w:p>
    <w:p>
      <w:r>
        <w:t>45. In the cases provided for by Article 12, paragraph 1, of Legislative Decree No. 9/2008, the communication operator is required to notify the LNPB with at least 15 (fifteen) days' notice prior to the date of the event(s) considered.</w:t>
      </w:r>
    </w:p>
    <w:p>
      <w:r>
        <w:t>46. In the aforementioned cases, as well as in the case that the LNPB has received reasonably credible information and has subsequently verified that the assignee will not exercise audiovisual rights, or in the case where there are objectively verified reasons for which the audiovisual rights are not exercised, the LNPB proceeds to award such unexercised audiovisual rights to other communication operators through private negotiation conducted pursuant to paragraph 36 of the Guidelines, or to exercise them directly in the manner provided for in the previous paragraphs 17 and 19 (of the Guidelines).</w:t>
      </w:r>
    </w:p>
    <w:p>
      <w:r>
        <w:t>47. The audiovisual rights that are not exercised by the assignee - at the national level - must also be offered to local broadcasters, who may exercise them live only if they are not similarly exercised live, in the same time slots, for events assigned to other assignees. However, in the case of matches in the Serie B Championship, local broadcasters, to whom unexercised audiovisual rights have been offered and subsequently assigned, may exercise those audiovisual rights, if live, only in a pay-per-view format, or, if not paid, in deferred mode starting from 24:00 on the day the matches are played. For the purposes of the previous provisions, the LNPB publishes on its official website the offer directed to local broadcasters and the tariff reserved for them and assigns the rights on a non-discriminatory basis to all local broadcasters that request them. Subject to the above provisions, the licensing contract concluded with the communication operator remains unchanged in its provisions and the consideration due from it to the LNPB as a result of the assignment cannot be reduced or otherwise modified in any way.</w:t>
      </w:r>
    </w:p>
    <w:p>
      <w:r>
        <w:t>48. In the event of non-compliance by the assignee with essential conditions provided for by Legislative Decree No. 9/2008, the present Guidelines, the invitation to tender or the licensing contract, as specified in the relevant contractual documentation, the LNPB has the right to declare the assignment forfeited and to terminate the relevant licensing contract by law. In the case provided above, the LNPB may proceed to assign the aforementioned rights through an invitation to private negotiation conducted pursuant to paragraph 37 regarding rights related to the national territory or through the methods that will be established in the licensing contracts for international rights, or to exercise them directly in the manner provided for in the previous paragraphs 17 and 19.</w:t>
      </w:r>
    </w:p>
    <w:p>
      <w:r>
        <w:t>iv. The channel offer</w:t>
      </w:r>
    </w:p>
    <w:p>
      <w:r>
        <w:t>49. In the event of non-assignment of audiovisual rights packages for live broadcasts, the LNPB may manage and market its own Channel, in a paid mode, for which it will have full editorial responsibility and which it will produce directly.</w:t>
      </w:r>
    </w:p>
    <w:p>
      <w:r>
        <w:t>50. The linear and/or on-demand Channel will be marketed, in a non-exclusive form, in B2C mode or in B2B2C mode also through distribution agreements with third parties, to be identified without procedural constraints and in a regime of private autonomy.</w:t>
      </w:r>
    </w:p>
    <w:p>
      <w:r>
        <w:t>51. In all cases, the marketing of the Channel constitutes a "direct distribution to users," with the Channel being a finished, closed, and unmodifiable audiovisual product, created and published by LNPB for the user, without any subsequent intervention from communication operators and/or the distributor(s).</w:t>
      </w:r>
    </w:p>
    <w:p>
      <w:r>
        <w:t>III. EVALUATIONS</w:t>
      </w:r>
    </w:p>
    <w:p>
      <w:r>
        <w:t>52. Pursuant to Article 6, paragraph 1, of Legislative Decree No. 9/2008, the Guidelines must provide rules regarding the offer and assignment of audiovisual rights, criteria regarding the formation of the related packages, and further rules to ensure that participants in competitive procedures have conditions of absolute fairness, transparency, and non-discrimination.</w:t>
      </w:r>
    </w:p>
    <w:p>
      <w:r>
        <w:t>53. In this context, the Authority is called to examine the Guidelines approved by the LNPB for the purpose of approval, after verifying, for the relevant aspects, their compliance with the principles and provisions of the aforementioned Legislative Decree No. 9/2008 (Article 6, paragraph 6).</w:t>
      </w:r>
    </w:p>
    <w:p>
      <w:r>
        <w:t>54. That said, the evaluations that follow leave unaffected the Authority's power to supervise the correct application of the Decree and the Guidelines, availing itself of the powers provided for by Law No. 287 of October 10, 1990 (Article 20 of the Decree). Furthermore, they take into account the current regulatory framework outlined both by national and community antitrust legislation and by the Melandri Decree regarding the collective sale of audiovisual rights related to sporting events, including the recent legislative amendment of that Decree, through Law No. 6 of January 13, 2023, converting Decree-Law No. 176 of November 18, 2022, (containing "Urgent measures for support in the energy sector and public finance," the so-called "Aid-quater"), which, in particular, amended Article 10, paragraph 1, extending the maximum possible duration of licensing contracts from three to five years.</w:t>
      </w:r>
    </w:p>
    <w:p>
      <w:r>
        <w:t>55. Article 7, paragraph 8, of the Decree - considering the lower economic value of audiovisual rights related to events of the Serie B football Championship compared to those concerning the Serie A football Championship - establishes a simplified legal framework, exempting the LNPB from the application of certain provisions.</w:t>
      </w:r>
    </w:p>
    <w:p>
      <w:r>
        <w:t>56. Firstly, for the audiovisual rights of the Serie B Championship, there is no prohibition on acquiring exclusively by a single operator all packages related to live broadcasts (non-application of Article 9, paragraph 4, of the aforementioned Decree). Furthermore, the LNPB: i) in the event that different platforms are put in competition, is not required to prepare multiple packages (non-application of Article 8, paragraph 2); ii) is not required to prepare balanced packages among themselves, in order to ensure the presence, in each of them, of events of high interest for users (non-application of Article 8, paragraph 3); iii) is not required to contribute to the development and growth of emerging platforms, granting them audiovisual rights directly that include, among other things, a significant share of the rights related to the first broadcast (non-application of Article 14, paragraph 4).</w:t>
      </w:r>
    </w:p>
    <w:p>
      <w:r>
        <w:t>57. That said, the provision of the Guidelines according to which the marketing includes, regardless of the sales method, a minimum number of live broadcasts equal to 80% of the events of the Serie B Championship, is in compliance with what is provided for by Article 7, paragraph 3, of Legislative Decree No. 9/2008, which does not contemplate an obligation to market live broadcasts related to all events of the competition, but prescribes that the organizer of the competition indicate in the Guidelines the minimum number of live broadcasts intended for marketing.</w:t>
      </w:r>
    </w:p>
    <w:p>
      <w:r>
        <w:t>58. However, regarding the formation of packages of audiovisual rights that can be exercised exclusively in the national territory, the Guidelines provide only an extremely generic description of the criteria that the LNPB intends to follow.</w:t>
      </w:r>
    </w:p>
    <w:p>
      <w:r>
        <w:t>59. Regarding the level of detail of the criteria for the formation of packages, this must be evaluated in light of the need to provide a minimum number of suitable information to allow an assessment of compliance with the guiding principles of the Decree, as well as the limits imposed by it, with particular regard to the characteristics of the events - such as their attractiveness - from which the possibility of proposing to the public the events of greatest interest follows.</w:t>
      </w:r>
    </w:p>
    <w:p>
      <w:r>
        <w:t>60. Regarding the criteria identified to preserve competitive balance, it is noted that these criteria must lead to the preparation of packages that comply with the principles of fairness, transparency, and non-discrimination, with specific reference to the actual balance between them, especially in qualitative terms and the attractiveness of the events. In particular, packages related to exclusive rights should be prepared in a way that promotes competition among operators, allowing them to propose to the public the events of greatest interest.</w:t>
      </w:r>
    </w:p>
    <w:p>
      <w:r>
        <w:t>61. As noted in previous interventions during the evaluation of the Guidelines adopted by the LNPB and, in particular, on the occasion of the transmission of the Guidelines related to previous cycles...</w:t>
      </w:r>
    </w:p>
    <w:p>
      <w:r>
        <w:rPr>
          <w:b/>
        </w:rPr>
        <w:t>[Pages 82–84]</w:t>
      </w:r>
    </w:p>
    <w:p>
      <w:r>
        <w:t>84 BULLETIN NO. 30 OF AUGUST 7, 2023</w:t>
      </w:r>
    </w:p>
    <w:p>
      <w:r>
        <w:t>of marketing7, in light of the prohibition on sublicensing the rights provided for in Article 11, paragraph 6, of the Decree, the preparation of "platform-based" packages or mixed-type modalities would be theoretically preferable to a method of assigning rights "by product." In fact, the transfer of multiple exclusive packages "by product" can be considered in its effects akin to a situation of exclusivity, given the prohibition on resale of acquired rights. Conversely, a "platform-based" configuration, even if it conferred exclusivity within each individual broadcasting platform, would effectively result in the absence of absolute exclusivity for a single operator: the presence of multiple rights holders for the same events would generate greater competition in the market with obvious benefits for consumers. This solution would also address the critical issue inherent in "by product" sales, which would lead to a fragmented offer with significant negative effects for consumers, who would have to multiply the number of subscriptions to view all events or, alternatively, forgo watching some of them.</w:t>
      </w:r>
    </w:p>
    <w:p>
      <w:r>
        <w:t>62. If the LNPB opted for a "by product" marketing solution, it is noted that it is suitable to allow for the achievement of a competitive market structure provided that the stipulation of "non-exclusive agreements concerning the retransmission, live or delayed, directly or by third parties, of audiovisual products, and distribution agreements of the signal on other platforms" is expressly permitted, pursuant to Article 11, paragraph 7, of Legislative Decree No. 9/2008. In this way, it indeed appears possible to achieve the same effect as an offer on different platforms.</w:t>
      </w:r>
    </w:p>
    <w:p>
      <w:r>
        <w:t>63. In this perspective, taking into account the more general context of the sports rights market, it seems desirable that the exclusive offer by product be configured in such a way as to have an impact in terms of audience and attractiveness that incentivizes non-winning operators to conclude retransmission agreements.</w:t>
      </w:r>
    </w:p>
    <w:p>
      <w:r>
        <w:t>64. Regarding the duration of licenses, it is recalled that, pursuant to paragraphs 1 and 2 of Article 10 of the Melandri Decree, amended by Law No. 6 of January 13, 2023, converting Decree-Law No. 176 of November 18, 2022, license contracts may not exceed a maximum duration of five years. In this regard, the possible assignment of exclusive broadcasting packages for seasonal cycles exceeding three years does not appear suitable to promote a healthy competitive context both in terms of the profitability of the assignment and, more strongly, in terms of the quality and usability of broadcasting services, should exclusive assignment conditions remain for the operators.</w:t>
      </w:r>
    </w:p>
    <w:p>
      <w:r>
        <w:t>65. Given the current lack of definition of the criteria for forming packages of exclusive rights, it is emphasized that subsequent to the publication of the invitations to offer, the potential evaluation by the Authority of the compliance of the specific formulation of the packages, as well as the subsequent assignment of audiovisual rights, remains unaffected, pursuant to Law No. 287/1990, the Treaty on the Functioning of the European Union, and Legislative Decree No. 9/2008. The Authority, in fact, believes that national and community legislation on competition is sufficient to allow intervention where the LNPB, in the concrete preparation of the packages and final assignment, does not adhere to the Authority's indications and such behavior harms competition in the acquisition of specific rights and in downstream markets, to the detriment of consumers.</w:t>
      </w:r>
    </w:p>
    <w:p>
      <w:r>
        <w:t>66. With regard to the rules on the offer and assignment of audiovisual rights, the Guidelines provide, for packages offered exclusively, the conduct of a first phase, consisting of the publication of the invitation to offer, the submission of sealed bids by interested parties, and the formation of a ranking based on the price offered. In this context, it has been provided that the Assembly of the LNPB proceeds for each package to assign the rights to the party that has offered the highest price, provided it is above the minimum price. This provision appears to be in compliance with the provisions of Article 8, paragraph 4, of the Decree, which provides that the only case for revocation of the offer is when the established minimum price is not reached.</w:t>
      </w:r>
    </w:p>
    <w:p>
      <w:r>
        <w:t>67. In the event that even one of the rights packages is not awarded due to the negative outcome of the competitive procedure carried out, the LNPB reserves the right not to award any package; in this case, it will initiate a new competitive procedure by modifying the packages and/or the minimum price, also contemplating immediate recourse to the private negotiation phase when the conditions of the competitive procedure carried out and/or its outcomes render unjustified or disproportionate, even in the interest of a timely assignment, the burdens or timelines of a new competitive procedure.</w:t>
      </w:r>
    </w:p>
    <w:p>
      <w:r>
        <w:t>68. On this point, the importance of defining a minimum price adequate to the content of each package must be emphasized, such as to minimize the likelihood that the sale of one or more packages has a negative outcome. Furthermore, the LNPB must set the minimum prices of the packages in such a way as to avoid that the provision of the option not to award any package, in the absence of achieving the minimum price even for just one of them, artificially generates a minimum price for the overall offer that, as previously noted by the Authority, does not find correspondence in the provisions of the Decree and would result in a high degree of uncertainty for participants in the procedures.</w:t>
      </w:r>
    </w:p>
    <w:p>
      <w:r>
        <w:t>69. Regarding the sales procedures, the Authority recalls what has already been observed for previous marketing cycles9 where the use of open competitive procedures was positively appreciated, considering private negotiations a residual hypothesis in the sales strategy. In this way, in fact, competitive confrontation and the contestability of rights among the broader pool of operators are favored.</w:t>
      </w:r>
    </w:p>
    <w:p>
      <w:r>
        <w:t>70. The need to ensure a rapid assignment of the packages, in order to obtain the necessary revenues to guarantee the survival of the event organization, can be achieved through other solutions such as, by way of example, shortening the timeframes for the conduct of the competitions and identifying a minimum price adequate to the content of each package.</w:t>
      </w:r>
    </w:p>
    <w:p>
      <w:r>
        <w:t>71. In any case, the potential phase of private negotiation must be characterized by respect for the principles inherent to competitive procedures, taking into account, in particular, the need to guarantee participants in the procedures in question conditions of absolute fairness, transparency, and non-discrimination.</w:t>
      </w:r>
    </w:p>
    <w:p>
      <w:r>
        <w:t>72. With regard to another hypothesis of marketing audiovisual rights, such as the establishment of a direct thematic channel of the LNPB, currently formulated in the Guidelines as an alternative to the distribution of content through assignment to third-party licensees, it is noted that, pursuant to Articles 6 and 7 of Legislative Decree No. 9/2008, it falls outside the evaluation to be carried out in the examination of the Guidelines. That said, there is currently no provision in the Guidelines that conflicts with the principles indicated in Article 13 of the Decree, limiting point 44 to merely referring to the factual circumstance of the non-assignment of rights to a third party. Therefore, this hypothesis is not currently subject to this evaluation. As mentioned, the evaluation pursuant to Law No. 287/1990 and Articles 101 and 102 of the Treaty on the Functioning of the European Union (hereinafter, "TFEU") of the content of distribution contracts that the LNPB may eventually enter into with interested operators remains unaffected.</w:t>
      </w:r>
    </w:p>
    <w:p>
      <w:r>
        <w:t>73. In light of the considerations made, it is believed that the Guidelines under examination can be approved, for the reasons and within the limits stated in the motivation, pursuant to Article 6, paragraph 6, of Legislative Decree No. 9/2008, without prejudice to the intervention powers of the Authority pursuant to the aforementioned discipline, Law No. 287/1990, and Articles 101 and 102 of the TFEU.</w:t>
      </w:r>
    </w:p>
    <w:p>
      <w:r>
        <w:t>CONSIDERING that the Authority's power to evaluate the compliance of the invitations to offer and the sales procedure of the audiovisual rights subject to this proceeding with national and community antitrust legislation and Legislative Decree No. 9/2008 remains unaffected and to proceed with the verification of any violations of the aforementioned legislation in the event that the LNPB, in the concrete preparation of the packages and final assignment, does not adhere to the Authority's indications and such behavior harms competition in the acquisition of specific rights and in downstream markets, to the detriment of consumers;</w:t>
      </w:r>
    </w:p>
    <w:p>
      <w:r>
        <w:t>CONSIDERING that the Guidelines under examination, regarding aspects related to the configuration of the packages, in order to be fully compliant with national and community antitrust legislation and the principles and provisions of Legislative Decree No. 9/2008 must take into account the indications formulated above;</w:t>
      </w:r>
    </w:p>
    <w:p>
      <w:r>
        <w:t>CONSIDERING, therefore, that it is possible to approve, for the reasons and within the limits stated in the motivation, the Guidelines under examination, pursuant to Article 6, paragraph 6, of Legislative Decree No. 9/2008;</w:t>
      </w:r>
    </w:p>
    <w:p>
      <w:r>
        <w:t>RESOLVES</w:t>
      </w:r>
    </w:p>
    <w:p>
      <w:r>
        <w:t>to approve, pursuant to Article 6, paragraph 6, of Legislative Decree No. 9/2008, for the reasons and within the limits stated in the motivation, the Guidelines of the National Professional League Serie B, transmitted by note of May 24, 2023, concerning the centralized marketing of...</w:t>
      </w:r>
    </w:p>
    <w:p>
      <w:r>
        <w:rPr>
          <w:b/>
        </w:rPr>
        <w:t>[Pages 85–87]</w:t>
      </w:r>
    </w:p>
    <w:p>
      <w:r>
        <w:t>BULLETIN NO. 30 OF AUGUST 7, 2023 87</w:t>
      </w:r>
    </w:p>
    <w:p>
      <w:r>
        <w:t>audiovisual sports rights related to the sports seasons 2024/25, 2025/26, 2026/27, 2027/2028, 2028/2029. This decision will be notified to the interested parties and will be published in the Authority's bulletin.</w:t>
      </w:r>
    </w:p>
    <w:p>
      <w:r>
        <w:t>THE SECRETARY GENERAL THE PRESIDENT</w:t>
        <w:br/>
        <w:t>Guido Stazi Roberto Rustichelli</w:t>
      </w:r>
    </w:p>
    <w:p>
      <w:r>
        <w:t>88 BULLETIN NO. 30 OF AUGUST 7, 2023</w:t>
      </w:r>
    </w:p>
    <w:p>
      <w:r>
        <w:t>ACTIVITY OF REPORTING AND CONSULTATION</w:t>
        <w:br/>
        <w:t>AS1902 - SICILIAN REGION - ASSIGNMENT OF LOCAL PUBLIC TRANSPORT SERVICES BY ROAD</w:t>
        <w:br/>
        <w:t>Rome, July 19, 2023</w:t>
        <w:br/>
        <w:t>Sicilian Region</w:t>
        <w:br/>
        <w:t>The Italian Competition Authority, in its meeting of July 18, 2023, resolved to formulate some observations, pursuant to Article 21 of Law No. 287/1990, specifically regarding the competitive criticalities arising from the lack of provision and adoption of public evidence procedures for the assignment of local public transport services by road.</w:t>
      </w:r>
    </w:p>
    <w:p>
      <w:r>
        <w:t>In the context of monitoring the assignments of local public services of economic relevance, carried out also by virtue of the entry into force of Legislative Decree No. 201/2022, the Authority noted that in Sicily, since 2005, there has been a crystallized system of extensions of provisional assignment contracts, concluded with the same companies that were already concessionaires of the services pursuant to Law No. 1822/1939 and Regional Law No. 10/1964. These contracts have been extended multiple times, most recently until August 31, 2024, "pending the assignments through a tender." This is despite the fact that in the meantime there have been findings of illegitimacy both from the Constitutional Court1 and the Court of Auditors2.</w:t>
      </w:r>
    </w:p>
    <w:p>
      <w:r>
        <w:t>In particular, following the declaration of unconstitutionality of Article 13, Regional Law No. 13/2019, the service contracts in question have effectively ceased as they are null, as also highlighted by the Court of Auditors in noting the inapplicability of the extension option pursuant to Article 92, paragraph 4-ter, of Legislative Decree No. 18 of March 17, 2020, exercised by the Sicilian Region. Consequently, the last extension ordered, pursuant to Article 5, paragraph 5, of Regulation (EC) No. 1370/2007 for emergency reasons in the face of the risk of service interruption, based on contracts that have effectively lapsed, is to be considered illegitimate.</w:t>
      </w:r>
    </w:p>
    <w:p>
      <w:r>
        <w:t>The Authority has repeatedly pointed out, including to the Sicilian Region itself3, the problematic nature of the administrative activities concerning the management of local public services - specifically, local public transport (hereinafter, "TPL") - which, far from interpreting the regulatory obligations imposed by the liberalization norms that have alternated over time in a pro-competitive sense, have manifested in the extension of existing assignments and service contracts4.</w:t>
      </w:r>
    </w:p>
    <w:p>
      <w:r>
        <w:t>The Authority has previously highlighted how in Italy the "extensive use of the extension tool" for TPL service assignments by road is particularly concerning, even well beyond the conditions granted by Regulation (EC) No. 1370/2007. The Authority clarified that, in sectors "characterized by a long duration of assignments such as TPL (even ten or more years, with the possibility of renewal), the extension tool should be confined to exceptional situations that cannot be managed otherwise," otherwise "inefficient managements are prolonged over time, well beyond the duration of the contracts, and there is a risk that companies with a compromised economic-financial situation become even less attractive in the market"5.</w:t>
      </w:r>
    </w:p>
    <w:p>
      <w:r>
        <w:t>In light of the above observations, it is believed that the Sicilian Region has illegitimately extended the assignment of TPL services, without promptly and diligently activating to meet the need to assign the services in accordance with the applicable regulations. The entity had - during the long period of the extensions in question - all the necessary time to carry out the necessary activities to allow for the assignment of the service through a method compliant with current legislation and necessarily suitable to ensure adequate levels of efficiency and appropriate benefits for the community (in particular, the identification of minimum performance levels, planning and programming activities, as well as the allocation of necessary funds). Instead, it appears to this Authority that the Region limited itself to publishing, in the Official Journal of the EU on December 21, 20206, the Pre-information Notice regarding the "Open Procedure for the assignment of extra-urban passenger public transport services by bus in the territory of the Sicilian Region," with a planned start date set for January 1, 2022; however, nothing has been done in this regard, but rather, yet another extension of the services in question has been ordered, most recently until August 31, 2024.</w:t>
      </w:r>
    </w:p>
    <w:p>
      <w:r>
        <w:t>Regarding the illegitimacy of such extensions, it must be recalled what has been repeatedly stated by the Constitutional Court, which, emphasizing that it is not permitted for the regional legislator to establish automatic renewal or extension upon the expiration of public transport service concessions, in contrast to the principles of temporariness of the concessions themselves and of opening the market to competition, has highlighted that extensions impose "constraints on entry and affect the conduct of competition in the local public transport sector, determining a...</w:t>
      </w:r>
    </w:p>
    <w:p>
      <w:r>
        <w:t>4 See, among others, AS1197 - Draft regulatory act regarding local public transport tenders, April 30, 2015, in Bulletin No. 21/2015; AS1494 - Basilicata Region - Continuation of local public transport services by road, February 23, 2018, in Bulletin No. 13/2018.</w:t>
      </w:r>
    </w:p>
    <w:p>
      <w:r>
        <w:t>5 See decision No. 26061 of June 1, 2016 and related closing attachments of the inquiry IC47 - Competitive conditions in local public transport markets, in Bulletin No. 20/2016.</w:t>
      </w:r>
    </w:p>
    <w:p>
      <w:r>
        <w:t>6 In GU/S S248 21/12/2020 618879-2020-IT (https://ted.europa.eu/udl?uri=TED:NOTICE:618879-2020:TEXT:IT:HTML&amp;src=0). In particular, the contract concerned local public transport services, of an extra-urban nature, to be carried out by bus throughout the territory of the Region. The Mvett-Km/year expected was equal to 54,756,202, to be better defined at the time of approval of the network of minimum local public transport services, before the announcement of the tender. Call services and multiple lots were also planned, for an estimated value of €64,528,696 per year (excluding VAT). In the Complementary Information, reference was made to subsequent relevant tender documents for the completion of the set of information required for the conduct of the tender procedures, as provided for by the sector resolutions of the Transport Regulatory Authority.</w:t>
      </w:r>
    </w:p>
    <w:p>
      <w:r>
        <w:rPr>
          <w:b/>
        </w:rPr>
        <w:t>[Pages 88–90]</w:t>
      </w:r>
    </w:p>
    <w:p>
      <w:r>
        <w:t>90 BULLETIN NO. 30 OF AUGUST 7, 2023</w:t>
      </w:r>
    </w:p>
    <w:p>
      <w:r>
        <w:t>potential disparity of treatment among economic operators”7. The same principles have also been stated by the Council of State in the same terms8.</w:t>
      </w:r>
    </w:p>
    <w:p>
      <w:r>
        <w:t>In conclusion, it is believed that the system of extensions of the assignments of public transport services adopted by this Region is illegitimate as it lacks legal coverage9. Even the last extension, ordered for emergency reasons in the face of the risk of service interruption pursuant to Article 5, paragraph 5, Regulation (EC) No. 1370/2007, based on contracts that have effectively lapsed, is to be considered illegitimate.</w:t>
      </w:r>
    </w:p>
    <w:p>
      <w:r>
        <w:t>The extensions in question also constitute a restriction on the freedom of establishment and the free provision of services as per Articles 49 and 56 of the Treaty on the Functioning of the European Union (TFEU), as they are capable of unjustifiably delaying and hindering the assignment of local public transport services in the territory of the Sicilian Region through a procedure compliant with current legislation and the competitive principles contained therein, suitable to ensure, for the benefit of users, that the service is provided with high levels of quality, safety, and under the best economic conditions.</w:t>
      </w:r>
    </w:p>
    <w:p>
      <w:r>
        <w:t>It is worth noting, furthermore, that from December 31, 2022 - the date of entry into force of Legislative Decree No. 201/2022 - Article 32, paragraph 2, of the same, provides that, for the purposes of choosing the management and assignment methods of the public transport service, in addition to the European sector regulations, the provisions of Articles 14, paragraphs 2 and 3, and 17 of the same Legislative Decree No. 201/2022 apply, which impose the obligation of a report on the chosen assignment form, of qualified motivation in the case of in-house assignment, and of adoption and attachment of the PEF.</w:t>
      </w:r>
    </w:p>
    <w:p>
      <w:r>
        <w:t>The Authority therefore hopes that this Region will promptly take action to initiate and conclude as soon as possible the tenders for the assignment of public transport services, inviting the Administration itself to communicate, within thirty days from the receipt of this notice, the initiatives taken to remove the aforementioned competition violations.</w:t>
      </w:r>
    </w:p>
    <w:p>
      <w:r>
        <w:t>This notice will be published in the Bulletin referred to in Article 26 of Law No. 287/1990.</w:t>
      </w:r>
    </w:p>
    <w:p>
      <w:r>
        <w:t xml:space="preserve">THE PRESIDENT </w:t>
        <w:br/>
        <w:t>Roberto Rustichelli</w:t>
      </w:r>
    </w:p>
    <w:p>
      <w:r>
        <w:t xml:space="preserve">7 See judgment No. 16/2021, which refers to judgments No. 2/2014, No. 123/2011, and No. 80/2006. </w:t>
        <w:br/>
        <w:t xml:space="preserve">8 See Cons. Stato, Section V, judgment September 7, 2022, No. 7784. </w:t>
        <w:br/>
        <w:t>9 On this subject, see the rulings of the Plenary Assembly of the Council of State, Nos. 17 and 18 of November 9, 2021, regarding maritime state concessions, as well as the judgment of the Court of Justice of the EU, of April 20, 2023, C-348/2022.</w:t>
      </w:r>
    </w:p>
    <w:p>
      <w:r>
        <w:t>BULLETIN NO. 30 OF AUGUST 7, 2023 91</w:t>
      </w:r>
    </w:p>
    <w:p>
      <w:r>
        <w:t>AS1903 - PROVISIONS ON ELECTRONIC PAYMENTS CONTAINED IN THE BUDGET LAW</w:t>
      </w:r>
    </w:p>
    <w:p>
      <w:r>
        <w:t>Rome, July 19, 2023</w:t>
      </w:r>
    </w:p>
    <w:p>
      <w:r>
        <w:t>Ministry of Economy and Finance</w:t>
      </w:r>
    </w:p>
    <w:p>
      <w:r>
        <w:t>The Italian Competition Authority, in its meeting of July 18, 2023, intended to formulate the following observations, pursuant to Article 22 of Law No. 287/1990, regarding the “Draft Memorandum of Understanding for the mitigation, greater comprehensibility, and comparability of the costs of acceptance of electronic payment instruments,” which the Ministry of Economy and Finance has submitted for its attention.</w:t>
      </w:r>
    </w:p>
    <w:p>
      <w:r>
        <w:t>In summary, the Draft Memorandum aims at measures to further promote the dissemination, digitalization, modernization, and competition of payment services, also through greater comprehensibility, comparability, and mitigation of the costs of transactions with electronic payment instruments, such as debit, credit, and prepaid cards, borne by merchants engaged in business activities, arts, or professions with revenues and fees for the previous tax year not exceeding 400,000 euros.</w:t>
      </w:r>
    </w:p>
    <w:p>
      <w:r>
        <w:t>In this context, the Italian Banking Association (hereinafter, “ABI”) and the Italian Association of Payment Service Providers (hereinafter, “APSP”), each based on the role they play in the payment chain, commit to inviting their members who operate as “authorized subjects for the acceptance of card payments at Merchants” (acquirers) to promote promotional commercial initiatives towards merchants, aimed at mitigating the impact of costs for low-value transactions, that is, amounts not exceeding 30 euros, and in particular amounts at least up to 10 euros; for these latter, the commercial initiatives should be “significantly competitive.”</w:t>
      </w:r>
    </w:p>
    <w:p>
      <w:r>
        <w:t>Furthermore, ABI and APSP, hoping for an update in the sector regulations regarding transparency, commit to inviting their respective members to draft their pre-contractual information in such a way as to allow merchants to better understand the characteristics of the commercial offers of acceptance services at the merchant and the related economic conditions, and to facilitate the comparability of costs, in accordance with national and European regulations and with the indications of the supervisory Authority.</w:t>
      </w:r>
    </w:p>
    <w:p>
      <w:r>
        <w:t>In particular, the subjects adhering to the Memorandum who operate as acquirers will use the standard scheme for the synthetic representation of the conditions provided by the commercial initiatives attached to it (Annex 2), structured similarly to the overall cost indicator (ICC) provided for payment accounts. This scheme is aimed at ensuring immediate comparability between the commercial promotions referred to in the Memorandum in question (column A of the scheme) and is functional to provide adequate and clear information on the conditions applied at the end of the promotional offer (column B). It is also provided that acquirers will publish the promotional conditions referred to in column A of the aforementioned standard scheme on their websites; moreover, for the sake of easier comparability, they will simultaneously transmit them to a subject (to be identified by mutual agreement) for publication on its website. The conditions that will be applied at the end of the promotional proposal, however, given the high customization of existing offers, will be indicated only to the individual customer in column B of the scheme, in order to ensure transparency and comparability.</w:t>
      </w:r>
    </w:p>
    <w:p>
      <w:r>
        <w:t>The promotions subject to the Memorandum will be advertised for at least six months and will last no less than nine months. The Memorandum is valid and effective for twelve months from the date of signing; upon expiration, following an impact assessment on the introduction of the measures provided, further initiatives on the subject may be evaluated.</w:t>
      </w:r>
    </w:p>
    <w:p>
      <w:r>
        <w:t>The member of ABI or APSP who intends to adhere to or withdraw from the Memorandum shall notify their respective association of belonging. ABI and APSP publish on their websites and keep updated the list of those adhering to the Memorandum and invite the latter to carry out the necessary initiatives to disseminate to the public, through appropriate communication and promotional actions, what has been agreed within the Memorandum and the actions provided therein.</w:t>
      </w:r>
    </w:p>
    <w:p>
      <w:r>
        <w:t>All this premised, in general terms, the Authority expresses appreciation for the overall strategy of the Government aimed at further promoting the digitalization, modernization, and competition of payment services, also through greater comprehensibility, comparability, and mitigation of the costs of transactions with electronic payment instruments.</w:t>
      </w:r>
    </w:p>
    <w:p>
      <w:r>
        <w:t>In detail, the Authority observes that the methods provided to achieve the set objectives leave full autonomy to each operator regarding the determination of transaction costs, limiting themselves to encouraging the promotion of competitive commercial initiatives in low-value transactions, without hindering the functioning of the market. In this regard, it is believed that the adoption of a standardized taxonomy and a simple and synthetic representation mode of the conditions provided by the commercial initiatives, following the lines of the overall cost indicator (ICC) adopted by banks to quantify in a simplified manner to consumer clients the costs of the payment account, appears abstractly suitable to favor the comparability of promotional offers and, therefore, potentially aimed at encouraging a more vibrant competitive dynamic, with the effect of mitigating the incidence of electronic payment costs for merchants.</w:t>
      </w:r>
    </w:p>
    <w:p>
      <w:r>
        <w:t>Such methods of representation of offers also appear suitable to avoid competitive criticalities in terms of information exchanges, also in light of the provision that the information regarding the conditions that will be applied at the end of the promotional offer, given the high customization of existing offers, will be explicitly communicated through the scheme only to the individual customer, in order to ensure a high level of transparency and comparability.</w:t>
      </w:r>
    </w:p>
    <w:p>
      <w:r>
        <w:t>Moreover, the Authority positively assesses that the Memorandum is open to the adhesion of other subjects, not originally involved, who, in case of adhesion, will assume all the commitments provided in the Memorandum itself.</w:t>
      </w:r>
    </w:p>
    <w:p>
      <w:r>
        <w:t>Finally, the temporary effectiveness of the Memorandum is highlighted, which has a duration limited to one year, with the possibility of an ex-post evaluation of its effects and in the hope of an update of the reference regulations.</w:t>
      </w:r>
    </w:p>
    <w:p>
      <w:r>
        <w:rPr>
          <w:b/>
        </w:rPr>
        <w:t>[Pages 91–93]</w:t>
      </w:r>
    </w:p>
    <w:p>
      <w:r>
        <w:t>BULLETIN NO. 30 OF AUGUST 7, 2023 93</w:t>
      </w:r>
    </w:p>
    <w:p>
      <w:r>
        <w:t>Based on the considerations outlined above, therefore, in light of the rationale of the Protocol and considering that its signing aims to encourage the formulation of competitive offers towards operators, ensuring a greater degree of comparability and transparency potentially capable of increasing competition among acquirers, the Authority does not identify particular critical issues regarding national and community legislation protecting competition related to the signing of the Memorandum of Understanding.</w:t>
      </w:r>
    </w:p>
    <w:p>
      <w:r>
        <w:t>The Authority reserves the right to evaluate, for the aspects within its competence, behaviors that are not in line or otherwise not expressly provided for by the Protocol and not compliant with antitrust legislation.</w:t>
      </w:r>
    </w:p>
    <w:p>
      <w:r>
        <w:t>This opinion will be published in the Bulletin of the Authority.</w:t>
      </w:r>
    </w:p>
    <w:p>
      <w:r>
        <w:t xml:space="preserve">THE PRESIDENT </w:t>
        <w:br/>
        <w:t>Roberto Rustichelli</w:t>
      </w:r>
    </w:p>
    <w:p>
      <w:r>
        <w:t>94 BULLETIN NO. 30 OF AUGUST 7, 2023</w:t>
      </w:r>
    </w:p>
    <w:p>
      <w:r>
        <w:t>AS1904 - REGULATION OF TRAINING COURSES AND PROCEDURES FOR THE QUALIFICATION OF DRIVING SCHOOL TEACHERS</w:t>
      </w:r>
    </w:p>
    <w:p>
      <w:r>
        <w:t>Rome, July 3, 2023</w:t>
      </w:r>
    </w:p>
    <w:p>
      <w:r>
        <w:t>Ministry of Infrastructure and Transport</w:t>
      </w:r>
    </w:p>
    <w:p>
      <w:r>
        <w:t>With reference to the request for an opinion formulated by this Ministry pursuant to Article 3, paragraph 3, of Legislative Decree No. 142/2020, concerning the draft Ministerial Decree regarding amendments to the Decree of the Minister of Infrastructure and Transport No. 17 of January 26, 2011, titled "Regulation governing the discipline of training courses and procedures for the qualification of teachers and instructors of driving schools," the Italian Competition Authority, in its meeting of June 28, 2023, observed the following.</w:t>
      </w:r>
    </w:p>
    <w:p>
      <w:r>
        <w:t>In light of the reasons highlighted in the documentation attached to the request for an opinion, regarding the more strictly competitive profiles, the Authority emphasizes that the regulatory changes that this Ministry intends to introduce concerning access to the profession of driving school instructor - made easier by the removal of one of the previously required qualifications (i.e., possession of a license also of category DE) - appear proportionate to the objectives pursued and non-discriminatory, and such as not to introduce unjustified restrictions on competition in the sector in question.</w:t>
      </w:r>
    </w:p>
    <w:p>
      <w:r>
        <w:t>This opinion will be published in the Bulletin of the Italian Competition Authority. Any confidentiality needs must be expressed within thirty days of receiving this opinion, specifying the reasons.</w:t>
      </w:r>
    </w:p>
    <w:p>
      <w:r>
        <w:t xml:space="preserve">THE PRESIDENT </w:t>
        <w:br/>
        <w:t>Roberto Rustichelli</w:t>
      </w:r>
    </w:p>
    <w:p>
      <w:r>
        <w:t>BULLETIN NO. 30 OF AUGUST 7, 2023 95</w:t>
      </w:r>
    </w:p>
    <w:p>
      <w:r>
        <w:t>AS1905 - REQUIREMENTS AND PARAMETERS FOR REGISTRATION IN THE LIST OF AGENCIES OF NATIONAL RELEVANCE</w:t>
      </w:r>
    </w:p>
    <w:p>
      <w:r>
        <w:t>Rome, August 3, 2023</w:t>
      </w:r>
    </w:p>
    <w:p>
      <w:r>
        <w:t xml:space="preserve">Presidency of the Council of Ministers </w:t>
        <w:br/>
        <w:t>Department for Information and Publishing</w:t>
      </w:r>
    </w:p>
    <w:p>
      <w:r>
        <w:t>With reference to the request for an opinion formulated by this Department on August 2, 2023, regarding Article 2, paragraph 1, letter g) of the decree of the President of the Council of Ministers of July 11, 2023, concerning "Requirements and parameters for registration in the list of Agencies of national relevance," published in the Official Gazette No. 174 of July 27, 2023 (hereinafter, the decree), the Authority, in its meeting of August 3, 2023, deemed it appropriate to formulate the following observations, pursuant to Article 22 of Law No. 287/1990 and Article 34, paragraph 5 of Decree-Law No. 201 of December 6, 2011, converted by Law No. 214 of December 22, 2011.</w:t>
      </w:r>
    </w:p>
    <w:p>
      <w:r>
        <w:t>The decree in question provides for the establishment, at the Department for Information and Publishing of the Presidency of the Council of Ministers, of "a list of national relevance news agencies that provide public administrations [...] and, upon express request, constitutional bodies, general and special news reports, national, international, and regional, including video-photographic content" (Article 1, paragraph 1).</w:t>
      </w:r>
    </w:p>
    <w:p>
      <w:r>
        <w:t>The requirements and parameters for registration in the list are governed by Articles 2 and 3 of the decree.</w:t>
      </w:r>
    </w:p>
    <w:p>
      <w:r>
        <w:t>According to Article 2, paragraph 1, national relevance, which allows for the registration of news agencies in the list, can be inferred from certain dimensional, organizational, and operational capacity requirements, among which is provided, in letter g), "the possession of a legality rating pursuant to Article 5-ter of Decree-Law No. 1 of January 24, 2012, as amended by Article 1, paragraph 1-quinquies, of Decree-Law No. 29 of March 24, 2012, converted, with amendments, by Law No. 62 of May 18, 2012." Paragraph 3 of the same article specifies that possession of the minimum requirements listed in paragraph 1 allows for registration in the list of agencies of national relevance and enables, following the positive outcome of the negotiated procedure, the signing of contracts through which the Department recognizes the agencies a minimum compensation for the acquisition of the news reports made available to public administrations.</w:t>
      </w:r>
    </w:p>
    <w:p>
      <w:r>
        <w:t>The decree in question introduces new elements with the aim of overcoming mechanisms based solely on quantitative parameters by shifting the focus to qualitative and performance parameters. News agencies are, therefore, called upon to have adequate organizational structures.</w:t>
      </w:r>
    </w:p>
    <w:p>
      <w:r>
        <w:t>In this context, the requirement for agencies aspiring to registration in the list to possess a legality rating is positioned.</w:t>
      </w:r>
    </w:p>
    <w:p>
      <w:r>
        <w:rPr>
          <w:b/>
        </w:rPr>
        <w:t>[Pages 94–96]</w:t>
      </w:r>
    </w:p>
    <w:p>
      <w:r>
        <w:t>96 BULLETIN NO. 30 OF AUGUST 7, 2023</w:t>
        <w:br/>
        <w:t>The Authority can only welcome the enhancement, in the aforementioned context, of the legality rating as a tool aimed at promoting the introduction of ethical principles in corporate behavior, as desired by the legislator with the introduction of the relevant institution by decree-law no. 1/2012.</w:t>
      </w:r>
    </w:p>
    <w:p>
      <w:r>
        <w:t>The rating, in fact, is intended to incentivize companies that stand out for their compliance with the law and for pursuing objectives of legality and transparency, through the introduction of a system for evaluating their reliability, such as to ultimately encourage healthy competitive competition.</w:t>
      </w:r>
    </w:p>
    <w:p>
      <w:r>
        <w:t>The legality rating, in its practical application supported by administrative jurisprudence, has always been recognized as having a rewarding purpose.</w:t>
      </w:r>
    </w:p>
    <w:p>
      <w:r>
        <w:t>In this sense, from a systematic point of view and in order to allow for a better enhancement of the rewarding nature of the institution, the inclusion of the requirement related to the possession of the legality rating within the parameters to incentivize the quality and efficiency of the Agencies referred to in Article 3 of the decree could be considered.</w:t>
      </w:r>
    </w:p>
    <w:p>
      <w:r>
        <w:t>It is necessary, in any case, to consider that the attribution of the legality rating requires the possession of stringent ethical and qualitative requirements, for which the interested companies should be able to have a reasonable period of time.</w:t>
      </w:r>
    </w:p>
    <w:p>
      <w:r>
        <w:t>Therefore, in the current formulation of the decree, in which the possession of the legality rating is included among the requirements referred to in Article 2, given the novelty of the reform and the strengthening of the scope of the rating institution as arranged, it may be appropriate to foresee, in the initial application phase, a gradual implementation of the provision referred to in paragraph 1, letter g), so as to allow the interested companies to adapt to the new model and, in particular, to acquire the required qualifications for obtaining the legality rating.</w:t>
      </w:r>
    </w:p>
    <w:p>
      <w:r>
        <w:t xml:space="preserve">This opinion will be published in the Bulletin of the Italian Competition Authority. </w:t>
        <w:br/>
        <w:t xml:space="preserve">THE PRESIDENT </w:t>
        <w:br/>
        <w:t>Roberto Rustichelli</w:t>
      </w:r>
    </w:p>
    <w:p>
      <w:r>
        <w:t xml:space="preserve">BULLETIN NO. 30 OF AUGUST 7, 2023 97 </w:t>
        <w:br/>
        <w:t xml:space="preserve">AS1906 – CITY OF MILAN - CALL FOR TENDER FOR THE ASSIGNMENT OF THE INTEGRATED WELFARE SERVICE FOR MANAGERIAL STAFF </w:t>
        <w:br/>
        <w:t xml:space="preserve">Rome, May 9, 2023 </w:t>
        <w:br/>
        <w:t xml:space="preserve">City of Milan </w:t>
        <w:br/>
        <w:t>The Italian Competition Authority, in its meeting of May 9, 2023, resolved to express its opinion, pursuant to Article 21-bis of Law No. 287 of October 10, 1990, regarding the “Call for Tender No. 23/2023 CIG 9675900546 Assignment of the integrated welfare service for the managerial staff of the City of Milan,” issued by this Municipality and published in the G.U., 5th Special Series – Public Contracts No. 29 of March 10, 2023, and any other act presupposed and consequent to it.</w:t>
      </w:r>
    </w:p>
    <w:p>
      <w:r>
        <w:t xml:space="preserve">In particular, the Authority intends to make the following considerations. </w:t>
        <w:br/>
        <w:t>Article 2.6 of the tender specifications, containing the requirements of economic and financial capacity, at letter b) provides that participants in the tender procedure must provide a “declaration of having carried out insurance activities in the Health branch in the last three useful financial years (2020/2021/2022), for a total premium collection per year in the three-year period of no less than €30,000,000.00, for each year of the three-year period.”</w:t>
      </w:r>
    </w:p>
    <w:p>
      <w:r>
        <w:t>This provision, even taking into account the characteristics of the service subject to the assignment procedure (for example, limits, number of beneficiaries), does not appear proportionate to the object and value of the contract and could constitute a subjective limit for access to the tender suitable to restrict the number of participants.</w:t>
      </w:r>
    </w:p>
    <w:p>
      <w:r>
        <w:t>It is noted, in fact, that the requirement of having carried out, in each reference year, insurance activities in the Health branch for a total collection of at least €30,000,000.00, is possessed exclusively by larger insurance companies. Most insurance companies and mutual aid societies operating in the market, in fact, while being able to manage contracts similar to the one in question, will hardly be able to reach the threshold set by the tender specifications.</w:t>
      </w:r>
    </w:p>
    <w:p>
      <w:r>
        <w:t>On this point, the Authority has repeatedly pointed out how the requirement of reaching certain premium collection thresholds “as it relates to the turnover levels of individual companies, represents an element capable of unjustifiably limiting participation in numerous public tenders and hindering access to the market. The exclusionary effect of this criterion unjustifiably affects both smaller companies and even larger companies, but not significantly present in the national market. Nor is the level of premium collection alone capable of representing a parameter for measuring the economic, financial, and technical capacities and reliability of companies.”</w:t>
      </w:r>
    </w:p>
    <w:p>
      <w:r>
        <w:t>The Authority has also clarified that, in the exercise of administrative discretion, the Public Administration must adhere to the criteria of proportionality in relation to the object of the contract and the purposes of the offer, in order to ensure the implementation of competition in the market allowing for the balancing of the needs for guaranteeing the reliability of the successful bidder and maximum possible participation in the tender. In this perspective, it should also be noted that often the participation requirements requested, although very burdensome and restrictive of the number of potential participants in the tender, are not suitable to reflect the economic and financial capacity of the selected company.</w:t>
      </w:r>
    </w:p>
    <w:p>
      <w:r>
        <w:t>In this regard, it is also worth emphasizing the fact that the provision under examination is detrimental to the contracting authority itself, effectively deprived of a portion of economic operators who could be equally qualified to perform the services subject to assignment; the market selection would therefore be made on a subset of potential subjects, potentially jeopardizing the achievement of the optimal outcome of the selection procedure in terms of quality/price of the integrated welfare service that will be purchased by this Municipality.</w:t>
      </w:r>
    </w:p>
    <w:p>
      <w:r>
        <w:t>In conclusion, the Authority believes that the provision of Article 2.6 letter b) of the tender specifications constitutes an undue, unnecessary, and disproportionate significant obstacle to the widest participation in the tender procedure carried out by the City of Milan, which may potentially conflict with the rules and principles protecting competition and the market, and in particular with Article 41 of the Constitution, as well as with the principles established by Articles 4, 30, and 83 of Legislative Decree No. 50/2016.</w:t>
      </w:r>
    </w:p>
    <w:p>
      <w:r>
        <w:t>Pursuant to Article 21-bis, paragraph 2, of Law No. 287/1990, therefore, this Municipality must communicate to the Authority, within sixty days from the receipt of this opinion, the initiatives taken to remove the competition violations outlined above. If within the aforementioned period such initiatives do not prove to be compliant with the competition principles expressed above, the Authority may file an appeal within the following thirty days.</w:t>
      </w:r>
    </w:p>
    <w:p>
      <w:r>
        <w:t xml:space="preserve">This opinion will be published in the Bulletin of the Italian Competition Authority. </w:t>
        <w:br/>
        <w:t xml:space="preserve">THE PRESIDENT </w:t>
        <w:br/>
        <w:t xml:space="preserve">Roberto Rustichelli </w:t>
        <w:br/>
        <w:t xml:space="preserve">_______________________________________________________________________ </w:t>
        <w:br/>
        <w:t xml:space="preserve">1 With specific reference to insurance services see AS 1228 - Call for tender for the assignment of insurance services of the Italian Red Cross, of September 9, 2015, in Bulletin No. 42/2015; AS 107 - Assignment of insurance services by public entities, of December 2, 1997, in Bulletin No. 47/1997. </w:t>
        <w:br/>
        <w:t xml:space="preserve">2 See AS 1228 - Call for tender for the assignment of insurance services of the Italian Red Cross, cited; AS987 - Assignment of insurance and insurance brokerage services, of September 12, 2012 in Bulletin No. 37/2012. </w:t>
        <w:br/>
        <w:t>3 These principles are also confirmed by Articles 1, 10, and 100 of Legislative Decree No. 36/2023 (new Public Contracts Code), whose provisions for the case at hand take effect from July 1, 2023.</w:t>
      </w:r>
    </w:p>
    <w:p>
      <w:r>
        <w:rPr>
          <w:b/>
        </w:rPr>
        <w:t>[Pages 97–99]</w:t>
      </w:r>
    </w:p>
    <w:p>
      <w:r>
        <w:t>BULLETIN NO. 30 OF AUGUST 7, 2023 99</w:t>
      </w:r>
    </w:p>
    <w:p>
      <w:r>
        <w:t>Press release regarding the Authority's decision not to appeal against the documentation of the tender procedure called by the Municipality of Milan for the assignment of the supplementary welfare service for managerial staff</w:t>
      </w:r>
    </w:p>
    <w:p>
      <w:r>
        <w:t>In its meeting on May 9, 2023, the Italian Competition Authority resolved to send a reasoned opinion to the Municipality of Milan pursuant to Article 21-bis of Law No. 287/1990 regarding the tender called for the assignment of the supplementary welfare service for its managerial staff.</w:t>
      </w:r>
    </w:p>
    <w:p>
      <w:r>
        <w:t>In particular, in its opinion, the Authority noted that one of the requirements for economic and financial capacity required by the contracting authority for the valid submission of the offer – specifically, the value of premium collection in the Health branch for each of the years 2020, 2021, and 2022 not less than 30 million euros – constituted a significant obstacle, neither necessary nor proportionate, to broader participation in the tender procedure carried out, which could conflict with the rules and principles protecting competition and the market, which, along with those necessarily related to impartiality, non-discrimination, publicity, transparency, and proportionality, must inform the procedures for awarding public contracts.</w:t>
      </w:r>
    </w:p>
    <w:p>
      <w:r>
        <w:t>Following the receipt of the reasoned opinion, the Municipality of Milan, with communication received on July 7, 2023, informed that it had canceled the aforementioned tender procedure pursuant to Article 21-octies of Law No. 241/90 and had launched a new tender procedure, identifying as the new requirement for economic and financial capacity the declaration from at least two banks or intermediaries authorized pursuant to Legislative Decree No. 385/1993, operating in EU member states, issued no earlier than 180 days before the deadline for the offer, certifying the economic and financial capacity of the competitor for the assumption of the service in question.</w:t>
      </w:r>
    </w:p>
    <w:p>
      <w:r>
        <w:t>Taking note of the feedback provided, the Italian Competition Authority, in its meeting on July 25, 2023, deemed that the grounds for a potential appeal before the Administrative Judge against the contested acts had ceased.</w:t>
      </w:r>
    </w:p>
    <w:p>
      <w:r>
        <w:t>100 BULLETIN NO. 30 OF AUGUST 7, 2023</w:t>
      </w:r>
    </w:p>
    <w:p>
      <w:r>
        <w:t>UNFAIR COMMERCIAL PRACTICES</w:t>
      </w:r>
    </w:p>
    <w:p>
      <w:r>
        <w:t>PS12414 – SEO DIGITAL MARKETING</w:t>
      </w:r>
    </w:p>
    <w:p>
      <w:r>
        <w:t>Decision No. 30702</w:t>
      </w:r>
    </w:p>
    <w:p>
      <w:r>
        <w:t>THE ITALIAN COMPETITION AUTHORITY</w:t>
      </w:r>
    </w:p>
    <w:p>
      <w:r>
        <w:t>IN ITS MEETING of June 28, 2023;</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decisions of October 4 and 25, 2022, with which the adoption of precautionary measures against SEO Digital Marketing B.V. was resolved, pursuant to Article 27, paragraphs 3 and 3-bis, of the Consumer Code;</w:t>
      </w:r>
    </w:p>
    <w:p>
      <w:r>
        <w:t>HAVING REGARD to its decision of March 28, 2023, with which, pursuant to Article 7, paragraph 3, of the Regulation, a sixty-day extension of the deadline for concluding the procedure was ordered;</w:t>
      </w:r>
    </w:p>
    <w:p>
      <w:r>
        <w:t>HAVING REGARD to the acts of the procedure;</w:t>
      </w:r>
    </w:p>
    <w:p>
      <w:r>
        <w:t>I. THE PARTY</w:t>
      </w:r>
    </w:p>
    <w:p>
      <w:r>
        <w:t>1. SEO Digital Marketing B.V. (hereinafter, SEO Digital or the Professional), as a professional, pursuant to Article 18, paragraph 1, letter b), of the Consumer Code. The company, based in the Netherlands, provides business consulting services and is the beneficiary of payments related to the "EU business Register" database linked to the websites www.eubusinessregister.net and www.eubusinessregister.org.</w:t>
      </w:r>
    </w:p>
    <w:p>
      <w:r>
        <w:t>2. A.E.C.I. – European Association of Independent Consumers National, A.E.C.I. APS Lazio, and A.E.C.I. APS Pontedera, as consumer associations reporting.</w:t>
      </w:r>
    </w:p>
    <w:p>
      <w:r>
        <w:t>II. THE CONDUCTS SUBJECT TO THE PROCEDURE</w:t>
      </w:r>
    </w:p>
    <w:p>
      <w:r>
        <w:t>3. The procedure concerns the behavior carried out by SEO Digital consisting of the dissemination, in misleading and aggressive ways, to numerous Italian micro-enterprises, of an email communication and a form (see figure 1 below) concerning the insertion and/or updating, advertised as free, of their business data in a database called "EU Business Register," originally accessible via the websites www.eubusinessregister.net and www.eubusinessregister.org, as well as payment requests for the three-year subscription fees for registration in the "EU Business Register" database that the micro-enterprises, in reality, did not consciously subscribe to. The Professional also conducted activities aimed at collecting improperly claimed debts, carried out also through the threat of resorting to the competent judicial authorities and the use of a debt collection agency. Finally, SEO Digital disseminated the above form lacking the contract conditions and information regarding the exercise of the right of withdrawal.</w:t>
      </w:r>
    </w:p>
    <w:p>
      <w:r>
        <w:t>III. THE OUTCOMES OF THE PROCEDURE</w:t>
      </w:r>
    </w:p>
    <w:p>
      <w:r>
        <w:t>1) The course of the procedure</w:t>
      </w:r>
    </w:p>
    <w:p>
      <w:r>
        <w:t>4. Following reports from the consumer association AECI1 and from some Italian micro-enterprises2, regarding the aforementioned conducts, on October 4, 2022, the Party was notified of the initiation of the investigative procedure PS12414, for alleged violation of Articles 21, 22, 24, 25, paragraph 1, letters a), d), and e), as well as 26, paragraph 1, letter f), of the Consumer Code. In this context, it was hypothesized that the commercial conducts of the Professional were likely to exert undue pressure on the recipient enterprises, aimed at inducing them to pay what was demanded by the Professional for the purchase of an unsolicited service, as well as being likely to hinder the exercise of the rights of the micro-enterprises.</w:t>
      </w:r>
    </w:p>
    <w:p>
      <w:r>
        <w:t>5. Furthermore, with decisions of October 4 and 25, 2022, the Authority resolved, pursuant to Article 27, paragraphs 3 and 3-bis, of the Consumer Code, in order to avoid the risk of serious harm to Italian micro-enterprises, to inhibit access to the websites www.eubusinessregister.net and www.eubusinessregister.org, and, pursuant to Article 27, paragraph 3, of the Consumer Code and Article 8, paragraph 3, of the Regulation, that SEO Digital suspend from the date of communication of the measure and, pending the procedure, any activity of transmitting non-transparent offers for the purchase of paid advertising services, such as those described in the communication initiating the procedure, as well as any activity aimed at requesting payment in relation to such services and also aimed at collecting improperly claimed debts, interests, and legal expenses. In the decision of October 4, 2022, it was also ordered that SEO Digital communicate to the Authority the execution of the suspension and the related implementation methods, sending a specific report within seven days from the notification of the measure.</w:t>
      </w:r>
    </w:p>
    <w:p>
      <w:r>
        <w:t>6. The communication initiating the PS12414 procedure and the provisional suspension measures of October 4 and 25, 2022, were notified to SEO Digital Marketing B.V. via international registered mail. The deadlines for submitting the report on the measures taken to comply with the aforementioned precautionary measure have elapsed without any communication from SEO Digital reaching the Authority. The Professional, moreover, did not respond to the request for information made in the communication initiating the procedure, nor did it submit written statements or documents during the procedure.</w:t>
      </w:r>
    </w:p>
    <w:p>
      <w:r>
        <w:t>1 See reports prot. 0033181 of 04/08/2022, 0035708 of 04/21/2022, 0035710 of 04/21/2022, 0035712 of 04/21/2022, 0035713 of 04/21/2022, 0051794 of 07/01/2022, 0051791 of 07/01/2022, 0053300 of 07/07/2022, 0053331 of 07/07/2022, 0057268 of 07/21/2022, 0057568 of 07/22/2022, 0057569 of 07/22/2022, 0060129 of 08/02/2022, 0064784 of 08/24/2022, 0064786 of 08/24/2022, 0067836 of 09/07/2022, 0068291 of 09/08/2022, 0080568 of 10/21/2022, 0091468 of 11/18/2022, 0092239 of 11/22/2022, 094894 of 12/01/2022, 094951 of 12/01/2022, 0048049 of 05/26/2023.</w:t>
      </w:r>
    </w:p>
    <w:p>
      <w:r>
        <w:t>2 See reports prot. 0035377 of 04/20/2022, 0056426 of 07/19/2022, 0068418 of 09/09/2022, 0074989 of 10/05/2022.</w:t>
      </w:r>
    </w:p>
    <w:p>
      <w:r>
        <w:rPr>
          <w:b/>
        </w:rPr>
        <w:t>[Pages 100–102]</w:t>
      </w:r>
    </w:p>
    <w:p>
      <w:r>
        <w:t>102 BULLETIN NO. 30 OF AUGUST 7, 2023</w:t>
      </w:r>
    </w:p>
    <w:p>
      <w:r>
        <w:t>7. By communication dated November 29, 2022, the Special Antitrust Unit of the Guardia di Finanza reported that the letter a) of the order of the provisional suspension decision of October 4, 2022 concerning the prohibition of access to the websites www.eubusinessregister.net and www.eubusinessregister.org has been executed.</w:t>
      </w:r>
    </w:p>
    <w:p>
      <w:r>
        <w:t>8. By decision dated March 28, 2023, pursuant to Article 7, paragraph 3, of the Regulation, the deadline for concluding the proceedings was extended to June 30, 2023.</w:t>
      </w:r>
    </w:p>
    <w:p>
      <w:r>
        <w:t>9. On May 4, 2023, the parties to the proceedings were notified of the conclusion date of the investigative phase, pursuant to Article 16, paragraph 1, of the Regulation.</w:t>
      </w:r>
    </w:p>
    <w:p>
      <w:r>
        <w:t>10. Within the deadline set in the communication of the conclusion of the investigative phase, the Professional did not submit any defense memorandum.</w:t>
      </w:r>
    </w:p>
    <w:p>
      <w:r>
        <w:t>11. On May 22, 2023, an opinion was requested from the Authority for Guarantees in Communications, which was received on June 20, 2023.</w:t>
      </w:r>
    </w:p>
    <w:p>
      <w:r>
        <w:t>2) The evidence acquired</w:t>
      </w:r>
    </w:p>
    <w:p>
      <w:r>
        <w:t>12. From the evidence on file, it emerged that numerous Italian microenterprises have repeatedly received requests and reminders for payment of the installments of a three-year subscription to an advertising service on "EU Business Register," originally accessible through the websites www.eubusinessregister.net and www.eubusinessregister.org, which, in fact, the reporters never consciously subscribed to. The reporters also complained that the reminders became increasingly pressing, even threatening to resort to the competent judicial authorities in order to recover the improperly claimed credit.</w:t>
      </w:r>
    </w:p>
    <w:p>
      <w:r>
        <w:t>13. The unconscious adherence to this service occurs as a result of the receipt by the microenterprises of an email, in English, and an attached form (see Figure 1), also in English, containing the request for free insertion/update of their company data in the database called "EU Business Register."</w:t>
      </w:r>
    </w:p>
    <w:p>
      <w:r>
        <w:t>14. The email received by the companies reads as follows: “Hello, in order to have your company inserted in the EU Business Register for 2022/2023, please print, complete and submit the attached form in a reply to this email. EU BUSINESS REGISTER 3700 AA Zeist The Netherlands. All electronic file formats are accepted. Updating is free of charge.”</w:t>
      </w:r>
    </w:p>
    <w:p>
      <w:r>
        <w:t>15. The form attached to the aforementioned communications bears the logo "Eu Business Register," which includes the depiction of a book surrounded by small stars and describes its purposes as follows: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 The same form also states: “To update your company profile, please print, complete and return this form. Updating is free of charge! Only sign if you want to place an insertion.”</w:t>
      </w:r>
    </w:p>
    <w:p>
      <w:r>
        <w:t>3) See doc. n. 37 of the investigative file.</w:t>
      </w:r>
    </w:p>
    <w:p>
      <w:r>
        <w:t>4) See, for example, attachments to the report of April 20, 2022, prot. 35377, and of July 13, 2022, prot. 54645.</w:t>
      </w:r>
    </w:p>
    <w:p>
      <w:r>
        <w:t>BULLETIN NO. 30 OF AUGUST 7, 2023 103</w:t>
      </w:r>
    </w:p>
    <w:p>
      <w:r>
        <w:t>Figure 1 (the form received by the companies)</w:t>
      </w:r>
    </w:p>
    <w:p>
      <w:r>
        <w:t>16. At the bottom of the form, in a paragraph of difficult readability printed in small graphic characters and closely spaced titled “ORDER,” it is indicated that signing the same would entail the purchase, for three years, of an insertion in the online database “EU Business Register,” at a cost of 995 euros per year.</w:t>
      </w:r>
    </w:p>
    <w:p>
      <w:r>
        <w:t>17. From the documentation acquired on file, attached to the reports received, it emerged that the described form is not accompanied by either the general terms of the contract or the information regarding the exercise of the right of withdrawal.</w:t>
      </w:r>
    </w:p>
    <w:p>
      <w:r>
        <w:t>18. Only upon receiving the request for payment of the annual fee, which refers to the date of sending the form, does the microenterprise that submitted its data learn that it has unconsciously subscribed to a paid service. In this request, “Seo Digital Marketing B.V. / EU Business Register” is indicated as the beneficiary of the payment, and the bank details (IBAN and BIC/Swift of Dutch law) for paying the requested amount are also specified. The company Seo Digital Marketing B.V. is based in Nieuwegein (Netherlands) and is registered with the Dutch Chamber of Commerce.</w:t>
      </w:r>
    </w:p>
    <w:p>
      <w:r>
        <w:t>19. In light of the evidence on file, it appears that if the contacted companies do not proceed to pay the requested amounts, they receive periodic payment reminders via email (“reminder”) of the following tenor: “Sir/Madam, We are sending the message to remind you that the invoice we have issued towards your company is overdue (due date – 09/05/2022) and soon to be penalized with extra fees for delayed settlement, therefore increasing your debt to EUR 1129, -on 4th of July, 2022. The message is sent for your acknowledging the 5-days term to settle with initial amount of EUR995-. Regards […]” In these reminders, a late payment fee of 99 euros and an administration fee of 35 euros are added to the initial amount of 995 euros per year, increasing the total amount requested if payment is not made within five days. The payment beneficiary is also indicated as “Seo Digital Marketing B.V./EU Business Register,” and the same bank details are specified.</w:t>
      </w:r>
    </w:p>
    <w:p>
      <w:r>
        <w:t>20. The credit claimed by Seo Digital is subsequently also pursued by an alleged debt collection company. With this request, payment is demanded, in addition to the aforementioned amounts, of a fee of 300 euros, as a “Legal Fee,” and an additional fee of 500 euros, as an “Additional Legal Fee,” for a total of 1,929 euros. In the communications from the debt collection company, it is represented to the microenterprises that if they continue to fail to pay the requested amounts, Seo Digital will take legal action adopting the “necessary” legal actions. In these communications, the payment beneficiary is always indicated as “Seo Digital Marketing B.V./EU Business Register.”</w:t>
      </w:r>
    </w:p>
    <w:p>
      <w:r>
        <w:t>21. From the evidence on file, it appears that the payment requests and reminders, attached to the reports received, are sent to the microenterprises via email using the following domains:</w:t>
      </w:r>
    </w:p>
    <w:p>
      <w:r>
        <w:rPr>
          <w:b/>
        </w:rPr>
        <w:t>[Pages 103–105]</w:t>
      </w:r>
    </w:p>
    <w:p>
      <w:r>
        <w:t>BULLETIN NO. 30 OF AUGUST 7, 2023 105</w:t>
      </w:r>
    </w:p>
    <w:p>
      <w:r>
        <w:t>eubusinesservices.net11, accounting-seo.eu12, accountingebr.eu13, accountingseo.net14, seoaccounting.org15, ebr.directory16. With an official survey conducted on May 2, 202317, it was found that the above-mentioned domains are currently no longer active.</w:t>
      </w:r>
    </w:p>
    <w:p>
      <w:r>
        <w:t>3) The defensive arguments of the Party</w:t>
      </w:r>
    </w:p>
    <w:p>
      <w:r>
        <w:t>22. Following the communication of the initiation of the procedure, the Professional did not produce any defensive memorandum nor provided any information during the procedure.</w:t>
      </w:r>
    </w:p>
    <w:p>
      <w:r>
        <w:t>IV. OPINION OF THE AUTHORITY FOR GUARANTEES IN COMMUNICATIONS</w:t>
      </w:r>
    </w:p>
    <w:p>
      <w:r>
        <w:t>23. Since the conduct subject to this decision has also been disseminated via the internet, on May 22, 2023, the opinion was requested from the Authority for Guarantees in Communications, pursuant to Article 27, paragraph 6, of the Consumer Code.</w:t>
      </w:r>
    </w:p>
    <w:p>
      <w:r>
        <w:t>24. In a communication received on June 20, 2023, the aforementioned Authority expressed its opinion considering that, in this case, the internet is a suitable tool to significantly influence the realization of the practice in question. This is because the means of communication used, in relation to the service offered by the Professional, is suitable to have a significant impact on consumers who, based on the information read on the website used by the Professional, could be induced to make a commercial decision that they otherwise would not have made, thus concretely developing the full promotional potential of the communications in question.</w:t>
      </w:r>
    </w:p>
    <w:p>
      <w:r>
        <w:t>V. CONCLUDING ASSESSMENTS</w:t>
      </w:r>
    </w:p>
    <w:p>
      <w:r>
        <w:t>25. As a preliminary matter, it is noted that the practice in question is likely to harm the economic behavior of small and medium-sized enterprises, including micro-enterprises, as the examination of the documentation in the records shows that this commercial practice mostly involved those enterprises that meet the characteristics referred to in Article 18, paragraph 1, letter d-bis) of the Consumer Code.</w:t>
      </w:r>
    </w:p>
    <w:p>
      <w:r>
        <w:t>26. The conduct described in the previous point II constitutes an unfair commercial practice overall designed to demand payment, from the involved micro-enterprises, for an unsolicited service of registration on an advertising website and characterized by elements of ambiguity that unduly condition the decision-making process of the recipient enterprises, artfully inducing them to subscribe to a subscription that they would not have otherwise purchased.</w:t>
      </w:r>
    </w:p>
    <w:p>
      <w:r>
        <w:t>27. The micro-enterprises initially receive misleading communications, via email and the attached form as shown in Figure 1, concerning the registration/update of their business data, advertised as "free" with significant graphic prominence, to the database called "EU Business Register".</w:t>
      </w:r>
    </w:p>
    <w:p>
      <w:r>
        <w:t>28. The information regarding the commercial and non-"free" nature of the communication is, instead, relegated to a section lacking graphic prominence and difficult to read, as well as written in English in significantly reduced characters and does not appear clearly highlighted from the first contact. Furthermore, the name of the same database "EU Business Register" is likely to be confused by the recipients with the official portal of the European Business Register that connects the network of the European Business Registry Association (EBRA) constituted by the managers of the Business Registers of the various States of the European Union. These elements are therefore likely to mislead the recipients regarding the commercial nature of the communications, their origin, and their actual purpose, in violation of Articles 21 and 22 of the Consumer Code.</w:t>
      </w:r>
    </w:p>
    <w:p>
      <w:r>
        <w:t>29. Once the form with their business data is sent, the micro-enterprises receive increasingly pressing payment requests that are likely to exert undue pressure on them aimed at inducing them to pay what is demanded for an unsolicited service.</w:t>
      </w:r>
    </w:p>
    <w:p>
      <w:r>
        <w:t>30. In response to the denial of the intention to activate such service and the validity of such credit claims by the recipient micro-enterprises, SEO Digital has reiterated its payment requests and has commissioned a debt collection company to carry out all necessary activities for the collection of the allegedly claimed credits.</w:t>
      </w:r>
    </w:p>
    <w:p>
      <w:r>
        <w:t>31. Such collection methods adopted by the Professional for the recovery of the allegedly claimed credits, also carried out with the assistance of a debt collection company, through the request for increasingly higher amounts in case of non-payment and threats of legal action for the coercive recovery of the sums, are likely to unduly condition the freedom of choice of the recipient micro-enterprises, as they aim to force them to pay for the unsolicited service, in addition to any "legal fees," in fear of the legal and economic consequences threatened by SEO Digital, in violation of Articles 24 and 25, letters a) and e), of the Consumer Code.</w:t>
      </w:r>
    </w:p>
    <w:p>
      <w:r>
        <w:t>32. The persistent request for payment for an unsolicited service from the recipient micro-enterprises is also likely to constitute an aggressive practice per se pursuant to Article 26, paragraph 1, letter f), of the Consumer Code.</w:t>
      </w:r>
    </w:p>
    <w:p>
      <w:r>
        <w:t>33. The aggressive nature of the practice is also demonstrated by the fact that the Professional adopts conduct potentially capable of hindering the exercise of the right of withdrawal contractually granted to enterprises. In fact, the omission of any information, in the forms sent to the enterprises, regarding the contractual conditions of the service and, in particular, the presence of the right of withdrawal in favor of the recipient micro-enterprises, is likely to hinder the exercise of such right, in violation of Article 25, paragraph 1, letter d), of the Consumer Code.</w:t>
      </w:r>
    </w:p>
    <w:p>
      <w:r>
        <w:t>34. In conclusion, for the reasons outlined above, the conduct held by the Professional as described above constitutes a single unfair commercial practice, in violation of Articles 21, 22, 24, 25, paragraph 1, letters a), d) and e), as well as Article 26, paragraph 1, letter f), of the Consumer Code, as it is likely to mislead the micro-enterprises to which it is addressed regarding the true identity of the advertising operator and the onerous nature of the advertised service, inducing them to unwittingly subscribe to unsolicited services, regarding which it poses obstacles to withdrawal, as well as likely to unduly condition the decision-making process of the recipient enterprises through increasingly pressing payment requests, continuous reminders, and the threat of resorting to legal actions, also through the use of a debt collection agency.</w:t>
      </w:r>
    </w:p>
    <w:p>
      <w:r>
        <w:t>BULLETIN NO. 30 OF AUGUST 7, 2023 107</w:t>
      </w:r>
    </w:p>
    <w:p>
      <w:r>
        <w:t>VI. QUANTIFICATION OF THE SANCTION</w:t>
      </w:r>
    </w:p>
    <w:p>
      <w:r>
        <w:t>35.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 and also the economic and asset conditions of the Professional.</w:t>
      </w:r>
    </w:p>
    <w:p>
      <w:r>
        <w:t>36. Regarding the quantification of the sanction, account must be taken, where applicable, of the criteria identified by Article 11 of Law No. 689/1981, by virtue of the reference provided in Article 27, paragraph 13, of the Consumer Code: in particular, the severity of the violation, the efforts made by the enterprise to eliminate or mitigate the infringement, the personality of the agent, as well as the economic conditions of the enterprise itself.</w:t>
      </w:r>
    </w:p>
    <w:p>
      <w:r>
        <w:t>37. In relation to the latter, no financial data is available, as SEO Digital did not provide any response to the requests for information, nor did it participate in any way in the procedure.</w:t>
      </w:r>
    </w:p>
    <w:p>
      <w:r>
        <w:t>38. With regard to the severity of the violation, account is taken in the case at hand of the considerable insidiousness of the communications from SEO Digital, likely to mislead the recipients, undermining their good faith, on elements of fundamental importance for their purchasing choices such as the identity of the Professional, the nature and purpose of the communication itself, generating a deliberate confounding effect on the recipient enterprises, as well as the potential effects of such misleading inducement, which can lead to payments of several thousand euros by each of the involved micro-enterprises. Furthermore, the nationwide dissemination of the commercial practice in question must be considered, as the Professional has sent its communications to micro-enterprises based in various Italian Regions, as well as, finally, the type of means used to contact them, consisting of a communication via email likely to reach the recipients directly and personally.</w:t>
      </w:r>
    </w:p>
    <w:p>
      <w:r>
        <w:t>39. Regarding the duration of the violation, from the available elements in the records, it appears that it was carried out by the Professional starting from September 202118 at least until February 202319.</w:t>
      </w:r>
    </w:p>
    <w:p>
      <w:r>
        <w:t>40. Based on these elements, it is deemed appropriate to determine the amount of the administrative pecuniary sanction applicable to SEO Digital Marketing B.V. in the amount of €100,000 (one hundred thousand euros).</w:t>
      </w:r>
    </w:p>
    <w:p>
      <w:r>
        <w:t>CONSIDERING, therefore, also in light of the opinion of the Authority for Guarantees in Communications, based on the aforementioned considerations, that the commercial practice in question is unfair pursuant to Articles 21, 22, 24, 25, paragraph 1, letters a), d) and e), and 26, paragraph 1, letter f), of the Consumer Code, as it is contrary to professional diligence and likely, through the misleading representation of the purpose of the communications addressed to enterprises and the form included therein and the persistent request for payment for unsolicited advertising services, accompanied by the threat...</w:t>
      </w:r>
    </w:p>
    <w:p>
      <w:r>
        <w:t xml:space="preserve">18 See reports prot. 0035377 of 04/20/2022, which refers to a communication from the Professional from September 2021. </w:t>
        <w:br/>
        <w:t>19 See reports prot. 0048049 of 05/26/2023, which refers to a communication from the Professional from February 2023.</w:t>
      </w:r>
    </w:p>
    <w:p>
      <w:r>
        <w:rPr>
          <w:b/>
        </w:rPr>
        <w:t>[Pages 106–108]</w:t>
      </w:r>
    </w:p>
    <w:p>
      <w:r>
        <w:t>108 BULLETIN NO. 30 OF AUGUST 7, 2023</w:t>
      </w:r>
    </w:p>
    <w:p>
      <w:r>
        <w:t>to resort to legal actions, to significantly distort the economic behavior of microenterprises in relation to the service offered by the Professional;</w:t>
      </w:r>
    </w:p>
    <w:p>
      <w:r>
        <w:t>RESOLUTION</w:t>
      </w:r>
    </w:p>
    <w:p>
      <w:r>
        <w:t>a) that the commercial practice described in point II of this decision, carried out by the company SEO Digital Marketing B.V., constitutes, for the reasons and within the limits set out in the reasoning, an unfair commercial practice pursuant to Articles 21, 22, 24, 25, paragraph 1, letters a), d) and e), and 26, paragraph 1, letter f), of the Consumer Code, and prohibits its repetition;</w:t>
      </w:r>
    </w:p>
    <w:p>
      <w:r>
        <w:t>b) to impose an administrative pecuniary sanction of €100,000 (one hundred thousand euros) on the company SEO Digital Marketing B.V.</w:t>
      </w:r>
    </w:p>
    <w:p>
      <w:r>
        <w:t>The imposed administrative sanction must be paid within thirty days from the notification of this decision,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notification of the payment must be given to the Authority by sending the documentation certifying the payment made.</w:t>
      </w:r>
    </w:p>
    <w:p>
      <w:r>
        <w:t>This decision will be notified to the interested parties and published in the Bulletin of the Italian Competition Authority.</w:t>
      </w:r>
    </w:p>
    <w:p>
      <w:r>
        <w:t>Pursuant to Article 27, paragraph 12, of the Consumer Code, in case of non-compliance with the decision, the Authority applies an administrative pecuniary sanction from €10,000 to €10,000,000. In cases of repeated non-compliance, the Authority may order the suspension of business activity for a period not exceeding thirty days.</w:t>
      </w:r>
    </w:p>
    <w:p>
      <w:r>
        <w:t>Against this decision, an appeal may be filed with the TAR of Lazio, pursuant to Article 135, paragraph 1, letter b), of the Code of Administrative Procedure (Legislative Decree No. 104 of July 2, 2010),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decision itself.</w:t>
      </w:r>
    </w:p>
    <w:p>
      <w:r>
        <w:t>THE SECRETARY GENERAL THE PRESIDENT</w:t>
      </w:r>
    </w:p>
    <w:p>
      <w:r>
        <w:t>Guido Stazi Roberto Rustichelli</w:t>
      </w:r>
    </w:p>
    <w:p>
      <w:r>
        <w:t>110 BULLETIN NO. 30 OF AUGUST 7, 2023</w:t>
      </w:r>
    </w:p>
    <w:p>
      <w:r>
        <w:t>PS12594 - PAYIU ITALIA - OBSTACLES TO THE ENJOYMENT OF CREDITS</w:t>
      </w:r>
    </w:p>
    <w:p>
      <w:r>
        <w:t>Notice of adoption of the confirmation of the precautionary measure</w:t>
      </w:r>
    </w:p>
    <w:p>
      <w:r>
        <w:t>ITALIAN COMPETITION AUTHORITY</w:t>
      </w:r>
    </w:p>
    <w:p>
      <w:r>
        <w:t>Notice of adoption of the confirmation of the precautionary measure,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PS/12594.</w:t>
      </w:r>
    </w:p>
    <w:p>
      <w:r>
        <w:t>The publication of this notice in the weekly Bulletin of the Italian Competition Authority - followed by the decision, adopted on August 1, 2023, confirming the precautionary measure inaudita altera parte against the company Payiu Italia S.r.l. of July 18, 2023 - is carried out pursuant to and for the effects of Article 19, paragraph 2, of the Regulation.</w:t>
      </w:r>
    </w:p>
    <w:p>
      <w:r>
        <w:t>This is because the aforementioned company has become untraceable, in particular by eliminating its Certified Electronic Mail box during the inspection carried out by the Authority's officials on July 13, 2023, and not renewing the contract, which expired on July 20, 2023, with the company that provided it with the business domiciliation service.</w:t>
      </w:r>
    </w:p>
    <w:p>
      <w:r>
        <w:t>For any communication addressed to the Authority regarding the case in question, please refer to the Manufacturing, Agri-food, Pharmaceutical and Commercial Distribution Directorate of the Consumer Protection Department 2 and the reference PS12594.</w:t>
      </w:r>
    </w:p>
    <w:p>
      <w:r>
        <w:rPr>
          <w:b/>
        </w:rPr>
        <w:t>[Pages 109–111]</w:t>
      </w:r>
    </w:p>
    <w:p>
      <w:r>
        <w:t xml:space="preserve">BULLETIN NO. 30 OF AUGUST 7, 2023 111  </w:t>
        <w:br/>
        <w:t xml:space="preserve">PS12594 - PAYIU ITALIA - OBSTACLES TO THE USE OF CREDITS  </w:t>
        <w:br/>
        <w:t xml:space="preserve">Decision No. 30742  </w:t>
        <w:br/>
        <w:t xml:space="preserve">THE ITALIAN COMPETITION AUTHORITY  </w:t>
        <w:br/>
        <w:t xml:space="preserve">IN ITS MEETING of August 1, 2023;  </w:t>
        <w:br/>
        <w:t xml:space="preserve">HEARD the Rapporteur, Professor Elisabetta Iossa;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 initiating procedure PS12594 dated July 11, 2023, aimed at verifying the existence of unfair commercial practices in violation of Articles 20, 21, 22, 24, and 25 of the Consumer Code, by Payiu Italia S.r.l. (hereinafter also, "Professional" or "Company");  </w:t>
        <w:br/>
        <w:t xml:space="preserve">HAVING REGARD to the Authority's resolution dated July 11, 2023, which authorized inspections, pursuant to Article 27, paragraphs 2 and 3, of the Consumer Code, at the premises of Payiu Italia S.r.l. and the companies controlled by it;  </w:t>
        <w:br/>
        <w:t xml:space="preserve">HAVING REGARD, in particular, to its decision of July 18, 2023, with which the provisional suspension of all activities aimed at entering into new sales contracts for subscriptions, by any means, and the prohibition of access to the website https://claudio3630.payiu.com/ was decided;  </w:t>
        <w:br/>
        <w:t xml:space="preserve">HAVING REGARD to the documents of the procedure;  </w:t>
        <w:br/>
        <w:t xml:space="preserve">CONSIDERING the following:  </w:t>
        <w:br/>
        <w:t xml:space="preserve">I. FACT  </w:t>
        <w:br/>
        <w:t xml:space="preserve">1. On July 11, 2023, the Authority ordered the initiation of an investigative procedure pursuant to Article 27, paragraph 3, of the Consumer Code and Article 6 of the Regulation, with reference to the conduct carried out by the Company, consisting of the promotion of commercial offers concerning the purchase, for a fee, of four different types of subscriptions. Under these subscriptions, consumers would have the opportunity to receive monthly credits intended to be spent over a three-year period at e-commerce operators indicated by the Professional itself. Within this promotion, the Professional proposes to consumers the membership in its "shopping community" with the promise that the value of the monthly credits intended to be spent over the three-year period would be equal to three times the amount paid at the time of purchase.  </w:t>
        <w:br/>
        <w:t xml:space="preserve">2. On July 13, 2023, inspections were carried out at the Company's registered office.  </w:t>
        <w:br/>
        <w:t xml:space="preserve">3. The further evidence acquired, in particular eighteen reports received by the Authority between May 22, 2023, and July 5, 2023, show that the behavior of the Professional is characterized by particular seriousness and unfairness, as it immediately collects the payment for the subscriptions, sold on the basis of the promise that their purchase will lead to the possibility of tripling their value through credits issued monthly. However, subsequently, the enjoyment of such credits proves impossible, and the Company does not refund what was paid by consumers, resulting in evident economic harm to them and unjust enrichment for the Professional.  </w:t>
        <w:br/>
        <w:t xml:space="preserve">4. From the reports received, it also emerges that the contractual terms would have been "unilaterally and arbitrarily" modified during the validity period of the subscriptions, undermining the initially agreed and guaranteed purchase conditions. Specifically, the reporters highlighted how the Professional would no longer provide the refund that would allow reaching "break-even" between what was received and what each consumer paid (indicated by the Company as "breakeven"). This would have caused damage also considering that the consumers involved would have purchased the packages offered by the Professional with the legitimate expectation of being able to access and use all the promised services exclusively with the credits they had accrued. Instead, the involved consumers would not have received the credits they were promised nor would they have had the opportunity to access the sites and use the other services promoted by the Professional.  </w:t>
        <w:br/>
        <w:t xml:space="preserve">5. In summary, the evidence present in the investigative file shows that the Professional not only poses obstacles to the use of such credits, making their enjoyment effectively impossible, but - despite repeated requests from the members - does not proceed with the refund of what was initially paid.  </w:t>
        <w:br/>
        <w:t xml:space="preserve">II. AUTHORITY'S DECISION OF JULY 18, 2023  </w:t>
        <w:br/>
        <w:t xml:space="preserve">6. The Authority, with a resolution adopted in the meeting of July 18, 2023, ordered that, pursuant to Article 27, paragraph 3, of the Consumer Code and Article 8, paragraph 3, of the Regulation, the Company provisionally suspend all activities aimed at entering into new sales contracts for subscriptions, by any means (hereinafter, "Suspension Order") and, furthermore, that, pursuant to Article 27, paragraph 3-bis, of the Consumer Code, access to the website https://claudio3630.payiu.com/ and to all sites registered on the same IP addresses be prohibited. This decision was notified to the Professional on July 19, 2023.  </w:t>
        <w:br/>
        <w:t xml:space="preserve">7. Based on the above, from the perspective of fumus boni iuris, the reported investigative evidence shows that the Company systematically engages in the aforementioned conduct to the detriment of consumers, not being isolated or sporadic cases, with the aim of profiting from the non-fulfillment of what was promised to consumers at the time of purchase.  </w:t>
        <w:br/>
        <w:t xml:space="preserve">8. From the perspective of periculum in mora, the conduct is current, as on one hand there are numerous credits purchased by consumers that are not yet usable or refunded and, on the other hand, the Professional is trying to make itself untraceable by having eliminated its Certified Email account, having closed the website https://www.payiu.com/ during the inspection, and not renewing the business domicile contract with Ottomedia S.r.l. expiring on July 20, 2023.  </w:t>
        <w:br/>
        <w:t xml:space="preserve">9. That being said, the Authority considered that there are extreme gravity, urgency, and indifference needs that justify the adoption of the Suspension Order, even without acquiring the submissions of the Professional, pursuant to Article 27, paragraph 3, of the Consumer Code and Article 8, paragraph 3, of the Regulation.  </w:t>
        <w:br/>
        <w:t xml:space="preserve">10. The measures ordered by the Authority consist in particular of:  </w:t>
        <w:br/>
        <w:t xml:space="preserve">a) the provisional suspension of all activities aimed at entering into new sales contracts for subscriptions, by any means;  </w:t>
        <w:br/>
        <w:t xml:space="preserve">b) the prohibition of access, pursuant to Article 27, paragraph 3-bis, of the Consumer Code, to the website https://claudio3630.payiu.com/ registered at IP address 104.21.11.187 and IP 172.673150.7 and to all sites registered on the same IPs, in order to avoid the risk of serious harm to consumers. In the Suspension Order, it was ordered that the Professional communicate to the Authority the execution of the Order and the related methods within seven days of its receipt, accompanied by a detailed report illustrating the measures adopted. The Professional was given the opportunity to submit written submissions and documents within seven days of receiving the Suspension Order.  </w:t>
        <w:br/>
        <w:t xml:space="preserve">III. EVALUATIONS  </w:t>
        <w:br/>
        <w:t xml:space="preserve">11. Following the adoption and notification of the Suspension Order, the Professional did not send any communication to the Authority nor did it submit written submissions or documents within the seven-day period indicated by Article 8, paragraph 3, of the Regulation. The Professional has, therefore, not demonstrated the non-existence of the conditions that led to the adoption of the aforementioned precautionary measure, which must therefore be confirmed.  </w:t>
        <w:br/>
        <w:t xml:space="preserve">12. On July 27, 2023, a communication from the National Commission for Companies and the Stock Exchange (hereinafter "CONSOB") regarding the conduct of the Company was received, and on July 28, 2023, a submission from the lawyer of the consumers who reported the unfairness of the aforementioned commercial practices was received.  </w:t>
        <w:br/>
        <w:t xml:space="preserve">13. It is also necessary to confirm the prohibition of access to the website https://claudio3630.payiu.com/ as, from official checks, although the site is temporarily inactive following the adoption of the Suspension Order, it could be reactivated at any time by the Professional.  </w:t>
        <w:br/>
        <w:t xml:space="preserve">CONSIDERING therefore that the acquired elements confirm the existence of the conditions indicated in the resolution of July 18, 2023, which justify the suspension of the cited commercial practice;  </w:t>
        <w:br/>
        <w:t xml:space="preserve">RESOLVES  </w:t>
        <w:br/>
        <w:t xml:space="preserve">a) to confirm the provisional suspension of all activities carried out by Payiu Italia S.r.l. consisting of entering into new sales contracts for subscriptions, by any means, pursuant to Article 27, paragraph 3, of the Consumer Code and Article 8, paragraph 3, of the Regulation;  </w:t>
        <w:br/>
        <w:t>b) to confirm the prohibition of access to the website https://claudio3630.payiu.com/ currently registered at IP address 104.21.11.187 and IP 172.673150.7 and to all sites registered on the same IPs;</w:t>
      </w:r>
    </w:p>
    <w:p>
      <w:r>
        <w:rPr>
          <w:b/>
        </w:rPr>
        <w:t>[Pages 112–113]</w:t>
      </w:r>
    </w:p>
    <w:p>
      <w:r>
        <w:t>114 BULLETIN NO. 30 OF AUGUST 7, 2023</w:t>
      </w:r>
    </w:p>
    <w:p>
      <w:r>
        <w:t>c) to request the company Payiu Italia S.r.l. to inform the Authority of the execution of this suspension order and the related methods within five days from the receipt of this order.</w:t>
      </w:r>
    </w:p>
    <w:p>
      <w:r>
        <w:t>Pursuant to Article 27, paragraph 12, of the Consumer Code, in the event of non-compliance with this resolution, the Authority applies an administrative pecuniary sanction from €10,000 to €10,000,000. In cases of repeated non-compliance, the Authority may order the suspension of business activity for a period not exceeding thirty days.</w:t>
      </w:r>
    </w:p>
    <w:p>
      <w:r>
        <w:t>This decision will be communicated to the interested parties and published in the Bulletin of the Italian Competition Authority.</w:t>
      </w:r>
    </w:p>
    <w:p>
      <w:r>
        <w:t>An appeal against this decision may be submitted to the TAR of Lazio, pursuant to Article 135, paragraph 1, letter b), of the Code of Administrative Procedure (Legislative Decree No. 104 of July 2, 2010), within sixty days from the date of communication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decision itself.</w:t>
      </w:r>
    </w:p>
    <w:p>
      <w:r>
        <w:t>It is reminded that, pursuant to Article 8, paragraph 4, of the Regulation, this suspension decision must be immediately executed by the Professional and that the appeal against the suspension order of the Authority does not suspend its execution.</w:t>
      </w:r>
    </w:p>
    <w:p>
      <w:r>
        <w:t xml:space="preserve">THE SECRETARY GENERAL THE PRESIDENT </w:t>
        <w:br/>
        <w:t>Guido Stazi Roberto Rustichelli</w:t>
      </w:r>
    </w:p>
    <w:p>
      <w:r>
        <w:t xml:space="preserve">Italian Competition Authority Weekly Bulletin </w:t>
        <w:br/>
        <w:t xml:space="preserve">of Competition and Market Year XXXIII - No. 30 - 2023 </w:t>
        <w:br/>
        <w:t xml:space="preserve">Editorial Coordination Giulia Antenucci </w:t>
        <w:br/>
        <w:t xml:space="preserve">Editorial Staff Angela D’Auria, Valerio Ruocco, Manuela Villani </w:t>
        <w:br/>
        <w:t xml:space="preserve">Italian Competition Authority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