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https://www.agcm.it/dotcmsDOC/bollettini/31-17.pdf</w:t>
      </w:r>
    </w:p>
    <w:p>
      <w:r>
        <w:t>Pages translated : 243</w:t>
      </w:r>
    </w:p>
    <w:p/>
    <w:p>
      <w:r>
        <w:rPr>
          <w:b/>
        </w:rPr>
        <w:t>[Pages 1–3]</w:t>
      </w:r>
    </w:p>
    <w:p>
      <w:r>
        <w:t>Bulletin</w:t>
        <w:br/>
        <w:t>Weekly</w:t>
        <w:br/>
        <w:t>Year XXVII - No. 31</w:t>
        <w:br/>
        <w:t>Published on the website www.agcm.it</w:t>
        <w:br/>
        <w:t>August 16, 2017</w:t>
        <w:br/>
        <w:t>New version of October 25, 2017</w:t>
      </w:r>
    </w:p>
    <w:p>
      <w:r>
        <w:t>SUMMARY(*)</w:t>
        <w:br/>
        <w:t>AGREEMENTS AND ABUSE OF DOMINANT POSITION 5</w:t>
        <w:br/>
        <w:t>A499 - AGRICULTURAL INSURANCE/EXCLUDING BEHAVIORS CODIPRA</w:t>
        <w:br/>
        <w:t>Decision No. 26704 5</w:t>
        <w:br/>
        <w:t>I793 - CEMENT PRICE INCREASE</w:t>
        <w:br/>
        <w:t>Decision No. 26705 15</w:t>
        <w:br/>
        <w:t>TELEVISION RIGHTS 121</w:t>
        <w:br/>
        <w:t>SR30 - LEGA PRO-GUIDELINES FOR THE MARKETING OF AUDIOVISUAL RIGHTS SEASON</w:t>
        <w:br/>
        <w:t>2017/2018</w:t>
        <w:br/>
        <w:t>Decision No. 26712 121</w:t>
        <w:br/>
        <w:t>SR31 - SERIE B FOOTBALL LEAGUE-GUIDELINES FOR THE MARKETING OF AUDIOVISUAL RIGHTS</w:t>
        <w:br/>
        <w:t>SEASONS 2018/2019, 2019/2020 AND 2020/2021</w:t>
        <w:br/>
        <w:t>Decision No. 26713 131</w:t>
        <w:br/>
        <w:t>ACTIVITIES OF REPORTING AND CONSULTATION 144</w:t>
        <w:br/>
        <w:t>AS1406 - MUNICIPALITY OF GIARDINI NAXOS (ME) - ORDINANCE NO. 6 OF MARCH 6, 2017 “PROHIBITION</w:t>
        <w:br/>
        <w:t>OF ABUSIVE TAXI OPERATIONS” 144</w:t>
        <w:br/>
        <w:t>UNFAIR COMMERCIAL PRACTICES 147</w:t>
        <w:br/>
        <w:t>PS9031B – ADEMATHÈ - REGISTRATION IN THE MISE LIST</w:t>
        <w:br/>
        <w:t>Notice of adoption of closure of the procedure 147</w:t>
        <w:br/>
        <w:t>PS9031B – ADEMATHÈ - REGISTRATION IN THE MISE LIST</w:t>
        <w:br/>
        <w:t>Decision No. 26707 148</w:t>
        <w:br/>
        <w:t>PS10550 - ONECOIN/ONE NETWORK SERVICES LIMITED-PYRAMID SELLING</w:t>
        <w:br/>
        <w:t>Decision No. 26708 154</w:t>
        <w:br/>
        <w:t>PS10655 - DAD/CCF-PAID ADVERTISEMENTS</w:t>
        <w:br/>
        <w:t>Decision No. 26709 178</w:t>
        <w:br/>
        <w:t>PS10666 - ATAC-CANCELLATION OF RAIL SERVICES</w:t>
        <w:br/>
        <w:t>Decision No. 26710 188</w:t>
        <w:br/>
        <w:t>PS10763 - JUVENTUS FOOTBALL CLUB-MEMBERSHIP CONTRACT</w:t>
        <w:br/>
        <w:t>Decision No. 26711 227</w:t>
        <w:br/>
        <w:t>PS10571 - WIND INFOSTRADA-COSTS OF WITHDRAWAL</w:t>
        <w:br/>
        <w:t>Decision No. 26714 233</w:t>
        <w:br/>
        <w:t>* In this version of Bulletin No. 31/2017, decision No. 26708 is published in the corrected version following the</w:t>
        <w:br/>
        <w:t>resolution of October 18, 2017.</w:t>
      </w:r>
    </w:p>
    <w:p>
      <w:r>
        <w:t>BULLETIN NO. 31 OF AUGUST 16, 2017 5</w:t>
        <w:br/>
        <w:t>AGREEMENTS AND ABUSE OF DOMINANT POSITION</w:t>
        <w:br/>
        <w:t>A499 - AGRICULTURAL INSURANCE/EXCLUDING BEHAVIORS CODIPRA</w:t>
        <w:br/>
        <w:t>Decision No. 26704</w:t>
        <w:br/>
        <w:t>THE ANTITRUST AUTHORITY</w:t>
        <w:br/>
        <w:t>IN ITS MEETING of July 25, 2017;</w:t>
        <w:br/>
        <w:t>HEARD the Rapporteur Dr. Gabriella Muscolo;</w:t>
        <w:br/>
        <w:t>HAVING REGARD to Law No. 287 of October 10, 1990, and, in particular, Article 14-ter introduced by Law No. 248 of August 4, 2006, which amended and converted Decree-Law No. 223 of July 4, 2006;</w:t>
        <w:br/>
        <w:t>HAVING REGARD to the "Communication on the procedures for the application of Article 14-ter of Law No. 287/90," adopted in the meeting of September 6, 2012, and published in Bulletin No. 35 of September 17, 2012;</w:t>
        <w:br/>
        <w:t>HAVING REGARD to Article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its decision of October 19, 2016, by which an investigation was initiated, pursuant to Article 14 of Law No. 287/90, against the CONSORZIO DIFESA PRODUTTORI AGRICOLI DI TRENTO - CODIPRA, to ascertain whether the conduct carried out by this consortium constitutes abuses of a dominant position pursuant to Article 3 of Law No. 287/90 or Article 102 TFEU;</w:t>
        <w:br/>
        <w:t>HAVING REGARD to its communication of January 27, 2017, by which the Authority extended the deadline for the submission of commitments to February 15, 2017, following a request for an extension of this deadline received from the CONSORZIO DIFESA PRODUTTORI AGRICOLI DI TRENTO - CODIPRA;</w:t>
        <w:br/>
        <w:t>HAVING REGARD to the communication of February 15, 2017, by which CONSORZIO DIFESA PRODUTTORI AGRICOLI DI TRENTO - CODIPRA submitted behavioral commitments pursuant to Article 14-ter of Law No. 287/90 aimed at removing the anticompetitive profiles subject to the investigation;</w:t>
        <w:br/>
        <w:t>HAVING REGARD to its resolution of March 22, 2017, by which the publication of the commitments proposed by the aforementioned company was ordered in the Bulletin referred to in Article 26 of Law No. 287/90 and on the Authority's website, in order to allow interested third parties to express their observations, and the deadline for adopting a decision on the commitments was set for June 27, 2017, pursuant to Article 14-ter of Law No. 287/90, except for the additional time necessary for the acquisition of mandatory opinions;</w:t>
        <w:br/>
        <w:t>HAVING REGARD to the observations sent by Amil Broker di Assicurazioni S.r.l. and Coop DI ITALIA, respectively on April 19 and 21, 2017, received during the public consultation on the commitments (hereinafter also referred to as market test);</w:t>
        <w:br/>
        <w:t>HAVING REGARD to the replies to the market test, the accessory modifications to the commitments submitted by the Party in the proceedings on May 23, 2017;</w:t>
      </w:r>
    </w:p>
    <w:p>
      <w:r>
        <w:rPr>
          <w:b/>
        </w:rPr>
        <w:t>[Pages 4–6]</w:t>
      </w:r>
    </w:p>
    <w:p>
      <w:r>
        <w:t>6 BULLETIN NO. 31 OF AUGUST 16, 2017</w:t>
        <w:br/>
        <w:t>HAVING REGARD to its communication to the European Commission, pursuant to Article 11, paragraph 4, of Regulation (EC) No. 1/2003;</w:t>
        <w:br/>
        <w:t>HAVING REGARD to the documents of the proceedings;</w:t>
        <w:br/>
        <w:t>CONSIDERING the following:</w:t>
        <w:br/>
        <w:t>I. PREMISE</w:t>
        <w:br/>
        <w:t>1. Following reports sent by AMIL Broker di Assicurazioni S.r.l. and COOP DI ITALIA, the Authority, on October 19, 2016, initiated an investigation, pursuant to Article 14 of Law No. 287/90, against CONSORZIO DIFESA PRODUTTORI AGRICOLI DI TRENTO - CODIPRA (hereinafter CODIPRA), contesting to this Consortium an alleged abuse of dominant position in violation of Article 3 of Law 287/90 or Article 102 TFEU.</w:t>
        <w:br/>
        <w:t>2. Specifically, the potentially abusive conducts of CODIPRA's dominant position, with exclusionary effects against the competing consortium COOP DI ITALIA, would have manifested in three distinct behaviors:</w:t>
        <w:br/>
        <w:t>- obstacles to market entry for the intermediation of subsidized agricultural insurance;</w:t>
        <w:br/>
        <w:t>- obstacles to the provision of supplementary policies in the province of Trento;</w:t>
        <w:br/>
        <w:t>- discounts in favor of members who take out policies through intermediaries that use the subsidiary Agriduemila.</w:t>
        <w:br/>
        <w:t>II. THE PARTIES</w:t>
        <w:br/>
        <w:t>3. CODIPRA - CONSORZIO DIFESA PRODUTTORI AGRICOLI DI TRENTO - is a non-profit trade association based in Trento, affiliated with ASNACODI (national association of defense consortia) and is part of the system of defense consortia.</w:t>
        <w:br/>
        <w:t>4. CODIPRA aims to implement initiatives for its members for risk management in agricultural enterprises. In particular, the Association operates in active and passive defense against damages to agricultural and zootechnical productions, business structures and production plants, and agricultural infrastructures from adverse weather conditions, natural disasters, exceptional events, plant diseases, and any other cause that may lead to a reduction in income. In this context, CODIPRA carries out mutual initiatives for the benefit of member enterprises and services related to the recovery of public contributions on insurance premiums paid by farmers. CODIPRA conducts its activities in the territory of the Province of Trento but, according to its Statute, may extend it to other Regions.</w:t>
        <w:br/>
        <w:t>5. CODIPRA has over 10,000 Trentino companies active in the agricultural sector as members, representing almost all Trentino farmers.</w:t>
        <w:br/>
        <w:t>6. COOP DI ITALIA (hereinafter COOP DI) is an agricultural cooperative that provides services for agricultural entrepreneurs in the field of active and passive defense of agricultural and zootechnical productions and structures. In particular, COOP DI offers services related to the recovery of public contributions regarding passive defense activities for agricultural, zootechnical productions, and structures, facilitating the conclusion of insurance policies. COOP DI operates in several provinces in Italy.</w:t>
        <w:br/>
        <w:t>7. AMIL Broker di Assicurazioni srl (hereinafter Amil Broker) is an insurance brokerage company, established as a brokerage firm in October 2005, and active in the province of Trento.</w:t>
      </w:r>
    </w:p>
    <w:p>
      <w:r>
        <w:t>BULLETIN NO. 31 OF AUGUST 16, 2017 7</w:t>
        <w:br/>
        <w:t>III. THE CONTESTED CONDUCTS</w:t>
        <w:br/>
        <w:t>8. The proceedings initiated on October 19, 2016, are set against a backdrop of CODIPRA's historical monopoly in the intermediation of contributions to subsidized insurance policies against environmental risks for agricultural crops in the provincial territory. The investigative hypothesis underlying the proceedings is that, in this management, CODIPRA would have engaged in the following abusive behaviors.</w:t>
        <w:br/>
        <w:t>9. Firstly, in the initiation order, CODIPRA was accused of having effectively bound the insurance companies willing to enter into agreements with COOP DI, obtaining an exclusive supply of agricultural insurance policies that constitute an essential production factor for the operation of COOP DI itself. COOP DI, in Trentino, would not have been able to contract with any insurance company due to CODIPRA's dissuasive capacity towards companies insuring members of COOP DI, due to the limited number of these latter and the risk of not being able to insure the farmers who are members of CODIPRA.</w:t>
        <w:br/>
        <w:t>10. Furthermore, also through contractual constraints, CODIPRA would have effectively limited the possibility for its members to access supplementary policies for the portion of risk below the threshold. Members of CODIPRA, in fact, are obliged to access the mutual fund under more onerous conditions than those offered by supplementary policies available in other territorial contexts.</w:t>
        <w:br/>
        <w:t>11. Finally, CODIPRA was accused of applying a discount on membership contributions to farmers who use, as an insurance broker, the company AGRIDUEMILA, wholly owned by CODIPRA.</w:t>
        <w:br/>
        <w:t>12. The behaviors briefly described, carried out by CODIPRA, were deemed, in the Authority's initiation order, to be capable of constituting a case of exclusionary abuse under antitrust law.</w:t>
        <w:br/>
        <w:t>IV. RELEVANT MARKETS</w:t>
        <w:br/>
        <w:t>13. The sector involved in the case at hand is that of agricultural insurance. Within this sector, at least three distinct markets can be identified:</w:t>
        <w:br/>
        <w:t>a) the upstream production market, where insurance companies that offer this specific coverage operate, authorized in the branch "other damage to property" (branch no. 9 - Legislative Decree September 7, 2005, No. 209 Consolidated Insurance Act);</w:t>
        <w:br/>
        <w:t>b) the market for the intermediation of contributions to insurance premiums for agricultural policies, where defense organizations (in this case CODIPRA and COOP DI) operate;</w:t>
        <w:br/>
        <w:t>c) the market for the intermediation of agricultural insurance policies, where agents and brokers through whom farmers take out policies operate.</w:t>
        <w:br/>
        <w:t>14. In the upstream production market of agricultural insurance, numerous national and international insurance companies operate. This market has, by established practice, a national geographical extension.</w:t>
        <w:br/>
        <w:t>15. Conversely, the downstream markets of intermediation of contributions and policies have a local geographical extension, approximately provincial, although it cannot be excluded that it may extend to the regional level, both due to existing authorization constraints and regarding the mobility rate of farmers who, in general, will turn to the defense organization and the intermediary active in the territory.</w:t>
        <w:br/>
        <w:t>16. Regarding the market for the intermediation of insurance contributions, the observed practice allows us to affirm that most subsidized insurance is taken out in the form of collective insurance and most reimbursements are currently requested through defense organizations. Farmers associated with defense organizations evaluate the type of policy most convenient for their needs and decide whether to join. For membership, they can join through insurance intermediaries (agents or brokers).</w:t>
        <w:br/>
        <w:t>17. It should be clarified that the system of defense consortia, which sees a so-called "consortium" active in each province/region, is the most widespread and collects the vast majority of insurance contributions at the national level. The only significant competitor, which nonetheless intermediates a modest share (but does not operate in the province of Trento), is COOP DI, which, unlike the consortium system, is active throughout Italy through a single associative entity in the form of an agricultural cooperative (COOP DI).</w:t>
        <w:br/>
        <w:t>18. The markets that are relevant in the proceedings for the assessment of the behaviors carried out by CODIPRA are two: i) that of the intermediation of contributions to insurance premiums for agricultural policies, where defense organizations operate, and ii) the contiguous market of insurance intermediation, where agents and brokers operate. These markets conventionally have a local geographical dimension that, in this case, can be identified, in a first approximation, in the territory of the autonomous province of Trento, although a broader geographical involvement cannot be excluded. Regarding the position held by CODIPRA in these markets, the Consortium, as the only operator present in the market for the intermediation of insurance contributions, necessarily holds a dominant position in 2016.</w:t>
        <w:br/>
        <w:t>V. PROPOSED COMMITMENTS</w:t>
        <w:br/>
        <w:t>19. In response to the competitive issues raised in the initiation order of the present proceedings, on February 15, 2017, CODIPRA submitted commitments pursuant to Article 14-ter of Law No. 287/90, the content of which is briefly reported below1.</w:t>
        <w:br/>
        <w:t>20. In particular, the Party presented seven behavioral commitments consisting of:</w:t>
        <w:br/>
        <w:t>1) the adoption, within the so-called single tariff model, of an experimental system for negotiating the economic conditions of the collective policy based on electronic auctions;</w:t>
        <w:br/>
        <w:t>2) the modification of Article 15 of the collective policy in such a way as to better clarify the rationale of this provision, namely to allow the contracting party to verify the appropriateness of the allocation of the insurance cost between subsidized and non-subsidized policies in compliance with the indications of the Ministry of Agricultural, Food and Forestry Policies;</w:t>
        <w:br/>
        <w:t>3) the revision of the mutual fund below the threshold as soon as a secondary regulation is introduced that establishes suitable criteria for objectively assessing "the appropriateness of the separation" between subsidized collective policy and non-subsidized supplementary policy, or if the new regulation establishes a lower level of the threshold for access to compensation to be applied to subsidized policies;</w:t>
        <w:br/>
        <w:t>4) the modification of the annex to the certificates of adherence to the subsidized collective policy in such a way as to make optional and immediately evident to the farmer (also graphically) the voluntary nature of adherence to the mutual fund below the threshold;</w:t>
        <w:br/>
        <w:t>5) the adoption and implementation of an ethical code of conduct aimed at members of the governing bodies, members of the management committees, and employees of CODIPRA;</w:t>
        <w:br/>
        <w:t>6) the rectification of the minutes of the Board of Directors of CODIPRA of March 5, 2014, which established not to have commercial relations with intermediaries who also operate with competing consortia of CODIPRA;</w:t>
        <w:br/>
        <w:t>1 See doc. 335 in the index of the investigative file A499.</w:t>
      </w:r>
    </w:p>
    <w:p>
      <w:r>
        <w:rPr>
          <w:b/>
        </w:rPr>
        <w:t>[Pages 7–9]</w:t>
      </w:r>
    </w:p>
    <w:p>
      <w:r>
        <w:t>BULLETIN NO. 31 OF AUGUST 16, 2017 9</w:t>
      </w:r>
    </w:p>
    <w:p>
      <w:r>
        <w:t>7) the implementation of periodic training activities on antitrust matters aimed at the members of the corporate bodies, the members of the management committees, and the employees of CODIPRA.</w:t>
      </w:r>
    </w:p>
    <w:p>
      <w:r>
        <w:t>VI. OBSERVATIONS ON THE COMMITMENTS</w:t>
      </w:r>
    </w:p>
    <w:p>
      <w:r>
        <w:t>21. Within the deadlines set for the conclusion of the market test, observations were received only from Amil Broker2 and COOP DI3, concerning, in addition to some specific elements related to the content of the commitments, some general considerations regarding the current persistence of CODIPRA's substantial monopoly in Trentino, also following the initiation of this investigation, and their inability to access this market.</w:t>
      </w:r>
    </w:p>
    <w:p>
      <w:r>
        <w:t>22. The observations regarding the content of the commitments presented by Amil Broker and COOP DI can be summarized as follows.</w:t>
      </w:r>
    </w:p>
    <w:p>
      <w:r>
        <w:t>23. Amil Broker highlighted that the exclusivity constraint between insurance companies and the Consortium still effectively persists and emphasized the absence of commitments related to the activities of Agriduemila, denouncing the illegitimacy of CODIPRA's position, "a collective entity pursuant to Legislative Decree 102/2004 and subsequent amendments, under an authorization regime, which controls Agriduemila s.r.l. which carries out, among other things, insurance brokerage activities"; this is in contrast to the indications of the MIPAAF not to allow collective entities to carry out insurance activities.</w:t>
      </w:r>
    </w:p>
    <w:p>
      <w:r>
        <w:t>24. In light of the current situation in which "insurance companies, which in the rest of the national territory are willing to adopt certain regulatory and contractual conditions, refuse to adhere to the same conditions in Trentino alone, moreover becoming champions of Codipra against CoopDi Italia," Amil Broker believes that the proposed commitments constitute mere "cosmetic interventions"4.</w:t>
      </w:r>
    </w:p>
    <w:p>
      <w:r>
        <w:t>25. COOP DI has expressed the feared ineffectiveness of the proposed commitments to restore competitive dynamics in the territory, deemed "overall irrelevant and inadequate," as they relate to the relationship between CODIPRA and agricultural entrepreneurs and not to that between CODIPRA and insurance companies5.</w:t>
      </w:r>
    </w:p>
    <w:p>
      <w:r>
        <w:t>26. In particular, COOP DI considers the adoption of an online auction system for negotiating the economic conditions of the Collective Policy irrelevant for an effective opening of the market.</w:t>
      </w:r>
    </w:p>
    <w:p>
      <w:r>
        <w:t>27. Regarding the amendment of Article 15 and the justification provided by CODIPRA for needing to oversee the correct allocation of insurance costs between subsidized and non-subsidized policies, the Party observes that such oversight does not fall within CODIPRA's responsibilities but is a technical/commercial allocation for which the insurance companies are actually responsible.</w:t>
      </w:r>
    </w:p>
    <w:p>
      <w:r>
        <w:t>28. Regarding the revision of the CODIPRA Sub-threshold Mutual Fund, the commitment, limiting itself to proposing a revision in light of a possible regulatory intervention, does not appear suitable to affect the alignment operated by the insurance companies to the conditions practiced by CODIPRA in said Fund.</w:t>
      </w:r>
    </w:p>
    <w:p>
      <w:r>
        <w:t>29. In this regard, the amendment of the Annex to the certificates of adherence to the Subsidized Collective Policy cannot be considered sufficient given the importance of the issue, which cannot be resolved with graphic modifications but should merit a specific declaration.</w:t>
      </w:r>
    </w:p>
    <w:p>
      <w:r>
        <w:t>30. Regarding the proposed amendment of the minutes of the Board of Directors of March 5, 2014, COOP DI emphasizes that the same "must necessarily be accompanied by an appropriate form of publicity to third parties"6.</w:t>
      </w:r>
    </w:p>
    <w:p>
      <w:r>
        <w:t>31. Both parties involved in the market test did not highlight any particular criticalities in the commitments related to the adoption of a Code of Ethics and the carrying out of training activities in antitrust matters but negatively pointed out the absence of commitments related to the activities carried out by Agriduemila, also considering the alleged incompatibility existing between the nature of a collective entity and the carrying out of insurance brokerage activities.</w:t>
      </w:r>
    </w:p>
    <w:p>
      <w:r>
        <w:t>VII. REPLIES AND ACCESSORY MODIFICATIONS MADE TO THE COMMITMENTS</w:t>
      </w:r>
    </w:p>
    <w:p>
      <w:r>
        <w:t>32. Following the public consultation on the commitments, CODIPRA replied to the observations that emerged from the market test and prepared accessory modifications to the commitments originally presented7, providing a definitive version of them, attached to this provision.</w:t>
      </w:r>
    </w:p>
    <w:p>
      <w:r>
        <w:t>33. In particular, with reference to commitment no. 2 – related to the new formulation of Article 15 of the Collective Policy, aimed at clarifying the rationale of this provision, namely to allow the contractor to verify the appropriateness of the allocation of insurance costs between subsidized and non-subsidized policies in compliance with the indications of the Ministry of Agricultural, Food and Forestry Policies - CODIPRA proposes an additional specification according to which: "It remains understood that the [insurance] company may freely enter into and without the need for any prior communication non-subsidized supplementary policies with members of the Contractor [Codipra] who have not signed insurance certificates related to the insured productions in adherence to this Collective Policy in the same year and with the same company."</w:t>
      </w:r>
    </w:p>
    <w:p>
      <w:r>
        <w:t>34. As for commitment no. 3 – which provided for the revision of the sub-threshold mutual fund as soon as a secondary regulation is introduced that establishes suitable criteria for objectively assessing "the appropriateness of the separation" between subsidized collective policy and non-subsidized supplementary policy, or if the regulation establishes a lower level of the threshold for access to compensation to be applied to subsidized policies - the Party clarified that the hypothesis of lowering the threshold level (upon reaching which the farmer is recognized the right to compensation) from 30% to 20% is currently under examination at the community level: therefore, already from the next underwriting campaign, the revision of the fund could be operational.</w:t>
      </w:r>
    </w:p>
    <w:p>
      <w:r>
        <w:t>35. Finally, with reference to commitment no. 6 – related to the amendment of the minutes of the Board of Directors of March 5, 2014 – CODIPRA also commits to adopting a new resolution in which it will state that "the activity of Codipra is informed by the principles of neutrality, equality, and proportionality of treatment and that, in the event of any disparities in treatment in relations with third parties, justified by objective and relevant reasons in relation to the specific case, the Association commits to taking measures that are proportionate to achieving the pursued objectives." This new resolution will be published on the Consortium's website to allow appropriate knowledge to interested parties.</w:t>
      </w:r>
    </w:p>
    <w:p>
      <w:r>
        <w:t>36. Regarding the timing of the implementation of the commitments, CODIPRA has represented that, if they are accepted by the Authority, it will proceed with the implementation of the commitments related to the online auction (commitment no. 1) and the new formulation of Article 15 of the Collective Policy (commitment no. 2) already from the next underwriting campaign; with the first useful resolution of the Board of Directors following the possible provision of the Authority accepting the commitments, CODIPRA will proceed to amend the Annex to the Certificates of Adherence to the Collective Policy (commitment no. 4), to adopt the code of ethics (commitment no. 5), to amend the minutes of the Board of Directors of March 5, 2014, and to adopt the new resolution (commitment no. 6), to adopt and implement training activities in antitrust matters (commitment no. 7). As for commitment no. 3 (revision of the Mutual Fund), CODIPRA commits to making this modification at the first useful meeting of its Board of Directors following the implementation of the new regulation. The commitments will have an indefinite duration.</w:t>
      </w:r>
    </w:p>
    <w:p>
      <w:r>
        <w:t>VIII. EVALUATION OF THE COMMITMENTS</w:t>
      </w:r>
    </w:p>
    <w:p>
      <w:r>
        <w:t>37. The procedure that led to the adoption of this provision was initiated to verify the existence of possible abusive conduct, pursuant to Article 3 of Law 287/90 or Article 102 of the TFEU, attributable to CODIPRA, with exclusionary effects against the competing consortium COOP DI expressed in the following behaviors:</w:t>
        <w:br/>
        <w:t>- obstacles to entry into the market for the brokerage of subsidized agricultural insurance;</w:t>
        <w:br/>
        <w:t>- obstacles to the provision of supplementary policies in the province of Trento;</w:t>
        <w:br/>
        <w:t>- discounts in favor of members who enter into policies through intermediaries that use the controlled Agriduemila.</w:t>
      </w:r>
    </w:p>
    <w:p>
      <w:r>
        <w:t>38. During the procedure, as illustrated above, the Party presented commitments pursuant to Article 14-ter of Law No. 287/90, in order to overcome the competitive issues contested by the Authority in the initiation provision of the investigation.</w:t>
      </w:r>
    </w:p>
    <w:p>
      <w:r>
        <w:t>39. The commitments, in their definitive version including the accessory modifications made following the market test, appear suitable to eliminate the competitive issues highlighted by the Authority in the initiation provision of the investigation, as specified below.</w:t>
      </w:r>
    </w:p>
    <w:p>
      <w:r>
        <w:t>40. Preliminary observations note the irrelevance of the observations received during the market test regarding the absence of commitments involving insurance companies and Agriduemila. In this regard, it is represented that this procedure was initiated against CODIPRA for an alleged abuse of dominant position against the competing consortium COOP DI, as well as Amil Broker. The procedure therefore does not involve the behaviors carried out by the insurance companies; therefore, necessarily the commitments cannot concern the commercial policies of these latter which are not parties to the procedure.</w:t>
      </w:r>
    </w:p>
    <w:p>
      <w:r>
        <w:t>41. Also regarding the complained absence of commitments concerning Agriduemila, it should be noted that the documentation on file highlights that the discount on the membership fee to the Consortium applied to farmers who use Agriduemila corresponds to the reduced work that the Consortium is called to perform in terms of policy control, as it has already been carried out by Agriduemila.</w:t>
      </w:r>
    </w:p>
    <w:p>
      <w:r>
        <w:t>42. On the merits of the suitability of the commitments presented to remove the competitive issues highlighted in the initiation provision, it is specified, regarding the commitment related to the adoption of an online auction system to identify the insurance company that will enter into the Collective Policy, that this system appears suitable to strongly limit the possible conditioning exercised by CODIPRA towards the insurance companies, which derives from directly agreeing with them on the policy conditions, urging them not to insure farmers adhering to competing consortia, under the risk of not insuring the large number of farmers adhering to CODIPRA.</w:t>
      </w:r>
    </w:p>
    <w:p>
      <w:r>
        <w:rPr>
          <w:b/>
        </w:rPr>
        <w:t>[Pages 10–12]</w:t>
      </w:r>
    </w:p>
    <w:p>
      <w:r>
        <w:t>12 BULLETIN NO. 31 OF AUGUST 16, 2017</w:t>
        <w:br/>
        <w:t>43. In light of this new method of entering into the Collective Policy - which significantly reduces CODIPRA's ability to influence insurance companies - the risk of exclusion from the market for competing consortia of CODIPRA, such as the reporting COOP DI, appears to be considerably limited.</w:t>
        <w:br/>
        <w:t>44. In this different scenario, the choice of an electronic auction system seems suitable to guarantee a neutral context in which companies are free to make their policy offers according to their commercial strategies.</w:t>
        <w:br/>
        <w:t>45. That said, the choice to adopt a single-offer bidding system meets the mutualistic needs and purposes of CODIPRA, which must ensure that all its members have the opportunity to enter into a Collective Policy under the same conditions, not only qualitative but also economic, without discriminating between farmers who obtain better or worse conditions depending on the price offered by the various companies participating in the auction; this is particularly aimed at allowing all farmers - regardless of size and individual contractual capacity - to access the best market conditions.</w:t>
        <w:br/>
        <w:t>46. In any case, this bidding system is suitable to allow the best economic offer present in the market to prevail, not only due to the awarding system of the auction based exclusively on the economic score of the offer but also due to the rewarding system established, whereby the winning bidder will see a discount recognized for its insured on the membership fee to CODIPRA.</w:t>
        <w:br/>
        <w:t>47. Given the mechanism provided, even if the winning bidder does not have the capacity to insure all applicants, it will have the assurance of being able to insure all farmers up to its maximum offering capacity - due to the advantage that accrues to them from entering into the Policy with the winning bidder - leaving competing companies the opportunity to insure, at the same price, only the residual groups of farmers not insured by it.</w:t>
        <w:br/>
        <w:t>48. Therefore, although the electronic auction mechanism provides that other insurance companies offer the policy at the same price as the winning bidder - this is due to the need for fairness and non-discrimination among farmers, considering also the mutualistic nature of the CODIPRA system - there will always be an interest on the part of insurance companies to make a lower offer in order to insure as many farmers as possible.</w:t>
        <w:br/>
        <w:t>49. Regarding the new formulation of Article 15 of the Collective Policy, which established the prohibition for insurance companies to offer non-favorable supplementary policies to subscribers of the CODIPRA Collective Policy, the new text overcomes this provision by clarifying, on the contrary, the possibility of offering supplementary policies to farmers who have subscribed to the Collective Policy with another insurer. In this way, the provision, while avoiding the risk of mixing between collective policy and supplementary policy, allows farmers the choice to independently enter into a supplementary policy without having to necessarily resort to the CODIPRA Mutual Fund.</w:t>
        <w:br/>
        <w:t>50. Related to this aspect is the modification of the Annex to the Collective Policy in that it requires the farmer to explicitly adhere to - or not adhere to - the Mutual Fund, by marking a specific box. This is in contrast to the current forms in which the farmer is obliged to adhere to the Mutual Fund if they wish to subscribe to the Collective Policy.</w:t>
        <w:br/>
        <w:t>51. Regarding the revision of the Mutual Fund, which was established - in the intention of Codipra - to offer farmers the possibility of insuring against risks below the threshold not covered by the Collective Policy (which has a deductible of 30%), the Party reiterated its commitment to modify its functioning following the expected regulatory changes aimed at lowering the deductible threshold from 30% to 20% or clarifying the criteria for separating between subsidized and non-subsidized policies and public contributions, which would render the institution no longer necessary.</w:t>
        <w:br/>
        <w:t>52. In this regard, it should be noted, in any case, that the modification of the Annex to the Collective Policy, which no longer makes adherence to the Mutual Fund mandatory, linked to the revision of Article 15 of the aforementioned Policy, which allows for the conclusion of a non-favorable supplementary policy with an insurer different from that of the collective policy, allows for a significant opening of the supplementary policy market compared to the current situation.</w:t>
        <w:br/>
        <w:t>53. With reference to the modification of the minutes of the Board of Directors of March 5, 2014, it seems particularly appropriate to adopt a new resolution that clarifies the neutrality of the consortium towards market operators at various levels of the supply chain, as well as its recognizability through publication on the CODIPRA website.</w:t>
        <w:br/>
        <w:t>54. Finally, regarding the adoption of a Code of Ethics and an antitrust compliance program, it is noted that these measures - aimed at creating an atmosphere of knowledge and awareness of antitrust regulations - appear particularly appropriate in the present case where, also due to the nature of the agricultural consortium, a context has been found that is particularly closed to the reasons for competition.</w:t>
        <w:br/>
        <w:t>CONSIDERING that the overall implementation of the commitments presented is likely to substantially modify the competitive structures of the market for the intermediation of contributions to insurance premiums for agricultural policies, allowing for the opening of the supplementary policy market - no longer bound to adherence to the CODIPRA Mutual Fund - and ensuring greater transparency in the offering of Collective Policies (through the introduction of a bidding mechanism);</w:t>
        <w:br/>
        <w:t>CONSIDERING that these measures, based on what has been previously highlighted, appear suitable to incentivize the level of market competitiveness, allowing the entry of new operators and obtaining the best economic conditions in the market, benefiting farmers who enter into policies, as well as saving costs for the treasury, to the extent that part of the policies and compensations are covered by public contributions;</w:t>
        <w:br/>
        <w:t>CONSIDERING, therefore, that the commitments presented by CODIPRA in their final version are suitable to eliminate the competitive profiles subject to investigation;</w:t>
        <w:br/>
        <w:t>CONSIDERING to order the mandatory nature of the commitments presented by CODIPRA pursuant to Article 14-ter, paragraph 1, of Law No. 287/90;</w:t>
        <w:br/>
        <w:t>RESOLVES</w:t>
        <w:br/>
        <w:t>a) to make mandatory, pursuant to Article 14-ter, paragraph 1, of Law No. 287/90, for the CONSORZIO DIFESA PRODUTTORI AGRICOLI DI TRENTO - CODIPRA the commitments described above and attached to this provision, which are an integral part thereof;</w:t>
        <w:br/>
        <w:t>b) to close the proceeding without establishing the infringement, pursuant to Article 14-ter of Law No. 287/90;</w:t>
        <w:br/>
        <w:t>c) that the company referred to in point a) informs the Authority of the actions taken to implement the commitments undertaken, sending the Authority a first report by November 30, 2017, and subsequently, on a semi-annual basis until the final execution of the commitments.</w:t>
        <w:br/>
        <w:t>This provision will be notified to the interested parties and published in the Bulletin of the Antitrust Authority.</w:t>
      </w:r>
    </w:p>
    <w:p>
      <w:r>
        <w:t>14 BULLETIN NO. 31 OF AUGUST 16, 2017</w:t>
        <w:br/>
        <w:t>Against this proceeding,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one hundred and twenty days from the date of notification of the provision itself.</w:t>
        <w:br/>
        <w:t>THE DEPUTY SECRETARY GENERAL THE PRESIDENT</w:t>
        <w:br/>
        <w:t>Annalisa Rocchietti Giovanni Pitruzzella</w:t>
      </w:r>
    </w:p>
    <w:p>
      <w:r>
        <w:rPr>
          <w:b/>
        </w:rPr>
        <w:t>[Pages 13–15]</w:t>
      </w:r>
    </w:p>
    <w:p>
      <w:r>
        <w:t>BULLETIN NO. 31 OF AUGUST 16, 2017 15</w:t>
        <w:br/>
        <w:t>I793 - PRICE INCREASES IN CEMENT</w:t>
        <w:br/>
        <w:t>Provision No. 26705</w:t>
        <w:br/>
        <w:t>THE ANTITRUST AUTHORITY</w:t>
        <w:br/>
        <w:t>IN ITS MEETING of July 25, 2017;</w:t>
        <w:br/>
        <w:t>HEARD the Rapporteur Dr. Gabriella Muscolo;</w:t>
        <w:br/>
        <w:t>HAVING REGARD to Article 101 of the Treaty on the Functioning of the European Union (TFEU);</w:t>
        <w:br/>
        <w:t>HAVING REGARD to Law No. 287 of October 10, 1990;</w:t>
        <w:br/>
        <w:t>HAVING REGARD to Council Regulation No. 1/2003 of December 16, 2002;</w:t>
        <w:br/>
        <w:t>HAVING REGARD to the Decree of the President of the Republic No. 217 of April 30, 1998;</w:t>
        <w:br/>
        <w:t>HAVING REGARD to its resolution of November 18, 2015, which initiated an investigation pursuant to Article 14 of Law No. 287/90, against the companies Buzzi Unicem S.p.A., Cementir Italia S.p.A., Industria Cementi Giovanni Rossi S.p.A., and Holcim (Italia) S.p.A. to ascertain the existence of violations of Article 101 of the TFEU concerning the coordination in the determination of their selling prices through simultaneous and equal increases thereof;</w:t>
        <w:br/>
        <w:t>HAVING REGARD to its provision of July 27, 2016, by which the investigation was extended:</w:t>
        <w:br/>
        <w:t>a) subjectively to the companies Italcementi Fabbriche Riunite Cemento S.p.A. Bergamo, Colacem S.p.A., Cementerie Aldo Barbetti S.p.A., CEMENTIZILLO S.p.A., Cementeria di Monselice S.p.A., W&amp;P Cementi S.p.A., Cementi Centro Sud S.p.A., Cementi Moccia S.p.A., Sacci – Società per Azioni Centrale Cementerie Italiane S.p.A., CAL.ME. - Calce Meridionale S.p.A., the Italian Technical Economic Association Cement and T.S.C. S.r.l. with registered office in Florence;</w:t>
        <w:br/>
        <w:t>b) objectively to the conducts related to the exchange of information on volumes carried out within AITEC and the conducts aimed at maintaining the stability of market shares;</w:t>
        <w:br/>
        <w:t>HAVING REGARD to the communications of November 4, 2016, November 15, 2016, November 29, 2016, December 3, 2016, December 5, 2016, February 13, 2017, and February 21, 2017, by which the companies Cementir Italia S.p.A., Holcim (Italia) S.p.A., Cementizillo S.p.A., Cementeria di Monselice S.p.A., Colacem S.p.A., Italcementi S.p.A., Cementi Centro Sud S.p.A., Cal.me – Calce Meridionale S.p.A., W&amp;P Cementi S.p.A., Buzzi Unicem S.p.A., Cementi Moccia S.p.A., submitted behavioral commitments, pursuant to Article 14-ter of Law No. 287/90;</w:t>
        <w:br/>
        <w:t>HAVING REGARD to its resolutions of December 15, 2016, and March 1, 2017, by which the Authority established the rejection of the commitments as the interest in ascertaining the possible infringement was deemed to exist;</w:t>
        <w:br/>
        <w:t>HAVING REGARD to the Communication of Investigative Findings, sent to the Parties on April 11, 2017, pursuant to Article 14 of the D.P.R. No. 217 of April 30, 1998;</w:t>
        <w:br/>
        <w:t>HAVING REGARD to the extension of the deadline for closing the proceedings to July 31, 2017, decided upon request of the Parties with provision of May 4, 2017;</w:t>
        <w:br/>
        <w:t>HAVING REGARD to the final submissions of the companies T.S.C. S.r.l., the trade association Aitec, the companies Industria Cementi Giovanni Rossi S.p.A., W&amp;P Cementi S.p.A., Italcementi S.p.A., Cementerie Aldo Barbetti S.p.A., Cal.me – Calce Meridionale S.p.A., Cementir Italia S.p.A., Holcim (Italia) S.p.A., Cementizillo S.p.A., Cementeria di Monselice S.p.A., Buzzi Unicem S.p.A., Cementi Moccia S.p.A., received on June 27, 2017, June 28, 2017, and June 30, 2017;</w:t>
      </w:r>
    </w:p>
    <w:p>
      <w:r>
        <w:t>16 BULLETIN NO. 31 OF AUGUST 16, 2017</w:t>
        <w:br/>
        <w:t>HEARD in the final hearing the representatives of the association Aitec and the companies Italcementi S.p.A., Buzzi Unicem S.p.A., Colacem S.p.A., Cementir Italia S.p.A., Cementizillo S.p.A., and Cementeria di Monselice S.p.A., Cal.me – Calce Meridionale S.p.A., W&amp;P Cementi S.p.A., Cementi Moccia S.p.A., Cementi Centro Sud S.p.A., T.S.C. S.r.l., Holcim (Italia) S.p.A., and Cementerie Aldo Barbetti S.p.A., on July 5, 2017;</w:t>
        <w:br/>
        <w:t>HAVING REGARD to the acts of the proceedings and the documentation acquired during the investigation;</w:t>
        <w:br/>
        <w:t>1. THE PARTIES</w:t>
        <w:br/>
        <w:t>1. Italcementi S.p.A. (hereinafter also Italcementi) is a company active in the production and sale of cement, with its registered office in Bergamo, belonging, as of July 1, 2016, to the HeidelbergCement group. In the 2016 financial year, the aforementioned group achieved a global turnover of approximately 15 billion euros, while Italcementi and its subsidiaries, during the same period, achieved a turnover in Italy of approximately 440 million euros.</w:t>
        <w:br/>
        <w:t>2. Buzzi Unicem S.p.A. (hereinafter also Buzzi Unicem or Buzzi) is a company - listed on the national stock market - active in the production and sale of cement, with its registered office in Casale Monferrato (AL), currently controlled by the holding company Presa S.p.A., whose largest shareholder is the company Fimedi S.p.A. In the 2016 financial year, the Buzzi Unicem group achieved a global turnover of approximately 2.7 billion euros, while Buzzi Unicem and its subsidiaries, during the same period, achieved a turnover in Italy of approximately 350 million euros.</w:t>
        <w:br/>
        <w:t>3. Colacem S.p.A. (hereinafter also Colacem) is a company active in the production and sale of cement, with its registered office in Gubbio (PG), wholly controlled by Financo S.R.L. In the 2015 financial year, the Financo group achieved a global turnover of approximately 490 million euros, while Colacem and its subsidiaries achieved a turnover in Italy of approximately 175 million euros in 2016.</w:t>
        <w:br/>
        <w:t>4. Cementir Italia S.p.A. (hereinafter also Cementir) is a company - listed on the national stock market - active in the production and sale of cement, with its registered office in Rome, controlled by Cementir Holding S.p.A., which in turn is controlled by Caltagirone S.p.A., the company at the head of the eponymous group, active in various sectors. In the 2016 financial year, the Caltagirone group achieved a global turnover of approximately 1.4 billion euros, while Cementir alone and its subsidiaries achieved a turnover in Italy of approximately 98 million euros during the same period.</w:t>
        <w:br/>
        <w:t xml:space="preserve">5. SACCI – Società per azioni Centrale Cementerie Italiane S.p.A, now Sacci S.r.l. in liquidation, (hereinafter also Sacci) was a company active in the production and sale of cement. On July 29, 2016, all the main production assets of this company in the cement market were acquired by Cementir Italia S.p.A. Subsequently, in July 2016, the company was placed in liquidation. In the 2015 financial year, Sacci achieved a turnover in Italy of approximately 69 million euros, while in the 2016 financial year it achieved a turnover in Italy of approximately 35 million euros. </w:t>
        <w:br/>
        <w:t>1 See doc. 514 and AGCM provision No. 25877 of February 17, 2016, in case C-12030, Cementir Italia/Branch of Sacci. The transfer did not involve all the assets of the transferring company, which continues to be present in the market, although in liquidation.</w:t>
      </w:r>
    </w:p>
    <w:p>
      <w:r>
        <w:t>BULLETIN NO. 31 OF AUGUST 16, 2017 17</w:t>
        <w:br/>
        <w:t>6. Cementi Rossi S.p.A. (hereinafter also Cementirossi) is a company active in the production and sale of cement, with its registered office in Piacenza, controlled by the company Due Mari S.r.l. In the 2016 financial year, Cementirossi and its subsidiaries achieved a turnover in Italy of approximately 115 million euros.</w:t>
        <w:br/>
        <w:t>7. Holcim (Italia) S.p.A. (hereinafter also Holcim) is a company active in the production and sale of cement, with its registered office in Milan, specifically controlled by Holcim Gruppo (Italia) S.p.A., belonging to the Holcim group, which merged in 2015 with the Lafarge group, from which the current entity LafargeHolcim was born. In the 2016 financial year, the aforementioned group achieved a turnover of approximately 24 billion euros, while Holcim (Italia) S.p.A., during the same period, achieved a turnover in Italy of approximately 47 million euros.</w:t>
        <w:br/>
        <w:t>8. Cementerie Aldo Barbetti S.p.A. (hereinafter also Barbetti) is a company active in the production and sale of cement, with its registered office in Gubbio (PG), whose share capital is held 65% by 23 individuals from the eponymous family, and the remaining 35% by the company Sacci. In the 2016 financial year, Barbetti and its subsidiaries achieved a turnover in Italy of approximately 77 million euros.</w:t>
        <w:br/>
        <w:t>9. Cementeria di Monselice S.p.A. (hereinafter also Monselice, or Zillo with reference to the belonging group) is a company active in the production and sale of cement, with its registered office in Padova (PD), wholly controlled by Cementizillo S.p.A. In the 2016 financial year, Monselice achieved a turnover in Italy of approximately 30 million euros.</w:t>
        <w:br/>
        <w:t>10. Cementizillo S.p.A. (hereinafter also Cementizillo or Zillo) is a company active in the production and sale of cement, with its registered office in Padova (PD), belonging to the Zillo group. In the 2016 financial year, Cementizillo and its subsidiaries (including the aforementioned Monselice) achieved a turnover in Italy of approximately 80 million euros.</w:t>
        <w:br/>
        <w:t>11. CAL.ME. – Calce Meridionale S.p.A. (hereinafter also Cal.me) is a company active in the production and sale of cement, with its registered office in Catanzaro (CZ). In the 2016 financial year, Cal.me achieved a turnover in Italy of approximately 35 million euros.</w:t>
        <w:br/>
        <w:t>12. W&amp;P Cementi S.p.A. (hereinafter also W&amp;P) is a company active in the production and sale of cement, with its registered office in San Vito al Tagliamento (PN), 75% owned by W&amp;P ZEMENT GMBH and the remaining 25% by Buzzi. In the 2016 financial year, W&amp;P achieved a turnover in Italy of approximately 19 million euros.</w:t>
        <w:br/>
        <w:t xml:space="preserve">13. Cementi Moccia S.p.A. (hereinafter also Cementi Moccia or Moccia) is a company active in the production and sale of cement, with its registered office in Naples (NA), equally participated by Moccia Irme Spa and Buzzi. In the 2016 financial year, Cementi Moccia achieved a turnover in Italy of approximately 14 million euros. </w:t>
        <w:br/>
        <w:t>2 The participation of Sacci in Barbetti is not part of the branch of the company transferred by Sacci to Cementir in July 2015.</w:t>
      </w:r>
    </w:p>
    <w:p>
      <w:r>
        <w:rPr>
          <w:b/>
        </w:rPr>
        <w:t>[Pages 16–18]</w:t>
      </w:r>
    </w:p>
    <w:p>
      <w:r>
        <w:t>18 BULLETIN NO. 31 OF AUGUST 16, 2017</w:t>
        <w:br/>
        <w:t>14. Cementi Centro Sud S.p.A. (hereinafter also CCS) is a company active in the production and sale of cement, with its registered office in Genoa (GE), belonging to the international group Vicat, which is also active in the cement sector. In the fiscal year 2016, the Vicat group achieved a turnover of approximately 2.5 billion euros, while CCS alone, during the same period, achieved a turnover of approximately 12 million euros in Italy.</w:t>
      </w:r>
    </w:p>
    <w:p>
      <w:r>
        <w:t>15. T.S.C. S.r.l. (hereinafter also TSC) is a company, with its registered office in Florence (FI), active since May 2014 in the wholesale trade of construction products. In the fiscal year 2016, TSC achieved a turnover of approximately 800 thousand euros in Italy.</w:t>
      </w:r>
    </w:p>
    <w:p>
      <w:r>
        <w:t>16. AITEC (Italian Association of Technical and Economic Cement), a trade association affiliated with Confindustria, has been the representative body of the national cement industry since 1959. Currently, 12 cement companies are members of AITEC, all parties to this proceeding, representing 85% of the cement market volumes in Italy. According to the current Statute, the governing bodies of AITEC include, among others: the General Council (formerly the Executive Council)3; the Presidency Office (formerly the Executive Committee)4; the Marketing and Development Commission5. In the fiscal year 2016, the membership contributions amounted to approximately 3 million euros.</w:t>
      </w:r>
    </w:p>
    <w:p>
      <w:r>
        <w:t>2. THE INVESTIGATIVE PROCEEDING</w:t>
        <w:br/>
        <w:t>17. With a report sent to the Authority on June 12, 2015, and subsequently supplemented on September 15 and November 4, 2015, a company active in the production and sale of ready-mixed concrete in Piedmont represented that, with distinct communications in June 2015, its cement suppliers, Buzzi Unicem, Cementir, Cementirossi, and Holcim, had all communicated, by letter or orally, an identical and simultaneous increase in the selling price of bulk cement, amounting to 9.00 euros/ton, applicable from June 15, 2015.</w:t>
      </w:r>
    </w:p>
    <w:p>
      <w:r>
        <w:t>18. Based on the report received, the Authority, in its meeting on November 18, 2015, initiated an investigative proceeding pursuant to Article 14 of Law No. 287/90 against the aforementioned companies to verify whether the homogeneity of the behaviors adopted by these companies could derive from the existence of an agreement harmful to competition in violation of Article 101 of the TFEU.</w:t>
      </w:r>
    </w:p>
    <w:p>
      <w:r>
        <w:t>19. During the proceeding, inspections were conducted on November 25 and 26, 2015, as well as on May 31, 2016, both at the premises of the companies that are parties to the proceeding, and at other companies active in the same market, as well as at the premises of operators active on the demand side and at the premises of the trade association6.</w:t>
      </w:r>
    </w:p>
    <w:p>
      <w:r>
        <w:t>20. From the documentation acquired during the inspections, it emerged first and foremost that the adoption of simultaneous and equal price increases for cement communicated in advance to customers represented a conduct that, at least since 2011, was adopted, in addition to the parties to the investigative proceeding, also by other companies active in the same market, namely: Italcementi, Colacem, Barbetti, Cal.me, Cementizillo, Monselice, W&amp;P, CCS, Cementi Moccia, and Sacci. Furthermore, from the analysis of the inspection documentation, it emerged that the circulation among competitors of communications regarding future price increases was also fueled by subjects active on the demand side, including, for example, the company T.S.C. Finally, the inspection evidence testified to the existence, at least since 2013, of a system for collecting and processing monthly data, on a sub-national geographical basis, relating to the volumes of cement delivered in Italy and the volumes exported (the so-called "timely statistics") established and managed by the trade association, AITEC, with the active contribution of the members and two companies not affiliated with AITEC. These data collection activities, in particular, involved the following companies: Buzzi, Cementirossi, Cementir, Holcim, ITC, Colacem, Barbetti, Cal.me, Cementizillo, Monselice, W&amp;P, Cementi Centro Sud, Moccia, and Sacci.</w:t>
      </w:r>
    </w:p>
    <w:p>
      <w:r>
        <w:t>21. On March 25, 2016, two parties to the investigation, Cementir and Holcim, submitted commitments pursuant to Article 14 ter of Law No. 287/90. However, in light of the documentary evidence acquired during the various inspection activities carried out, the Authority, on July 27, 2016, decided to expand the subject and object of the investigation. In particular, the scope of the investigation was extended to behaviors related to the exchange of information on volumes conducted within AITEC, as it was suitable for allowing constant monitoring of the market shares of the companies, and the investigation was extended to the companies Italcementi, Colacem, Barbetti, Cementizillo, Cementeria di Monselice, W&amp;P, Cementi Centro Sud, Cementi Moccia, Sacci, Cal.me, TSC, as well as the trade association AITEC.</w:t>
      </w:r>
    </w:p>
    <w:p>
      <w:r>
        <w:t>22. Between November 4, 2016, and February 21, 2017, some parties to the investigation submitted commitments, pursuant to Article 14 ter of Law No. 287/90, aimed at removing the anti-competitive aspects of the alleged infringement7.</w:t>
      </w:r>
    </w:p>
    <w:p>
      <w:r>
        <w:t>23. All commitments submitted by the parties were behavioral in nature and affected:</w:t>
        <w:br/>
        <w:t>a) the methods of communication to their customers regarding changes in the selling prices of cement;</w:t>
        <w:br/>
        <w:t>b) the methods of communication of commercially sensitive information to the trade association or to third parties that process or manage such information;</w:t>
        <w:br/>
        <w:t>c) the conditions of membership or participation in the associative life8. With specific reference to point a), all parties – except for Cementizillo, Monselice, and CCS9 – committed not to communicate price increases or price changes, including reductions in discounts, to customers, through "generalized" letters, and to adopt only personalized letters, in which an express invitation and/or recommendation was included for customers not to disclose the information contained therein until the effective date of the increase. Cementizillo and Monselice stated that, starting from July 2016, they had already ceased sending standard letters to their customers regarding price list increases or discount reductions; therefore, they committed to continue this behavior10. CCS, on the other hand, committed, starting from the date of submission of the commitments, not to send massive communications to its customers regarding any price changes11. A peculiar position regarding personalized negotiations is that of the companies CCS and W&amp;P. In particular, the former, after recalling that it had been practicing personalized contractual conditions for some time, committed, on the one hand, to continue negotiating the prices of its products on an individual basis with customers and suppliers, through a form of non-standardized negotiation and, on the other hand, committed [omitted]*12; the latter - W&amp;P, committed to [omitted]13.</w:t>
      </w:r>
    </w:p>
    <w:p>
      <w:r>
        <w:t>24. With specific reference to point b), all parties committed not to transmit, outside their internal organization, individual information that was not publicly available regarding their sales, production, import, and export data of specific categories of cement, unless required by law, by a public administration, by an independent authority, or by a court order, or if necessary for the preparation of financial statements. Regarding the provision of data to the trade association, the parties committed to transmit individual data to AITEC under specific cumulative conditions, such as the finalization for distribution in aggregated form; the prior transmission, for the purposes of their processing, to an external, third, and independent organization based on specific confidentiality agreements signed between such subjects and the cement companies, suitable to ensure adequate barriers to prevent the risk of undue circulation of sensitive information; the transmitted data having a certain historical nature – 6 months or one year – and being aggregated by regions or macro-regional areas in which at least three operators are active.</w:t>
      </w:r>
    </w:p>
    <w:p>
      <w:r>
        <w:t>25. With specific reference to point c), all parties – except for CCS – stated that participation in trade associations and associative life would be subject to the following rules: that the association adopts and complies with a compliance program (or an equivalent code of conduct) that regulates in detail the methods of collection, aggregation, and dissemination of data from member companies, as well as the conduct to be followed during meetings and the conduct of associative activities; that a compliance officer be appointed who is responsible for the strict application of both the control of the compliance program and the confidentiality agreements. Only CCS stated that, starting from the submission of the commitments, it would no longer participate in any trade association and would resign from AITEC.</w:t>
      </w:r>
    </w:p>
    <w:p>
      <w:r>
        <w:t>9 See doc. 568 and doc. 647.</w:t>
        <w:br/>
        <w:t>10 See doc. 647.</w:t>
        <w:br/>
        <w:t>11 See doc. 568.</w:t>
        <w:br/>
        <w:t>* In this version, some data are omitted, as elements of confidentiality or secrecy of the information were deemed to exist.</w:t>
        <w:br/>
        <w:t>12 See doc. 568.</w:t>
        <w:br/>
        <w:t>13 See doc. 524.</w:t>
      </w:r>
    </w:p>
    <w:p>
      <w:r>
        <w:rPr>
          <w:b/>
        </w:rPr>
        <w:t>[Pages 19–21]</w:t>
      </w:r>
    </w:p>
    <w:p>
      <w:r>
        <w:t>BULLETIN NO. 31 OF AUGUST 16, 2017 21</w:t>
      </w:r>
    </w:p>
    <w:p>
      <w:r>
        <w:t>26. The Authority, with measures taken at the meetings of December 15, 2016, and March 1, 2017, ordered the rejection of the commitments presented, deeming them, at the same time, manifestly inadequate to eliminate the anti-competitive profiles subject to investigation and inadmissible, due to the nature and characteristics of the contested case at the initiation of the investigation. In the same measures, the Authority also expressed an interest in continuing the investigative assessment.</w:t>
      </w:r>
    </w:p>
    <w:p>
      <w:r>
        <w:t>27. Between the end of December 2015 and the end of June 2017, all parties involved in the investigative procedure accessed the documents of the investigative procedure and exercised their right to be heard in a hearing pursuant to Law 287/90 and DPR No. 217/98.</w:t>
      </w:r>
    </w:p>
    <w:p>
      <w:r>
        <w:t>28. Some parties in the investigative procedure also submitted briefs and defensive writings on the following dates: Holcim, on December 2, 2016; Cal.me on January 27, 2017; Colacem, on February 9, 2017; CCS, on February 17, 2017.</w:t>
      </w:r>
    </w:p>
    <w:p>
      <w:r>
        <w:t>29. Since the documentation acquired revealed that the timely statistics had been devised and created by Aitec with the contribution of a third-party consulting firm, Ria Grant Thornton S.p.A. (hereinafter also Ria), on November 29, 2016, inspections were conducted at the headquarters of that company. Subsequently, on December 2, 2016, a hearing was held with representatives of Ria, for the purpose of understanding certain documents acquired during the inspections. Finally, on December 16, 2016, the aforementioned company provided further clarifications on the inspection documentation14.</w:t>
      </w:r>
    </w:p>
    <w:p>
      <w:r>
        <w:t>30. In order to reconstruct the types of surveys available in the cement market, on October 26, 2016, a hearing was held at the Ministry of Economic Development (hereinafter MISE) which collects data on national cement production; for the same reasons, on January 17, 2017, a request for information was sent to ISTAT, which responded on January 31, 201715.</w:t>
      </w:r>
    </w:p>
    <w:p>
      <w:r>
        <w:t>31. In order to acquire information regarding the evolution of the cement market during the period 2011-2016, on November 17, 2016, a request for information was sent to MISE regarding the volumes of cement produced in Italy; the volumes of cement imported and the volumes of cement exported from 2011 to the first half of 2016. MISE fulfilled the request for information on February 13, 2017.</w:t>
      </w:r>
    </w:p>
    <w:p>
      <w:r>
        <w:t>32. On December 5, 2016, finally, the trade association sent a request to the Authority for the dismissal and early closure of the investigative procedure concerning it, arguing, as justification for the same, the lack of evidence against it and, more generally, the non-existence of a logical connection between the surveys carried out in the associative context and the case originally contested at the initiation of the investigation. On December 14, 2016, a response was given to Aitec regarding this request.</w:t>
      </w:r>
    </w:p>
    <w:p>
      <w:r>
        <w:t>33. On December 13, 2016, requests for information were sent to the companies involved in the investigative procedure, regarding: the volumes of cement sold and the resulting revenues; the production capacities of individual plants, as well as the production costs during the period 2011-2016. All parties responded to the requests for information made during the procedure. The parties also responded to requests for information made by the Offices, many during the relevant hearings in which, among other things, cement companies were asked to provide a summary of the episodes of generalized price increases of cement implemented by them since 201116.</w:t>
      </w:r>
    </w:p>
    <w:p>
      <w:r>
        <w:t>34. In order to reconstruct the functioning of the trade association and to acquire evidence regarding the type of discussions held in the associative context, on December 13, 2016, a request for information was also sent to Aitec, to which it responded on December 23, 2016. Aitec finally supplemented the documentation previously transmitted on June 5, 201717.</w:t>
      </w:r>
    </w:p>
    <w:p>
      <w:r>
        <w:t>35. On December 22, 2016, the company Franzosi Cave S.p.A. (hereinafter also Franzosi) was heard in a hearing, which, from the acquired documentation, appeared to be one of the cement customers supplied by some of the companies involved in the investigative procedure18.</w:t>
      </w:r>
    </w:p>
    <w:p>
      <w:r>
        <w:t>36. On April 11, 2017, the Communication of the investigative findings was sent to the parties, following which, at the request of some of them and in order to ensure the full exercise of the right of defense, the deadline for closing the procedure, initially set for May 31, 2017, was extended to July 31, 2017, by a measure of May 4, 2017.</w:t>
      </w:r>
    </w:p>
    <w:p>
      <w:r>
        <w:t>37. On April 19, May 8, and May 17, 2017, some of the parties in the investigative procedure, specifically Italcementi and Cal.me, requested access to the data on the trends of average revenues of each company in anonymous form (calculated, in the case of Cal.me, also at the macro-area level), deemed essential for the exercise of the right of defense. On June 1, 2017, the requests from the parties (subsequently reiterated by the same parties, as well as by Colacem, Cementir, Zillo, and Holcim) were only partially accepted, and the data relating to the trends of average revenues achieved by each company at the national level were made accessible in anonymous and standardized form, in order to disclose the absolute variations in the level of national average revenues of the companies from month to month and thus allow the parties to respond to the allegations made in the Communication of the investigative findings19.</w:t>
      </w:r>
    </w:p>
    <w:p>
      <w:r>
        <w:t>38. All parties in the investigation, except for Sacci, submitted briefs and defensive writings in view of the final hearing before the Board held on July 5, 2017, during which the representatives of all parties were heard, except for those of the companies Sacci and Cementirossi20.</w:t>
      </w:r>
    </w:p>
    <w:p>
      <w:r>
        <w:t>3. THE INVESTIGATIVE FINDINGS</w:t>
      </w:r>
    </w:p>
    <w:p>
      <w:r>
        <w:t>3.1 THE CEMENT SECTOR</w:t>
      </w:r>
    </w:p>
    <w:p>
      <w:r>
        <w:t>3.1.1 The Supply</w:t>
      </w:r>
    </w:p>
    <w:p>
      <w:r>
        <w:t>Cement and its production process</w:t>
      </w:r>
    </w:p>
    <w:p>
      <w:r>
        <w:t>39. Gray cement (hereinafter also cement) is a construction material obtained synthetically, whose possibility of substitution with other construction materials is extremely limited, due to the peculiar characteristics of the product and its relative price21.</w:t>
      </w:r>
    </w:p>
    <w:p>
      <w:r>
        <w:t>40. Cement companies utilize plants for production which can be a) so-called "full cycle" plants or b) simple grinding centers. The first type of cement plant covers the entire cement production process, starting from the reception of raw materials (coming from quarries), followed by their pre-processing and conversion into clinker, which is then further processed to obtain cement. The plants referred to as "grinding centers," on the other hand, do not perform the initial phases of the production cycle. Finally, cement companies, for marketing activities only, may also use terminals and warehouses.</w:t>
      </w:r>
    </w:p>
    <w:p>
      <w:r>
        <w:t>41. Due to the aforementioned characteristics, cement production is highly capital-intensive23, with significant economies of scale and high entry costs for potential entrants. Consequently, the related market for the production and marketing of cement is generally quite concentrated, with a relatively small number of operators. Finally, it is noted that, due to the high weight-to-price ratio of cement, transportation costs have a high incidence relative to production costs24, an aspect that influences not only the marketing radius of the product but also the very location of the plants.</w:t>
      </w:r>
    </w:p>
    <w:p>
      <w:r>
        <w:t>Characteristics and structure of the supply in Italy</w:t>
      </w:r>
    </w:p>
    <w:p>
      <w:r>
        <w:t>42. National cement production was, in 2015, about 20.8 million tons, significantly lower than that of ten years prior (about 46.4 million tons produced in Italy in 2005), due to a significant reduction in demand during the period considered (see below).</w:t>
      </w:r>
    </w:p>
    <w:p>
      <w:r>
        <w:t>43. Despite this crisis scenario in the sector, in Italy the number of cement companies currently active in the sector is greater than that of other comparable countries25 and amounted, in 2015, to 25 companies, for a total of 68 production units26. These operators, however, are very heterogeneous among themselves, as they include multinational groups, medium-sized companies, and various small entities with exclusively local operations. It is worth noting that the ten largest cement companies in the Italian market cover over 80% of production, gray cement, whereas the so-called white cement indicates a niche product used for specific aesthetic needs. The different classes of product into which gray cement can be segmented, varying based on the proportions and nature of the different cement products used, are easily interchangeable for each producer.</w:t>
      </w:r>
    </w:p>
    <w:p>
      <w:r>
        <w:t>See, among others, AGCM measure No. 25877 of February 17, 2016, case C-12030, Cementir Italia/Branch of Sacci.</w:t>
      </w:r>
    </w:p>
    <w:p>
      <w:r>
        <w:t>22 Similarly, the existence, for certain types of use, of packaging in bags by producers does not entail the existence of distinct competitive dynamics to the extent that would necessitate a relevant market segmentation. It should be noted in this regard that bulk cement, which constitutes the majority of the volumes marketed, is primarily sold to ready-mixed concrete producers and construction sites, while bagged cement is mostly intended for stores and building material retailers.</w:t>
      </w:r>
    </w:p>
    <w:p>
      <w:r>
        <w:t>23 See doc. 440.</w:t>
      </w:r>
    </w:p>
    <w:p>
      <w:r>
        <w:t>24 See the 2015 Aitec Annual Report, p. 35 "For the cement sector, road transport represents a fundamentally important element, the cost of which reaches a significant percentage of the value of the delivered product (up to 25-30%)"; and doc. 440.</w:t>
      </w:r>
    </w:p>
    <w:p>
      <w:r>
        <w:t>25 See doc. 499.</w:t>
      </w:r>
    </w:p>
    <w:p>
      <w:r>
        <w:t>26 See the 2015 Aitec Annual Report, cited.</w:t>
      </w:r>
    </w:p>
    <w:p>
      <w:r>
        <w:rPr>
          <w:b/>
        </w:rPr>
        <w:t>[Pages 22–24]</w:t>
      </w:r>
    </w:p>
    <w:p>
      <w:r>
        <w:t>24 BULLETIN NO. 31 OF AUGUST 16, 2017</w:t>
        <w:br/>
        <w:t>while the remaining companies, of progressively smaller size, represent significant operators only in their own territorial area27.</w:t>
      </w:r>
    </w:p>
    <w:p>
      <w:r>
        <w:t>44. Many companies active in the national territory, moreover, operate only in the final phase of the cycle, lacking complete cycle technology. Most companies are also vertically integrated into the downstream market of the production and sale of ready-mixed concrete28.</w:t>
      </w:r>
    </w:p>
    <w:p>
      <w:r>
        <w:t>45. The following Figure 1 shows the so-called "map of cement plants" present in Italy, illustrating the geographical distribution of cement producers' plants as of June 2015.</w:t>
      </w:r>
    </w:p>
    <w:p>
      <w:r>
        <w:t>27 Cf. the Annual Report 2015 Aitec, cited.</w:t>
        <w:br/>
        <w:t>28 Cf. doc. 440.</w:t>
      </w:r>
    </w:p>
    <w:p>
      <w:r>
        <w:t>BULLETIN NO. 31 OF AUGUST 16, 2017 25</w:t>
        <w:br/>
        <w:t>Figure 1 – map of cement plants in Italy</w:t>
        <w:br/>
        <w:t>Source: Aitec website</w:t>
      </w:r>
    </w:p>
    <w:p>
      <w:r>
        <w:t>46. The reduction in demand in recent years, also in light of a production peak that occurred in 2006-2007, means that currently companies, despite restructuring operations and the reduction in the number of plants that have taken place in the meantime, hold a significant level of unused production capacity. The overall average utilization rate of the production capacity of the kilns in 2014 and 2015 was 58% and 59%, respectively, with a geographical distribution in the different macro-areas defined by the MISE for the aggregation of regional data being quite homogeneous, as summarized in the following Table 1.</w:t>
      </w:r>
    </w:p>
    <w:p>
      <w:r>
        <w:t>26 BULLETIN NO. 31 OF AUGUST 16, 2017</w:t>
        <w:br/>
        <w:t>Table 1 - Utilization rate of production capacity by area</w:t>
        <w:br/>
        <w:t>Geographical Area % of kiln production capacity utilization</w:t>
        <w:br/>
        <w:t>2014 2015</w:t>
        <w:br/>
        <w:t>North 62% 64%</w:t>
        <w:br/>
        <w:t>Center 49% 49%</w:t>
        <w:br/>
        <w:t>South 58% 59%</w:t>
        <w:br/>
        <w:t>Islands 63% 60%</w:t>
        <w:br/>
        <w:t>Total 58% 59%</w:t>
        <w:br/>
        <w:t>Source: Annual Report Aitec 2015</w:t>
      </w:r>
    </w:p>
    <w:p>
      <w:r>
        <w:t>47. With reference, more generally, to the installed production capacity in relation to cement production, the reprocessing of data provided by the Parties highlights a decreasing trend both in installed capacity and in the utilization rate thereof, as a consequence of the reduction in production recorded in recent years. More specifically, from 2011 to 2012 this reduction seems to have fully translated into a reduction in the utilization rate of the capacity that existed at that time (which, in 2011, was at a level just below 60%), while in the following years there seems to have also been a reduction in installed capacity, leading to a new stabilization of the same between 2015 and 2016.</w:t>
      </w:r>
    </w:p>
    <w:p>
      <w:r>
        <w:t>Figure 2 - Comparison between trends in production, installed capacity, and its utilization rate (2011=100)</w:t>
        <w:br/>
        <w:t>Source: AGCM reprocessing of data from the Parties</w:t>
      </w:r>
    </w:p>
    <w:p>
      <w:r>
        <w:rPr>
          <w:b/>
        </w:rPr>
        <w:t>[Pages 25–27]</w:t>
      </w:r>
    </w:p>
    <w:p>
      <w:r>
        <w:t>BULLETIN NO. 31 OF AUGUST 16, 2017 27</w:t>
      </w:r>
    </w:p>
    <w:p>
      <w:r>
        <w:t>48. It should be noted that the trend of production capacity in the sector appears to have been influenced in recent years by the system of so-called "CO2 quotas," introduced by Directive 2003/87/EC relating to the so-called "Emissions Trading Scheme (or ETS)"29.</w:t>
      </w:r>
    </w:p>
    <w:p>
      <w:r>
        <w:t>The position of the Parties</w:t>
      </w:r>
    </w:p>
    <w:p>
      <w:r>
        <w:t>49. The companies that are Parties to this investigative procedure represent almost the entirety of the Italian market, with an overall share held of approximately 85% of it30.</w:t>
      </w:r>
    </w:p>
    <w:p>
      <w:r>
        <w:t>50. Below is highlighted the framework of the evolution of the market shares of the Parties, during the period 2011-2016, of interest for this proceeding, in comparison to the trend of overall volumes and the number of plants, calculated in terms of "internal deliveries"31, a figure that substantially corresponds to national sales (Table 2).</w:t>
      </w:r>
    </w:p>
    <w:p>
      <w:r>
        <w:t>29 In Italy, cement manufacturers holding kilns for the production of clinker have been allocated CO2 quotas free of charge, in proportion to production capacity, a circumstance that has created a variable "opportunity cost" linked to the production of clinker (and the corresponding CO2 emissions); instead of incurring a cost for each ton of CO2 emitted, cement companies have had the opportunity to achieve revenue from the CO2 quotas assigned to them but not used for production (and therefore associated with tons of CO2 not emitted), by reselling them on the market. The current regulations provide that the amount of CO2 quotas assigned to each plant for the production of clinker is only reconfirmed if the production of that plant, within a given time frame, stabilizes at a level equal to at least 50% of the assigned production level. Otherwise, the plant will see a reduction in the number of CO2 quotas assigned to it.</w:t>
      </w:r>
    </w:p>
    <w:p>
      <w:r>
        <w:t>30 See doc. 466.</w:t>
      </w:r>
    </w:p>
    <w:p>
      <w:r>
        <w:t>31 Internal deliveries are obtained by adding the production figure to the initial stock figure and subtracting the final stock figure and the export figure. This figure, therefore, taking into account stock movements and volumes produced but directed abroad, provides an indication of the volumes actually placed on the market and is therefore considered a proxy for the national sales figure.</w:t>
      </w:r>
    </w:p>
    <w:p>
      <w:r>
        <w:t>BULLETIN NO. 31 OF AUGUST 16, 2017</w:t>
      </w:r>
    </w:p>
    <w:p>
      <w:r>
        <w:t>Table 2 - Market shares of cement in terms of internal deliveries and overall trend of volumes and number of plants* 2011–2016</w:t>
      </w:r>
    </w:p>
    <w:p>
      <w:r>
        <w:t>2011 2012 2013 2014 2015 2016</w:t>
        <w:br/>
        <w:t>Italcementi 26.0% 25.4% 24.3% 26.0% 23.4% 23.6%</w:t>
        <w:br/>
        <w:t>Buzzi**** 16.5% 15.9% 16.9% 16.9% 15.9% 16.6%</w:t>
        <w:br/>
        <w:t>Colacem 11.9% 11.4% 12.0% 11.2% 11.9% 12.4%</w:t>
        <w:br/>
        <w:t>Cementir 7.1% 7.2% 7.5% 6.8% 7.7% 7.1%</w:t>
        <w:br/>
        <w:t>Sacci 5.9% 6.1% 5.9% 6.6% 5.6% 5.2%</w:t>
        <w:br/>
        <w:t>Cementi Rossi 5.7% 5.5% 5.6% 5.3% 5.0% 5.1%</w:t>
        <w:br/>
        <w:t>Holcim*** 6.6% 6.0% 6.1% 5.6% 4.8% 4.5%</w:t>
        <w:br/>
        <w:t>Barbetti 4.1% 3.7% 3.7% 3.9% 4.2% 4.4%</w:t>
        <w:br/>
        <w:t>Zillo + Monselice** 4.4% 4.4% 4.2% 4.1% 4.4% 4.5%</w:t>
        <w:br/>
        <w:t>Cal.me 2.3% 2.3% 1.8% 1.5% 1.9% 1.7%</w:t>
        <w:br/>
        <w:t>Moccia**** 1.0% 1.0% 1.1% 1.2% 1.4% 1.5%</w:t>
        <w:br/>
        <w:t>W&amp;P 0.4% 0.4% 0.5% 0.9% 1.1% 0.9%</w:t>
        <w:br/>
        <w:t>Cementi Centro Sud 0.3% 0.5% 0.5% 0.7% 0.6% 0.6%</w:t>
        <w:br/>
        <w:t>Others 7.8% 10.0% 9.9% 9.3% 12.2% 11.7%</w:t>
        <w:br/>
        <w:t>Total 100% 100% 100% 100% 100% 100%</w:t>
        <w:br/>
        <w:t>Total volume (tons) 32.2 million 25.3 million 21.6 million 20.2 million 19.3 million 18.2 million</w:t>
        <w:br/>
        <w:t>Change in total volumes -22% -15% -6% -5% -5%</w:t>
        <w:br/>
        <w:t>Number of active plants</w:t>
        <w:br/>
        <w:t>81 80 79 72 68 63</w:t>
        <w:br/>
        <w:t>in the market</w:t>
      </w:r>
    </w:p>
    <w:p>
      <w:r>
        <w:t>* Source: AGCM processing on data from MISE and AITEC. The market shares and total volumes for the years 2011-2014 are calculated including, in addition to cement, also aggregates, in line with the data made public by MISE. The weight of aggregates compared to cement is, however, very low. ** It is noted that Cementizillo S.p.A. and Cementeria di Monselice S.p.A. belong to the same group. *** The market share of Holcim also includes the subsidiary Micron Mineral. **** Cementi Moccia is subject to joint control by Buzzi Unicem.</w:t>
      </w:r>
    </w:p>
    <w:p>
      <w:r>
        <w:t>51. In Italy, the structure of the sector has been characterized until 2015 by the presence of the same companies operating at least since the 1950s and by a low entry of foreign companies. It should be noted that despite the drastic decline in production due to the crisis in the sector and the associated corporate restructurings (which have led to a reduction in the total number of production plants from over 80 to just over 60), the relative position of the companies has not changed much in recent years, especially regarding the main operators.</w:t>
      </w:r>
    </w:p>
    <w:p>
      <w:r>
        <w:t>52. Regarding the operations of the parties in the national market, it is observed that in 2016 the largest companies - which also have a significant presence in many foreign markets - such as Italcementi, Buzzi Unicem, Colacem, to which can be added, also following the recent acquisition of Sacci, the company Cementir32 operate throughout the national territory, where they hold approximately 70% of the market overall. There are also medium-sized operators, such as Holcim Italia, the Italian subsidiary of another multinational (the LafargeHolcim group), which, however, represents a medium-sized operator in Italy with operations concentrated only in the north-west of the country, and others that have a significant presence in specific areas of the territory and that, in a context of unused capacity by all operators, play an important competitive role. Among these are Cementi Rossi (active mainly in the northern part of the country), Barbetti, the Zillo Group, Cal.me.</w:t>
      </w:r>
    </w:p>
    <w:p>
      <w:r>
        <w:t>53. Finally, as examples of smaller operators - and with a purely local operation - are included, among the Parties to the proceeding, W&amp;P, Cementi Centro Sud (both companies controlled by a foreign cement group) and Cementi Moccia, a company active in the area around Campania and currently jointly controlled by Buzzi.</w:t>
      </w:r>
    </w:p>
    <w:p>
      <w:r>
        <w:t>54. Due to the location of the production plants of the Parties in different parts of the national territory, AITEC defines, for statistical purposes, some "macro-areas"33, of multi-regional size. With reference to the competitive scope which, due to the existence of the aforementioned transport costs, has a local geographical dimension, it is noted that it does not coincide in any way with the macro-area (which constitutes a mere statistical grouping defined conventionally), but with market areas (so-called catchment areas) definable around each plant by means of tools such as the so-called geodetic radii or isodistances34. These areas, moreover, do not constitute isolated competitive domains, but present numerous overlaps among themselves, throughout the national territory.</w:t>
      </w:r>
    </w:p>
    <w:p>
      <w:r>
        <w:t>55. In any case, as emerges from Figure 3, which identifies the presence of companies associated with AITEC in the various macro-areas, all the main operators are present in each of them. Furthermore, even the various medium-sized operators, or even relatively small ones, who are not present in all geographical areas of the country, are nonetheless active in an important part of it and therefore feel the competitive conditions present in different areas of the country; finally, some smaller operators, with exclusively local operations, are nonetheless capable of significantly influencing, also due to the location of their plants, the competitive conditions in their area and, in this way, affecting the competitive regime in force among operators with a more widespread operation. Lastly, as will become clearer later, the commercial policies under investigation have a national characterization.</w:t>
      </w:r>
    </w:p>
    <w:p>
      <w:r>
        <w:t>33 The macro-areas identified by AITEC are partially different from the groupings of regions used in MISE publications; in particular, the former do not provide a specific group for the islands, thus including Sardinia in the macro-area "center" and Sicily in the macro-area "South."</w:t>
      </w:r>
    </w:p>
    <w:p>
      <w:r>
        <w:t>34 See, inter alia, AGCM provision No. 25877 of February 17, 2016, case C-12030, Cementir Italia/Branch of Sacci.</w:t>
      </w:r>
    </w:p>
    <w:p>
      <w:r>
        <w:rPr>
          <w:b/>
        </w:rPr>
        <w:t>[Pages 28–30]</w:t>
      </w:r>
    </w:p>
    <w:p>
      <w:r>
        <w:t>30 BULLETIN NO. 31 OF AUGUST 16, 2017</w:t>
        <w:br/>
        <w:t>Figure 3 - Presence of the Parties in the different regional Macro-areas AITEC</w:t>
        <w:br/>
        <w:t>Source: AGCM elaborations on data provided by the Parties</w:t>
      </w:r>
    </w:p>
    <w:p>
      <w:r>
        <w:t>3.1.2. The demand for cement</w:t>
        <w:br/>
        <w:t>56. The final use of cement is concentrated in the construction sector (and in particular, for about one third, in public works35), which, as is known, has a significant connection with the economic cycle and has experienced a generally decreasing trend over the years, only to show signs of recovery in the very recent years36.</w:t>
        <w:br/>
        <w:t>35 See Aitec Annual Report 2015.</w:t>
        <w:br/>
        <w:t>36 See documents 198.69, 198.74, and 446.</w:t>
      </w:r>
    </w:p>
    <w:p>
      <w:r>
        <w:t>BULLETIN NO. 31 OF AUGUST 16, 2017 31</w:t>
        <w:br/>
        <w:t>57. With reference to the composition of demand, as emerges from the table below, the main market outlet for cement is represented by producers of ready-mixed concrete, an use that accounts for almost half of cement purchases. The importance of the relationship between cement and concrete is also confirmed by the existence of a widespread downstream vertical integration process initiated by the main cement groups. Other important types of buyers are represented by wholesalers (over 25% of demand), prefabricators, construction companies, premixers, manufacturers of products, and other entities37.</w:t>
      </w:r>
    </w:p>
    <w:p>
      <w:r>
        <w:t>Table 3 - Distribution of internal deliveries by customer type – years 2011-2015</w:t>
        <w:br/>
        <w:t>Customer Type 2011 2012 2013 2014 2015</w:t>
        <w:br/>
        <w:t>Concrete plants 51.7% 52.4% 50.9% 49.6% 50.5%</w:t>
        <w:br/>
        <w:t>Wholesalers and retailers 25.8% 26.6% 28.3% 28.1% 28.1%</w:t>
        <w:br/>
        <w:t>Prefabricators 10.8% 10.1% 9.5% 9.6% 9.4%</w:t>
        <w:br/>
        <w:t>Construction companies 6.4% 6.2% 5.9% 6.8% 5.8%</w:t>
        <w:br/>
        <w:t>Premixers 4.3% 4.2% 5.7% 5.4% 5.7%</w:t>
        <w:br/>
        <w:t>Others 1.0% 0.5% 0.2% 0.6% 0.5%</w:t>
        <w:br/>
        <w:t>Source: AITEC</w:t>
      </w:r>
    </w:p>
    <w:p>
      <w:r>
        <w:t>58. All the types of buyers mentioned are generally represented by operators who resell, in turn, the cement itself or the products derived from its processing. In general, these are companies that are significantly smaller than the cement groups from which they source, due to the different characteristics and the different degree of economies of scale that characterize these markets compared to the upstream market of cement production38.</w:t>
      </w:r>
    </w:p>
    <w:p>
      <w:r>
        <w:t>3.1.3 Marketing methods and pricing of cement</w:t>
        <w:br/>
        <w:t>59. According to what emerged during the investigative activity, due to the perishability of the product and the difficulty of storage by customers, transactions in the cement market are usually spot transactions, meaning they occur through isolated purchases, even if repeated, while supply contracts binding buyers to specific cement companies for a given period of time are rarely foreseen39.</w:t>
      </w:r>
    </w:p>
    <w:p>
      <w:r>
        <w:t>60. However, these spot transactions in the market are characterized by a certain stability of relationships. The impact of transportation costs, in fact, means that the number of active suppliers in a given geographical area is limited, and thus supply relationships tend to be stable or at least to recur over time.</w:t>
      </w:r>
    </w:p>
    <w:p>
      <w:r>
        <w:t>61. Finally, it is noted that independent concrete producers and, in general, most cement buyers have opted for the choice of having relationships with more than one supplier, a choice that appears to stem from both historical habits (consolidated in the years when cement demand tended to exceed production capacity and buyers felt the need to ensure continuity in supplies) and commercial considerations37.</w:t>
      </w:r>
    </w:p>
    <w:p>
      <w:r>
        <w:t>62. As for the concrete methods of price formation of the product, it should be noted that in Italy since 1974 the selling price of cement, excluding taxes, was unique, authoritatively determined by the Interministerial Price Committee (C.I.P.)40 in a context of administered prices, and was periodically adjusted by this body to reflect the trend of production costs41.</w:t>
      </w:r>
    </w:p>
    <w:p>
      <w:r>
        <w:t>63. The system of price administration for cement was replaced42 only starting from 1985 by a "supervision" regime, which was characterized, in addition to the obligation for cement companies to deposit price lists (maximum prices)43 at least 30 days in advance of any price change, by the existence of a dispositive/authorizing power of the C.I.P. based on an investigative analysis that was based on the periodic definition of a reference price derived from the cost variations of a representative group of companies44. Moreover, the C.I.P. secretariat did not approve price lists that presented positive variations compared to the reference price exceeding 5%, and any variation below this percentage was also subject to analysis for approval, following the evaluation of supporting documentation45.</w:t>
      </w:r>
    </w:p>
    <w:p>
      <w:r>
        <w:t>64. The liberalization of cement prices thus occurred only during the 1990s, when with a resolution of March 16, 1993, the C.I.P. experimentally suspended the previous price supervision regime for cement46. The subsequent CIPE Resolution of March 3</w:t>
      </w:r>
    </w:p>
    <w:p>
      <w:r>
        <w:t>40 The C.I.P., established by Legislative Decree Lgt. No. 347 of October 19, 1944, for products subject to administered price regime, authoritatively determined the price. The price supervision regime involved the participation of producers, who were required to deposit their price lists and notify any changes they intended to make; the regime thus provided for an ex post verification by the C.I.P. of the existence of the prerequisites for any price change. Distinct supervised price regimes were distinguished based on the different degree of influence of the C.I.P. in the actual price determination.</w:t>
      </w:r>
    </w:p>
    <w:p>
      <w:r>
        <w:t>41 Resolutions of June 26 and July 17, 1974, by which the prices of bread, milk, fertilizers, and cement were subjected to the administered price regime.</w:t>
      </w:r>
    </w:p>
    <w:p>
      <w:r>
        <w:t>42 Initially with the CIPE Resolution of July 10, 1985, and then with the subsequent C.I.P. provision No. 43 of October 24, 1985.</w:t>
      </w:r>
    </w:p>
    <w:p>
      <w:r>
        <w:t>43 Producing companies were required to communicate to the C.I.P. secretariat their maximum list prices for sales ex works and free destination of normal and high-strength cement (type "325" and "425").</w:t>
      </w:r>
    </w:p>
    <w:p>
      <w:r>
        <w:t>44 The average reference price was given by the sum of the average unit values emerging from the annual survey conducted on a group of fifteen companies, representative of the sector in terms of production unit size, modernity of the production cycle, and geographical location. In calculating the survey price, cost elements related to raw materials (purchase cost plus transportation costs), labor costs, consumables and maintenance materials, overhead and selling expenses, general expenses, fuel and electricity costs, depreciation, and capital remuneration gross of tax burdens were considered. This price was periodically updated to reflect increases in fuel and electricity and for other items to the ISTAT variations of wholesale prices, while the depreciation and capital remuneration share did not vary from one survey to another.</w:t>
      </w:r>
    </w:p>
    <w:p>
      <w:r>
        <w:t>45 For list prices lower than or equal to the reference price, the C.I.P. accepted the companies' justifications without further investigations. For list prices above the reference price but within the 5% threshold, the C.I.P. secretariat examined the supporting documentation, assessing the appropriateness of the increases; for maximum prices exceeding 5%, the lists were not approved. The final decision was then communicated directly to the operators, specifying the maximum allowed increase. Subsequent analyses have argued that these modes of public intervention in the cement sector have effectively contributed to protecting existing production structures, without stimulating the achievement of adequate levels of efficiency; during the price regulation period, the sustained growth of demand and rapid technological progress did not, in fact, affect the structure of supply, which recorded negligible entries and exits of companies from the market. See F. Gobbo, The control of industrial prices in Italy, Il Mulino, Bologna, 1982.</w:t>
      </w:r>
    </w:p>
    <w:p>
      <w:r>
        <w:t>46 In justification of this choice, the preamble of the Resolution mentioned the issuance, in 1990, of Law No. 287/90 for the protection of competition.</w:t>
      </w:r>
    </w:p>
    <w:p>
      <w:r>
        <w:rPr>
          <w:b/>
        </w:rPr>
        <w:t>[Pages 31–33]</w:t>
      </w:r>
    </w:p>
    <w:p>
      <w:r>
        <w:t>BULLETIN NO. 31 OF AUGUST 16, 2017 33</w:t>
        <w:br/>
        <w:t>August 1993 then established the cessation of the powers of the C.I.P. regarding cement, and the consequent complete liberalization of the price of this product47.</w:t>
      </w:r>
    </w:p>
    <w:p>
      <w:r>
        <w:t>65. In a liberalized market context, and thus being able to enjoy complete autonomy in determining the prices applied, the cement companies - at least all the parties in this proceeding - appear to have adopted a specific method of defining the prices of their product. This consists of communicating to all customers indiscriminately (not necessarily recipients of current supplies) the application of "list price" increases or generalized cuts in discounts (hereinafter also briefly referred to as "generalized price increases") through the sending of letters or emails for each type and variant of cement with a future effective date. From these generalized increases, personalized discounts are then deducted, which may differ from customer to customer.</w:t>
      </w:r>
    </w:p>
    <w:p>
      <w:r>
        <w:t>In essence, it is possible to identify a maximum nominal price of the product, indicated in the price list, equal for all customers, and a so-called "effective" price that is determined for each customer by applying a "personalized" discount to the list price based on the characteristics of the specific supply and the outcomes of the actual negotiation with the individual customer.</w:t>
      </w:r>
    </w:p>
    <w:p>
      <w:r>
        <w:t>66. It is worth noting that the chosen method of generalized and advance communication to the market of future increases introduces an element of artificial transparency in the market (see infra).</w:t>
      </w:r>
    </w:p>
    <w:p>
      <w:r>
        <w:t>3.2. THE CONDUCT OF THE PARTIES</w:t>
      </w:r>
    </w:p>
    <w:p>
      <w:r>
        <w:t>3.2.1. Premise</w:t>
      </w:r>
    </w:p>
    <w:p>
      <w:r>
        <w:t>67. The documentary evidence on file demonstrates, at least from June 2011 until January 2016, the existence of a coordination of commercial behaviors among the cement companies that are parties to the proceeding, aimed at increasing cement prices, assisted by a control of the relative market shares of the Parties, with the elimination of actual competitive dynamics in the market. This coordination appears to have been implemented through various conducts, all responding to the same design: firstly, in the concerted determination of list price increases and in the practice of simultaneous sending, to the generality of demand, of communications regarding the future application of identical increases; then, in the verification and monitoring of the actual implementation of this commercial practice as well as the application of the proposed increases; finally, in the control of the stability of the relative market shares, with a systematic activity of exchanging sensitive information carried out with the active support of the trade association Aitec also being functional to this control.</w:t>
      </w:r>
    </w:p>
    <w:p>
      <w:r>
        <w:t>68. In particular, the documentation acquired during the investigative procedure contains clear evidence of concertation among the companies regarding simultaneous and equal price increases for cement sales implemented by all parties to the proceeding, from June 2011 until January 2016. Furthermore, on the occasion of these increases, all companies announced in advance - prior to the effective date of the change - their intention to raise the price. The documentation on file also demonstrates that the advance notice of price increases compared to their actual effective date is functional to verifying the adoption, by competitors, of similar pricing behaviors, as well as to retracting the increase in the event of non-adherence by all competitors. As will be seen, in cases where the announced increase is not adopted by all competitors, the increase is withdrawn.</w:t>
      </w:r>
    </w:p>
    <w:p>
      <w:r>
        <w:t>69. The collected documentation testifies to the existence of recurring exchanges of information and direct contacts between cement companies and indirect contacts, with the participation of the distributor TSC, which will be discussed later, aimed both at verifying the actual advance communication of price increases by all operators and at subsequently monitoring the concrete application of the announced increase, as well as the existence of further contacts between the parties aimed at preserving the acquired market shares.</w:t>
      </w:r>
    </w:p>
    <w:p>
      <w:r>
        <w:t>70. The investigative analysis has also highlighted a significant role of the trade association Aitec in the established coordination, being both an active participant and a vehicle for it. More precisely, the documentary evidence acquired testifies not only that the association also plays a role in verifying the adoption and application of the generalized price increases decided by the member companies, but also that it has promoted and then actively participated in the timely dissemination of statistical elaborations regarding the market shares of cement - first by processing data from ministerial sources and then creating independent surveys - with a frequency that allows the various cement companies to carry out constant monitoring of these shares, aimed at verifying compliance with the price concertation.</w:t>
      </w:r>
    </w:p>
    <w:p>
      <w:r>
        <w:t>71. Furthermore, Aitec has constituted the vehicle for coordination among cement companies in that it has represented the venue for frequent meetings of their representatives during which there is evidence of discussions on pricing and price lists48.</w:t>
      </w:r>
    </w:p>
    <w:p>
      <w:r>
        <w:t>72. Overall, all the described conducts constitute an agreement, unique, complex, and ongoing, that fits into a context of severe crisis in the cement market and that has allowed companies to both stem the downward trend of prices and maintain a high stability of their respective market shares, ultimately resulting, in a context of dramatic demand decline, in an increase in the actual prices of cement and a crystallization of the supply structure to the detriment of consumers.</w:t>
      </w:r>
    </w:p>
    <w:p>
      <w:r>
        <w:t>73. Having said that, in the following sections, account will first be given of the described parallelism of pricing behaviors, highlighting the documentation that reveals its concerted nature, as well as providing a description of the conducts adopted by the companies and by Aitec in order to verify the communication of the adoption of price increases to the market and their application. Further behaviors aimed at monitoring the market shares held will then be illustrated, and in this context, the activities carried out by Aitec aimed at disseminating statistical elaborations on the market shares of its members will be detailed. After representing the full awareness of the Parties of the existing conflict between the adopted conducts and the legislation protecting competition, also due to the numerous discussions that took place in the associative context, account will finally be given of the market outcomes produced by the concerted definition of the commercial policies of the companies.</w:t>
      </w:r>
    </w:p>
    <w:p>
      <w:r>
        <w:t>3.2.2. The parallelism of pricing behaviors</w:t>
      </w:r>
    </w:p>
    <w:p>
      <w:r>
        <w:t>74. The investigative analysis has first established that the increase of 9 euros per ton in June 2015, which was the subject of the original complaint submitted to the Authority as a result of the concerted behaviors of only the companies Cementir, Cementi Rossi, Buzzi, and Holcim, in the specific geographical area where the complainant operated, was in fact an announced and applied increase, during the same period, by all the cement companies that are parties to the proceeding and throughout the national territory. A document found at the Cementirossi headquarters, as well as further documents on file49, indeed provide evidence of the announced price increases per ton of cement during the period of interest by the companies, grouping numerous generalized communications of price increases from 2011 to 2016; from these it emerges that, with communications at the beginning of June 2015, the cement companies that are parties to this proceeding (with the exception of W&amp;P) proposed the same increase of 9 euros per ton effective from the same date of June 15, 2015.</w:t>
      </w:r>
    </w:p>
    <w:p>
      <w:r>
        <w:t>75. This parallelism of conducts has not taken on a sporadic or occasional character. On the contrary, the documentary evidence found, analyzed together with the information requested and provided by the parties regarding their pricing behaviors, has allowed to ascertain that, at least from June 2011 until January 2016, all the cement companies that are parties to the investigative procedure have engaged in a parallelism of behavior - across the entire national territory50 - in defining the increases in the selling prices of cement to customers51.</w:t>
      </w:r>
    </w:p>
    <w:p>
      <w:r>
        <w:t>76. In particular, the evidence that emerged during the investigation is that, although as represented in the description of the marketing methods used in the sector, the contractual conditions for the actual sale of cement define for each company a whole range of different prices, the broader the number of supplied customers, all the cement companies that are parties to the proceeding have applied - at least during the period from June 2011 to January 2016 - homogeneous commercial conducts, consisting of communicating in advance to the market (usually at least one month before the actual application) identical and generalized increases in the economic conditions of the sale of the product, both through the increase of list prices (which, by definition, report general prices, from which discounts are applied to individual customers) and through communications of generalized reductions in discounts for a certain amount, aimed at all active customers52.</w:t>
      </w:r>
    </w:p>
    <w:p>
      <w:r>
        <w:t>77. More specifically, this parallelism of behavior has concerned:</w:t>
        <w:br/>
        <w:t>- the amount of the price increases for cement;</w:t>
        <w:br/>
        <w:t>- the timing of the price increases, that is, not only the time frame in which price increases for cement were adopted, but also the timing of communication of the increases and their effective dates;</w:t>
        <w:br/>
        <w:t>- the manner, that is, the methods of communication to customers of the aforementioned increases.</w:t>
      </w:r>
    </w:p>
    <w:p>
      <w:r>
        <w:t>78. The following Table 4 accounts for this parallelism as it emerges from the investigative analysis, reporting the magnitude of the price increases practiced by the companies involved during the period 2011-2016, during which there is knowledge of at least seven episodes (June 2011, January 2012, January 2013, March-April 2014, March 201553, June 2015, January 2016) of advance communication to the market of generalized price increases54.</w:t>
      </w:r>
    </w:p>
    <w:p>
      <w:r>
        <w:rPr>
          <w:b/>
        </w:rPr>
        <w:t>[Pages 34–36]</w:t>
      </w:r>
    </w:p>
    <w:p>
      <w:r>
        <w:t>36 BULLETIN NO. 31 OF AUGUST 16, 2017</w:t>
        <w:br/>
        <w:t>Table 4 - Announced and generalized price increases of the Parties, 2011-2016</w:t>
        <w:br/>
        <w:t>2014</w:t>
        <w:br/>
        <w:t>2011 2012 2013 2015 2015 2016</w:t>
        <w:br/>
        <w:t>COMPANY March</w:t>
        <w:br/>
        <w:t>June January January March* June January</w:t>
        <w:br/>
        <w:t>April*</w:t>
        <w:br/>
        <w:t>Buzzi +12 +12 +9 +5 +7 +9 +9</w:t>
        <w:br/>
        <w:t>Cementirossi +12 +12 +9 +7 +9</w:t>
        <w:br/>
        <w:t>Cementir +12 +12 +12 +9</w:t>
        <w:br/>
        <w:t>Holcim +12 +12 +9 +4 +7 +9 n.d.</w:t>
        <w:br/>
        <w:t>ITC +12 +12 +10 +5 +7 +9 +9</w:t>
        <w:br/>
        <w:t>Colacem +12 +12 +10 +5 +7 +9 +10</w:t>
        <w:br/>
        <w:t>Monselice +12 +12 +9 +7 +9 +9</w:t>
        <w:br/>
        <w:t>Cementizillo +12 +12 +9 +7 +9 +9</w:t>
        <w:br/>
        <w:t>Cem.Centro Sud +9 +10 +9 +5 +7 +9</w:t>
        <w:br/>
        <w:t>Barbetti +12 +12 +10 +5 +7 +9 +10</w:t>
        <w:br/>
        <w:t>Calme +12 +10 +9 +10</w:t>
        <w:br/>
        <w:t>W&amp;P n.d. +8 +8 +8 +9</w:t>
        <w:br/>
        <w:t>Sacci +12 +12 +10 +5 +7 +9</w:t>
        <w:br/>
        <w:t>Moccia +12 +7 +9 +9</w:t>
        <w:br/>
        <w:t>Source: elaborations on investigative documentation and data provided by the Parties</w:t>
        <w:br/>
        <w:t>* the increases in question appear to have been withdrawn or not applied; however, the operators W&amp;P and Zillo specified that they did not actually withdraw their increase of March 2015.</w:t>
        <w:br/>
        <w:t>Regarding the unavailable amounts, it is specified that: i) Holcim stated that it has changed the methods of communicating increases, in line with the so-called self-commitment; ii) W&amp;P stated that it made a generic communication of discount cuts in January 2012, without indicating any specific amount.</w:t>
        <w:br/>
        <w:t>79. As can be seen from the table, the first period for which the documentation on file allows for the reconstruction of a parallel price increase in the sale of cement by the companies involved in the investigative procedure dates back to the early days of June 2011, for an amount set at 12 euros per ton. According to the documentation on file, the increases for this period were communicated to the market between the end of April and the first half of May.</w:t>
        <w:br/>
        <w:t>80. The second increase, of 12 euros per ton effective from the beginning of 2012, was communicated to the market between early October and the end of November 2011, while the third, set at around 10 euros per ton and expected to start from the beginning of 2013, was communicated to the market in November 2012.</w:t>
        <w:br/>
        <w:t>81. After the increase of January 2013, the parties made two other attempts, respectively in March-April 2014 and in March 2015. In both cases, however, the increase was withdrawn. The first occurred in the spring of 2014, when there was a dissemination of communications of a price increase of cement of about 5 euros per ton, which, however, were subsequently withdrawn by the same companies.</w:t>
        <w:br/>
        <w:t>82. Even more significant is the subsequent episode. In February 2015, many companies communicated generalized announcements of price increases for an amount of 7 euros per ton, effective from the beginning of March 2015. However, one of the main companies, Cementir, appears to have decided not to send the increase communication. Following this decision, the other companies withdrew the increase.</w:t>
        <w:br/>
        <w:t>83. A few months after the failure of the March increase, the companies communicated a new generalized price increase for the amount of 9 euros starting from June 15, 2015. The communications were sent by all the cement companies involved in this procedure in the first days of June. The June 2015 increase, unlike the two previous attempts, was widely adopted. It should be noted that the amount of the increase (9 euros/ton) seems appropriate to recover both the missed increase in 2014 (+5) and the missed increase just three months earlier (+7).</w:t>
        <w:br/>
        <w:t>84. Another episode of cement price increases was recorded in January 2016, amounting to between 9 € and 10 € per ton. In this case, announcements to the market of the future price increase were made by the operators between the end of October and the beginning of November 2015.</w:t>
        <w:br/>
        <w:t>85. Overall, therefore, the price increases of cement carried out by the parties appear to be almost homogeneous in terms of amount, timing of communication, and application during the observation period. Only in a few limited cases (see table 4) are deviations from the reference values recorded, of minimal amounts, confined to smaller operators who practice autonomous commercial policies compared to the other cement companies involved in this investigative procedure (such as, for example, CCS or W&amp;P).</w:t>
        <w:br/>
        <w:t>86. The observed parallelism of behaviors is also found with respect to the manner of the price increases practiced by market operators, who sent either letters to customers or new price lists. More precisely, all companies announced the increase through the mass sending of communications to customers, in which the amount and subsequent effective date of the price increase were reported each time, with the effective date always following a period ranging from ten days to almost two months from the time of sending the increase communication. In this regard, it is also worth noting that the investigative analysis highlighted that the recipients of the information on the increases are almost never the actual customers supplied by the companies during the reference period, but rather a generally much broader audience; this is because the databases used for sending emails are generally outdated and are almost never updated; and also because there is a more general interest in making the increase known to the market, and therefore the increase communications are also sent to "customers not served for years or who may already be known not to be served because they do not pay regularly."</w:t>
        <w:br/>
        <w:t>87. Finally, also following the initiation of the Procedure, some Parties (Colacem, Cementir, Sacci, Moccia, and Holcim) communicated an additional increase, which was expected to take effect in July-August 2016. This increase was characterized by a reference value of about 5 euros per ton.</w:t>
        <w:br/>
        <w:t>3.2.3 The concerted definition of pricing policies</w:t>
        <w:br/>
        <w:t>88. The Parties argued that the observed parallelism would be nothing more than the result of "imitation" rational commercial policies, by the various competitors, of autonomous decisions to increase prices made from time to time by individual companies (see infra), in a context where the particular methods used for early and generalized announcements of price increases would originate from demand needs. The latter, moreover, would play an active role in conveying information among their cement suppliers regarding the price increase decisions adopted by individual companies. In particular, some parties argued that the passage of a certain period of time between the announcement of the increase and its actual application (effective date) would be functional to the possibility for concrete companies, the main customers of cement suppliers, to subsequently adjust their downstream prices to their customers, and that in the rather frequent cases of co-supplied customers, in response to any announcement of a price increase per ton by a cement supplier, it would be the customers of the latter who would promptly inform their alternative suppliers of the increases they were facing; with the consequence that the latter would find it convenient to spontaneously adjust to the same list price increases proposed by others.</w:t>
        <w:br/>
        <w:t>89. However, the analysis of the abundant inspection documentation, as well as the evidence that emerged during the investigative inquiry not only does not confirm this reconstruction but rather provides numerous elements to the contrary. In fact, the evidence on file shows that the simultaneous advance communications to the market of identical generalized increases in the price of cement are the result of either a specific agreement - even a pact between the parties - or the result of contacts between them prior to the announcements of increases to the market. Furthermore, it has emerged that the conduct carried out by the cement companies is generally completely contrary to the interests of demand, which typically does not benefit from the advance nature of the announcements of price increases of the product, nor from any potential information activity to other suppliers. It is in the interest of demand, represented by concrete companies, to minimize the impact of cement increases.</w:t>
        <w:br/>
        <w:t>90. On this last point, it should first be recalled that the present case originated precisely from the complaint of a co-supplied concrete company, which complained about the restrictive nature of the practices.</w:t>
      </w:r>
    </w:p>
    <w:p>
      <w:r>
        <w:rPr>
          <w:b/>
        </w:rPr>
        <w:t>[Pages 37–39]</w:t>
      </w:r>
    </w:p>
    <w:p>
      <w:r>
        <w:t>BULLETIN NO. 31 OF AUGUST 16, 2017 39</w:t>
        <w:br/>
        <w:t>of the concurrent practice of price increases by all its cement suppliers. Furthermore, investigations conducted during the preliminary phase on this aspect confirmed that clients have no interest in communicating a supplier's price increase to a competing supplier: "the client is rather interested in not conveying this information to the competing supplier. In fact, in cases where sales representatives of cement companies try to obtain information from clients about competitors' increases, efforts are made not to respond or to bluff a little"71. These same statements are also confirmed in the testimony given by Italcementi during the hearing, according to which "the majority of clients ... do not report at all to Italcementi the communications of price increases from competitors"72. Finally, the alleged interest of demand in advance communications regarding the effective date of cement price increases has not been verified either. In fact, for each concrete producer, the actual effective date of the increase announced by the cement companies occurs only at the time of invoicing for their specific supply and, consequently, negotiations with the cement company for a possible only partial application of the increase can develop in the time interval between the general effective date and this last deadline, without prejudice to the possibility of passing the increase of cement downstream to the final concrete customers. Therefore, it has emerged that the advance communication of the price increase relative to the effective date would be "functional to the needs of the cement groups, which use the weeks between the communication of the increase and the effective date to send their officials around and understand whether the increase has also been communicated by other producers"73.</w:t>
      </w:r>
    </w:p>
    <w:p>
      <w:r>
        <w:t>91. In the same view of demand, the advance communications of identical cement price increases would arise from a concertation among producers. This assessment appears to be corroborated by numerous documents in the records, from which the existence of "agreements" and "pacts" between the Parties regarding the definition of price increases emerges, in a context of various and regular occasions of meeting and contact between the companies, for example during the frequent meetings held at the trade association Aitec; meetings in which, without any trace in the agenda, nor in the relevant minutes74, the investigative findings highlight discussions among the Parties regarding prices and price lists.</w:t>
      </w:r>
    </w:p>
    <w:p>
      <w:r>
        <w:t>92. Chronologically, the first explicit evidence of the existence of contact between the parties prior to the cement price increase implemented in June 2011 is contained in a document dated April 15, 2011, found during inspections conducted at the headquarters of Cal.me. Calcestruzzi75. This is a draft containing handwritten notes from a representative of Cal.me., at the time a member of the General Council (formerly Executive Council) and the Marketing Committee of Aitec76, drafted on the letterhead of the Association. The note reports the outcomes of a sectoral discussion held within the association, within the</w:t>
      </w:r>
    </w:p>
    <w:p>
      <w:r>
        <w:t>71 See doc. 555.</w:t>
        <w:br/>
        <w:t>72 See doc. 499.</w:t>
        <w:br/>
        <w:t>73 See doc. 555.</w:t>
        <w:br/>
        <w:t>74 On the other hand, Aitec itself stated during the hearing that it is not uncommon for discussions to occur on topics not included in the agenda (See doc. 466).</w:t>
        <w:br/>
        <w:t>75 See doc. 278.</w:t>
        <w:br/>
        <w:t>76 See doc. 559. Regarding the occasions for associative meetings, the investigative findings reveal that the General Council of the Association (in which all the main national operators are represented in numbers that are a direct function of the market shares of the companies) meets on average once every three months and, extraordinarily, due to particular needs of opportunity, and that during the period subject to investigation, in particular, there is knowledge of 4-6 annual meetings).</w:t>
      </w:r>
    </w:p>
    <w:p>
      <w:r>
        <w:t>40 BULLETIN NO. 31 OF AUGUST 16, 2017</w:t>
        <w:br/>
        <w:t>Marketing Committee of Aitec. This is inferred from the role held by its author, from some statements contained therein, and has recently been confirmed by the same trade association, following the sending of the CRI77.</w:t>
      </w:r>
    </w:p>
    <w:p>
      <w:r>
        <w:t>93. In the cited document, it reads "to understand if there are possibilities to raise the price" (emphasis added), followed by the expression "to remunerate the industry", to which the comment "to sell cement and not CO2"78 is connected. From these statements, it can be deduced that the participants in the discussion questioned the possibility of raising prices in order to remunerate the industry as a whole, and subsequent documentation shows that the response was positive: in fact, at the same headquarters of Cal.me, an email dated May 25, 2011, was found, addressed by a Sales Manager of the Company to the author of the aforementioned document, in which the former informs the latter: "I have received confirmations from all the big players... +12 to everyone without negotiation for days"79 (emphasis added).</w:t>
      </w:r>
    </w:p>
    <w:p>
      <w:r>
        <w:t>In confirmation of this, in the following month of June 2011, a generalized increase in the price of cement took place by the operators in the sector exactly for an amount of 12 euros per ton (see table 4).</w:t>
      </w:r>
    </w:p>
    <w:p>
      <w:r>
        <w:t>94. The inspection documentation also provides elements that confirm the concerted nature of the subsequent decisions for generalized increases in list prices. In this sense, in a document found at the headquarters of Cementi Rossi, relating to the list price increase scheduled for January 2013, a seller complains about the behavior of competitors to his superior, explicitly stating: "The increases, another discordant note to agree on: we applied them correctly and as agreed, only to discover that some competitors, regardless of having figures always lower than ours (for many reasons whose motivations are not my business) in the last period of 2012 made preventive discounts only to apply increases similar to ours or very often less, which completely put us out of the market"80 (emphasis added).</w:t>
      </w:r>
    </w:p>
    <w:p>
      <w:r>
        <w:t>95. Furthermore, to confirm that the decisions for advance announcements of increases are shared among operators, there are evidences found at the headquarters of Cementi Rossi for the price increases of cement in January 2012 and January 2013, consisting of two drafts of letters for the increase of the new price lists that would soon be practiced by the competitor Colacem. These letters, in fact, can hardly be considered acquired by the clientele, as more</w:t>
      </w:r>
    </w:p>
    <w:p>
      <w:r>
        <w:t>77 See doc. 559 and response of June 2, 2017. Among these, for example, the reference to lobbying activities, the mention of interventions from at least one other company ("ITC"), the wide variety of topics discussed, all of cross-sector interest, including initiatives to be adopted together with another trade association, that of builders (ANCE). It is worth noting that the trade association, in response to an initial request for information, had only sent a partial list of all the meetings of the associative bodies since 2011 and that, only after the sending of the CRI, did it send the minutes of the Marketing Committee to which the note would refer. What is observed in general terms is that the first report sent by the Association was inaccurate and lacking (for example, some meetings listed did not have the relevant minutes) and the meeting of the Marketing Committee on April 15, 2011, was not even mentioned.</w:t>
        <w:br/>
        <w:t>78 The comment refers to the increasingly important role that the sale on the market of the portion of emission certificates assigned but not used due to the low level of production capacity utilization has assumed for the companies' budgets. As previously represented, cement companies instead of incurring a cost for each ton of CO2 emitted, have had the opportunity to achieve revenue from the CO2 quotas assigned to them but not used for production (and therefore associated with tons of CO2 not emitted), reselling them on the market.</w:t>
        <w:br/>
        <w:t>79 See doc. 283.15. In the final memorandum, Italcementi raised the irrelevance of this document to prove the concertation subject to investigation; this is because the email dated May 25, 2011, was drafted when the price increases had already been announced to the market (See, doc. 912). However, it is noted that the exception cannot be accepted since, as demonstrated by the example of the failed attempt to increase in March 2015, until the actual effective date of the increase, a reconsideration by the companies is always possible and it is therefore necessary to maintain contacts between the parties in order to ensure the successful outcome of the concertation.</w:t>
        <w:br/>
        <w:t>80 See doc. 71.5.</w:t>
      </w:r>
    </w:p>
    <w:p>
      <w:r>
        <w:t>BULLETIN NO. 31 OF AUGUST 16, 2017 41</w:t>
        <w:br/>
        <w:t>often raised by the parties in the investigative procedure, since they are not addressed to any recipient and, in the section where the address should be, they report generic fields, of the following tenor "to &lt;RAGSOC&gt;&lt;VIA&gt;&lt;CAP&gt;&lt;LOCALITA&gt;(&lt;PROV&gt;)81".</w:t>
      </w:r>
    </w:p>
    <w:p>
      <w:r>
        <w:t>96. Very clear and numerous documentary evidences regarding the fact that the genesis of the cement price increases are the result of coordination among competing operators emerge from the evidence regarding the conduct of operators taken during 2015, with specific reference to the increase of June that was the subject of the original complaint that led to this proceeding. In a document found during inspections at the headquarters of Sacci, dated July 1, 2015, presumably an internal report on the trend of increases, as inferred from the subject of the email titled "report on increases of June 15", it reads: "I report to you regarding the increases of June 15, 2015. Initially, the increases were communicated by all ... except for some initial whims of CEMENTIR and BARBETTI. During the application from June 15 to June 30, we had the opportunity to verify, even with the supplies from customers, that all our competitors tried to apply less than the agreed 9 euros. In particular, they hesitated (in my opinion, they will never apply) on precast and manufactured products, while regarding resales and plants, there was a more stringent behavior"82 (emphasis and bold added).</w:t>
      </w:r>
    </w:p>
    <w:p>
      <w:r>
        <w:t>97. That the wave of increases related to June 2015 was shared among the parties is also evident from the content of some documents found at the headquarters of Cementi Rossi. In particular, there are two emails dated June 3, 2015, sent by a sales official of the company to its central offices. With the first, at 11:06, the official informs that on that same day the communications of increase from Italcementi and Buzzi would start, writing: "Today 03/06/15 THE E-MAILS from Italcementi and Buzzi Unicem are STARTING. Increase of 9.00 €/T from June 15, 2015"83.</w:t>
      </w:r>
    </w:p>
    <w:p>
      <w:r>
        <w:t>Furthermore, in the second of the emails, at 11:24 a.m., "Cementir Increase", it reads: "On Saturday [May 30], the officials received similar directives to Buzzi and Italcementi, June 15, 9.00€/T increase. During the day, if the news is true, that they are sending the email today, I should be able to forward you the Buzzi communication"84.</w:t>
      </w:r>
    </w:p>
    <w:p>
      <w:r>
        <w:t>From the two documents, it thus emerges that the information regarding the future increase from Buzzi, Italcementi, and Cementir had already been the subject of sharing among the cited companies85. Shortly thereafter, on June 3 and 4, the letters of increase from the aforementioned operators would be sent86.</w:t>
      </w:r>
    </w:p>
    <w:p>
      <w:r>
        <w:t>98. Also with reference to the increase of June 2015, a document acquired at the headquarters of Cal.me and dated May 12, 2015, is recalled, from which it clearly emerges that by that date the representatives of the company already knew the details of the increase that would then be adopted in the following weeks. In this document, in fact, a quarterly report</w:t>
      </w:r>
    </w:p>
    <w:p>
      <w:r>
        <w:t>81 See doc. 70. During the hearing, the representative of Cementirossi stated that he did not remember how they had been acquired (See doc. 440).</w:t>
        <w:br/>
        <w:t>82 See doc. 274.23.</w:t>
        <w:br/>
        <w:t>83 See docs. 71.10, 287.39, and 287.41.</w:t>
        <w:br/>
        <w:t>84 See doc. 71.11.</w:t>
        <w:br/>
        <w:t>85 It should be noted that regarding Italcementi, the messages from the Cementirossi official contradict the reconstruction of the decision to adopt the price variation by Italcementi, which derives from an internal correspondence of the company dated June 3 (doc. 102.130), from which it would emerge that the Director of Italy of the company would have internally authorized the sending of communications of increases to customers similar to those of Cementir at 11:48 on the same day when, as seen, the Cementirossi official had been able to transmit it to his superiors as a decision already known at 11:06.</w:t>
        <w:br/>
        <w:t>86 See, inter alia, doc. 70.</w:t>
      </w:r>
    </w:p>
    <w:p>
      <w:r>
        <w:rPr>
          <w:b/>
        </w:rPr>
        <w:t>[Pages 40–42]</w:t>
      </w:r>
    </w:p>
    <w:p>
      <w:r>
        <w:t>42 BULLETIN NO. 31 OF AUGUST 16, 2017</w:t>
        <w:br/>
        <w:t>prepared by Cal.me in which the cement consumption in the first months of the year is reported, it reads: “We are eagerly awaiting these blessed increases (€9, threshold €50/ton starting price + list) which will surely bring revenues back to acceptable figures” (bold and underlining added)87.</w:t>
      </w:r>
    </w:p>
    <w:p>
      <w:r>
        <w:t>99. Further evidence of a shared genesis of price increases is evident from a contact between the parties prior to the actual sending to the market of the communications regarding the increase that would be applied on June 15, 2015. In particular, from two documents found at Cal.me's headquarters during the inspection, both dated May 29, 2015, it appears that a representative of Cementir sent the price increase letter to the administrator of Cal.me that he would soon send to the market; this is because the email between competitors dates back to May 29, 2015, while Cementir's price increase letter is dated June 3, 201588. Specifically, in the email sending the letter, Cementir's representatives inform Cal.me “Dear customer, as mentioned in our phone call, we are sending you the price increase letter via email”89.</w:t>
      </w:r>
    </w:p>
    <w:p>
      <w:r>
        <w:t>What is important to note here is the circumstance that almost simultaneously, Cementir's letter is circulated among Cal.me's representatives, with the following phrase: “this letter will be replicated by all cement producers” (bold and underlining added)90.</w:t>
      </w:r>
    </w:p>
    <w:p>
      <w:r>
        <w:t>Indeed, the following day, Cal.me expresses internally the intention to proceed with increases effective from the following month of June 2015. The company's offices get to work and that same day draft a letter to be sent to the market with the following content: “Good morning everyone… [the prices] from 15.06.2015 will be increased by €9.00 for all plants!”91.</w:t>
      </w:r>
    </w:p>
    <w:p>
      <w:r>
        <w:t>100. Furthermore, in a subsequent document found at Cal.me's headquarters, from September 2015, commenting on the results of the June 2015 increase, an agent writes to an employee of Cal.me's Commercial Office and clearly speaks of an agreement between the parties. In this regard, in the email it reads: “Well… it seems to me that we have made agreements downwards. 4 customers in Savona and Genoa have difficulty matching. And Cementir and Sacci are “screwing” us. Do you know how much Sacci sells to Rivera? They tell me €70 returned”92.</w:t>
      </w:r>
    </w:p>
    <w:p>
      <w:r>
        <w:t>101. Also, the subsequent wave of increases planned starting from January 2016 appears to be the result of a sharing among competing operators, prior to the sending of subsequent communications to the market by the cement companies.</w:t>
      </w:r>
    </w:p>
    <w:p>
      <w:r>
        <w:t>102. The first evidence in this sense is the already mentioned document found at Cal.me's headquarters from September 2015 in which it exactly repeats what had already happened in mid-May, when the representative of Cal.me had evoked the possibility that new increases would soon occur, which indeed happened. In fact, in that email, the official of Cal.me's commercial management writes the following phrase: “BLOCK ALL INTERVENTIONS, UNTIL NEW ORDER. THERE WILL BE A NEW INCREASE SOON.” (emphasis and bold added)93.</w:t>
      </w:r>
    </w:p>
    <w:p>
      <w:r>
        <w:t>103. The second piece of evidence of discussions between the parties regarding the price lists consists of a document dated October 13, 2015, found during the inspections conducted at Cementir's headquarters94. This is a document containing handwritten notes from the then General Director of the company who, from the evidence on file, appears to have participated in the meeting of the Aitec Board of Directors scheduled for that date95. Comparing the notes of the Cementir representative with the various points of the agenda of the aforementioned Board of Directors96, it seems to be inferred that a discussion on price lists took place within point 5 of the agenda, dedicated to general considerations on the “Market Trends.” In the handwritten notes, in fact, the General Director of Cementir reports the text of a speech by the Italy Director of Italcementi who, during the meeting, would have stated: “Review the philosophy of the price lists, -70% makes no sense! A project that takes us out of this logic” (emphasis added)97.</w:t>
      </w:r>
    </w:p>
    <w:p>
      <w:r>
        <w:t>104. To confirm a sharing among cement companies of their respective commercial policies, it is noteworthy that at Cementir's headquarters a letter of price increase from Colacem was found, again identifiable as a draft – due to the generic fields of the recipient – and therefore could not have been conveyed to customers98. Moreover, the letter is dated October 19, 2015, and refers to increases that will come into effect starting from the following month of January 2016. Similarly, on October 19, 2015, Colacem sent Buzzi the letter of price increase of the list, effective from January 4, 2016. Attached to the letter, the new price list of Colacem99. Furthermore, Colacem itself stated, in response to a specific request for information from the Authority, that it had made the first communications of increases starting from October 20, 2015100.</w:t>
      </w:r>
    </w:p>
    <w:p>
      <w:r>
        <w:t>105. Indeed, as a result of these contacts, starting from the end of October, the cement companies will send communications regarding the new increase of €9 per ton, expected for early 2016.</w:t>
      </w:r>
    </w:p>
    <w:p>
      <w:r>
        <w:t>106. In conclusion, the multiple documentary evidences acquired testify that the described parallelism of behaviors, at least during the period 2011-2016, originated from prior concertation among competing operators, even within the trade association.</w:t>
      </w:r>
    </w:p>
    <w:p>
      <w:r>
        <w:t>3.2.4 The verification of the adoption of price increase communications</w:t>
      </w:r>
    </w:p>
    <w:p>
      <w:r>
        <w:t>107. Following the shared definition of price increases, in the time frame between the communication to the market and the expected date of the increase's effectiveness, a subsequent phase opens for the companies, in which they need to monitor the actual sending of the increase letters by competitors. Subsequently, the same companies work to verify the implementation of the price increases announced to the market.</w:t>
      </w:r>
    </w:p>
    <w:p>
      <w:r>
        <w:t>108. As for the tools used to monitor the adoption of future generalized price increases, the acquired evidence demonstrates that in addition to conducting investigations with co-supplied customers, the parties also resort, at least, to the following three types of conduct:</w:t>
        <w:br/>
        <w:t>1. direct contacts between sales agents or representatives of the producing companies;</w:t>
        <w:br/>
        <w:t>2. exchanges between competitors of future price increase communications intended for customers and involvement of the trade association in verifying the adoption of the price lists;</w:t>
        <w:br/>
        <w:t>3. use of some “friendly” customers in order to convey the price increase communications among competing companies.</w:t>
      </w:r>
    </w:p>
    <w:p>
      <w:r>
        <w:t>Direct contacts between representatives and agents of the Parties</w:t>
      </w:r>
    </w:p>
    <w:p>
      <w:r>
        <w:t>109. A clear example of the existence of a sharing of information about the actions of their competitors, often based on direct contacts between peripheral representatives (or sales agents) of the same cement companies, is found in a document retrieved at Cementir's headquarters, dated June 8, 2015, which reports the outcomes of a conversation between two employees of the company, regarding the price increase of cement in June 2015. This document provides information on the behaviors of competitors, as a result of contacts between representatives of the cement companies. In fact, the text reads: “I have no news of an increase, it's almost time but we hope this is the right time” and also “this should be a good week for stockpiling or to see if someone behaves differently after the 15th. Also, Rossi confirmed this morning by phone… I have no news of the “Swiss”!?”101.</w:t>
      </w:r>
    </w:p>
    <w:p>
      <w:r>
        <w:t>110. Further confirmation of the existence of contacts between the parties is evident from a document, found at Sacci, dated November 25, 2015, in which an employee of that company forwards to the Administrator of Sacci some price lists of the subsequent increase in January 2016. From this document, in particular, it is inferred that some price lists have been released – and indeed are attached to the email – while others, however, have been released but not yet found by customers. To this end, the email reads: “the LPs we have recovered on the market from customers are: Colacem, Buzzi, Italcementi, Barbetti, and Cal.me, which I should receive tomorrow and therefore is not found attached - We have found them, but not yet located by customers: Zillo, Rossi, and Costantinopoli; Holcim nothing yet, besides naturally Cementir” (emphasis added)102. The expression “released, but not yet found by customers” suggests the existence of interaction between representatives of the cement companies.</w:t>
      </w:r>
    </w:p>
    <w:p>
      <w:r>
        <w:t>111. Regarding the existence of contacts between the Parties during the price increases adopted by the cement companies starting from January 2016, a document on file, found at Cementir's headquarters, contains handwritten notes from a representative of the aforementioned company. The first point of the notes, particularly titled “Increase,” contains annotations on the behavior of competitors and seems to be the result – contrary to what was claimed by the company itself during the hearing – of contacts with representatives of the companies mentioned therein, specifically ITC, Colacem, Buzzi, and Holcim. For each of them, in fact, the note reports the amount of the increase.</w:t>
      </w:r>
    </w:p>
    <w:p>
      <w:r>
        <w:rPr>
          <w:b/>
        </w:rPr>
        <w:t>[Pages 43–45]</w:t>
      </w:r>
    </w:p>
    <w:p>
      <w:r>
        <w:t>BULLETIN NO. 31 OF AUGUST 16, 2017 45</w:t>
        <w:br/>
        <w:t>applied and the date of its commencement. To this end, the aforementioned document states: “1) ITC increase is €9/t January 4; Colacem is €10/t”; Buzzi should come out January 15, 2016; ?Holcim is coming out” (bold and underlining added)103. The statements reported therein, concerning two competing operators – specifically Buzzi and Holcim – make it plausible that the note was drafted – contrary to what some parties have claimed104 - as a result of contacts, including phone calls, with the operators mentioned therein.</w:t>
      </w:r>
    </w:p>
    <w:p>
      <w:r>
        <w:t>112. The existence of possible contacts between competing operators is finally confirmed by Barbetti who, during the hearing, admitted that “it is plausible that salespeople from competing companies may meet by chance at a client's premises and exchange a few words”105; similar statements were also made by TSC106.</w:t>
      </w:r>
    </w:p>
    <w:p>
      <w:r>
        <w:t>113. As already argued, the objections from the parties107, according to which many of the information collected by the salespeople of the cement companies would be provided to them by clients and not by representatives of competing companies, cannot be accepted. Although the evidence shows the use of some clients to convey competitors' price lists (see infra), the generality of clients indeed has no interest in disseminating such information108.</w:t>
      </w:r>
    </w:p>
    <w:p>
      <w:r>
        <w:t>Direct exchange between competitors of communications regarding future price increases</w:t>
      </w:r>
    </w:p>
    <w:p>
      <w:r>
        <w:t>114. Among the evidence attesting to direct exchanges, between the parties, of their letters announcing future price increases, reference is made, in connection with the price increase episode expected for early 2012, to a document found at the Cementirossi headquarters. This is a price increase letter from Sacci that appears to have reached Cementirossi following a "triangulation" through Colacem. In fact, from the fax that appears superimposed on this letter, it is evident that it was sent to Colacem and then subsequently reached Cementirossi109.</w:t>
      </w:r>
    </w:p>
    <w:p>
      <w:r>
        <w:t>115. Furthermore, regarding the subsequent price increase episode expected for early 2013, it appears that both Colacem and Italcementi sent directly to Buzzi, in November 2012110, their price lists which would subsequently come into effect at the end of December 2012111.</w:t>
      </w:r>
    </w:p>
    <w:p>
      <w:r>
        <w:t>116. Similarly, in relation to the price increases applied during 2013, several documents were found at Sacci's headquarters, from which it emerges that the communications of price increases from competing operators are conveyed through the company Costantinopoli (a company in which Sacci holds a minority stake). In particular, from these documents,</w:t>
      </w:r>
    </w:p>
    <w:p>
      <w:r>
        <w:t xml:space="preserve">103 See doc. 17. </w:t>
        <w:br/>
        <w:t xml:space="preserve">104 See docs. 420 and 446, as well as doc. 515. </w:t>
        <w:br/>
        <w:t xml:space="preserve">105 See doc. 490. </w:t>
        <w:br/>
        <w:t xml:space="preserve">106 Referring to his previous work as a commercial agent at cement companies, the representative of TSC stated that “if it happened to meet a colleague from competing companies, they would also talk with them” (See doc. 408). </w:t>
        <w:br/>
        <w:t xml:space="preserve">107 See, inter alia, docs. 420, 440, 446, 522, and 622. </w:t>
        <w:br/>
        <w:t xml:space="preserve">108 In fact, if a client receives a price increase communication from a supplier, they would rather be interested in ensuring that their other suppliers do not know and continue to provide them with the current (lower) price. It is therefore much more reasonable to think that clients will minimize the transmission of information about increases they receive from companies rather than facilitate the exchange of such information as the parties would claim, see doc. n. 555. </w:t>
        <w:br/>
        <w:t xml:space="preserve">109 See doc. 70. </w:t>
        <w:br/>
        <w:t xml:space="preserve">110 Note that even if it were argued that such communications were made because the Buzzi group company producing concrete (Unical) is a customer of the two cement companies in question, it would be relevant that the communications were sent to Buzzi and not to Unical. </w:t>
        <w:br/>
        <w:t>111 See doc. 214.</w:t>
      </w:r>
    </w:p>
    <w:p>
      <w:r>
        <w:t>46 BULLETIN NO. 31 OF AUGUST 16, 2017</w:t>
        <w:br/>
        <w:t>dated November 26, 2012, and November 27, 2012, it appears that Costantinopoli sent to Sacci the new price lists applied respectively by Italcementi and Colacem112. Regarding the use of this documentation, it is significant that the email received, containing the price list from Italcementi, was promptly forwarded by the representative of Sacci to his collaborators - just six minutes after receipt - with the comment “Is it possible that we are always the slowest? On Thursday we will send ours”113.</w:t>
      </w:r>
    </w:p>
    <w:p>
      <w:r>
        <w:t>117. Regarding the increases expected for March 2014, price lists from Colacem, applicable from the following March 2014, as well as the price increase letter from Buzzi, also effective from March 2014, were found at Sacci's headquarters, again conveyed through the company Costantinopoli114, respectively on February 5 and February 17, 2014115. The communication regarding the price increase applied by Buzzi is commented on by the author of the document with the following statement: “Let’s hope for the best” (emphasis and underlining added)116.</w:t>
      </w:r>
    </w:p>
    <w:p>
      <w:r>
        <w:t>118. Additionally, at Holcim's headquarters, letters regarding price increases for cement from Cementirossi were found, sent directly to Holcim for both the increase in March 2015 and that in the following June117.</w:t>
      </w:r>
    </w:p>
    <w:p>
      <w:r>
        <w:t>119. An additional piece of evidence is represented by an internal Cementirossi email from June 6, in which a company representative forwards to another the communication of a price increase from Zillo for June 15, 2015 (€9/ton), dated after the email (June 8, 2015)118.</w:t>
      </w:r>
    </w:p>
    <w:p>
      <w:r>
        <w:t>120. Although abstractly some of the aforementioned transmissions could be explained by the existence of a (at least potential) supply relationship between the sending cement company and the receiving companies integrated in the downstream concrete sector119, the price increase letters are sent directly to cement producers and not to downstream concrete producers, nor do they mention in any way any existing supply relationships between the parties.</w:t>
      </w:r>
    </w:p>
    <w:p>
      <w:r>
        <w:t>121. In any case, the investigation clearly shows that the price increase communications, theoretically intended only for clients, are intentionally made by the Parties without properly limiting the number of recipients. For example, during the hearing, Sacci admitted that the increase communications are made “noisily,” being sent to as many subjects as possible, including clients who have not been served for years or who are known not to want to be served because they are bad payers120. Similarly, the Sales Director of Barbetti, during the inspection, stated that cement companies send increase communications to all clients appearing in their database, even to those who, in fact, no longer receive supplies, including competing cement groups121. The same company representative cited, as evidence of this dynamic, a communication sent by Italcementi to Barbetti in February 2015, which was also acquired in the records122, occurring after any supply relationship between the cited companies had ceased123.</w:t>
      </w:r>
    </w:p>
    <w:p>
      <w:r>
        <w:t>122. Finally, with specific reference to activities aimed at monitoring the conduct of companies regarding communications on agreed price increases, the documentation acquired also testifies – contrary to what the Association claimed – to a full involvement of the same trade association.</w:t>
      </w:r>
    </w:p>
    <w:p>
      <w:r>
        <w:t>Two documents acquired during the inspections conducted at Cementi Rossi's headquarters are referenced in this regard. These are two emails sent by the CEO of the company to the President of Aitec, in which the former sends the price lists of competitors precisely during the crucial period between the communication to clients of the future increase and the actual commencement of the increase itself.</w:t>
      </w:r>
    </w:p>
    <w:p>
      <w:r>
        <w:t>In particular, in the first of the two emails, dated June 5, 2015 - prior to the June 2015 increases of €9/ton - with the subject “Price List,” the CEO of Cementi Rossi sends to Marazzi (President of Aitec) the price list of Buzzi. The body of the email reads: “As agreed, I am sending you the price list of Buzzi Unicem”124.</w:t>
      </w:r>
    </w:p>
    <w:p>
      <w:r>
        <w:t>123. Of similar content and identical subject, the email of June 10, 2015, in which the same CEO of Cementi Rossi attaches to the President of Aitec the price lists of other competing operators. The email states: “Dear [omitted], as agreed, I am attaching other price lists. Almost all are there, Holcim should come out on 16/6”125. The price lists sent are those of the companies Italcementi, Colacem, Sacci, Barbetti, Cementizillo, Monselice, and W&amp;P, all parties to the ongoing investigation.</w:t>
      </w:r>
    </w:p>
    <w:p>
      <w:r>
        <w:t>124. Moreover, the fact that the involvement of the association in monitoring price trends constitutes a practice in the sector has been explicitly acknowledged by the representative of Cementi Rossi. The latter, in fact, during the hearing, regarding the request from the president of Aitec to forward the price lists through the aforementioned emails, stated that “this type of</w:t>
      </w:r>
    </w:p>
    <w:p>
      <w:r>
        <w:t xml:space="preserve">120 See doc. 514. </w:t>
        <w:br/>
        <w:t xml:space="preserve">121 See doc. 326. </w:t>
        <w:br/>
        <w:t xml:space="preserve">122 See doc. 331. </w:t>
        <w:br/>
        <w:t xml:space="preserve">123 During the hearing, the representative of TSC, based both on his previous experience as an employee of cement companies and his current experience as a client, stated that the address databases of cement companies are not updated and that it is enough to be coded once to continue receiving price increase communications even in the absence of any commercial relationship (See doc. 408). </w:t>
        <w:br/>
        <w:t xml:space="preserve">124 See doc. 71.37. </w:t>
        <w:br/>
        <w:t>125 See doc. 71.36.</w:t>
      </w:r>
    </w:p>
    <w:p>
      <w:r>
        <w:rPr>
          <w:b/>
        </w:rPr>
        <w:t>[Pages 46–48]</w:t>
      </w:r>
    </w:p>
    <w:p>
      <w:r>
        <w:t>48 BULLETIN NO. 31 OF AUGUST 16, 2017</w:t>
        <w:br/>
        <w:t>information is part of the information about its members that the president of a trade association may wish to acquire and finds such curiosity normal”126.</w:t>
      </w:r>
    </w:p>
    <w:p>
      <w:r>
        <w:t>The use of "friendly" clients</w:t>
      </w:r>
    </w:p>
    <w:p>
      <w:r>
        <w:t>125. In some cases, cement companies make use of particular clients, who, due to established supply relationships, are used as true intermediaries acting on behalf of the cement companies with the task of circulating information. A significant example of the instrumental use of a client to ensure the circulation of price lists among competing operators is the company TSC, a Tuscan retailer of building materials. In particular, from the documentation acquired, an active role of this company in conveying information about price increases practiced by competing operators between the end of 2015 and the beginning of 2016 is evident.</w:t>
      </w:r>
    </w:p>
    <w:p>
      <w:r>
        <w:t>Next, the timeline of events.</w:t>
      </w:r>
    </w:p>
    <w:p>
      <w:r>
        <w:t>126. On November 2, 2015, a seller from the Tuscan area of Italcementi sends TSC the new price list of that company, effective from the following month of January 2016127. From the same document, it appears that, after two days, on November 4, 2015, the aforementioned price list is sent by TSC to Colacem, whose representative responds with the message “Thank you [omitted]. Hi.” The next day, on November 5, the same price list from Italcementi is then sent by TSC to a representative of Buzzi. Finally, on November 10, the Italcementi price list is forwarded to the cement company Grigolin.</w:t>
      </w:r>
    </w:p>
    <w:p>
      <w:r>
        <w:t>127. Subsequently, on the evening of November 9, 2015, a seller from Calme sends TSC the new price list urging the TSC representative to convey this list to competing operators. To this end, the text of the email reads: “PLEASE FORWARD IT TO THE COMPETITORS. THANK YOU” (emphasis added). This request was then promptly fulfilled by TSC. The next morning, in fact, at 8:12, TSC proceeds to forward this list to several cement companies, via a single email addressed collectively to company representatives of Italcementi, Buzzi, Colacem, and Sacci. The Calme price list is then forwarded, through subsequent sends, also to Barbetti (the company to which TSC in turn requests a send of its own list) and to the cement company Grigolin128.</w:t>
      </w:r>
    </w:p>
    <w:p>
      <w:r>
        <w:t>128. A few hours later, on the same November 10, 2015, Buzzi sends TSC its own price list and it is forwarded with particular speed to Italcementi. At 13:16, in fact, Buzzi's price list is already transmitted internally to Italcementi, ascending the hierarchical chain until it reaches the former Director of Italy of the company. This implies that TSC must have forwarded the new Buzzi price list to Italcementi in less than six minutes from the moment it was received129. Shortly thereafter, the same Buzzi communication is also transmitted to Colacem and, the next day, to Calme130.</w:t>
      </w:r>
    </w:p>
    <w:p>
      <w:r>
        <w:t>129. Again, on November 10, 2015, Colacem in turn sends its own price list to a series of clients, including TSC itself, at 17:42. At 17:45, that is, three minutes after receiving this send from Colacem, TSC sends the Colacem price list to the sales manager of the Tuscan area of Italcementi. After another 5 minutes, TSC sends the same list to Sacci, with the text “hi [omitted], if you have it, send me yours too! That way I can collect them”131. Finally, at 17:05, this list is also sent to the cement company Grigolin.</w:t>
      </w:r>
    </w:p>
    <w:p>
      <w:r>
        <w:t>130. On November 19, 2015, finally, at 9:56, TSC receives from Barbetti the new price list of that company. At 10:18, 22 minutes after receipt, TSC sends a single email addressed collectively to a series of company representatives of cement companies involved in the investigative procedure, namely Italcementi, Buzzi, Colacem, Sacci, and Calme132.</w:t>
      </w:r>
    </w:p>
    <w:p>
      <w:r>
        <w:t>131. In the hearing, TSC clarified that the consequences of this activity – facilitating the adoption of price increases by suppliers – do not directly benefit the company, which “for the activity it performs, benefits from a lower price of cement practiced by its suppliers”133. Therefore, the intense and systematic activity of disseminating information acquired from competing operators carried out by TSC turns out to be a “service” rendered to the cement companies, justified by “friendship relations”134. In the words of the TSC representative: “the activity of circulating the price lists of competing cement companies is therefore a favor that, personally or out of friendship, Mr. [omitted] does for the salespeople of the cement companies who are recipients of his emails on record”135.</w:t>
      </w:r>
    </w:p>
    <w:p>
      <w:r>
        <w:t>From the same minutes, it also emerges, on the one hand, the instrumental use of this supplier by the cement companies to monitor compliance with the agreement (the “mutual surveillance”), and, on the other hand, TSC's awareness of the significance of the activity performed. In this regard, the document states: “as Mr. [omitted] recalls from his experience in Italcementi and in Sacci, the sales employees of the cement companies receive from their superiors the task of monitoring the market and facilitating mutual surveillance of the implementation of the price increase. In this sense, the superiors expect that the salespeople of the cement companies show themselves active in the market, collecting the price lists and letters of price increases from competitors and circulating their communications among them. The salespeople, in turn, request Mr. [omitted] to help them in these tasks assigned to them”136 (emphasis added).</w:t>
      </w:r>
    </w:p>
    <w:p>
      <w:r>
        <w:t>132. The documentation finally testifies to two further isolated episodes of the use of clientele for the exchange of information on increases, one related to the Gatti group - a concrete producer, the other concerning the distributor General Sistem Sas. In the first case, on June 3, 2015, Gatti, in response to a request from a representative of Cementi Rossi of the following tenor “Can you forward me the emails of the next increase?”137, sends him the Buzzi price list related to the increase of June 2015138. The same price list is then sent to Colacem accompanied by a message of the following tenor “Hi [omitted], as per agreement with [omitted], attached is what is in the subject”139.</w:t>
      </w:r>
    </w:p>
    <w:p>
      <w:r>
        <w:t>In the second case, General Sistem sent to Cementi Rossi the communications from Barbetti and Monselice140 regarding the increase of June 15, 2015141.</w:t>
      </w:r>
    </w:p>
    <w:p>
      <w:r>
        <w:t>3.2.5 The verification of the application of price increases</w:t>
      </w:r>
    </w:p>
    <w:p>
      <w:r>
        <w:t>133. The documentation on record also highlights a pervasive mutual monitoring among competing operators following the adoption of price changes, aimed at verifying that the list price increase is effectively translated into the prices charged to customers, both through direct contacts between representatives of the parties and through continuous monitoring of compliance with their target market share. This last verification is certainly functional to the effective implementation of the price coordination, the non-compliance of which by any participant leads to a distortion of the relative market shares.</w:t>
      </w:r>
    </w:p>
    <w:p>
      <w:r>
        <w:t>Also with reference to this phase, the evidence on record indicates involvement by the Trade Association.</w:t>
      </w:r>
    </w:p>
    <w:p>
      <w:r>
        <w:t>Contacts between the parties regarding the implementation of the agreement</w:t>
      </w:r>
    </w:p>
    <w:p>
      <w:r>
        <w:t>134. With specific reference to the existence of contacts between the parties aimed at monitoring the actual application of the price increases practiced by competitors, a document found during the inspection at Cementir is recalled. The document is dated June 25, 2015 - thus after the wave of cement price increases recorded in the market starting from mid-month - and appears to be drafted by the former general manager of the company, as it consists of several pages of handwritten notes142. The third and fourth pages of the notes are titled “increase” and – contrary to what was stated during the hearing by the representatives of Cementir143 - represent the outcome of telephone conversations by the drafter. In these notes, in fact, four competitors (Barbetti, Colacem, Buzzi, Holcim) are listed and for each of them a series of client names is reported alongside what appears to be the response from the telephone consultation (which is generally the brief notation “+9 €”), as well as comments confirming that the document was indeed drafted during a round of phone calls with the aforementioned competitors aimed at obtaining indications on the application of the increase to individual clients144. Moreover, the possible existence of telephone contacts between competitors following the announced price increases in the market has been confirmed during the inspections conducted at the Barbetti headquarters. On that occasion, in fact, the Sales Director of the company stated that there may be contacts between competing operators to verify the application of price increases145.</w:t>
      </w:r>
    </w:p>
    <w:p>
      <w:r>
        <w:t>135. For example, under the entry related to Barbetti, the second client “Calcestruzzi Anguillarese” is noted as having “payment problems.” Next to the third entry (among those of the clients) Edilfiorentini, it is instead written “doesn’t respond?? Check with [omitted]!!” ([omitted] is the Sales Director of 140 Cfr. doc. 71.12. 141 In the hearing, the representatives of Cementi Rossi explained that General Sistem is not currently a client of the company, however, it would be “an old acquaintance” that would operate the exchange of information, namely the circulation of competitors' price lists, “in the name of such a friendship” (doc. 440, p. 5). 142 This circumstance was confirmed during the hearing by the representatives of Cementir (Cfr. doc. 420). 143 Cfr. doc. 420. 144 Cfr. doc. 14. 145 Cfr. doc. 326.</w:t>
      </w:r>
    </w:p>
    <w:p>
      <w:r>
        <w:rPr>
          <w:b/>
        </w:rPr>
        <w:t>[Pages 49–51]</w:t>
      </w:r>
    </w:p>
    <w:p>
      <w:r>
        <w:t>BULLETIN NO. 31 OF AUGUST 16, 2017 51</w:t>
        <w:br/>
        <w:t>Barbetti)146. Under the entry related to Colacem, next to the client "CDE"147 it is written "they did not respond but are willing to remedy the situation. The cem. [dias – illegible] is our exclusive." Under the entry for Buzzi, it is written "[omissis] [commercial director of cement Italy for Buzzi] has orders not to speak with anyone," and indeed the list of six clients reported under Buzzi has no notations, not even the "+9 €." Finally, under the entry for Holcim, for the client CPA148 it is noted "With CPA they have an agreement for the whole year and therefore they trust. An agreement could be made: we here, you there."</w:t>
      </w:r>
    </w:p>
    <w:p>
      <w:r>
        <w:t>136. This document highlights the involvement of the same trade association in the verification of the implementation of price increases. In this document, in fact, the then General Director of Cementir, noting the outcomes of telephone contacts with representatives of competitors made two weeks after the increase that took effect on June 15, 2015, writes: "I spoke with [omissis] [the president of Aitec]: I highlighted some critical issues with Colacem. IT HOLDS WELL!!" (emphasis added)149. The explicit mention of the president of the Association with whom the General Director of Cementir would have "spoken" represents further evidence that the document accounts for discussions between competing operators.</w:t>
      </w:r>
    </w:p>
    <w:p>
      <w:r>
        <w:t>The respect for target shares</w:t>
        <w:br/>
        <w:t>137. As for the evidence regarding the existence of an activity aimed at maintaining the respective market shares, functional to the respect of the price agreement, two documents found at the Cal.me headquarters from 2012 and 2014 are finally referenced. In the first of these documents, dating back to the summer of 2012, after commenting on the failure of a previous price increase attempt, a representative of that company questions how to reduce its market share in order to maintain the high price. In the text of the email, it reads "[omissis] [the partner of Calme who deals with the commercial activities of the company] told me that it was € 6 from 03.09 .. and then to have to reduce sales to also reach -23% in line with the market 'if we want the price to increase and remain high we must be in line'"150. In response to this statement, the interlocutor of the email's author replies "Ok anyway the increase skipped due to Cementir. To get back in 'quota' it is enough to reduce those who pay little and poorly."</w:t>
      </w:r>
    </w:p>
    <w:p>
      <w:r>
        <w:t>138. The second document dates back to the increase of March 2014 and consists of an internal email found at the Cal.me headquarters in which, on one hand, the company's strategy seems to be not to adhere to the increase and, on the other hand, to acquire clientele. In this email, there is a report of a contact with Colacem regarding client acquisitions, as it reads "I have already made some operations, Colacem has already called me. Unicem has made a decrease of 5 euros, consequently bringing the Gef to 75 euros arrival, plus bonuses. So to enter into some position (SOLVABLE), I MUST STABILIZE at 70 EURO/TON ARRIVAL. Stabilizing the market with Colacem and Sacci." In response to this report, another representative of Calme (one of the partners of the company) replies "proceed that we are below quota"151.</w:t>
      </w:r>
    </w:p>
    <w:p>
      <w:r>
        <w:t>146 Barbetti stated that, since it is a co-supplied "bad payer" client, Cementir wanted to know if the payment delays were also attributable to Barbetti and not just to Cementir, thus confirming the existence of contacts between competing operators (Cfr. doc. 515).</w:t>
      </w:r>
    </w:p>
    <w:p>
      <w:r>
        <w:t>147 Probably the company C.D.E. - COSTRUZIONI DISTRIBUZIONE ENERGIA S.r.l.</w:t>
      </w:r>
    </w:p>
    <w:p>
      <w:r>
        <w:t>148 Referring to the client Consorzio Produttori Calcestruzzi, see also doc. n. 107.1 which is co-supplied by many of the parties in the investigative procedure, except in the case of two consortia that are fully supplied by Cementir and Holcim.</w:t>
      </w:r>
    </w:p>
    <w:p>
      <w:r>
        <w:t>149 Cfr. doc. 14.</w:t>
      </w:r>
    </w:p>
    <w:p>
      <w:r>
        <w:t>150 Cfr. doc. 283.3.</w:t>
      </w:r>
    </w:p>
    <w:p>
      <w:r>
        <w:t>151 Cfr. doc. 283.28.</w:t>
      </w:r>
    </w:p>
    <w:p>
      <w:r>
        <w:t>52 BULLETIN NO. 31 OF AUGUST 16, 2017</w:t>
        <w:br/>
        <w:t>139. Overall, the described evidence testifies to direct contacts between the Parties within the framework of an ex-post monitoring regarding the actual application of increases by market operators; the evidence of the objective to preserve predetermined market shares also appears consistent with the most important control tool on the trend of the same, represented by the surveys on the quantities produced, conceived and disseminated by the trade association.</w:t>
      </w:r>
    </w:p>
    <w:p>
      <w:r>
        <w:t>3.2.6 The statistics on market shares disseminated by Aitec</w:t>
        <w:br/>
        <w:t>140. Part of the complex agreement devised by the parties in the investigative procedure is given by the exchange of information carried out by Aitec. From the evidence in the records, it emerges that the Association has disseminated among its members at least since January 31, 2012, statistical elaborations on internal deliveries (i.e., national sales) of cement based on data from ministerial sources, and has created from September 19, 2013, until January 1, 2016, specific "timely" statistics with the operational and technical support of a third-party consulting company, Ria GT, with which Aitec has entered into annual contracts over time152. These statistics allowed the members to verify in real-time the trend of their relative market share compared to other market operators, and thus defined a fundamental tool for verifying compliance with the price agreement.</w:t>
      </w:r>
    </w:p>
    <w:p>
      <w:r>
        <w:t>The interest of AITEC in statistical data on cement production: the use of MISE data</w:t>
        <w:br/>
        <w:t>141. Before 2013, cement companies benefited, through AITEC's re-elaborations, from MISE statistics153, which collected data on the entire national cement production and provided aggregated data by Regions regarding:</w:t>
        <w:br/>
        <w:t>- regional cement and clinker production;</w:t>
        <w:br/>
        <w:t>- regional cement and clinker stocks;</w:t>
        <w:br/>
        <w:t>- regional cement exports.</w:t>
      </w:r>
    </w:p>
    <w:p>
      <w:r>
        <w:t>142. MISE conducted monthly surveys and published the collected data within the first half of the month following the survey. However, this was a practice adopted as a matter of course, as neither the current regulations nor the statements made by MISE and some parties in the investigation – i.e., Italcementi – indicate a legal obligation in this regard154.</w:t>
      </w:r>
    </w:p>
    <w:p>
      <w:r>
        <w:t>143. Conversely, the evidence in the records shows that Aitec had a clear interest in the monthly periodicity and timeliness of the dissemination of ministerial data. In fact, the Ministry's statistics have always been conveyed by Aitec to the member companies through the publication of the so-called "Statistics of interest to the cement industry"155. According to the evidence acquired, these are Aitec's elaborations of the original data from MISE from which the so-called internal delivery data was obtained, deducible from the overall data provided by the Ministry (see infra)156, which was then aggregated in the individual macro-areas defined by the trade association. Several documents in the records of the procedure prove the relevance and use of AITEC statistics for the member companies in order to evaluate mutual market dynamics, both with regard to national market shares157 and in relation to the presence in their respective operational macro-areas, subnational158.</w:t>
      </w:r>
    </w:p>
    <w:p>
      <w:r>
        <w:t>144. The MISE surveys have always been considered of specific interest to the cement industry: in fact, not only until 1999 were they published solely in the Association's magazine159, but Aitec has also encouraged increasingly efficient collection methods by MISE over time160. Lastly, at the Association's urging, the MISE elaborations have been included by the National Statistical Program among the public interest elaborations entrusted to Sistan (National statistical system)161, for which there is an obligation to respond under penalty of sanction162, along with those from Istat163 (for which see infra).</w:t>
      </w:r>
    </w:p>
    <w:p>
      <w:r>
        <w:t>145. Conversely, the Istat monthly survey does not appear to be of similar interest to the cement industry, and, moreover, it differs from the ministerial one in several respects. First of all, the Istat survey serves public purposes, unlike the latter which appears to be a product packaged for industry operators. This is evident not only from the statements made by Istat in response to requests for information but also from what was stated during the hearing by representatives of MISE who qualified the ministerial surveys as a "service activity in favor of the industry"164. In confirmation of this, in the Sistan sheet that describes the characteristics of the MISE surveys, it emerges that the objective of the ministerial elaborations is to "disseminate statistical information on cement production in order to provide trend indicators of production and consumption to industry operators"165. Furthermore, the Istat survey differs from that of MISE due to the greater time lag between the survey and the dissemination of the data (40 days compared to 15/20 for MISE), the type of data collected (only data on the quantities of the industry as a whole), and the level of aggregation (national values and not regional detail as those of MISE).</w:t>
      </w:r>
    </w:p>
    <w:p>
      <w:r>
        <w:t>157 Cfr. doc. 52.23.</w:t>
      </w:r>
    </w:p>
    <w:p>
      <w:r>
        <w:t>158 Cfr. docc. n. 102.99, 141 e 149.</w:t>
      </w:r>
    </w:p>
    <w:p>
      <w:r>
        <w:t>159 Cfr. doc. 472.</w:t>
      </w:r>
    </w:p>
    <w:p>
      <w:r>
        <w:t>160 Until 2012, in fact, the data were collected by MISE via fax, through the completion of specific forms, prepared with the assistance of the trade association Aitec, which each company had to complete and send monthly to the Ministry. Subsequently, in order to speed up the data collection activities by MISE, Aitec "had made itself available to provide both the format for sending data in Excel format and the implementation program" of the same. Therefore, from 2012 onwards, the data collection methods became electronic. Cfr. MISE Circular of January 31, 2012. Cfr. annex 2 hearing Mise.</w:t>
      </w:r>
    </w:p>
    <w:p>
      <w:r>
        <w:t>161 Cfr. art. 13 of Legislative Decree No. 322 of September 6, 1989.</w:t>
      </w:r>
    </w:p>
    <w:p>
      <w:r>
        <w:t>162 Cfr. art. 7, of Legislative Decree No. 322 of September 6, 1989.</w:t>
      </w:r>
    </w:p>
    <w:p>
      <w:r>
        <w:t>163 Istat conducts various surveys included in the National Statistical Program and of significant public interest for the production and marketing of cement. In particular, data on actual production expressed in quantity and sold production expressed in quantity and economic value are surveyed, through census analyses (for industrial companies with 20 or more employees) and sample analyses (for companies with 3 to 19 employees); the data provided aggregated and in absolute value are published, provisionally, within the semester following the year subject to the survey and, definitively, within 12 months of the year of the survey. Istat also conducts the monthly survey on industrial production, which provides index numbers that measure the temporal evolution of industrial production in volume across the industry and for individual production sectors. The data provided are aggregated and in absolute value; the frequency of the survey is monthly, while the data are published on the 40th day following the month subject to the survey. Cfr. doc. 627.</w:t>
      </w:r>
    </w:p>
    <w:p>
      <w:r>
        <w:t>164 Cfr. doc. 472.</w:t>
      </w:r>
    </w:p>
    <w:p>
      <w:r>
        <w:t>165 Cfr. doc.466, annex 4. The purpose of this survey is also recognized by Istat.</w:t>
      </w:r>
    </w:p>
    <w:p>
      <w:r>
        <w:rPr>
          <w:b/>
        </w:rPr>
        <w:t>[Pages 52–54]</w:t>
      </w:r>
    </w:p>
    <w:p>
      <w:r>
        <w:t>54 BULLETIN NO. 31 OF AUGUST 16, 2017</w:t>
        <w:br/>
        <w:t>The autonomous activity of market data collection by AITEC in the period 2013-2016</w:t>
      </w:r>
    </w:p>
    <w:p>
      <w:r>
        <w:t>146. The need to compensate for what AITEC perceived as a growing delay in the publication of data by MISE166 in relation to the need for timeliness in understanding data on cement deliveries by cement companies led the Association, in June 2013, to devise independent surveys167. This is supported by a document obtained during the inspection at Ria's headquarters, which reports the outcomes of a discussion held within AITEC's Marketing and Development Commission on June 19, 2013, in which, commenting on the lack of timeliness in the dissemination of the Ministerial data, the Association observes: "This means that the productions of January could be distributed as late as April 15, a delay that effectively nullifies the informational value of the production data" (emphasis added)168.</w:t>
      </w:r>
    </w:p>
    <w:p>
      <w:r>
        <w:t>147. The statistics, also known as the "Cement Project," were devised by AITEC's Marketing and Development Commission (hereinafter also referred to as the Commission) in June 2013 and were subsequently approved by the Association's Board of Directors on June 20, 2013169.</w:t>
      </w:r>
    </w:p>
    <w:p>
      <w:r>
        <w:t>148. Although AITEC entrusted the task of data processing to the external consulting company Ria170, the Association continued to maintain a leading role in the data collection activities of its members. In the first place, the Association developed not only a portal171 aimed at speeding up the data collection activities of its members – later transferred for use to the aforementioned consulting company172 – but also prepared a document called "GT System," which regulates the operational modalities of the same (i.e., modalities and access levels for Ria, AITEC, and companies; types of data to be entered; data validation methods)173.</w:t>
      </w:r>
    </w:p>
    <w:p>
      <w:r>
        <w:t>166 See, among others, doc. 559, annex 2.19 and doc. 510.3.134. The evidence obtained shows that the Association has repeatedly engaged with MISE to urge it to resume its data processing (See doc. 198.2 and doc. 198.68). In reality, MISE never ceased to produce its surveys, as will be more extensively illustrated in the following section.</w:t>
      </w:r>
    </w:p>
    <w:p>
      <w:r>
        <w:t>167 MISE had indeed informed AITEC that the timing of data publication would be "60 days from the receipt of the data," a timeframe deemed unsatisfactory by the Association.</w:t>
      </w:r>
    </w:p>
    <w:p>
      <w:r>
        <w:t>168 See doc. 510.3.134.</w:t>
      </w:r>
    </w:p>
    <w:p>
      <w:r>
        <w:t>169 In the minutes of the aforementioned Commission of June 19, 2013, at point 3, "Timely Statistics on the Cement Market," the head of the Economic Area and Studies Office of the Association "presents to those present the positive outcomes of the presentation of the project on timely statistics," while in the meeting of AITEC's Board of Directors on June 20, the body "approves ...." See doc. 559, annex 2.19, as well as doc. 198.105.</w:t>
      </w:r>
    </w:p>
    <w:p>
      <w:r>
        <w:t>170 The "Cement Project" was indeed to have characteristics that responded to the suggestions provided by an antitrust lawyer and those that emerged in the Working Group on Legality and Ethics. In particular, incorporating these suggestions, in order to make such surveys compatible with the competition protection regulations, it would have been necessary to: "Outsource to an external auditing company the data collection and their anonymization; Publish the results of the survey on its website on the same day (if only AITEC companies participate with the same granularity of data); Not request additional data beyond those collected by the Ministry but only a processing (the deliveries) carried out on a subset of data; Distribute to member companies the aggregated data by geographical distribution (with further aggregations proposed by the GC Legality)." See doc. 510.3.134.</w:t>
      </w:r>
    </w:p>
    <w:p>
      <w:r>
        <w:t>171 On June 27, 2013, the Association's Marketing Commission informs its members: "We are proceeding in parallel with the development of the supporting information system, which will come into effect after the summer break" (See doc. 198.105). Furthermore, in the contracts signed between the Association and Ria in the three-year period 2013-2016, after a brief description of the type of data that the Association deems necessary to process, it is expressly stated that, for the purpose of carrying out the assignment: "An appropriate website will be made operational and the application system (provided by AITEC) will be installed on it" (See doc. 510.3.2.).</w:t>
      </w:r>
    </w:p>
    <w:p>
      <w:r>
        <w:t>172 See doc. 466, annex 2.</w:t>
      </w:r>
    </w:p>
    <w:p>
      <w:r>
        <w:t>173 Regarding this point, reference is made to the section that describes the information circuit.</w:t>
      </w:r>
    </w:p>
    <w:p>
      <w:r>
        <w:t>BULLETIN NO. 31 OF AUGUST 16, 2017 55</w:t>
        <w:br/>
        <w:t>In the second place, AITEC controlled and managed the material implementation of the information circuit among member companies1174.</w:t>
      </w:r>
    </w:p>
    <w:p>
      <w:r>
        <w:t>In the third place, the Association conveyed the information collected by Ria GT175, on its own letterhead176.</w:t>
      </w:r>
    </w:p>
    <w:p>
      <w:r>
        <w:t>The characteristics of AITEC's surveys: timeliness and reliability</w:t>
      </w:r>
    </w:p>
    <w:p>
      <w:r>
        <w:t>149. AITEC's surveys were to be timely and reliable177. The evidence in the records demonstrates that the Association ensured both requirements: indeed, regarding timeliness, from the contracts signed with Ria, it emerges that the processed data from the companies, aggregated, would be provided by Ria to the Association "by the 5th day of the month following the data collection," or by "the 10th day"178 and subsequently disseminated by AITEC among its members by the middle of the month following the month in question179.</w:t>
      </w:r>
    </w:p>
    <w:p>
      <w:r>
        <w:t>150. Regarding reliability, first of all, it is noted that the surveys were carried out with the contribution of all AITEC members – and two non-member companies, Sacci and Cementi Centro Sud180 – which represent, according to a document found at Italcementi's headquarters, between 70% and 100% of the market depending on the geographical area of survey181. Secondly, AITEC defined precise timelines for data entry by the companies, which - as indicated in the contracts between AITEC and Ria - monthly entered the data of the just-concluded month into the portal managed by Ria182. Thirdly, the application system defined by AITEC specifies in detail the correct modalities for data entry by the companies participating in the circuit and clarifies that releases would occur only after a verification of the truthfulness of the data by the companies183, in order to "provide an overall picture, not contaminated by estimates"184.</w:t>
      </w:r>
    </w:p>
    <w:p>
      <w:r>
        <w:t>174 In this regard, during the hearing, AITEC stated that, although having partial access to the portal managed through Ria, being able only to see the disaggregated data of the member companies, but the status of whether the requested data had been entered by the operators participating in the information circuit, "in case of non-entry of data by the companies within the first days of the month following the surveys, it is AITEC that takes care of sending specific reminders via email to the companies concerned, generated automatically through the portal" transferred for use to the consulting company (See doc. 196).</w:t>
      </w:r>
    </w:p>
    <w:p>
      <w:r>
        <w:t>175 See doc. 71.25 and doc. 196.</w:t>
      </w:r>
    </w:p>
    <w:p>
      <w:r>
        <w:t>176 See, among others, doc. 102.104.</w:t>
      </w:r>
    </w:p>
    <w:p>
      <w:r>
        <w:t>177 When AITEC's Board of Directors approved the project on timely surveys, it hoped that they would have two essential characteristics: timeliness and reliability. At that meeting, those present, noting that "in the opinion of some, particularly of Eng. Michele Buzzi, excessive timeliness in the communication of sector data, when not accompanied by a sufficient degree of reliability of the data themselves, could end up harming the sector by increasing uncertainties," approved "the project asking the working group to find the right compromise between timeliness and reliability of the conjunctural data." See doc. 559, annex 2.19.</w:t>
      </w:r>
    </w:p>
    <w:p>
      <w:r>
        <w:t>178 See docs. 510.3.5, 510.3.2, and 510.3.4.</w:t>
      </w:r>
    </w:p>
    <w:p>
      <w:r>
        <w:t xml:space="preserve">179 To ensure the second of the two requirements – reliability – in the opinion of the Association, it was necessary: </w:t>
        <w:br/>
        <w:t xml:space="preserve">• "a timely adherence of all AITEC companies to the system"; </w:t>
        <w:br/>
        <w:t xml:space="preserve">• The commitment to "remain within the system" by providing their data in a timely manner." </w:t>
        <w:br/>
        <w:t xml:space="preserve">According to AITEC, it was necessary to "start compactly with the market survey and ensure continuity of adherence over time," inviting non-AITEC companies to participate in the surveys "provided they accept the same conditions as member companies" and namely a credible commitment to: </w:t>
        <w:br/>
        <w:t xml:space="preserve">• "Provide truthful data; </w:t>
        <w:br/>
        <w:t xml:space="preserve">• Enter the data with the timeliness required by the system; </w:t>
        <w:br/>
        <w:t>• Adhere to the system with continuity over time." See doc. 510.3.134.</w:t>
      </w:r>
    </w:p>
    <w:p>
      <w:r>
        <w:t>180 See docs. 198.105, 198.54, and 466.</w:t>
      </w:r>
    </w:p>
    <w:p>
      <w:r>
        <w:t>181 See doc. 102.105. Moreover, the number of participants in the surveys has remained virtually constant over time.</w:t>
      </w:r>
    </w:p>
    <w:p>
      <w:r>
        <w:t>182 See doc. 510.3.2.</w:t>
      </w:r>
    </w:p>
    <w:p>
      <w:r>
        <w:t>183 See docs. 510.3.134 and 510.3.30.</w:t>
      </w:r>
    </w:p>
    <w:p>
      <w:r>
        <w:t>56 BULLETIN NO. 31 OF AUGUST 16, 2017</w:t>
        <w:br/>
        <w:t>The contents of the timely statistics and control mechanisms on shares and their variations over time</w:t>
      </w:r>
    </w:p>
    <w:p>
      <w:r>
        <w:t>151. The companies participating in the information circuit established by AITEC directly entered two variables into the database managed by Ria:</w:t>
        <w:br/>
        <w:t>- the cement deliveries in the national territory from the plants located in the area;</w:t>
        <w:br/>
        <w:t>- the cement exports (total Italy)185.</w:t>
      </w:r>
    </w:p>
    <w:p>
      <w:r>
        <w:t>152. The data on cement deliveries represent a subset of the production data traditionally processed by MISE. They can indeed be derived from the data communicated to the Ministry by applying the following formula: production +/- change in cement stocks - exports186. Since deliveries must correspond to the total cement sold to national customers and must be entered in the area where the plant that produced the sold cement is located (not the area where the cement was delivered), the recorded variable provides individual members with a good approximation of their market share in each macro-area to which the plant belongs during the survey period. This is confirmed by the statements made on record by Cal.me, who stated that "cement sales are primarily realized in the regions where the plants themselves are located"187. Similarly, Barbetti stated that a good indicator of an operator's weight in the market is the data on deliveries188.</w:t>
      </w:r>
    </w:p>
    <w:p>
      <w:r>
        <w:t>153. Each participant in the surveys provided aggregated data on deliveries, for each of the geographical areas of belonging, divided by AITEC into four reference macro-areas: northwest, northeast, Central+Sardinia, and South+Sicily189. As already mentioned, the regional territory to which the ministerial-derived data refer is too narrow a scope within which companies can effectively verify their relative market position. In this sense, compared to regional data, the macro-areas used by AITEC represent a more useful approximation for companies in order to estimate the trend of their shares over time190. In each macro-area of the country, however, there is a limited number of operators, a circumstance well known to cement companies.</w:t>
      </w:r>
    </w:p>
    <w:p>
      <w:r>
        <w:t>154. In the start-up phase of the survey, dating back to June 2013, the participating companies in the collection reportedly sent not only the data for the month but also historical production data191. When the survey became fully operational – certainly as of September 19, 2013192 – the companies involved in the timely collections implemented the system every month, entering the data of the just-concluded month193. Furthermore, during the data entry process, algorithms, so-called "outliers," were provided within the system, allowing individual companies to highlight any "anomalous" performances in the reference area (the</w:t>
      </w:r>
    </w:p>
    <w:p>
      <w:r>
        <w:rPr>
          <w:b/>
        </w:rPr>
        <w:t>[Pages 55–57]</w:t>
      </w:r>
    </w:p>
    <w:p>
      <w:r>
        <w:t>BULLETIN NO. 31 OF AUGUST 16, 2017 57</w:t>
        <w:br/>
        <w:t>performance is the variation in sales over time), in order to possibly correct the provided data194. In particular, the GT system was equipped with two algorithms, one called "outlier percentage limit for shares" designed to highlight potentially erroneous values that deviated from the company's market share beyond a certain percentage, and the other, called "outlier percentage limit for performance" which highlighted potentially erroneous values by comparing the company's performance to the previous month, with the performance of other companies and considering values that deviated beyond a certain percentage from the latter as anomalous.</w:t>
      </w:r>
    </w:p>
    <w:p>
      <w:r>
        <w:t>155. Therefore, thanks to these tools, each operator could know in advance, prior to the release of the statistics, whether the data entered was or was not in line with a level deemed not "anomalous" by the system, or in relation to a historical share in the reference area, or, dynamically, in relation to the trend of this. In other words, even before receiving the complete information set from Ria GT, the participant in the survey could infer the trend of their own market share compared to a level of the same deemed "not anomalous" by the system195.</w:t>
      </w:r>
    </w:p>
    <w:p>
      <w:r>
        <w:t>156. The data thus collected was subsequently aggregated by Ria GT and distributed to the participants in the surveys by the 5th or 10th of the month following the data collection196. In any case, the data was disseminated by Aitec to the companies participating in the surveys by the fifteenth day of the month following the reference month: for example, evidence in the records shows that the statistics for September 2013 were sent on the following October 14th197.</w:t>
      </w:r>
    </w:p>
    <w:p>
      <w:r>
        <w:t>157. There were two types of output that Aitec sent over time to its members. In 2013, in fact, the tables sent to the operators reported in total and by macro-area (the latter considered the most appropriate reference context due to the characteristics of the product)198:</w:t>
        <w:br/>
        <w:t>- the data in tons;</w:t>
        <w:br/>
        <w:t>- the number of companies participating in the surveys;</w:t>
        <w:br/>
        <w:t>- the percentage variation of the production data compared to the corresponding month of the previous year199.</w:t>
      </w:r>
    </w:p>
    <w:p>
      <w:r>
        <w:t>158. In 2015, on the other hand, Aitec distributed to its members – in total and by macro-area – only the percentage variations of the production data compared to the previous month and compared to the same month of the previous year. These percentage variations were then compared with the same type of data referring to the entirety of all actors present in the cement market200. Although the data was aggregated by macro-area, it is noted that in each of them, as evidenced by the Association's website and as confirmed during the hearing by Aitec itself, there is not a particularly high number of operators – about 6/7 operators per territorial area of reference – each of whom knows the territorial distribution of the other companies' plants201. In other words, each operator had the opportunity to verify the trend of their own market share compared to the other competing companies present within the reference macro-area202.</w:t>
      </w:r>
    </w:p>
    <w:p>
      <w:r>
        <w:t>159. Along with the tables containing the aggregated data of the timely participants, Ria also distributed to the companies the aggregated data from the Ministry, although the latter suffered from time delays203. In this way, the members had two sources of information:</w:t>
        <w:br/>
        <w:t>- the census from the Ministry, with the total number of cement plants;</w:t>
        <w:br/>
        <w:t>- the flash surveys with the internal deliveries and exports of the member companies. This allowed, according to what was stated during the hearing by Cal.me, to understand, by difference, how much the plants not included in the Aitec sample produced and therefore, in general, to benefit from a more complete data of the market, albeit with considerable delay204.</w:t>
      </w:r>
    </w:p>
    <w:p>
      <w:r>
        <w:t>160. Finally, Aitec, before officially publishing the processed data on its website, anticipated to all the companies participating in the surveys the monthly processing to allow the operators a preliminary control activity of the same205.</w:t>
      </w:r>
    </w:p>
    <w:p>
      <w:r>
        <w:t>161. In conclusion, from the described evidence, it emerges that Aitec has devised and made available to its members a tool that allowed them to monitor the trend of their respective market shares, functional to a mutual control activity of the agreed market conducts. In particular, the timeliness of the releases - although aggregated - provides operators located in the various macro-areas with a remarkably quick benchmark for verifying the existence of potential misalignments attributable to an aggressive growth strategy of some competitor.</w:t>
      </w:r>
    </w:p>
    <w:p>
      <w:r>
        <w:t>The cessation of timely statistics in light of the self-commitments of the Community case AT39520 and the process of computerization of data collection at the Ministry</w:t>
      </w:r>
    </w:p>
    <w:p>
      <w:r>
        <w:t>162. At the beginning of 2016, Aitec communicated to Ria the intention to suspend the commissioned timely surveys, due to the voluntary commitments undertaken by some members, within the framework of the antitrust community procedure (Case Comp 39520)206; in particular, the cessation of Ria's service was linked to the commitments undertaken by Holcim within the community procedure, which provided for a 6-month delay in sending production data to the trade association, a delay that: "effectively renders the market information useless"207.</w:t>
      </w:r>
    </w:p>
    <w:p>
      <w:r>
        <w:t>163. As is known, in 2010, the European Commission (hereinafter also "Commission") initiated an investigative procedure, pursuant to Article 101 of the TFEU, which involved many companies in the sector, including some companies active in Italy and parties to the present investigative procedure – Holcim, Italcementi, and Buzzi. The procedure was closed on July 31, 2015, with a brief note published on the Commission's website and not with a formal decision pursuant to Article 9 of Regulation 1/2003208. Even before the closure of the case by the Commission, some parties – notably Italcementi – had attempted to negotiate possible commitments with the Commission209. After the Commission closed the case without adopting a formal decision, both Holcim and Italcementi had nonetheless expressed the intention – during 2015 – to implement the commitments on an individual and voluntary basis210, effective from April and May 2016211, respectively.</w:t>
      </w:r>
    </w:p>
    <w:p>
      <w:r>
        <w:t>164. The commitments concerned not only communications regarding prices to customers but also the methods of data collection by the trade association. In this regard, Holcim committed not to provide any non-public information to the Association before 6 months had elapsed from the reference object212, while according to Italcementi, the delay period should be 3 months213.</w:t>
      </w:r>
    </w:p>
    <w:p>
      <w:r>
        <w:t>165. During the period of the community procedure, Aitec developed the idea of revitalizing the data collection methods on cement production by the MISE: in fact, at the end of December 2014, the marketing commission of the Association reported the creation of software capable of speeding up the survey operations, to be installed at the MISE headquarters214.</w:t>
      </w:r>
    </w:p>
    <w:p>
      <w:r>
        <w:t>166. Subsequently, Aitec began working on the development of the portal for data collection by the Ministry; in particular, a significant impetus to the computerization of data collection by the MISE was observed in the following month of May 2015, during the same days when Italcementi discussed internally the content of possible commitments to be presented to the Commission for the closure of the community case215. In this regard, in an email found at Buzzi's headquarters, there is the text of a memo, sent on May 29, 2015 – two days after the discussion on commitments within Italcementi – to the members of the Marketing and Development Commission, to the Market and Planning Working Group, to the Ria data entry managers, as well as to the statistics managers of non-member companies, in which it reads: "Dear colleagues, the development of the data collection portal is well underway... Aitec has been developing, for several months, the system that will be installed on the Ministry's server after the testing phase, with the delivery of the administration user and password to the MISE officials. After the delivery of the access credentials... Aitec personnel will no longer have access to the data of individual plants, but will have available a censored system of the data collection process"216. The email continues by informing the members that algorithms for verifying the consistency of the entered data have been inserted into the system, and lists the data on monthly productions that the companies, both Aitec members and non-members, must provide.</w:t>
      </w:r>
    </w:p>
    <w:p>
      <w:r>
        <w:rPr>
          <w:b/>
        </w:rPr>
        <w:t>[Pages 58–60]</w:t>
      </w:r>
    </w:p>
    <w:p>
      <w:r>
        <w:t>60 BULLETIN NO. 31 OF AUGUST 16, 2017</w:t>
        <w:br/>
        <w:t>The email concludes by informing the recipients that, once the testing phase managed by Aitec is completed, the system will migrate to the Mise server with the data already entered. And as in the case of the surveys entrusted to Ria, Aitec also ensures a post hoc verification of the truthfulness of the data by the associates, asking them to validate the entered data again or to make modifications in case of errors detected217.</w:t>
      </w:r>
    </w:p>
    <w:p>
      <w:r>
        <w:t>167. Finally, in November 2015, during the Marketing Commission meeting, Aitec informs the associates about the new survey conducted by the MISE. In particular, the Association informs the participants in the meeting that the Ministry has prepared a circular to inform cement companies of the new data collection methods and, at the same time, takes a proactive role, expressing the need to encourage some non-associated operators to enter their data on the Ministry's portal. To this end, in the slides attached to the minutes of the meeting, it reads: “MISE Survey</w:t>
        <w:br/>
        <w:t>- We are there!...Almost</w:t>
        <w:br/>
        <w:t>- The circular has been drafted in a not very clear manner (from 2016 but effective from 2015)</w:t>
        <w:br/>
        <w:t xml:space="preserve">- It is necessary to urge the entry into the Mise portal (from February 2015 onwards): ……”218. </w:t>
        <w:br/>
        <w:t>A list of subjects who should become potential contributors to the system follows.</w:t>
      </w:r>
    </w:p>
    <w:p>
      <w:r>
        <w:t>As of January 2016, therefore, statistical processing activities by the Ministry resumed219.</w:t>
      </w:r>
    </w:p>
    <w:p>
      <w:r>
        <w:t>3.2.7 Awareness of possible antitrust issues</w:t>
      </w:r>
    </w:p>
    <w:p>
      <w:r>
        <w:t>168. Several elements testify, finally, that some of the parties involved in the investigative procedure were aware of the sensitivity, from an antitrust perspective, of the conduct adopted both regarding the coordination in the price increase of cement to customers and regarding the methods of data collection through the trade association Aitec.</w:t>
      </w:r>
    </w:p>
    <w:p>
      <w:r>
        <w:t>169. It is recalled, as already illustrated in the preceding sections, that the sector has been subject to scrutiny by the EU Commission several times: first in the 1990s, having closed the famous "Cement" decision, with which, after establishing the existence of a general agreement (the so-called "Cembureau agreement"), concerning compliance with the limits of national markets and the regulation of cement transfers from one country to another, in violation of the then Article 85 of the EEC Treaty (current Article 101 TFEU), imposed a substantial fine on six multinational cement producers, including Italcementi, Buzzi, and Cementir220; a second time, starting from 2010 and until the summer of 2015, within a community procedure that involved, among others, three major Italian operators, namely Italcementi, Buzzi, and Holcim, which concluded with a brief decision from the Commission221 (and the adoption, by some operators, of the aforementioned self-commitments (see supra)), in the absence of sufficient circumstantial evidence as recognized by some Parties in this investigative procedure222.</w:t>
      </w:r>
    </w:p>
    <w:p>
      <w:r>
        <w:t>170. The issues raised by the Commission during the recent community procedure have been discussed several times within the companies involved, and there is ample evidence of them in the records of this proceeding.</w:t>
      </w:r>
    </w:p>
    <w:p>
      <w:r>
        <w:t>217 See doc. 214, attachment 44. Further information on the data collection system developed by Aitec for the Ministry can be found in doc. 198.2.</w:t>
        <w:br/>
        <w:t>218 See doc. 198.76.</w:t>
        <w:br/>
        <w:t>219 See MISE circular of November 4, 2015, available on the website www.sviluppoeconomico.gov.it.</w:t>
        <w:br/>
        <w:t>220 See EU Commission Decision 94/815 of November 30, 1994.</w:t>
        <w:br/>
        <w:t>221 See Commission Decision regarding case AT 39520 of July 31, 2015.</w:t>
        <w:br/>
        <w:t>222 See doc. 920 and doc. 921.</w:t>
      </w:r>
    </w:p>
    <w:p>
      <w:r>
        <w:t>BULLETIN NO. 31 OF AUGUST 16, 2017 61</w:t>
        <w:br/>
        <w:t>First, a document found at the Italcementi headquarters indicates that the company addressed some issues raised by the Commission regarding the genesis of the price increases practiced by the company and the consequent responses provided by Italcementi223.</w:t>
      </w:r>
    </w:p>
    <w:p>
      <w:r>
        <w:t>171. A second document in the records of the procedure was found at the Buzzi headquarters – which does not appear to have submitted voluntary commitments following the community procedure –. The document is dated November 2, 2015, thus drafted after the closure of the case by the Commission, and is titled “Proposal for a new price list.” From the analysis of the document, an employee of the company, after informing his superiors that he had obtained from some clients the letters of price increases sent respectively by Colacem and Italcementi applicable from the following January 2016, attaches a proposal for a price increase letter from Buzzi, asking for their opinion. He receives a prompt response from a Buzzi representative, articulated as follows: “For me it’s fine. It needs to be looked at a moment with [omitted] in light of the recent European antitrust ‘guidelines’” (underlining and emphasis added)224.</w:t>
      </w:r>
    </w:p>
    <w:p>
      <w:r>
        <w:t>172. Then, a document dated November 5, 2015, found at the Holcim headquarters, in which a foreign representative of the company reports on the self-commitments adopted by Holcim following the closure of the community procedure, both regarding possible future methods of drafting price increase letters and regarding the methods of collecting and circulating information through Aitec. In commenting on the content of the commitments, an official of Holcim (Italy) informs the CEO of his intention to proceed with a price increase for cement around mid-November and invites him to find a solution compatible with the commitments made: “I would like to go for a price increase in the second half of November in cem….I would like to go for an increase of the price list…So we have to find a solution as soon as possible, maybe dedicated letter, or letter for group of clients or something else”225.</w:t>
      </w:r>
    </w:p>
    <w:p>
      <w:r>
        <w:t>173. An additional set of documents in the records of the investigative procedure also indicates that the same trade association had questioned the criteria for informing the timely surveys then carried out with the assistance of the third-party consulting company and had subsequently decided to create its own elaborations provided that – as emerged during the Marketing and Development Commission meeting – they were equipped with specific requirements, in order to make them compliant with competition protection regulations226. The Association would then withdraw from the contract with Ria effective April 1, 2016, in light of the antitrust agreements signed by some associates227.</w:t>
      </w:r>
    </w:p>
    <w:p>
      <w:r>
        <w:t>174. The sensitivity of the issue regarding data collection methods arises, subsequently, in June 2015, when Italcementi asks Aitec, before the computerization of data collection by the Ministry of Economic Development, what measures will be adopted to prevent the Association from conducting monitoring or accessing the data uploaded by the companies participating in the surveys228.</w:t>
      </w:r>
    </w:p>
    <w:p>
      <w:r>
        <w:t>175. Lastly, it is noted that Aitec, following the closure of the community procedure, discussed and approved, on June 22, 2016, a package of proposals, presented by the General Council, consistent with the self-commitments undertaken by some parties in the investigative procedure. Specifically, this package provided for:</w:t>
        <w:br/>
        <w:t>- the elimination of the timely statistical survey activities carried out by the Association, even through third-party companies, except for individual production data which must be communicated with at least a 6-month delay by the companies;</w:t>
        <w:br/>
        <w:t>- the introduction of an antitrust compliance program;</w:t>
        <w:br/>
        <w:t>- the revision of the Association's Code of Conduct, in order to make it more compliant with antitrust regulations229.</w:t>
      </w:r>
    </w:p>
    <w:p>
      <w:r>
        <w:t>MARKET OUTCOMES</w:t>
      </w:r>
    </w:p>
    <w:p>
      <w:r>
        <w:t>Premise</w:t>
      </w:r>
    </w:p>
    <w:p>
      <w:r>
        <w:t>176. As a preliminary matter, it is noted that during the period affected by the conduct subject to this investigation, the cement market experienced a drastic decline in demand and quantities sold. The total volumes sold decreased from over 32 million tons in 2011 to less than 20 million in 2016, recording a contraction of about 43%. The following figure shows the trend of total volumes (estimated in terms of internal deliveries) from 2011 to 2016, expressed as a percentage of the 2011 value230.</w:t>
      </w:r>
    </w:p>
    <w:p>
      <w:r>
        <w:t>Figure 4 - Trend of total volumes</w:t>
        <w:br/>
        <w:t>Source: AGCM processing on MISE data</w:t>
      </w:r>
    </w:p>
    <w:p>
      <w:r>
        <w:t xml:space="preserve">177. Regarding the trend of production costs, they also seem to have followed an overall decreasing trend since the beginning of 2011. More specifically, the trend of what, based on the indications provided by the Parties, are the main variable production costs of cement, namely the cost of fuel and electricity (which together account for approximately two-thirds of the total costs), has been analyzed. </w:t>
        <w:br/>
        <w:t>229 See doc. 559.</w:t>
        <w:br/>
        <w:t>230 It should also be noted that the trend of volumes sold to third parties by the cement companies that are Parties to the procedure (volumes used for calculating actual average revenues) is extremely similar – and almost entirely overlapping – to that shown in the Figure, which was instead obtained using data from the statistical surveys of the MISE.</w:t>
      </w:r>
    </w:p>
    <w:p>
      <w:r>
        <w:rPr>
          <w:b/>
        </w:rPr>
        <w:t>[Pages 61–63]</w:t>
      </w:r>
    </w:p>
    <w:p>
      <w:r>
        <w:t>BULLETIN NO. 31 OF AUGUST 16, 2017 63</w:t>
        <w:br/>
        <w:t>variable costs incurred to produce one ton of cement)231. The respective trends of these values, related to the value at the beginning of the period (January 2011), are depicted in the following figure (see Figure 5).</w:t>
      </w:r>
    </w:p>
    <w:p>
      <w:r>
        <w:t>Figure 5 - Evolution of coke products and electricity prices – 2011-2016</w:t>
        <w:br/>
        <w:t>Source: Istat and GME</w:t>
      </w:r>
    </w:p>
    <w:p>
      <w:r>
        <w:t>178. In this context, it seems reasonable to believe that a normal competitive dynamic among cement companies should not have led to an increasing trend in prices, as was actually observed between 2011 and 2016 (see infra).</w:t>
      </w:r>
    </w:p>
    <w:p>
      <w:r>
        <w:t>3.3.1 The trend of actual prices</w:t>
      </w:r>
    </w:p>
    <w:p>
      <w:r>
        <w:t>179. The Parties have argued, in various forums, that the observed parallelism, relating to generalized changes in nominal prices (price lists or generalized cuts in discounts), had a different outcome in terms of actual prices, to the point of claiming (with particular reference to the company Holcim) that the observed parallel price increases concerned variables that were entirely irrelevant from a competitive standpoint and had exclusively nominal value. However, most companies acknowledged that, although not for the entire amount projected (due to discounts applied to individual customers and negotiations with them), the nominal increases communicated did indeed have an actual translation into the prices charged to customers.</w:t>
      </w:r>
    </w:p>
    <w:p>
      <w:r>
        <w:t>231 Regarding these cost items, the trend of the Istat indicator "manufacture of coke products" (Ateco 2007: 191) was analyzed, available on the website of that institute, as well as the trend of the National Single Price (obtained from the website of the Energy Market Manager).</w:t>
      </w:r>
    </w:p>
    <w:p>
      <w:r>
        <w:t>64 BULLETIN NO. 31 OF AUGUST 16, 2017</w:t>
      </w:r>
    </w:p>
    <w:p>
      <w:r>
        <w:t>180. The following graphs, obtained by reworking and aggregating data provided by the Parties, show the trend of the average actual prices of cement (marketed respectively in bulk and in bags), with reference to sales to third parties in the national market and with delivery ex works. In the same graphs, the moments in time when the various episodes of generalized price increases of cement occurred are also highlighted, with an indication, for each of these episodes, of the expected price change.</w:t>
      </w:r>
    </w:p>
    <w:p>
      <w:r>
        <w:t>Figure 6 - Average revenue from sales to third parties of bulk cement</w:t>
        <w:br/>
        <w:t>Source: AGCM elaborations on data from the Parties (see Appendix).</w:t>
      </w:r>
    </w:p>
    <w:p>
      <w:r>
        <w:t>BULLETIN NO. 31 OF AUGUST 16, 2017 65</w:t>
      </w:r>
    </w:p>
    <w:p>
      <w:r>
        <w:t>Figure 7 - Average revenue from sales to third parties of bagged cement</w:t>
        <w:br/>
        <w:t>Source: AGCM elaborations on data from the Parties (see Appendix)</w:t>
      </w:r>
    </w:p>
    <w:p>
      <w:r>
        <w:t>181. The graphs, which report the trend of the average actual revenue from cement sales made to third parties in the national market, clearly show how, during the period considered, the trend of actual prices was significantly influenced by the increases in nominal prices agreed upon by the Parties. The actual prices, in fact, clearly show a sequence of upward "jumps" precisely corresponding to the increases in nominal prices.</w:t>
      </w:r>
    </w:p>
    <w:p>
      <w:r>
        <w:t>182. The aforementioned discontinuities, that is, the upward "jumps" in actual prices, correspond precisely to the episodes of generalized increases in nominal prices that are the subject of this investigation. It is recalled, however, that in March 2014 the attempted price increase was withdrawn at the outset by a large part of the companies, and in March 2015, the increase was first communicated and subsequently withdrawn, before the effective date, through generalized communications disseminated in the market. The increase expected for January 2016 appears to have had very little or no application, likely also considering that just at the end of November, when the companies had already widely circulated the communications of increase for January 2016, the Authority initiated the present Procedure. Finally, regarding the further price increase expected for the summer of 2016 announced by some of the Parties (but not evidenced by the documentation acquired during the inspection, chronologically prior), in that case, the increase in actual prices also appears to be contained. For all other episodes of increase, however, the trend of actual prices records very evident upward "jumps."</w:t>
      </w:r>
    </w:p>
    <w:p>
      <w:r>
        <w:t>183. The presence of such "jumps" has meant that, during the observation period, the level of prices did not overall experience any decrease, as the average prices of 2016 were even slightly higher than those at the beginning of 2011. On the contrary, the level of prices was, for most of the period 2011-2016, well above the levels observed at the beginning and end of the same (i.e., the levels of 2011 and 2016). In particular, the actual prices considered, at the beginning</w:t>
      </w:r>
    </w:p>
    <w:p>
      <w:r>
        <w:rPr>
          <w:b/>
        </w:rPr>
        <w:t>[Pages 64–66]</w:t>
      </w:r>
    </w:p>
    <w:p>
      <w:r>
        <w:t>66 BULLETIN NO. 31 OF AUGUST 16, 2017</w:t>
        <w:br/>
        <w:t>of 2013 (subsequent to the third episode of generalized price increases among those subject to this investigation), reached levels approximately 25-30% higher than the initial level of the observation period (beginning of 2011).</w:t>
      </w:r>
    </w:p>
    <w:p>
      <w:r>
        <w:t>184. More specifically, it is observed that each of the episodes of price increases under contestation was followed by a rapid upward change in average revenue, which generally manifests within the first two months following the change in nominal prices. With reference to the first contested episode of increase, namely the increase of 12 euros per ton scheduled for June 2011, the average revenue increases by approximately 7.5 euros for bulk cement and about 10 euros for bagged cement between May and July, before resuming the usual trend of slow and steady decline. Regarding the increase of 12 euros per ton scheduled for the beginning of 2012, it translates into a change of approximately 8.5 euros for bulk cement and about 7 euros for bagged cement from December 2011 to February 2012, before prices return to the usual trend of slow decline. Concerning the subsequent episode, namely the increase of approximately 10 euros per ton scheduled for early 2013, it is accompanied by an increase in actual prices of nearly 5 euros for bulk cement and about 8.5 euros for bagged cement from December 2012 to February 2013. In relation to the increase of 9 euros per ton scheduled for mid-June 2015, it resulted in an increase in actual prices of just over 4 euros per ton for bulk cement and about 6 euros for bagged cement, as observed by comparing the average actual prices of July 2015 with those of May of the same year. The comparison between the increase in nominal prices and that of average actual prices is summarized in the following Table (see Table 5)232.</w:t>
      </w:r>
    </w:p>
    <w:p>
      <w:r>
        <w:t>Table 5 – nominal increases and actual increases in the first two months: 2011-2015</w:t>
        <w:br/>
        <w:t>Actual price increase Actual price increase</w:t>
        <w:br/>
        <w:t>Nominal increase - bulk - bagged</w:t>
        <w:br/>
        <w:t>June 2011 +12 euros/ton + 7.5 euros/ton + 10 euros/ton</w:t>
        <w:br/>
        <w:t>January 2012 + 12 euros/ton + 8.5 euros/ton + 9 euros/ton</w:t>
        <w:br/>
        <w:t>January 2013 + 10 euros/ton + 5 euros/ton + 8.5 euros/ton</w:t>
        <w:br/>
        <w:t>June 2015 + 9 euros/ton + 4 euros/ton + 6 euros/ton</w:t>
        <w:br/>
        <w:t>Source: AGCM elaborations on data provided by the Parties (see Appendix).</w:t>
      </w:r>
    </w:p>
    <w:p>
      <w:r>
        <w:t>185. With reference to the last episode of increase documented in the inspection documentation, that concerning the list price increase of 9 euros per ton communicated for the beginning of 2016, shortly before the initiation of the present proceedings, it translated for both modalities into a modest increase in actual prices, amounting to at most about 0.5 euros. Finally, regarding the further increase in the summer of 2016, reported by some companies, it, although having settled at a nominal amount of 5 euros per ton, resulted in an increase of around 0.8 euros for bulk cement and about 3 euros for bagged cement.</w:t>
      </w:r>
    </w:p>
    <w:p>
      <w:r>
        <w:t>232 In calculating the change in actual prices corresponding to the episodes of generalized increases, the comparison presented in the table was made between the average actual revenue of the following month and that of the previous month relative to the month of the increase's effective date. Therefore, for example, for the increases of June 2011 and June 2015, the change in actual prices was obtained by comparing the values of July with those of May of the respective years. For the increases in January, similarly, the comparison was made between the average revenues of February and those of the previous December. This choice reflects, on one hand, the effective date that, in some cases, was expected to be around the middle of the month, and on the other hand, the timing of the actual implementation of the increases themselves.</w:t>
      </w:r>
    </w:p>
    <w:p>
      <w:r>
        <w:t>BULLETIN NO. 31 OF AUGUST 16, 2017 67</w:t>
        <w:br/>
        <w:t>Table 6 – nominal increases and actual increases in the first two months: 2016</w:t>
        <w:br/>
        <w:t>Actual price increase - Actual price increase</w:t>
        <w:br/>
        <w:t>Nominal increase - bulk - bagged</w:t>
        <w:br/>
        <w:t>January 2016 + 9 euros/ton + 0.5 euros/ton + 0.5 euros/ton</w:t>
        <w:br/>
        <w:t>July/August 2016 +5 euros/ton +0.8 euros/ton +3 euros/ton</w:t>
        <w:br/>
        <w:t>Source: AGCM elaborations on data provided by the Parties (see Appendix).</w:t>
      </w:r>
    </w:p>
    <w:p>
      <w:r>
        <w:t>186. Outside of the described discontinuities, average actual prices follow a very regular and constant trend over time, characterized by a slow and gradual decline, a trend that is consistent with the ongoing phenomena in the sector (reduction in demand, physiological efficiency processes, and a slightly declining trend in the price of main inputs). In this regard, it is noteworthy that, following a given episode of increase, the decline in actual prices manifests gradually over all the months (even numerous) preceding the subsequent episode of increase. In other words, once the "jump" upwards has occurred, actual prices do not show equivalent discontinuities in the opposite direction that would have been reasonable to expect if the subsequent competition among the Parties had "canceled" the price increases effectively applied in the first months of the nominal increase's effective date. On the contrary, the observation of the graphs contained in Figures 6 and 7 suggests that there is a substantial "upward shift" in the trend of average actual revenues. Therefore, the impact of the concertation on prices is not limited to the phases of sudden increases in actual prices, but appears to influence the entire price trend during the considered period.</w:t>
      </w:r>
    </w:p>
    <w:p>
      <w:r>
        <w:t>187. To illustrate this, consider, for example, that it took approximately a year for the average revenue level to return to the levels achieved at the end of 2012, following the increase scheduled for the beginning of 2013, that is, before the aforementioned increase. During that year, the average revenue level was always higher than the pre-increase level. Similarly, the average revenues achieved at the end of 2011 (before the increase scheduled for the beginning of 2012) were only reached again in the second half of 2014 (that is, almost three years after the early 2012 increase, during which the average revenues were always significantly higher than the levels prior to that increase).</w:t>
      </w:r>
    </w:p>
    <w:p>
      <w:r>
        <w:t>188. The following table illustrates the average percentage changes in average revenue compared to the previous month, for the different phases that characterized the market in the considered time frame, in order to provide a further reading of the trends and the related observed discontinuities. In particular, the data reported in the table represents the average, for each indicated sub-period, of the monthly percentage changes recorded by the average actual revenue233. Consistent with what was observed previously, in the sub-periods corresponding to the phases of generalized increases in nominal prices, the month within which the nominal increase was expected to take effect was included, as well as the month following it. Conversely, in the sub-periods external to the phases of increase, all months between one increase phase and the next were included.</w:t>
      </w:r>
    </w:p>
    <w:p>
      <w:r>
        <w:t>The results of this elaboration highlight that, in the periods external to the phases of increase, characterized by a rather variable duration (from 2 to 27 months), there is a similar average monthly change over time, always characterized by a slight and gradual decline in the level of average revenues: for example, for the entire period 2011-2015, the average monthly change in all periods not affected by increases is always between -0.5% and -0.8%. In contrast, during the periods of increase, there is instead an upward average change with much more marked percentages.</w:t>
      </w:r>
    </w:p>
    <w:p>
      <w:r>
        <w:t>Table 7 – percentage change in average revenue compared to the previous month</w:t>
        <w:br/>
        <w:t>Bulk Bagged</w:t>
        <w:br/>
        <w:t>April 2011 – May 2011* (2 months) - 0.6% -0.6%</w:t>
        <w:br/>
        <w:t>June 2011 – July 2011 (2 months) + 7.5% + 8.2%</w:t>
        <w:br/>
        <w:t>August 2011 – December 2011 (5 months) -0.5% -0.8%</w:t>
        <w:br/>
        <w:t>January 2012 – February 2012 (2 months) + 7.7% + 7.1%</w:t>
        <w:br/>
        <w:t>March 2012 – December 2012 (10 months) -0.8% -0.8%</w:t>
        <w:br/>
        <w:t>January 2013 – February 2013 (2 months) +4.2% +6.0%</w:t>
        <w:br/>
        <w:t>March 2013 – May 2015 (27 months) -0.8% -0.9%</w:t>
        <w:br/>
        <w:t>June 2015 – July 2015 (2 months) +4.1% +5.5%</w:t>
        <w:br/>
        <w:t>August 2015 – December 2015 (5 months) -0.5% -1.0%</w:t>
        <w:br/>
        <w:t>January 2016 – February 2016 (2 months) +0.2% +0.1%</w:t>
        <w:br/>
        <w:t>March 2016 – June 2016 (4 months) -1.2% -1.1%</w:t>
        <w:br/>
        <w:t>July 2016 – August 2016 (2 months) +0.8% + 2.5%</w:t>
        <w:br/>
        <w:t>Source: AGCM elaborations on data from the Parties (see Appendix)</w:t>
        <w:br/>
        <w:t>* The Table does not refer to the data for January and February 2011 as in those months, according to the statements of the Parties, there was an ongoing further episode of increase, which, however, is not the subject of this investigation.</w:t>
      </w:r>
    </w:p>
    <w:p>
      <w:r>
        <w:t>189. The company Holcim has objected that the nominal prices, on which the parallel increases observed in the sector are based, would have no appreciable relationship with the actual prices234.</w:t>
        <w:br/>
        <w:t>[Omitted] 235.</w:t>
      </w:r>
    </w:p>
    <w:p>
      <w:r>
        <w:t xml:space="preserve">190. Observing the trend of average revenues of individual companies, it is noted that most of them exhibit a trend that is entirely similar to the general one illustrated so far, as sharp increases in the level of average revenues are also recorded in proximity to the episodes of generalized price increases subject to investigation, which have not been followed by a corresponding downward discontinuity that has canceled the effect of the increases. With the exception of some companies, whose average revenues show slightly diversified trends in some episodes, the actual average revenues of the Parties are therefore characterized by discontinuities similar to those described in this section with reference to the overall average revenues (see Appendix). </w:t>
        <w:br/>
        <w:t>234 See doc. 522 bis (economic analysis).</w:t>
        <w:br/>
        <w:t>235 [Omitted].</w:t>
      </w:r>
    </w:p>
    <w:p>
      <w:r>
        <w:rPr>
          <w:b/>
        </w:rPr>
        <w:t>[Pages 67–69]</w:t>
      </w:r>
    </w:p>
    <w:p>
      <w:r>
        <w:t>BULLETIN NO. 31 OF AUGUST 16, 2017 69</w:t>
      </w:r>
    </w:p>
    <w:p>
      <w:r>
        <w:t>191. The following table shows, in relation to each episode of increase, the number of Parties that record, within the considered increase period (defined using the same criterion as in the previous table, that is, including the month of the increase's commencement and the following month), an "anomalous" increase in average revenue compared to the previous month236. More precisely, an "anomalous" increase is defined as an increase that is greater than any other increase recorded by that same company outside the identified increase periods in the table.</w:t>
      </w:r>
    </w:p>
    <w:p>
      <w:r>
        <w:t>Table 8 - Number of companies showing an anomalous increase in average revenue during periods of generalized nominal price increases – 2011 - 2015</w:t>
      </w:r>
    </w:p>
    <w:p>
      <w:r>
        <w:t xml:space="preserve">Bulk Sack  </w:t>
        <w:br/>
        <w:t xml:space="preserve">June 2011 (June 2011 – July 2011) 11/12 7/12  </w:t>
        <w:br/>
        <w:t xml:space="preserve">January 2012 (January 2012 – February 2012) 11/12 8/12  </w:t>
        <w:br/>
        <w:t xml:space="preserve">January 2013 (January 2013 – February 2013) 9/13 9/13  </w:t>
        <w:br/>
        <w:t>June 2015 (June 2015 – July 2015) 8/13 8/13</w:t>
      </w:r>
    </w:p>
    <w:p>
      <w:r>
        <w:t>Source: AGCM elaborations on data from the Parties (see Appendix)</w:t>
      </w:r>
    </w:p>
    <w:p>
      <w:r>
        <w:t>Table 9 - Number of companies showing an anomalous increase in average revenue during periods of generalized nominal price increases – 2016</w:t>
      </w:r>
    </w:p>
    <w:p>
      <w:r>
        <w:t xml:space="preserve">Bulk Sack  </w:t>
        <w:br/>
        <w:t xml:space="preserve">January 2016 (January 2016 – February 2016) 1/13 2/13  </w:t>
        <w:br/>
        <w:t>July/August 2016 (July 2016 – August 2016) 3/12 6/12</w:t>
      </w:r>
    </w:p>
    <w:p>
      <w:r>
        <w:t>Source: AGCM elaborations on data from the Parties (see Appendix)</w:t>
      </w:r>
    </w:p>
    <w:p>
      <w:r>
        <w:t>192. As can be seen, with reference to, for example, bulk cement, for almost all Parties (for 11 companies out of 12) the increases in mid-2011 and January 2012 coincided with anomalous increases in their respective actual average revenues237. This number slightly decreases but remains high in the two subsequent episodes of generalized price increases, during which most companies (respectively 9/13 for the increase in January 2013 and 8/13 for the increase expected in June 2015) recorded anomalous increases in their actual average revenues238. Conversely, regarding the implementation of the increases planned for 2016 (in January, July, and August of that year), following the initiation of the present procedure, the limited application of these in the actual prices already highlighted concerning the average data of all companies also translates into a low occurrence of anomalous increases during the same periods by individual companies.</w:t>
      </w:r>
    </w:p>
    <w:p>
      <w:r>
        <w:t>236 The number of companies considered varies slightly between years based on the availability of data for calculating the respective monthly average revenues. It should also be noted that Cementizillo and Cementeria di Monselice are considered, for the purposes of this analysis, as a single entity.</w:t>
      </w:r>
    </w:p>
    <w:p>
      <w:r>
        <w:t>237 This means that for 11 companies out of 12 during these periods, an increase in average revenue (compared to the previous month) was recorded that exceeds any other increase (compared to the previous month) observable outside the identified increase periods in the table.</w:t>
      </w:r>
    </w:p>
    <w:p>
      <w:r>
        <w:t>238 It should also be clarified that in some cases where an anomalous increase does not occur, this is due to the presence of significant increases recorded in months that, although not belonging to the identified increase sub-periods, are nonetheless close to them (these are therefore increases that could, in turn, be linked to the generalized nominal price increase occurring nearby).</w:t>
      </w:r>
    </w:p>
    <w:p>
      <w:r>
        <w:t>70 BULLETIN NO. 31 OF AUGUST 16, 2017</w:t>
      </w:r>
    </w:p>
    <w:p>
      <w:r>
        <w:t>193. The trend of actual average revenues, therefore, besides being as mentioned, evidently conditioned by the sequence of episodes of generalized nominal price increases (confirming the existence of a clear link between changes in nominal prices and changes in actual prices), further confirms the parallelism of the commercial behaviors of the Parties involved in the procedure, as this parallelism concerns not only the announcements or changes in nominal prices but also, to a large extent, the actual variations in prices charged to customers.</w:t>
      </w:r>
    </w:p>
    <w:p>
      <w:r>
        <w:t>194. In conclusion, it is noted that during the reference period, against a dramatic collapse in demand for the product and even a slightly decreasing trend in some of the main cost items for companies, due to the increases in actual average revenues recorded in correspondence with the episodes of generalized price increases, actual prices have overall increased.</w:t>
      </w:r>
    </w:p>
    <w:p>
      <w:r>
        <w:t>3.3.2 The stability of market shares</w:t>
      </w:r>
    </w:p>
    <w:p>
      <w:r>
        <w:t>195. Furthermore, from the factual evidence, the existence of a parallelism is also evident concerning the trend of the market shares of the Parties, which during the reference period appear extremely stable despite, as previously illustrated, a drastic decline in demand and quantities sold has occurred.</w:t>
      </w:r>
    </w:p>
    <w:p>
      <w:r>
        <w:t>196. In particular, the market shares of the Parties have undergone minimal annual variations, in most cases equal (in absolute value) to a few percentage points and in any case not exceeding 0.5% for operators with relatively smaller shares and not exceeding 1% for others. Slightly more pronounced are only the variations recorded annually by Italcementi, the market operator holding the relatively highest share, to which the corresponding variations also appear proportionally adjusted. Even during the entire period from 2011 to 2016, the market shares of the Parties have remained significantly stable, reporting variations generally below one percentage point and, in any case, not exceeding 2.5% (see table 10).</w:t>
      </w:r>
    </w:p>
    <w:p>
      <w:r>
        <w:t>BULLETIN NO. 31 OF AUGUST 16, 2017 71</w:t>
      </w:r>
    </w:p>
    <w:p>
      <w:r>
        <w:t>Table 10 - Market shares of the Parties - absolute variations</w:t>
      </w:r>
    </w:p>
    <w:p>
      <w:r>
        <w:t xml:space="preserve">Variation 2012- 2013- 2014- 2015-  </w:t>
        <w:br/>
        <w:t xml:space="preserve">Variation 2016-2015 2016-2011  </w:t>
        <w:br/>
        <w:t xml:space="preserve">2011 2012 2013 2014  </w:t>
        <w:br/>
        <w:t xml:space="preserve">Italcementi -0.6 -1.1 +1.7 -2.6 +0.2 -2.4  </w:t>
        <w:br/>
        <w:t xml:space="preserve">Buzzi**** -0.6 +1.0 = -1.0 +0.7 +0.1  </w:t>
        <w:br/>
        <w:t xml:space="preserve">Colacem -0.5 +0.6 -0.8 +0.7 +0.5 +0.5  </w:t>
        <w:br/>
        <w:t xml:space="preserve">Cementir +0.1 +0.3 -0.7 +0.9 -0.6 =  </w:t>
        <w:br/>
        <w:t xml:space="preserve">Sacci +0.2 -0.2 +0.7 -1.0 -0.4 -0.7  </w:t>
        <w:br/>
        <w:t xml:space="preserve">Cementi Rossi -0.2 +0.1 -0.3 -0.3 +0.1 -0.6  </w:t>
        <w:br/>
        <w:t xml:space="preserve">Holcim*** -0.6 +0.1 -0.5 -0.8 -0.3 -2.1  </w:t>
        <w:br/>
        <w:t xml:space="preserve">Barbetti -0.4 = +0.2 +0.3 +0.2 +0.3  </w:t>
        <w:br/>
        <w:t xml:space="preserve">Zillo+Monselice** = -0.2 -0.1 +0.3 +0.1 +0.1  </w:t>
        <w:br/>
        <w:t xml:space="preserve">Cal.me = -0.5 -0.3 +0.4 -0.2 -0.6  </w:t>
        <w:br/>
        <w:t xml:space="preserve">Moccia**** = +0.1 +0.1 +0.2 +0.1 +0.5  </w:t>
        <w:br/>
        <w:t xml:space="preserve">W&amp;P = +0.1 +0.4 +0.2 -0.2 +0.5  </w:t>
        <w:br/>
        <w:t>Cem. Centro Sud +0.2 = +0.2 -0.1 = +0.3</w:t>
      </w:r>
    </w:p>
    <w:p>
      <w:r>
        <w:t>Source: Table 2.</w:t>
      </w:r>
    </w:p>
    <w:p>
      <w:r>
        <w:t>197. The following graphs show the evolution of the relative market shares among the cement companies that are Parties to the procedure during the observation period (2011-2016) and, subsequently, the evolution of the volumes delivered by these operators during the same period. What is noticeable is how, even in this case, against a significant reduction in the total volume amounts, the relative positions of these operators remain surprisingly stable.</w:t>
      </w:r>
    </w:p>
    <w:p>
      <w:r>
        <w:rPr>
          <w:b/>
        </w:rPr>
        <w:t>[Pages 70–72]</w:t>
      </w:r>
    </w:p>
    <w:p>
      <w:r>
        <w:t>72 BULLETIN NO. 31 OF AUGUST 16, 2017</w:t>
        <w:br/>
        <w:t>Figure 8 - Relative market shares of the Parties</w:t>
        <w:br/>
        <w:t>Source: AGCM elaborations on MISE data</w:t>
      </w:r>
    </w:p>
    <w:p>
      <w:r>
        <w:t>BULLETIN NO. 31 OF AUGUST 16, 2017 73</w:t>
        <w:br/>
        <w:t>Figure 9 - Volumes delivered by the Parties</w:t>
        <w:br/>
        <w:t>Source: AGCM elaborations on MISE data</w:t>
      </w:r>
    </w:p>
    <w:p>
      <w:r>
        <w:t>4. THE ARGUMENTS OF THE PARTIES</w:t>
        <w:br/>
        <w:t>198. The Parties involved in the investigative procedure had the opportunity to present their positions both during the hearings and by submitting written statements. The following will account for the defenses of the companies and the trade association, grouping them by themes.</w:t>
      </w:r>
    </w:p>
    <w:p>
      <w:r>
        <w:t>4.1 Preliminary Exceptions</w:t>
        <w:br/>
        <w:t>199. As a preliminary matter, Aitec raised the absence of a causal link between the simultaneous and parallel price increase behaviors of the cement sector operators and the timely statistics. In particular, Aitec and other companies such as Cementirossi, Holcim, Barbetti, Italcementi, Cal.me, Cementir, Buzzi, Moccia, Colacem, and W&amp;P239 argued that the Association has never been a venue for illicit discussions regarding prices, has not played an active role either as a venue for concertation among the Parties or as a guarantor in monitoring the same. Therefore, according to the Association, it is not possible to speak of a unique and complex agreement in this case,240 and thus, either the two hypothetical cases outlined in the initiation and extension measures should be evaluated separately, or, given that there is no evidence of either active or passive involvement239 of the Association regarding price coordination among members, Aitec's position should be dismissed and archived from the Authority's investigation241.</w:t>
      </w:r>
    </w:p>
    <w:p>
      <w:r>
        <w:t>200. From a different perspective, Holcim argued that the advance announcements of price increases and the exchanges of information on production volumes by the companies cannot be classified as facilitating practices. The cases identified in the initiation and extension measures are difficult to categorize because: a) the transparency of the market, to which the advance announcements of price increases and the mentioned information exchanges contribute, also presents aspects of significant efficiency; b) as with any other behavior adopted by companies in oligopolistic markets, it is also difficult to distinguish between behaviors resulting from the natural oligopolistic interdependence that characterizes the market and forms of collusion that are sanctionable under antitrust law242. In any case, a facilitating practice is restrictive of competition only if it is capable of eliminating or reducing strategic uncertainty regarding the behaviors of competitors, in light of the structural characteristics of the market and the nature of the information exchanged243.</w:t>
      </w:r>
    </w:p>
    <w:p>
      <w:r>
        <w:t>201. Some parties in the procedure, specifically Italcementi and Aitec244, raised a possible violation of Article 16, paragraph 2, of Regulation (EC) No. 1/2003 and the principle of ne bis in idem as: a) the Commission has already expressed itself on the same case (case AT 39520), closing the case without finding an infringement, and therefore the Authority could not make a decision to the contrary; b) a company cannot be condemned for an anticompetitive behavior for which it has already been declared not responsible.</w:t>
      </w:r>
    </w:p>
    <w:p>
      <w:r>
        <w:t>202. Cal.me, Zillo, and Italcementi245 complained of an undue compression of defense rights, having not had access to the average revenue data of the individual parties disaggregated by macro-area and/or to the specific level of average revenues (or to the series of revenues in the form of index numbers, which, together with the series of absolute variations provided by the Offices, would have nonetheless allowed for the extraction of the specific level of average revenues).</w:t>
      </w:r>
    </w:p>
    <w:p>
      <w:r>
        <w:t>203. From a different perspective, some parties - specifically Italcementi, Cal.me, Cementir, Buzzi, and Moccia - contested a lack of investigation regarding the rationality of the behavior of customers consisting of acquiring advance information about the price increases practiced by cement companies, particularly for not having acquired the position of more representatives of demand (i.e., more companies active in the concrete market and not just Franzosi Cave)246.</w:t>
      </w:r>
    </w:p>
    <w:p>
      <w:r>
        <w:t>204. Finally, some Parties in the investigative procedure - Aitec, Colacem, W&amp;P, CCS, Cementirossi, Italcementi, Barbetti, Cal.me, Cementir, Buzzi, Moccia, Holcim, Zillo, and Monselice247 - raised an erroneous reconstruction of the characteristics and structure of the relevant market, which would be characterized by: i) heightened competitiveness and some of the lowest prices in Europe; ii) unstable market shares, but rather in continuous evolution; iii) a local geographical scope and not national, as individual companies compete at the macro-area level due to the characteristics of the relevant product. This last exception, in particular, would undermine the value of</w:t>
        <w:br/>
        <w:t>241 See doc. 466.</w:t>
        <w:br/>
        <w:t>242 See doc. 522bis.</w:t>
        <w:br/>
        <w:t>243 See doc. 522bis.</w:t>
        <w:br/>
        <w:t>244 See docs. 912, 904, and 949.</w:t>
        <w:br/>
        <w:t>245 See docs. 914, 912, 915, and 949.</w:t>
        <w:br/>
        <w:t>246 See docs. 912, 914, 918, 920, 921, and 949.</w:t>
        <w:br/>
        <w:t>247 See docs. 904, 906, 908, 909, 927, 912, 913, 914, 918, 920, 921, 916, 915, and 949.</w:t>
      </w:r>
    </w:p>
    <w:p>
      <w:r>
        <w:rPr>
          <w:b/>
        </w:rPr>
        <w:t>[Pages 73–75]</w:t>
      </w:r>
    </w:p>
    <w:p>
      <w:r>
        <w:t>BULLETIN NO. 31 OF AUGUST 16, 2017 75</w:t>
        <w:br/>
        <w:t>evidence against companies not active throughout the national territory, the documentation</w:t>
        <w:br/>
        <w:t>related to the areas where such companies are not present.</w:t>
      </w:r>
    </w:p>
    <w:p>
      <w:r>
        <w:t>4.2. Price increases as autonomous business decisions</w:t>
      </w:r>
    </w:p>
    <w:p>
      <w:r>
        <w:t>205. Almost all the cement companies involved in the investigation – except for W&amp;P, CCS, and Moccia248 – acknowledged that they implemented simultaneous and parallel increases in the selling prices of cement, but denied that these were the result of a restrictive agreement on competition and/or contacts between the Parties; rather, the parallelism of behaviors would be generated by the intrinsic transparency of the market and the market intelligence activities carried out by companies on the pool of jointly supplied customers.</w:t>
      </w:r>
    </w:p>
    <w:p>
      <w:r>
        <w:t>206. Initially, some operators, such as Cementirossi, Colacem, Holcim, Italcementi, and Buzzi, recalled that price lists have historical roots, having originated with the liberalization of the market249. From a different perspective, Holcim, Cal.me, and Buzzi stated that price lists are useful only for concrete producers, whose contracts with downstream customers are indexed to the list price of cement250; therefore, the price lists – which effectively constitute a ceiling on prices – allow concrete producers to have a stable reference for planning their activities and mitigating risks251.</w:t>
      </w:r>
    </w:p>
    <w:p>
      <w:r>
        <w:t>207. Some operators, such as Cementirossi, Cal.me, Italcementi, Colacem, Cementir, Holcim, and Buzzi252, recalled that the contested price parallelism would be attributable to the high physiological transparency that characterizes the market in question, where there are numerous jointly supplied customers who spontaneously convey information regarding price increases practiced by competing operators in order to derive possible advantages in terms of supply.</w:t>
      </w:r>
    </w:p>
    <w:p>
      <w:r>
        <w:t>208. Some Parties – namely Barbetti253, CCS254, Zillo255, Cementirossi, Sacci256, Cal.me257, Cementi Moccia258, and W&amp;P259 – stated that the price increases originate from the leading companies in the market, to which medium-small operators tend to follow. Similarly, the distributor TSC acknowledged the existence of a parallelism of behavior among sector operators and stated that price increases are likely the result of decisions made by larger operators, which medium-small companies tend to follow260.</w:t>
      </w:r>
    </w:p>
    <w:p>
      <w:r>
        <w:t>209. Cementir, Holcim, and Italcementi stated that the price increases practiced over time are the result of an autonomous business policy261.</w:t>
      </w:r>
    </w:p>
    <w:p>
      <w:r>
        <w:t>210. From a different perspective, Holcim represented that the price parallelism derives from a rational and independent mechanism of strategic interaction among companies in a market characterized by significant transparency. In particular, the company stated that no operator – not even those of limited size – has an incentive to change the price list differently from others: indeed, on one hand, a higher increase compared to that practiced by other market players would be a counterproductive choice (indicating a higher cost of its cement compared to that of competitors) and, on the other hand, it would be pointless to implement a lower increase, as the nominal price does not constitute, in the company's view, a relevant competitive variable262. Similarly, Colacem, Cementirossi, Italcementi, Cementir, Buzzi, and Barbetti argued that the price increases – autonomously practiced in a market context characterized by overproduction capacity – were dictated by the need to cover the high fixed costs incurred and therefore to sell at profitable prices, particularly following the increase in average fixed costs due to the decline in demand recorded in recent years263. However, Colacem also stated that an isolated increase by a single company aimed at such recovery would represent an impractical initiative destined to fail264. Finally, Holcim emphasized that, in the sector, prices have decreased compared to average costs, which, in the opinion of this company, makes the hypothesis of collusive coordination in the market less likely (though not excluding it)265.</w:t>
      </w:r>
    </w:p>
    <w:p>
      <w:r>
        <w:t>211. Some Parties, namely Cal.me, Buzzi, W&amp;P, and Moccia, recalled that an agreement such as the one under examination, involving only nominal prices, cannot be considered restrictive by object, according to recent EU case law266. From a different perspective, Buzzi stated that an agreement on nominal prices and not on actual prices should lead to a reduction of the sanction, in accordance with the EU case "Dole"267.</w:t>
      </w:r>
    </w:p>
    <w:p>
      <w:r>
        <w:t>260 Cfr. doc. 408.</w:t>
        <w:br/>
        <w:t>261 Cfr. doc. 420, doc. 504, doc. 499, doc. 918, doc. 916, doc. 912, and doc. 949. In particular, Cementir recalled that it did not adjust to the price increase practiced by most operators in March 2015, considering it unprofitable in a period – the spring – when the volumes of cement ordered are particularly substantial. Italcementi stated that it initially attempted to raise its actual prices, but this resulted in a dramatic drop in volumes and a significant reduction in its market share. Holcim, finally, claimed autonomous business choices regarding the increases of 2011 and 2012.</w:t>
        <w:br/>
        <w:t>262 Cfr. doc. 504. On the same line, Italcementi, doc. 912.</w:t>
        <w:br/>
        <w:t>263 Cfr. doc. 638, doc. 908, doc. 912, doc. 913, doc. 918, and doc. 920. Barbetti supported his position also through a formalized exposition, based on accounting and financial considerations, cfr. doc. 913.</w:t>
        <w:br/>
        <w:t>264 An isolated increase, in fact, in a context of heavily underutilized production capacity, availability of raw materials, and speed of the production process, would lead to an immediate loss of sales volumes to the competition. Italcementi expressed itself in the same sense, cfr. doc. 499 and 912.</w:t>
        <w:br/>
        <w:t>265 Cfr. doc. 522bis.</w:t>
        <w:br/>
        <w:t>266 Cfr. docc. 914, 909, 920, and 921.</w:t>
      </w:r>
    </w:p>
    <w:p>
      <w:r>
        <w:t>BULLETIN NO. 31 OF AUGUST 16, 2017 77</w:t>
        <w:br/>
        <w:t>4.3. The absence of effects of the coordination parallelism</w:t>
      </w:r>
    </w:p>
    <w:p>
      <w:r>
        <w:t>212. Some companies then stated that the parallelism of behaviors regarding cement prices has not produced effects in the market. In this regard, some operators – for example, the Zillo group, Barbetti, W&amp;P, Colacem, Cal.me, Buzzi, Moccia, Cementirossi, and Holcim – recalled that the prices actually practiced in the market have followed a significantly different trend compared to the list price increases adopted by cement companies268. In this sense, for example, Italcementi argued that price increases are applied for no more than 50% of their actual amount269. Similarly, for example, Cal.me stated, on one hand, that there is a significant difference between list price increases and the prices actually applied to customers and, on the other hand, that the final prices vary as a result of negotiations between the parties and the type of customer270.</w:t>
      </w:r>
    </w:p>
    <w:p>
      <w:r>
        <w:t>213. Similarly, Holcim stated that the net prices charged to customers deviate significantly from the previously communicated list prices, which instead represent maximum prices271; to demonstrate what was claimed, the company recalled that it made a list price increase in 2016 and that this increase did not produce appreciable consequences in terms of actual price increases272. More specifically, Holcim [omissis]273.</w:t>
      </w:r>
    </w:p>
    <w:p>
      <w:r>
        <w:t>214. Other Parties – for example, Cementirossi – then recalled that the observed parallelism of behavior occurs in a market characterized by intense competition such that the price increases announced in a generalized manner have subsequently been eroded274. Likewise, Cementir stated that the cement sector has experienced a significant contraction in demand during the period 2008-2015 and is characterized by strong competitive tension among companies, reinforced by the fact that the product is a commodity275. According to Barbetti, the very fact that cement is a commodity justifies the parallelism of behaviors: an individual price increase, in fact, leads to an immediate loss of clientele, due to the customer's ability to procure the same product at lower prices than competitors276. Similar statements were finally made by Aitec and Italcementi during the hearing277. Similarly, Holcim, Cementizillo, and Cementeria di Monselice recalled that the market is characterized by fierce competition among operators, especially at the local level278.</w:t>
      </w:r>
    </w:p>
    <w:p>
      <w:r>
        <w:t>267 Cfr. doc. 920, as well as Court of Justice, case C-286/13 P, Dole/Commission, of March 19, 2015.</w:t>
        <w:br/>
        <w:t>268 Cfr., doc. 501, doc. 490, doc. 517, doc. 638, doc. 924, doc. 908, doc. 916, and doc. 949.</w:t>
        <w:br/>
        <w:t>269 Cfr. doc. 499.</w:t>
        <w:br/>
        <w:t>270 Cfr. doc. 507 sexies, doc. 622, doc. 916, doc. 920, and doc. 921, as well as doc. 949.</w:t>
        <w:br/>
        <w:t>271 Cfr., doc. 504 and doc. 522 bis (economic analysis).</w:t>
        <w:br/>
        <w:t>272 Cfr. doc. 446.</w:t>
        <w:br/>
        <w:t>273 [Omissis].</w:t>
        <w:br/>
        <w:t>274 Cfr. doc. 440 and doc. 498, as well as doc. 908.</w:t>
        <w:br/>
        <w:t>275 Cfr. doc. 420.</w:t>
        <w:br/>
        <w:t>276 Cfr. doc. 490. Italcementi similarly expressed that, given the characteristics of the market, aggressive pricing policies would be unrealistic (doc. 912).</w:t>
        <w:br/>
        <w:t>277 Cfr. doc. 466, doc. 499, and doc. 912.</w:t>
        <w:br/>
        <w:t>278 Cfr. doc. 446, doc. 916, doc. 915, and doc. 949.</w:t>
      </w:r>
    </w:p>
    <w:p>
      <w:r>
        <w:rPr>
          <w:b/>
        </w:rPr>
        <w:t>[Pages 76–78]</w:t>
      </w:r>
    </w:p>
    <w:p>
      <w:r>
        <w:t>78 BULLETIN NO. 31 OF AUGUST 16, 2017</w:t>
        <w:br/>
        <w:t>215. With reference to the actual price increases by individual companies recorded at the time of the "nominal" increases communicated by them, the Parties (in particular Italcementi, Zillo, Barbetti) argued that they are not of equal amount and that there are even cases where the level of average revenues for some companies and in certain instances has decreased279.</w:t>
        <w:br/>
        <w:t>216. Some Parties (Italcementi, Zillo, Calme) also noted that the decreasing dynamics of the variable costs of companies is not taken for granted and that, therefore, it cannot be deduced that prices should have followed a decreasing trend in the absence of the contested collusion280.</w:t>
        <w:br/>
        <w:t>217. From a different perspective, Italcementi, Zillo, and Holcim mentioned models from the economic literature that provide explanations for the observed trend in average revenues that are alternative to the hypothesis of collusion. More precisely, the models cited by Zillo and Holcim demonstrate the possibility that the pricing behaviors of some of the Parties could be explained as autonomous choices of subjects acting as followers. Conversely, Italcementi mentioned two different families of models that constitute possible non-collusive explanations for the observed trend in the average revenues of companies. Italcementi simultaneously stated that it is not aware of economic models that have provided a theoretical collusive explanation for a trend similar to that observed for the average revenues of the Parties: in particular, the company refers to the fact that the economic models of collusive equilibrium currently developed do not foresee, within a single collusive phenomenon, phases of increases interspersed with a decreasing trend in average revenues, as instead observed in the data of the Parties. This consideration, combined with the documentary evidence – which would show the presence of numerous competitive comparisons among companies vying for customers – leads Italcementi to argue that there cannot be a single and complex agreement281.</w:t>
        <w:br/>
        <w:t>4.4. The rationale of timely statistics</w:t>
        <w:br/>
        <w:t>218. Aitec stated, on the one hand, that timely statistics arose from the need to compensate for the delays of the MISE in releasing data and, on the other hand, that they constituted a useful indicator of market shares and an indispensable tool for the company in order to define its strategy. From a different perspective, according to the Association, the illegality “..does not consist in the availability of such data but rather in the distorted use that could be made of them within the framework of a hypothetical agreement”282.</w:t>
        <w:br/>
        <w:t>219. Other operators such as Barbetti, CCS, Cementirossi, Sacci, Holcim, Italcementi, Cal.me, and Cementir expressed similar views, stating that Aitec's surveys arose from the need to have production data more promptly than those released by the MISE. The ministerial data, in fact, precisely because provided late, would have been substantially useless for operators in the sector: only updated data on produced volumes would allow for verifying market trends and understanding whether the company's performance is in line with the overall market283.</w:t>
        <w:br/>
        <w:t>279 Cf. docs. 912, 915, 913, and 949.</w:t>
        <w:br/>
        <w:t>280 Cf. docs. 912, 915, 914, and 949.</w:t>
        <w:br/>
        <w:t>281 Cf. docs. 912 and 949.</w:t>
        <w:br/>
        <w:t>282 Cf. doc. 466.</w:t>
        <w:br/>
        <w:t>283 Cf. docs. 490, 463, 440, 514, 504, 499, and docs. 420, 914, 904, 912, 918, and 949.</w:t>
      </w:r>
    </w:p>
    <w:p>
      <w:r>
        <w:t>BULLETIN NO. 31 OF AUGUST 16, 2017 79</w:t>
        <w:br/>
        <w:t>220. Conversely, Cal.me argued that timely statistics are of little use compared to MISE data, which instead records the national production of cement and therefore captures data from all operators284.</w:t>
        <w:br/>
        <w:t>221. Finally, regarding the timing of the surveys, Zillo stated that, although a monthly cadence may be useful for making certain energy-related choices, it is not absolutely fundamental285. W&amp;P stated that it does not believe that “monthly frequency is relevant, as longer observation periods are necessary for the development of any changes in commercial policies resulting from the potential observation of its positioning not in line with the market”286.</w:t>
        <w:br/>
        <w:t>4.5. The absence of restrictiveness of timely statistics</w:t>
        <w:br/>
        <w:t>222. Some Parties argued that timely statistics are not restrictive of competition. In this regard, for example, Aitec recalled that the data collected is a subset of the data available to the Ministry and stated that the data is aggregated, making it impossible to trace the market share held by each operator participating in the survey. Therefore, according to Aitec, on the one hand, the reporting designed did not allow for monitoring market shares by operators in the sector and, on the other hand, did not disseminate sensitive disaggregated data by operator regarding future commercial strategies related to prices to be practiced or output287.</w:t>
        <w:br/>
        <w:t>223. Similarly, Holcim, Aitec, Colacem, W&amp;P, Cementirossi, Italcementi, Cal.me, Cementir, Buzzi, and Moccia, after stating that having information on quantities improves production efficiency, noted that timely surveys are unable to reduce the strategic uncertainty of companies because: a) the data refers to the volumes produced at the cement production sites located in each macro-area and not to the volumes sold in the various macro-areas; b) the data is collected with transmission methods aimed at ensuring confidentiality and provided in aggregated form, thus allowing only the deduction of one's own market share but not that of other operators; c) similar information is also disseminated by the MISE288. Holcim, regarding the behaviors aimed at controlling their respective market shares, while reiterating the autonomy of its commercial policy, also stated that [omitted]289.</w:t>
        <w:br/>
        <w:t>224. According to Italcementi, finally, the higher level of data aggregation by Aitec, compared to the MISE elaborations, made the timely statistics less sensitive from an antitrust perspective290.</w:t>
        <w:br/>
        <w:t>284 Cf. doc. 507 sexies.</w:t>
        <w:br/>
        <w:t>285 Cf. doc. 520.</w:t>
        <w:br/>
        <w:t>286 Cf. doc. n. 517.</w:t>
        <w:br/>
        <w:t>287 Cf. docs. 466, 904, and 949.</w:t>
        <w:br/>
        <w:t>288 Cf. docs. 522, 904, 906, 909, 908, 912, 914, 924, 918, 920, 921, and 949.</w:t>
        <w:br/>
        <w:t>289 Cf. doc. 522 bis (economic analysis).</w:t>
        <w:br/>
        <w:t>290 Cf. docs. 499 and 912.</w:t>
      </w:r>
    </w:p>
    <w:p>
      <w:r>
        <w:t>80 BULLETIN NO. 31 OF AUGUST 16, 2017</w:t>
        <w:br/>
        <w:t>4.6. Specific exceptions</w:t>
        <w:br/>
        <w:t>225. Holcim recalled that the LafargeHolcim group has long had a code of conduct and antitrust compliance and that enforcement of compliance with these codes within the group is very strict. In this regard, Holcim submitted the following documents:</w:t>
        <w:br/>
        <w:t>- the group's ethical code, valid and binding for all employees, updated in 2015, which outlines the behaviors to be adopted in order to avoid violations of antitrust regulations, [omitted];</w:t>
        <w:br/>
        <w:t>- the so-called "commercial documentation directive," from 2013, from which it is evident that, within Holcim's internal organization, specific rules and lines of action have been established regarding the information received from customers by sales managers concerning market trends. [Omitted];</w:t>
        <w:br/>
        <w:t>- the fair competition directive, [omitted];</w:t>
        <w:br/>
        <w:t>- further antitrust guidelines aimed at directing any commercial action or decision in compliance with competition protection regulations. Holcim finally recalled that the set of tools mentioned above is supported by the creation of an ad hoc function within the legal area with specific tasks of continuous training for the company's management, the personnel in the commercial area, and all individuals who could be exposed to potential violations of competition law291. From a different perspective, the company recalled that it has voluntarily adopted and implemented "self commitments," which are documented in the records of the investigative procedure, even though they have no connection to the closure of the community case292. The commitments undertaken consist of the abolition of price lists, considered obsolete, and the exclusive sending of letters for individual increases by customer types. [Omitted].</w:t>
        <w:br/>
        <w:t>226. Similarly, Aitec represented that it has adopted codes of conduct inspired by a rigorous respect for criminal and antitrust regulations and has established an "ad hoc" working group called "legality and ethics"293. This working group, in 2011, proposed the adoption of an ethical code with the aim of ensuring that the work carried out by the technical commissions and working groups of Aitec is conducted in compliance with the associative code of conduct, with particular regard to competition protection regulations. The procedure provided for a sample monitoring of the documentation pertaining to Aitec's Commissions and individual working groups; the ability of members of the ethics and legality working group to participate in the work within the associative bodies and the sample analysis of data requests made by Aitec. Subsequently, in March, May, and June 2016, Aitec adopted an antitrust compliance program aimed at:</w:t>
        <w:br/>
        <w:t>- organizing and promoting associative activities in compliance with the Association's ethical code;</w:t>
        <w:br/>
        <w:t>- standardizing and homogenizing antitrust risk management activities, while simultaneously increasing awareness of the importance of compliance with antitrust regulations among members. Concurrently, the Association appointed a legal and antitrust compliance officer for Aitec, identified in the figure of the Delegated Councillor. The Association finally recalled that, as a result of all the changes that occurred, a specific oversight is provided in the code of conduct during associative meetings to avoid that the</w:t>
        <w:br/>
        <w:t>291 Cf. doc. 916.</w:t>
        <w:br/>
        <w:t>292 Cf. docs. 446, 522, and 916.</w:t>
        <w:br/>
        <w:t>293 Cf. docs. 466, 559, 904, and 949.</w:t>
      </w:r>
    </w:p>
    <w:p>
      <w:r>
        <w:rPr>
          <w:b/>
        </w:rPr>
        <w:t>[Pages 79–81]</w:t>
      </w:r>
    </w:p>
    <w:p>
      <w:r>
        <w:t>BULLETIN NO. 31 OF AUGUST 16, 2017 81</w:t>
        <w:br/>
        <w:t>participants discuss sensitive issues from an antitrust perspective, as well as specific precautions regarding the collection, compilation, and release of data.</w:t>
      </w:r>
    </w:p>
    <w:p>
      <w:r>
        <w:t xml:space="preserve">227. Similarly, on February 14, 2017, W&amp;P informed the Authority that it had implemented the antitrust compliance program already in use at the company since September 10, 2015. More specifically, the company deemed it appropriate - with a resolution of the Board of Directors dated November 9, 2016 - to update this program by adopting additional compliance measures aimed at the employees of the Company, in order to make them fully aware of the content of national legislation on competition law294. </w:t>
        <w:br/>
        <w:t>[Omissis].</w:t>
      </w:r>
    </w:p>
    <w:p>
      <w:r>
        <w:t xml:space="preserve">228. Likewise, on March 9, 2017, the company Colacem communicated that it had adopted and implemented an antitrust compliance program, with a resolution of the company's Board of Directors dated December 15, 2016. In particular, this program provides for: </w:t>
        <w:br/>
        <w:t>[omissis].</w:t>
      </w:r>
    </w:p>
    <w:p>
      <w:r>
        <w:t>229. Italcementi recalled having specific internal rules that prohibit the company's employees from maintaining any information channel to exchange information with a competitor. In particular, the company stated that since 2010 it has invested human and financial resources in antitrust compliance, having adopted - both in Italy and at the group level - a specific program, which includes: internal behavioral guidelines, training activities including online, awareness tests, monitoring, and audit activities. The same company also stated that these activities have been further strengthened since July 1, 2016, following the acquisition by the Heidelberg Cement group295. Following the initiation of the investigation, and despite the rejection of the commitments made, Italcementi on March 10, 2017, submitted an addendum to the antitrust compliance program already voluntarily adopted as a result of the community procedure AT.39520, the effectiveness of which is set to commence on April 1, 2017, and will remain in force until April 30, 2021. Essentially, with the aforementioned Addendum, the Party intended to strengthen the compliance program already in force, integrating it with the commitments voluntarily undertaken within the framework of the procedure conducted by the Commission, [omissis]296.</w:t>
      </w:r>
    </w:p>
    <w:p>
      <w:r>
        <w:t>230. The Zillo group recalled having modified its commercial policy even before becoming part of the investigative procedure following its extension in July 2015. In this regard, it stated that it chose to make only individual communications to customers indicating the actual price proposed to each customer297.</w:t>
      </w:r>
    </w:p>
    <w:p>
      <w:r>
        <w:t>231. The company CCS, finally, declared that: i) it had voluntarily implemented some of the proposed behavioral commitments; ii) it had communicated its withdrawal from the trade association effective December 5, 2016; iii) it had adopted a compliance program298.</w:t>
      </w:r>
    </w:p>
    <w:p>
      <w:r>
        <w:t>232. Furthermore, on March 24, 2017, Cementir also communicated that it had adopted and implemented an antitrust compliance program. In particular:</w:t>
        <w:br/>
        <w:t>- with a resolution dated December 5, 2016, the Board of Directors of the Company approved the adoption of a new Antitrust Code of Conduct and appointed a compliance officer;</w:t>
      </w:r>
    </w:p>
    <w:p>
      <w:r>
        <w:t>299 Cfr. doc. 693 and doc. 918.</w:t>
      </w:r>
    </w:p>
    <w:p>
      <w:r>
        <w:t>233. Finally, on June 30, 2017, following the submission of the CRI, Barbetti communicated that it had adopted an antitrust compliance program, in order to ensure constant attention in its decision-making processes. In particular, with a resolution dated December 21, 2016, the Board of Directors of the company adopted a group antitrust code of conduct and established an internal anonymous reporting service for the submission of antitrust reports by its executives and/or employees300.</w:t>
      </w:r>
    </w:p>
    <w:p>
      <w:r>
        <w:t>234. Some companies, namely Colacem, CCS, Cal.me, Buzzi, Moccia, Zillo, Monselice, and Cementir, have supported their active repentance following the initiation and subjective extension of the investigative procedure and the fact that they have adopted virtuous behavior with the spontaneous adoption of commitments301. The two companies Holcim and Italcementi specifically stated that they had adopted specific self-commitments as a result of the community procedure, regardless of the case being archived by the Commission302.</w:t>
      </w:r>
    </w:p>
    <w:p>
      <w:r>
        <w:t>235. Several Parties, such as W&amp;P, Colacem, Holcim, and Moccia, recalled that they qualify as "single-product" companies (with the sale of gray cement representing almost the entirety of the revenue generated at the national level) and therefore requested to benefit from this mitigating factor in the event of any sanction imposed by the Authority303.</w:t>
      </w:r>
    </w:p>
    <w:p>
      <w:r>
        <w:t>236. Some Parties – Colacem, Barbetti, Zillo, Monselice, Holcim, Calme, Italcementi, Cementirossi, [omissis] and [omissis] – complained of significant financial difficulties and the necessity for any potential sanction resulting from the investigative procedure to take into account the crisis in the sector and their actual capacity to contribute. More specifically, only the companies Barbetti, Cal.me, and Zillo referred to the institute of inability to pay as per paragraph 31 of the Authority's Guidelines on sanctions, requesting in the alternative, only the companies Barbetti and Zillo, the application of paragraph 34 of the aforementioned Guidelines; conversely, the other companies confined the financial difficulties recorded within the scope of only paragraph 34 of the aforementioned Guidelines304.</w:t>
      </w:r>
    </w:p>
    <w:p>
      <w:r>
        <w:t>237. With specific reference to Barbetti [omissis]305.</w:t>
      </w:r>
    </w:p>
    <w:p>
      <w:r>
        <w:t>238. Similarly, Cal.me stated that the sanction would cause serious economic harm: the company would indeed have incurred significant operating losses as per the 2014-2016 financial statements, and would also have recorded a collapse in EBITDA reaching over -10%. Furthermore, following the recent sale to Colacem of the business unit of the company active in the center-north, which is attributable to a revenue [omissis]. The combination of these elements would lead to the conclusion that there is complete, reliable, and objective evidence suggesting that any imposition of a sanction could irreparably harm the economic profitability of the Company306.</w:t>
      </w:r>
    </w:p>
    <w:p>
      <w:r>
        <w:t>299 Cfr. doc. 693 and doc. 918.</w:t>
      </w:r>
    </w:p>
    <w:p>
      <w:r>
        <w:t>300 Cfr. doc. 913.</w:t>
      </w:r>
    </w:p>
    <w:p>
      <w:r>
        <w:t>301 Cfr. doc. 906, doc. 927, doc. 914, doc. 920, doc. 921, doc. 915, doc. 918.</w:t>
      </w:r>
    </w:p>
    <w:p>
      <w:r>
        <w:t>302 Cfr. doc. 912, doc. 916 and doc. 949.</w:t>
      </w:r>
    </w:p>
    <w:p>
      <w:r>
        <w:t>303 Cfr. doc. 909, 906, 916, 921.</w:t>
      </w:r>
    </w:p>
    <w:p>
      <w:r>
        <w:t>304 Cfr. doc. 906, doc. 915, doc. 916, doc. 914, doc. 912, [omissis] and [omissis].</w:t>
      </w:r>
    </w:p>
    <w:p>
      <w:r>
        <w:t>305 [Omissis].</w:t>
      </w:r>
    </w:p>
    <w:p>
      <w:r>
        <w:t>306 Cfr. doc. 914.</w:t>
      </w:r>
    </w:p>
    <w:p>
      <w:r>
        <w:t>BULLETIN NO. 31 OF AUGUST 16, 2017 83</w:t>
      </w:r>
    </w:p>
    <w:p>
      <w:r>
        <w:t>239. Similarly, the Zillo group (i.e. Cementizillo and Cementeria di Monselice) recalled that it had recorded a decreasing profit throughout the period subject to the alleged collusion, registering negative values in 2015 and 2016. Utilizing the so-called Altman Z-score test, the company argued that the financial crisis it has been experiencing for years could be irreparably harmed by a sanction equal to the maximum penalty, making the risk of bankruptcy more than likely307.</w:t>
      </w:r>
    </w:p>
    <w:p>
      <w:r>
        <w:t>240. TSC finally argued that it had conveyed the price lists unknowingly and only due to prior friendships with employees of the cement companies308. From a different perspective, TSC recalled that it is not active in the market for the sale of cement subject to the agreement: therefore, it cannot be considered a co-author of the illicit conduct, having derived no economic benefit from the collusion contested in the communication of the investigative findings309. In any case, should the Authority consider TSC responsible, the company argued that it became aware of the potential relevance of its conduct only after the initiation of the investigative procedure and would have virtuously adopted some precautions to avoid the recurrence of such behaviors in the future. Finally, TSC recalled the short duration of the conduct carried out.</w:t>
      </w:r>
    </w:p>
    <w:p>
      <w:r>
        <w:t>5. EVALUATIONS</w:t>
      </w:r>
    </w:p>
    <w:p>
      <w:r>
        <w:t>5.1. Premise</w:t>
      </w:r>
    </w:p>
    <w:p>
      <w:r>
        <w:t>241. The present investigative procedure concerns the illegality of an agreement aimed at coordinating - at the national level - among competing operators in defining the sales conditions of cement practiced to customers. This coordination was also realized through systematic monitoring of the market shares of the companies, carried out through an exchange of sensitive information devised by the trade association AITEC.</w:t>
      </w:r>
    </w:p>
    <w:p>
      <w:r>
        <w:t>242. Prior to an overall assessment of the behaviors illustrated in the preceding sections, it is deemed appropriate to respond to the objections raised by some Parties regarding a possible violation of the ne bis in idem principle by the Authority, given that the Commission had already closed a previous antitrust case of a similar nature without establishing an infringement.</w:t>
      </w:r>
    </w:p>
    <w:p>
      <w:r>
        <w:t xml:space="preserve">243. In this regard, it is noted, first of all, that the community case is different from the national one both from a subjective perspective, as it involved a plurality of companies from different European countries, of which only three – namely Italcementi, Buzzi, and Holcim – are parties to the present investigative procedure, and from a temporal perspective, as the community procedure concerned the period 2008-2009. Secondly, it is noted that the community procedure, by the express admission of the same Parties in the present investigative procedure, was closed due to the lack of sufficient elements to support the allegations made by the Commission310. Finally, the present investigative procedure, initiated pursuant to Article 101 of the TFEU, has been the subject of sharing with the Commission's Offices, as provided for by Article 11, paragraph 3, of the </w:t>
        <w:br/>
        <w:t>307 Cfr. doc. 915.</w:t>
      </w:r>
    </w:p>
    <w:p>
      <w:r>
        <w:t>308 Cfr. doc. 900 and doc. 949.</w:t>
      </w:r>
    </w:p>
    <w:p>
      <w:r>
        <w:t>309 Cfr. doc. 900 and doc. 949.</w:t>
      </w:r>
    </w:p>
    <w:p>
      <w:r>
        <w:t>310 Cfr. doc. 921 and doc. 920.</w:t>
      </w:r>
    </w:p>
    <w:p>
      <w:r>
        <w:rPr>
          <w:b/>
        </w:rPr>
        <w:t>[Pages 82–84]</w:t>
      </w:r>
    </w:p>
    <w:p>
      <w:r>
        <w:t>84 BULLETIN NO. 31 OF AUGUST 16, 2017</w:t>
        <w:br/>
        <w:t xml:space="preserve">Regulation (EC) No. 1/2003 and the "Communication on cooperation within the network of competition authorities" of April 27, 2004. </w:t>
        <w:br/>
        <w:t>The entirety of these considerations leads to the conclusion that the party's exception regarding the alleged violation of the ne bis in idem principle is without merit.</w:t>
      </w:r>
    </w:p>
    <w:p>
      <w:r>
        <w:t>5.2. THE RELEVANT MARKET</w:t>
      </w:r>
    </w:p>
    <w:p>
      <w:r>
        <w:t>244. In the event of a challenge to an agreement, the product and geographical scope of the relevant market is, according to consistent national and community jurisprudence, primarily determined by the extent of the coordination itself, as this extent shows the breadth of the market that the participants in the agreement deemed possible and profitable to monopolize in a restrictive agreement. Consequently, in cases of restrictive agreements, the definition of the relevant market is directly related to the context in which the collusive behavior of the involved companies takes place311.</w:t>
      </w:r>
    </w:p>
    <w:p>
      <w:r>
        <w:t>245. Due to the contested conduct and the scope of activities of the Parties, the market for the product involved in the investigation is that of the production and marketing of gray cement, whether in bulk or in bags. As previously mentioned (see section 3.1.1), gray cement constitutes a substantially homogeneous product from a mercantile perspective.</w:t>
      </w:r>
    </w:p>
    <w:p>
      <w:r>
        <w:t>246. From a geographical standpoint, although the production and marketing of cement from each plant occurs in a competitive environment defined around each of them (the so-called catchment area), the agreement concerns the coordination of generalized price changes (price increases or discount cuts) that, in fact, have a national dimension. The fact that such policies, which concern reference prices and not directly the actual prices, are implemented at a national level depends on the widespread presence of operators in various local markets (practically in all local competitive areas, regarding the main operators), as well as the continuous overlaps between the catchment areas (i.e., the competitive areas attributable to the different plants). Therefore, the market involved in this investigation has a national dimension.</w:t>
      </w:r>
    </w:p>
    <w:p>
      <w:r>
        <w:t>247. In the first place, indeed, the fact that the main operators compete substantially in all areas of the country entails a strong interdependence between the local commercial policies of these companies, but also of the various medium-sized companies, which often also represent important operators present in various local areas. Furthermore, the same overlaps that are continuously recorded between local competitive areas (i.e., between the so-called catchment areas traceable around each plant) contribute to increasing the interdependence between them and make it practically impossible to even identify geographical areas that could constitute distinct and "isolated" competitive environments, to the point that the very definition of geographically differentiated commercial policies would prove to be impractical.</w:t>
      </w:r>
    </w:p>
    <w:p>
      <w:r>
        <w:t>248. Conversely, the concerted provision of uniform increases in reference prices at the national level constitutes a useful and simple tool for regulating competitive confrontation among companies in a context such as that described. Exemplifying this aspect is the circumstance that, in fact, with regard to the generalized price revisions (in the form of price increases and discount cuts), the companies have adopted the same commercial policies throughout the national territory, both in terms of modes of action and with reference to the contents of the price revisions (expected amounts and effective dates). In other words, in fact, even operators active in different and quite distant areas have adopted the same generalized increases312.</w:t>
      </w:r>
    </w:p>
    <w:p>
      <w:r>
        <w:t>249. Moreover, it is precisely the evidence acquired regarding the coordination on nominal increases in reference prices, as well as the subsequent monitoring of adherence to the same, that testify to the existence of an agreement at the national level and not at the local level. The statements contained in the documents described in the factual part, which report agreements and/or arrangements regarding the generalized increase in cement prices, are, on the one hand, made by operators - namely Cementirossi, Sacci, and Cal.me - who compete with all the main operators at the national level and, on the other hand, refer generically and indiscriminately to all competitors present in the market, not just those rooted at the local level. Significant in this regard is the email found at the Sacci headquarters during the increase in June 2015, in which this company, active in three of the four Aitec macro-areas (i.e., northwest, central, and south), states: "the increases have been communicated by everyone... all our competitors have tried to apply less than the agreed 9 euros"313.</w:t>
      </w:r>
    </w:p>
    <w:p>
      <w:r>
        <w:t>250. As for the subsequent monitoring of adherence to the agreement, the internal document found at the Cementir headquarters regarding the future increase in the price of cement scheduled for June 2015 is noteworthy. In it, in fact, the company's employees appear to have also acquired the line of action of Cementirossi regarding the aforementioned increase, even though neither Cementir nor Cementirossi are direct competitors in any of the Aitec macro-areas (i.e., Cementir is present in the northwest, central, and south, while Cementirossi's plants are attributable only to the northeast macro-area). Indeed, this document states: "I have no news of an increase, it's almost time but we hope this is the right time... this should be a week of hoarding or seeing if someone behaves differently after the 15th. Also, Rossi has confirmed to me by phone....."314.</w:t>
      </w:r>
    </w:p>
    <w:p>
      <w:r>
        <w:t>251. Further confirmation, finally, of the existence of a unique and continuous agreement at the national level is found in the circumstance that the Aitec statistical elaborations, although providing data on quantities sold grouped by macro-area, are conveyed overall to all participants in the surveys regardless of their respective territorial rooting315.</w:t>
      </w:r>
    </w:p>
    <w:p>
      <w:r>
        <w:t>252. That said, the arguments of the party regarding an undue compression of defense rights that would result from a denial of access to average revenue data of individual companies, disaggregated by macro-area and/or at the specific level of average revenues, cannot be accepted. In fact, the comparison between actual national average revenues and macro-area revenues is irrelevant with respect to the challenge of an agreement on uniform price variations at the national level, such as that subject to investigation. Furthermore, the very measure of the dispersion of the national average revenues of the Parties (of different size and geographical operation) is irrelevant, as the challenges concern only the variations and not a presumed point identity between national average revenues. Therefore, due to the nature of the challenges contained in the CRI, the Parties were provided with anonymous and standardized series reporting the absolute variations of the average monthly revenue achieved at the national level by each Party for the sales of bulk and bagged cement, which allowed for a full response to the considerations expressed in the CRI316.</w:t>
      </w:r>
    </w:p>
    <w:p>
      <w:r>
        <w:t>5.3. The qualification of the case</w:t>
      </w:r>
    </w:p>
    <w:p>
      <w:r>
        <w:t>253. From the investigative findings described in the preceding sections, numerous elements emerge suitable to contest a violation of Article 101 TFEU against the following companies: Italcementi, Buzzi, Colacem, Cementir, Sacci in liquidation, Cementirossi, Holcim (Italy) Barbetti, Cementeria di Monselice, Cementizillo, Cal.me, Cementi Moccia, and TSC, as well as the trade association Aitec, in the cement market.</w:t>
      </w:r>
    </w:p>
    <w:p>
      <w:r>
        <w:t>254. The companies Cementi Centro Sud and W&amp;P are found to be extraneous to the described violation as the documentary evidence acquired, extensively illustrated in the factual part, has shown that both have practiced and continue to practice autonomous commercial policies, given that one has no price list [omissis] and the other [omissis]. Furthermore, as can be seen from the table regarding the parallelism of behavior observed during the coordination period (table 4, section 3.2.2), the price increases adopted by these companies generally diverge from those of the other companies that are Parties to the investigation procedure, both in terms of quantum and timing of application. Finally, for both operators, substantial differences in revenue trends are recorded compared to those of the other parties in the procedure and to the overall trend of average revenues of the Parties considered as a whole (such differences are particularly pronounced in the case of W&amp;P's trend).</w:t>
      </w:r>
    </w:p>
    <w:p>
      <w:r>
        <w:t>255. Contrary to what was alleged by the Party, the described coordination is instead attributable to the company Moccia for the following considerations. First of all, for this company, there is no evidence suitable to document the adoption of an autonomous commercial policy as in the cases of CCS and W&amp;P. Unlike the cited companies, for Moccia, there is indeed, like other operators that are parties to the investigation procedure, a parallelism of behavior, both in quantum and in the timing of application of cement price increases and, as extensively described in the preceding sections, this parallelism appears to be the result of an agreement among the cement companies. [Omissis].</w:t>
      </w:r>
    </w:p>
    <w:p>
      <w:r>
        <w:t>256. That said, it is observed that in light of a high parallelism of the price variations operated by the Parties, it appears that the cited cement companies – with the exception of W&amp;P and CCS – have created a unique and complex agreement, which has continued without interruption from June 2011 until January 2016, which saw all parties involved in a collusive strategy aimed at coordinating the selling prices of cement (price variations or discount cuts) throughout the national territory. This coordination was made possible by a plurality of conducts consisting of: i) concerted determination at the national level of nominal price increases for cement and advance communications of the same, directed to the generality of customers (coordination in the what, how, and when); ii) verification and monitoring of the actual adoption and application of the aforementioned price increases; as well as iii) exchanges of information on a monthly basis regarding quantities sold and their respective market shares, carried out through the processing and dissemination by Aitec to its members of the so-called "timely statistics," related to cement deliveries.</w:t>
      </w:r>
    </w:p>
    <w:p>
      <w:r>
        <w:t>257. Within the framework of the set of behaviors described in the factual part, from which a concertation between the Parties emerges incontrovertibly, it is not necessary to operate a specific qualification of the conducts as integrating, when considered individually, the case.316 As clarified by jurisprudence, since "access... is not functional... in this case, to the protection and defense of one's rights," the need to protect the confidentiality requirements regarding the anonymity of the data, as represented by the Parties, has prevailed (i.e., Council of State, June 9, 2015, No. 3741).</w:t>
      </w:r>
    </w:p>
    <w:p>
      <w:r>
        <w:rPr>
          <w:b/>
        </w:rPr>
        <w:t>[Pages 85–87]</w:t>
      </w:r>
    </w:p>
    <w:p>
      <w:r>
        <w:t>BULLETIN NO. 31 OF AUGUST 16, 2017 87</w:t>
        <w:br/>
        <w:t>of the agreement, the concerted practice, or the decision of the Association of enterprises, given the unity of the purpose pursued. Community jurisprudence has indeed repeatedly observed that a series of behaviors by multiple enterprises with the same anticompetitive object can be considered an expression of a single infringement, partly attributable to the concept of agreement and partly to that of concerted practice, as the notion of agreement and that of concerted practice are not incompatible, sharing the same nature and differing only in their intensity and the forms in which they manifest317.</w:t>
      </w:r>
    </w:p>
    <w:p>
      <w:r>
        <w:t>The same jurisprudence has clarified that a "violation of Article 85, No. 1, of the Treaty can result not only from a single act but also from a series of acts or even from a continued behavior. - (...) Where the different actions are part of an 'overall plan', due to their identical object of distorting the play of competition within the common market, the Commission can attribute responsibility for such actions based on participation in the infringement considered as a whole"318.</w:t>
      </w:r>
    </w:p>
    <w:p>
      <w:r>
        <w:t>258. From the perspective of qualifying the case, the focal point of the assessment entrusted to the Authority consists in "distinguishing between forms of collusion that fall under antitrust prohibitions and simple parallel behaviors lacking elements of concertation"319. The criteria of coordination and collaboration must be understood in light of the conception related to the Treaty rules on competition, according to which each economic operator must autonomously determine the conduct they intend to follow in the common market320. According to community jurisprudence, the need for autonomy strictly prohibits "direct or indirect contacts between the operators themselves that may influence the behavior on the market of an actual or potential competitor, or reveal to that competitor the conduct they have decided or intend to follow in the market when such contacts have the purpose or effect of creating conditions of competition that do not correspond to the normal conditions of the market in question, taking into account the nature of the goods and services provided, the importance and number of enterprises, and the volume of that market"321.</w:t>
      </w:r>
    </w:p>
    <w:p>
      <w:r>
        <w:t>259. In the case at hand, it is unequivocally evident from the collected evidence that the expression of autonomy that should characterize the activities of the enterprises has been compromised and conditioned by the pursuit of collusive objectives. While this need for autonomy does not exclude that economic operators can intelligently adapt to the behavior of competitors in the market, it cannot allow any direct or indirect contact between operators, aimed at or resulting in either influencing the market behavior of an actual or potential competitor or revealing to that competitor the behavior they intend to maintain in the market.</w:t>
      </w:r>
    </w:p>
    <w:p>
      <w:r>
        <w:t>260. That said, in light of all the principles expressed by the aforementioned jurisprudence, the behaviors assumed by the Parties, analytically described in the factual part, can only be read – contrary to what has been repeatedly claimed – in a unitary manner, constituting an expression of a single "overall plan," a unique, complex, and continued restriction of competition, resulting from a conscious collaboration of all parties involved in the investigation, aimed at eliminating the risks associated with the unfolding of correct competitive dynamics in the cement market. The unity of the agreement in question emerges clearly when considering the uniqueness of the objective consistently pursued by the Parties, consisting of a systematic coordination of their respective commercial policies, the tools (behaviors and practices) used for this purpose, as well as the identity of the enterprises involved and the product concerned.</w:t>
      </w:r>
    </w:p>
    <w:p>
      <w:r>
        <w:t>5.4 The methods of realization of the agreement</w:t>
      </w:r>
    </w:p>
    <w:p>
      <w:r>
        <w:t>261. With specific reference to the methods of realization of the complex agreement subject to the investigative procedure, it is noted that it was based on a unitary and stable concertative model over time, founded on precise and defined identifications of the roles (and responsibilities) of both the enterprises – parties to the investigative procedure – and the trade association and distributor TSC. Indeed, from the evidence acquired, it emerged that:</w:t>
        <w:br/>
        <w:t>i) the cement companies have defined ex ante in a concordant manner, even during associative meetings, identical nominal increases in the price of cement to be communicated in advance to customers;</w:t>
        <w:br/>
        <w:t>ii) the same companies have constantly verified not only the sending to the market of letters of price increases by competitors, even utilizing the active collaboration of distributor TSC, but also the actual application of such increases by all competitors. The collected evidence also testifies that the companies have adopted commercial behaviors aimed at controlling their respective market shares in order to facilitate the achievement of the agreed price objectives;</w:t>
        <w:br/>
        <w:t>iii) the trade association, for its part, has taken an active role in this coordination, acting as a guarantor of both the overall application of the price increases announced by the cement companies and disseminating data related to cement deliveries across the national territory (as already clarified in the factual part corresponding to sales in the national market), by macro-area of reference and with a periodicity such as to facilitate continuous monitoring of the relative shares and thus the stability of the collusion. This occurred during the period 2013-2016, directly collecting from the companies the data on national cement deliveries with the characteristics described above and disseminating the so-called "timely statistics" on a monthly basis; in the period prior to 2013, at least since January 2012, reworking the production, export, and stock data that the cement companies were required to provide to the Ministry in order to produce similar information on national sales later disseminated among the companies as "Statistics of interest to the cement industry."</w:t>
      </w:r>
    </w:p>
    <w:p>
      <w:r>
        <w:t>The described concertative model, as a whole, has allowed for the creation of a climate of mutual security among the cement companies regarding their future commercial policies, significantly reinforced by behaviors aimed at monitoring, ex ante and ex post, the actual adoption and application of the price increases defined at the collective level.</w:t>
      </w:r>
    </w:p>
    <w:p>
      <w:r>
        <w:t>262. The documentary evidence on file unequivocally demonstrates that the price increases of cement, during the period 2011/2016 – contrary to what has been claimed by some parties in the investigative procedure – do not constitute either the result of autonomous entrepreneurial initiatives or the outcome of an endogenous transparency of the market.</w:t>
      </w:r>
    </w:p>
    <w:p>
      <w:r>
        <w:t>263. Regarding the first point, concerning Cementir and Italcementi, no documents have emerged from the investigative file supporting autonomous decisions to increase prices as claimed by the companies themselves. On the contrary, with specific reference to Italcementi and the increase implemented in June 2015, the date, time, and content of the email found at the Cementirossi headquarters, which reports the intention of Italcementi and Buzzi to proceed with sending letters of price increases (i.e. at 11:06 "Today 3/06/2015 THE E-MAIL from Italcementi and Buzzi is SENT"), clash with the apparent decision of Italcementi, made at 11:48 on June 3, 2015, to proceed entirely autonomously with a price increase of cement322. Finally, regarding Holcim, it is noted that, although the party produced, in defense, documents proving the existence of internal evaluations regarding price increase decisions, what matters is that the increases actually adopted by Holcim coincide for each episode in every manner (in amount and duration) with those shared by all operators in the sector (see table 4, section 3.2.2).</w:t>
      </w:r>
    </w:p>
    <w:p>
      <w:r>
        <w:t>264. As for the exception regarding the circumstance that the circulation of information related to price increases would be the result of an "endogenous" transparency of the market, due to the interest of demand in conveying the same among competing operators, it is briefly recalled what was reported in the factual section. First of all, the case at hand arises from the complaint of a representative of demand, specifically a concrete company that represents the main outlet for cement companies (see section 3.2.3). Secondly, as recognized by the parties in the investigative procedure323, demand is extremely sensitive to the price of cement, such that any unilateral price increases would be even unsustainable324. Finally, the same cement companies have acknowledged that it is not the representatives of demand who wish to know the price increases: Italcementi stated during the hearing that "the majority of customers ... do not report at all to Italcementi the communications of price increases from competitors325," corroborating the statements made by Franzosi Cave during the hearing, who stated that customers have no interest in communicating a supplier's price increase to a competing supplier, since: "the customer is rather interested in not conveying this information to the competing supplier. In fact, in cases where sales representatives of cement companies try to obtain information from customers about competitors' increases, efforts are made not to respond or to bluff a little"326. Therefore, the party's exception regarding the lack of investigation on this profile is also unfounded.</w:t>
      </w:r>
    </w:p>
    <w:p>
      <w:r>
        <w:t>265. Conversely, the evidence on file testifies that the decisions regarding cement price increases are the result of a concerted definition by all competing operators, who have shared their respective future commercial policies, also artificially creating a heightened transparency of the market. More specifically, the cement companies that are parties to the investigative procedure throughout the observed period have replaced – even through the trade association – autonomous commercial choices with the same strategy of concertation of the commercial conditions to be applied to customers, converging on the amount, on the</w:t>
      </w:r>
    </w:p>
    <w:p>
      <w:r>
        <w:rPr>
          <w:b/>
        </w:rPr>
        <w:t>[Pages 88–90]</w:t>
      </w:r>
    </w:p>
    <w:p>
      <w:r>
        <w:t>90 BULLETIN NO. 31 OF AUGUST 16, 2017</w:t>
        <w:br/>
        <w:t>methods of communication to the market and the timing of price increases for cement327.</w:t>
      </w:r>
    </w:p>
    <w:p>
      <w:r>
        <w:t>266. As emerges from the preceding sections (see section 3.2.3), price increases result from collusion as they stem from numerous contacts that took place between the Parties – also during meetings of the trade association – in the period preceding the communications of price increases to customers, if not from actual agreements between the Parties themselves.</w:t>
      </w:r>
    </w:p>
    <w:p>
      <w:r>
        <w:t>267. Thus, for example, on the occasion of the agreed increase in 2013, a representative of Cementirossi stated: “the increases... we applied them correctly and as agreed,” while during the subsequent price increase of €9 per ton in June 2015, Sacci noted: “Initially, the increases were communicated by everyone... except for some initial whims of CEMENTIR and BARBETTI. During the application phase from June 15 to 30, we were able to verify, even with the supplies from customers, that all our competitors tried to apply less than the agreed €9.” (emphasis added).</w:t>
      </w:r>
    </w:p>
    <w:p>
      <w:r>
        <w:t>268. Significant evidence of a pre-existing agreement among cement companies regarding identical price increases for cement also emerges from a document found at the Cal.me headquarters, in which, referring to the advance communication of an increase to Cal.me by Cementir, it states: “this letter will be replicated by all cement producers” (bold and underlining added).</w:t>
      </w:r>
    </w:p>
    <w:p>
      <w:r>
        <w:t>269. Price coordination was also achieved with the assistance of the trade association: various pieces of evidence in the investigation file indeed testify to the existence of discussions regarding prices and price lists even within Aitec.</w:t>
      </w:r>
    </w:p>
    <w:p>
      <w:r>
        <w:t>270. In this regard, two minutes from two meetings held in the associative context are recalled, one from April 2011 and the other from October 2015, both prior to the subsequent price increases for cement, respectively in June 2011 and January 2016, during which the cement companies, on the one hand, hypothesized “to understand if there are possibilities to raise the price” (emphasis added) in order to “reward the industry”328 and, on the other hand, discussed the need to “Review the philosophy of price lists, -70% makes no sense! A project that takes us out of this logic” (emphasis added)329. Both pieces of documentary evidence unequivocally demonstrate that Aitec was the vehicle for coordination among cement companies and allow for the refutation of what was claimed during the proceedings by the same Association or by other cement companies, according to which there would be no trace, in the entire investigation file, of discussions regarding prices in the associative context.</w:t>
      </w:r>
    </w:p>
    <w:p>
      <w:r>
        <w:t>271. Nor would it be valid to object, on this point, that from the analysis of the minutes and the various agendas of the meetings of the associative bodies that have taken place over time, produced in the records, there are no references to the issues of cement prices, for the following reasons. In fact, first of all, the same trade association stated during the hearing that there may be a disconnect between the topics on the agenda and the subsequent discussions in the associative context. To confirm this, the minutes of the meetings referred to by the cited evidence do not contain any references to such passages of the discussion. Moreover, as the minutes of the referenced meetings testify, it is reasonable to hypothesize that the issues related to the commercial policies addressed during the meetings convened in the associative context were not subject to verbatim recording: the trade association and the same member companies were clearly aware of the possible consequences of such discussions from an antitrust perspective, both due to the recent pending community proceedings, which closed without finding an infringement, and due to a previous price agreement, also in the cement market, established and sanctioned at the community level during the 1990s330. On the other hand, as reiterated by the EU Court of Justice, precisely with reference to the previous community case concerning cement, since “both the prohibition of participating in anti-competitive practices and agreements and the sanctions that can be imposed on offenders are well known, normally the activities resulting from such practices and agreements are carried out clandestinely... and the documentation related to them is kept to a minimum”; consequently, even if “documents explicitly certifying an illegitimate contact between operators, such as the minutes of a meeting, were discovered, these would generally be only fragmentary and sporadic, so that it often becomes necessary to reconstruct certain details through deductions”331.</w:t>
      </w:r>
    </w:p>
    <w:p>
      <w:r>
        <w:t>272. In light of the preceding arguments, since the associative venue has provided constant opportunities for meetings among cement companies, it can be concluded, contrary to what has been repeatedly claimed by the trade association and other parties, that in each of these meetings issues related to the commercial policies of competitors may have been addressed. It should be recalled that during the contested period, there were 28 meetings of the Board of Directors, 28 meetings of the Executive Committee, and 25 meetings of the Marketing Commission332, held regularly throughout the entire period.</w:t>
      </w:r>
    </w:p>
    <w:p>
      <w:r>
        <w:t>273. The unified collusive scheme was then implemented and refined by a series of conducts carried out by the parties and the same trade association - aimed at monitoring the adoption of the agreed price increases for cement and their actual application - which guaranteed, on the one hand, the implementation of the agreement and, on the other hand, strengthened the reliability of communications to the market and thus the margins for coordination.</w:t>
      </w:r>
    </w:p>
    <w:p>
      <w:r>
        <w:t>In the phase following the communication to the market of the agreed price increases, systematic contacts between representatives of competitors and direct communications of increases between competing operators indeed intervened among the Parties of the investigation - contrary to what was claimed.</w:t>
      </w:r>
    </w:p>
    <w:p>
      <w:r>
        <w:t>274. The exceptions raised by the parties, in particular, regarding the direct communications of increases between competing operators being justified by the supply relationships between cement companies active downstream also in the concrete market, do not appear to be acceptable as exonerating circumstances. It should be noted in this regard, first of all, that some letters of price increases circulate directly among competing operators, are not sent to concrete companies, nor do they mention existing supply relationships (see section 3.2.4).</w:t>
      </w:r>
    </w:p>
    <w:p>
      <w:r>
        <w:t>275. Furthermore, according to what is found in the records, cement companies usually send indiscriminately the increase communications to all customers appearing in their databases, even if they are no longer active customers; with the desired effect of facilitating the monitoring of the adoption of the agreed increases.</w:t>
      </w:r>
    </w:p>
    <w:p>
      <w:r>
        <w:t>276. From a different perspective, the evidence testifies to an instrumental use, by the companies, of certain third parties, such as the distributor TSC, in order to convey future price increases practiced by competing operators333. The very choice of cement companies to rely on TSC's contribution to facilitate, in the words of the same TSC representative, the “mutual surveillance of the implementation of the price increase” highlights the degree of precision of the complex coordination subject to investigation.</w:t>
      </w:r>
    </w:p>
    <w:p>
      <w:r>
        <w:t>It should be recalled that TSC, on the occasion of the price increase applied starting from early 2016, accepting Cal.me's invitation to “FORWARD IT TO THE COMPETITORS,” deliberately conveyed the new price lists of that company to a plurality of competing operators, as well as numerous other price lists among competing operators334.</w:t>
      </w:r>
    </w:p>
    <w:p>
      <w:r>
        <w:t>277. It is important to remember here that by TSC's own admission, this activity is in no way functional to its immediate interest as a customer of the cement companies, as such interest is rather constituted by the possibility of avoiding or postponing the proposed increase as much as possible. In fact, TSC would have acted “out of friendship,” and this, according to the company and the cement companies, would be an exonerating circumstance that would render TSC's mediation devoid of consequence in terms of the unlawfulness of the conduct. Contrary to what has been noted, however, it is believed that TSC is jointly responsible for the infringement subject to investigation, as the two prerequisites – objective and subjective – required by community jurisprudence are present in this case for a company to be considered a co-author and/or accomplice of an antitrust violation, namely:</w:t>
      </w:r>
    </w:p>
    <w:p>
      <w:r>
        <w:t xml:space="preserve">i) having contributed to its implementation; </w:t>
        <w:br/>
        <w:t>ii) having acquiesced to the objectives of the agreement335.</w:t>
      </w:r>
    </w:p>
    <w:p>
      <w:r>
        <w:t>278. Regarding the first of the two prerequisites, it is only worth noting that TSC confirmed having transmitted to industry operators the future price lists of Cal.me and other competitors, thereby contributing to the implementation of the agreement among cement companies. Regarding the second prerequisite, it is noted that TSC tacitly approved the objectives of the agreement established by the cement companies to the extent that, in response to the request “FORWARD IT TO THE COMPETITORS,” it promptly conveyed the received price lists, being well aware that such circulation would contribute to the agreed and collective definition of the price increases for cement. This awareness, moreover, derives from the fact that TSC's behavior was assumed by an employee of the company with previous work experience at two cement companies that are parties to the investigation – i.e. Italcementi and Sacci – who was well aware of the conduct of cement companies during price increases333.</w:t>
      </w:r>
    </w:p>
    <w:p>
      <w:r>
        <w:t xml:space="preserve">Cfr. sezione 3.2.4. </w:t>
        <w:br/>
        <w:t xml:space="preserve">Cfr. sezione 3.2.4. Furthermore, it is noted that other cement companies were also well aware that TSC's communications were not directed exclusively to them, as the documentation in the records shows that sometimes they received the price lists of their competitors via “collective” emails, addressed simultaneously to the sellers of multiple companies. </w:t>
        <w:br/>
        <w:t>Cfr., ex multis, Judgment of the Court, of July 8, 2008, in case T-99/04, AC-Treuhand AG/Commission, points 133 and 134.</w:t>
      </w:r>
    </w:p>
    <w:p>
      <w:r>
        <w:rPr>
          <w:b/>
        </w:rPr>
        <w:t>[Pages 91–93]</w:t>
      </w:r>
    </w:p>
    <w:p>
      <w:r>
        <w:t>BULLETIN NO. 31 OF AUGUST 16, 2017 93</w:t>
        <w:br/>
        <w:t>of cement. Indeed, on this point, the investigative findings revealed that "as Mr. [omitted] recalls from his experience at Italcementi and Sacci, the sales employees of cement companies receive instructions from their superiors to monitor the market and facilitate mutual surveillance of the implementation of the price increase. In this sense, the management expects the salespeople of the cement companies to be active in the market by collecting the price lists and letters of price increases from competitors and circulating their own communications among them. The salespeople, in turn, request assistance in these tasks assigned to them"336. Therefore, the fact that TSC has not publicly distanced itself from the content of the agreement under investigation and has instead knowingly contributed significantly to the realization of a declared anti-competitive objective does not exempt this operator from the responsibility for the unified criminal scheme carried out by all the Parties in the investigative procedure.</w:t>
      </w:r>
    </w:p>
    <w:p>
      <w:r>
        <w:t>Finally, TSC's exception that it would be sufficient to exonerate it by claiming it did not derive any benefit from the concertation under investigation, as an active operator in the downstream market of cement production and sales, is unfounded. In this regard, it suffices to refer to the constant case law of the European Union, according to which "the text of Article 101, paragraph 1, TFEU refers generally to all agreements and all coordinated practices that, in horizontal or vertical relationships, distort competition in the internal market, regardless of the market in which the parties are active, as well as the fact that only the commercial behavior of one of them is affected by the terms of the agreements in question"337.</w:t>
      </w:r>
    </w:p>
    <w:p>
      <w:r>
        <w:t>279. In the context of control activities aimed at verifying the adoption of price increases by cement companies, the category association Aitec has played a significant role, which, contrary to what was claimed, at least with reference to the price increase of cement recorded in June 2015, has shown a clear interest in the commercial policies practiced by cement companies. Indeed, the president of the association received from Cementirossi, on June 10, 2015, the price lists of various operators in the market (i.e. Italcementi, Colacem, Sacci, Barbetti, Cementizillo, Monselice, and W&amp;P) with an accompanying email stating: "... as agreed, I am attaching other price lists. Almost all are there, Holcim should come out on 16/06"338.</w:t>
      </w:r>
    </w:p>
    <w:p>
      <w:r>
        <w:t>280. Finally, another piece of the overall "overall plan" devised by the cement companies with the active contribution of all parties involved in this investigative procedure concerns the verification of the actual application of the price increases agreed upon among competing operators. In this regard, the documentary evidence acquired during the procedure revealed: i) exchanges of information between the parties; ii) a systematic monitoring of the relative market shares, this latter objective achieved also thanks to the statistics on national cement sales transmitted by Aitec to the associated companies at least from January 2012 until March 2016339.</w:t>
      </w:r>
    </w:p>
    <w:p>
      <w:r>
        <w:t>281. Regarding the existence of direct contacts between the parties, it is worth recalling a document dated June 25, 2015, found at the Cementir headquarters, drafted by the then General Director of the company, which – contrary to what was claimed by some of the parties in the investigative procedure – contains notes taken during evident contacts with competitors Barbetti, Colacem, Buzzi, and Holcim, concerning the actual application of the increase to individual customers. Moreover, the possible existence of contacts between cement companies, downstream of the application of price increases, was confirmed during the inspections carried out at the Barbetti headquarters340.</w:t>
      </w:r>
    </w:p>
    <w:p>
      <w:r>
        <w:t>282. Finally, regarding the conduct aimed at controlling market shares, a document found at the Cal.me headquarters, dating back to the summer of 2012 – on whose interpretation the company itself agreed during the hearing – shows a constant monitoring by the companies regarding the trend over time of their market shares, which must be "in line" with the general trends (see par.xx): "if we want the price to increase and remain high, we must be in line"341; thus, the compliance by each company with its reference share is instrumental to controlling the quantities of cement placed on the market, ultimately to ensure the price increase, as clarified by the company "if customers of others are not taken away, it is possible to increase the price." The control of one's commercial aggressiveness, through the constant verification of compliance with one's market share, thus represents a relevant element for creating an environment in which the conditions of mutual trust necessary to enable price coordination exist.</w:t>
      </w:r>
    </w:p>
    <w:p>
      <w:r>
        <w:t>283. In order to ensure the objective of controlling market shares, the monthly elaborations of data relating to national sales carried out by Aitec play a significant role, initially based on cement production data from ministerial sources, and then directly based on the sales data of cement provided by the parties, elaborations that, allowing for a rapid verification of the market shares held by cement companies, facilitated the coordination of their commercial policies. More specifically, the evidence described shows that the elaborations of Aitec at least from January 31, 2012, until the end of June 2013, although based on ministerial surveys, were used for collusive purposes by the cement companies and therefore, for that period, even in a context facilitated by public data dissemination activities, there are grounds to attribute to the category association also the activity of disseminating the "Statistics of interest to the cement industry" among its members, in addition to the subsequent activity of collecting, processing, and disseminating the "Timely Statistics" of the "Cement Project" devised by Aitec, tested in the summer of 2013 and fully operational from September 19, 2013. Therefore, contrary to what was claimed by the category association and other parties in the investigative procedure, there is an evident link between the elaborations made for the benefit of the members and the parallelism of the commercial behaviors adopted in the market by all cement companies, so that, even from this perspective, Aitec itself – in light of all the documentary evidence acquired – is fully responsible for the conduct under investigation.</w:t>
      </w:r>
    </w:p>
    <w:p>
      <w:r>
        <w:t>284. Overall, in light of the preceding considerations, it must be concluded that all parties involved in this investigation are – each for their part – pieces of a mosaic, components of a unique "overall plan"342, collectively contrary to Article 101 of the TFEU and aimed at coordinating the commercial conditions practiced by competing operators.</w:t>
      </w:r>
    </w:p>
    <w:p>
      <w:r>
        <w:t>BULLETIN NO. 31 OF AUGUST 16, 2017 95</w:t>
        <w:br/>
        <w:t>in the cement market, supported by a plurality of conducts aimed at strengthening the bonds of mutual cooperation. This overall plan is fully capable of explaining the parallelism of price increase decisions and the stability of market shares, which therefore cannot in any way be justified by mere mutual, tacit, and unilateral adjustment, facilitated by transparency generated solely by the characteristics of the market.</w:t>
      </w:r>
    </w:p>
    <w:p>
      <w:r>
        <w:t>5.5 The restrictiveness of the agreement by object</w:t>
      </w:r>
    </w:p>
    <w:p>
      <w:r>
        <w:t>285. The investigative findings demonstrate that the complex and articulated collusive scheme described in the preceding sections, by virtue of its nature and type, as well as the context and characteristics of the market in which it is inserted, is configured – contrary to what was claimed by the Parties – as a restriction of competition known as "by object," potentially capable of reducing the uncertainties of companies regarding the functioning of the market.</w:t>
      </w:r>
    </w:p>
    <w:p>
      <w:r>
        <w:t>286. As is well known, according to established community and national case law, all agreements that have as their object or effect a significant restriction of competition in the national market are prohibited343.</w:t>
      </w:r>
    </w:p>
    <w:p>
      <w:r>
        <w:t>287. The same case law has consistently emphasized that the anti-competitive object and effect are not cumulative conditions, but rather alternative ones, and that, to determine whether an agreement is susceptible to being prohibited under Article 101 of the TFEU, it is unnecessary to consider its concrete effects, "where it is evident that it aims to prevent, restrict, or distort the competition within the common market"344. In fact, "the difference between object infringements and effect infringements lies in the fact that certain forms of collusion between companies can be considered harmful to the proper functioning of normal competition by their very nature"345.</w:t>
      </w:r>
    </w:p>
    <w:p>
      <w:r>
        <w:t>288. That said, in any case, it should be noted that the unique, complex, and continuous agreement implemented by the Parties in this investigative procedure not only has a restrictive object of competition but has also produced appreciable effects. Therefore, in the following sections, the nature and objective of this coordination will be accounted for, as well as the market context in which it is inserted. Furthermore, it will be demonstrated that the complex collusive scheme has – contrary to what was claimed by some of the Parties – also produced restrictive effects on competition.</w:t>
      </w:r>
    </w:p>
    <w:p>
      <w:r>
        <w:t>The nature and objective of the coordination</w:t>
      </w:r>
    </w:p>
    <w:p>
      <w:r>
        <w:t>289. As already mentioned in the introduction, the collusive strategy implemented by all the Parties in the investigative procedure was aimed at coordinating the selling prices of cement throughout the national territory.</w:t>
      </w:r>
    </w:p>
    <w:p>
      <w:r>
        <w:t>290. As already recalled by the Court, each economic operator must independently determine the conduct it intends to undertake in the market. In particular, except for the influence that the so-called intelligent alignment legitimately exerts on the behaviors of companies, any type of influence is prohibited, especially if it derives from direct or indirect contacts regarding the business behavior that is intended to reveal its commercial policy to competitors, current or future, if it has as its object or produces the effect of altering competition346.</w:t>
      </w:r>
    </w:p>
    <w:p>
      <w:r>
        <w:rPr>
          <w:b/>
        </w:rPr>
        <w:t>[Pages 94–96]</w:t>
      </w:r>
    </w:p>
    <w:p>
      <w:r>
        <w:t>96 BULLETIN NO. 31 OF AUGUST 16, 2017</w:t>
        <w:br/>
        <w:t>291. The complex agreement under investigation has resulted in price coordination among competing operators: it has indeed affected the future selling prices of cement and thus impacted a competitive variable of absolute significance. As has been reiterated several times by the Council of State, "price has particular importance as a tool of competition (it is the main weapon of competition among companies)" and this "leads to the conclusion that any form of collusive conduct through which companies alter its formation mechanism is prohibited"347.</w:t>
      </w:r>
    </w:p>
    <w:p>
      <w:r>
        <w:t>292. From a different perspective, it is recalled that, according to the consistent jurisprudence of the Council of State, the category of prohibited price agreements includes "not only agreements through which companies set prices at precisely determined levels or establish minimum prices below which they commit not to sell, but, more generally, all agreements that aim to or have the effect of short-circuiting the free individual determination of price and, therefore, its natural flexibility"348.</w:t>
      </w:r>
    </w:p>
    <w:p>
      <w:r>
        <w:t>293. In light of this principle, the arguments of the parties claiming that the alleged price coordination would concern mere reference prices and would be devoid of direct effects on the prices actually charged to customers appear unfounded. As clarified by the Court of Justice, an agreement can be considered anti-competitive both when it concerns only "merely indicative" prices349 and when it does not directly concern retail prices; a price agreement indeed falls within the application scope of Article 101 TFEU when it concerns "directly the purchase or selling prices or other transaction conditions." This is because "Article 81 EC, like the other competition rules set out in the Treaty, is not intended to protect only the immediate interests of individual competitors or consumers, but the structure of the market and, thereby, competition as such"350.</w:t>
      </w:r>
    </w:p>
    <w:p>
      <w:r>
        <w:t>294. Beyond the divergences in positions taken by industry operators regarding the nature of the list price increases – according to Barbetti actual increases and according to Holcim variations that only affect reference prices – it is noted that, even if the list price variations are understood as referring to reference prices, they have nonetheless been capable of reducing uncertainties regarding the actual prices charged in the market and determining an increase in them. In fact, as noted during the hearing by Holcim, list prices influenced downstream negotiations between concrete retailers and customers, and it must therefore be considered that a relationship necessarily exists between actual prices and the alleged "reference prices." Additionally, it is anticipated that the analysis conducted regarding the trend of actual prices, which will be illustrated in the following sections, further corroborates this result, as it highlights how each occasion of shared reference price increases corresponds to an upward variation in actual prices.</w:t>
      </w:r>
    </w:p>
    <w:p>
      <w:r>
        <w:t>295. In any case, it is observed that it is sufficient for competitors to exchange information regarding their future commercial strategies for each of their behaviors to necessarily take into account the indications received and thus be capable of altering competitive confrontation. Essentially, once a price agreement has occurred, even any behaviors that deviate from what was agreed upon are conditioned by what was learned during the agreement and are not indicative of truly independent behavior based on purely competitive mechanisms.</w:t>
      </w:r>
    </w:p>
    <w:p>
      <w:r>
        <w:t>296. In a scenario characterized by such widespread and methodical price coordination in the cement market, those conducts – extensively described in the preceding sections – aimed at verifying the adoption and concrete implementation of price increases must also be included, insofar as they constituted a mechanism for monitoring the observed coordination and thus significantly strengthened the bonds of cooperation among competing operators. They have, in fact, artificially induced and/or increased transparency in the market, facilitating the monitoring of compliance with the agreement by its members.</w:t>
      </w:r>
    </w:p>
    <w:p>
      <w:r>
        <w:t>297. With particular reference to the coordination achieved through the use of the TSC retailer, it is observed that the restrictive nature of it is evident also in light of the full awareness, on the part of the participants, of the anti-competitive purposes for which it was implemented. In this regard, beyond the full acquiescence of the interested competitors, who send and receive communications regarding price increases, the statement "LET'S PASS IT ON TO THE COMPETITORS. THANK YOU" that accompanies the communication sent to the TSC by the company Cal.me announcing its intention to raise the price351 is decisive.</w:t>
      </w:r>
    </w:p>
    <w:p>
      <w:r>
        <w:t>298. In conclusion, the described coordination among competing operators, concerning the coordination of the future price of cement practiced by all cement companies, has resulted in a significant and irreparable alteration of competitive dynamics in the cement market, preventing any differentiation and competitive stimulus on one of the most relevant competitive tools available to operators and thus limiting consumers' choices.</w:t>
      </w:r>
    </w:p>
    <w:p>
      <w:r>
        <w:t>299. From a different perspective, as already illustrated in the preceding sections, the articulated collusive scheme implemented by the parties in the investigative procedure has also been supported and guaranteed by constant monitoring of historical shares by the companies subject to the proceedings. This has also been realized through an exchange of sensitive information carried out by the trade association Aitec aimed at providing companies with a tool for monitoring their respective market shares in a timely manner, disseminating, on a monthly basis, data related to cement sales from all macro-areas of Aitec origin where the cement companies' plants were located, necessary for each of them to calculate their market position and for continuous and constant comparison with market trends in their reference areas and at an overall level.</w:t>
      </w:r>
    </w:p>
    <w:p>
      <w:r>
        <w:t>300. This objective has been achieved, at least from January 31, 2012, until June 2013, by disseminating among members, starting from data from ministerial sources, specific elaborations called "Statistics of interest to the cement industry" containing data on cement sales by Region and by macro-areas of interest. Subsequently, from June 2013 until March 2016, the monitoring of market shares of cement industries has been ensured through the autonomous design and dissemination of timely statistics directly created by the trade association through Ria.</w:t>
      </w:r>
    </w:p>
    <w:p>
      <w:r>
        <w:t>301. The objections from the parties claiming that the timely statistics arose solely from the need to fill the informational gaps of the MISE, which did not provide data in a timely manner and as required by law, cannot be accepted. It is worth noting that, as emerges from the reconstruction of the applicable regulatory framework for MISE surveys, while companies are indeed required to provide their production data per plant on a monthly basis, MISE is not actually subject to any obligation to disseminate the data with similar periodicity, as recognized by Italcementi352. On the contrary, the evidence shows that this periodicity constitutes an exclusive and specific interest of cement companies. It is worth noting that, as recognized during the hearing with representatives of MISE, "data collection ... [constitutes] a service activity for the industry"353, a circumstance expressly mentioned in the Sistan sheet related to this survey "...to disseminate information...to industry operators" and reiterated by Istat in response to a request for information354. Moreover, to confirm that the aforementioned statistical surveys constitute a product for the benefit of only the companies in the sector, the further circumstance that when Aitec decides to create its own statistical surveys, MISE provided the data within 60 days of their acquisition, a delay that, however, by the express admission of the same trade association "effectively nullifies the informational value of the production data"355.</w:t>
      </w:r>
    </w:p>
    <w:p>
      <w:r>
        <w:t>302. That said, the evidence described in the factual part demonstrates a constant attention of companies to the stability over time of their market share in volume, with a view to controlling the quantities of cement placed on the market, as well as a close correlation between compliance with predetermined market shares and the repeated increases in list prices356. In this perspective, the alleged need to have timely production data appears instrumental to controlling quantities aimed at ensuring the implementation of the agreed strategies for price increases.</w:t>
      </w:r>
    </w:p>
    <w:p>
      <w:r>
        <w:t>303. The Aitec surveys, in fact, although aggregated by macro-area, allowed – due to the reduced number of operators located within each of them – to monitor the trend of their respective production shares over time and to verify in real-time any losses of volumes attributable to deviations by competitors from the price coordination. In this sense, the exchange of information on quantities implemented by the Parties through Aitec appears capable of ensuring the stability of the collusive equilibrium. In fact, as recognized by the Commission, even the exchange of aggregated data can be useful to "maintain stable collusion [since] companies do not always need to know which company is responsible for the deviation; sometimes it may be sufficient to know that 'someone' has deviated from the agreed conduct"357.</w:t>
      </w:r>
    </w:p>
    <w:p>
      <w:r>
        <w:t>304. It is recalled that, from a content perspective, the sales data provided by Aitec – contrary to what some operators have claimed – have always constituted a strategic data of absolute relevance, as "cement sales occur mainly where the production plants are located," given the high transportation costs that affect the sector358.</w:t>
      </w:r>
    </w:p>
    <w:p>
      <w:r>
        <w:t>305. Since Aitec statistics were disseminated to members by the middle of the month following the one subject to the survey and thus allowed companies a more than timely control of their respective market shares, their "timeliness" has allowed participating companies to</w:t>
      </w:r>
    </w:p>
    <w:p>
      <w:r>
        <w:rPr>
          <w:b/>
        </w:rPr>
        <w:t>[Pages 97–99]</w:t>
      </w:r>
    </w:p>
    <w:p>
      <w:r>
        <w:t>BULLETIN NO. 31 OF AUGUST 16, 2017 99</w:t>
        <w:br/>
        <w:t>to the agreement, which coordinated their respective commercial policies, to ensure the stability of the collusive equilibrium reached, verifying compliance with the agreements regarding prices through the monitoring of their own market share. In this regard, it is worth recalling what several companies stated about the fact that monthly periodicity was not necessary for carrying out normal strategic positioning analyses, for which "longer observation periods" were sufficient (see section 4.6).</w:t>
      </w:r>
    </w:p>
    <w:p>
      <w:r>
        <w:t>306. The sales data present in the statistics disseminated by Aitec were also current as they provided companies with an immediate representation of competitors' behavior, allowing them to carry out constant monitoring of the same. In this sense, the design, dissemination, and use of the aforementioned statistics can be considered akin to "a control system" for any deviations from a collusive equilibrium such as that identified in the Commission's Communication on horizontal cooperation agreements359.</w:t>
      </w:r>
    </w:p>
    <w:p>
      <w:r>
        <w:t>307. In conclusion, the elaborations of the Aitec Cement Project presented added value compared to other sources available in the market (MISE and ISTAT): on one hand, they provided data related to sales, in terms of produced volumes and percentage variations, not recorded at the institutional level. Furthermore, they allowed for a tendentially complete representation of the market offer (representing approximately 85% of the market participants in the surveys), updated in a timely manner.</w:t>
      </w:r>
    </w:p>
    <w:p>
      <w:r>
        <w:t>308. Finally, the released data were also reliable, in terms of accuracy and completeness, given the meticulous verification and correction activities carried out by the companies before their subsequent publication on the Association's website (see supra section 3.2.6). Therefore, each company was able to acquire information on competitors' sales data, not only bearing a lower burden in terms of costs and acquisition times but also receiving an advantage in terms of data certainty, compared to the situation in which the same companies would have found themselves had they directly acquired the same information.</w:t>
      </w:r>
    </w:p>
    <w:p>
      <w:r>
        <w:t>309. Moreover, the Aitec reports constituted a product for the exclusive use of the companies participating in the surveys, containing data on cement sales that appear to be of no utility for consumers. Nor would it be valid to argue that the surveys were subsequently published on the Aitec website, as the evidence in the records shows that this data dissemination activity was adopted in order to mitigate – on the advice of an expert consultant – any potential antitrust issues.</w:t>
      </w:r>
    </w:p>
    <w:p>
      <w:r>
        <w:t>310. Overall, the sales statistics processed and disseminated by Aitec, being timely, contrary to what was claimed by the Parties, were suitable for increasing market transparency, as they guaranteed companies a prompt control of their relative position compared to other competing operators. They were therefore functional to verifying the unitary collusive scheme under investigation as they:</w:t>
        <w:br/>
        <w:t>- allowed for the verification of their own conduct: "...he told me it was €6 from 03.09... and then we had to decrease sales to also reach -23% in line with the market 'if we want the price to increase and remain high we must be in line'"360;</w:t>
        <w:br/>
        <w:t>- to perceive any significant misalignments of competitors.</w:t>
      </w:r>
    </w:p>
    <w:p>
      <w:r>
        <w:t>311. In confirmation of what has been said, there is a notable stability over time of the market shares held by individual companies throughout the period covered by this investigation (see section 3.1.1). Contrary to what the Parties claimed, in fact, the measure of stability is decidedly high and appears even more surprising considering that during the same period there were significant fluctuations in both prices and, above all, demand. In fact, there was a dramatic decline in demand, which fell from 46 million tons/year in 2007 to less than 20 million by 2015, in a context of companies with different structural and productive characteristics. It should also be noted that part of the already modest variability observed for the shares was due to extraordinary operations of plant disposals, or, concerning smaller companies, resulted in minor deviations of the relative positions of the main operators. In this sense, the emphasized circumstance by the Parties that for some smaller operators the variations in market shares are sometimes appreciable, if expressed in percentage terms, is not decisive for the stability of the concerted policies regarding price increases (in this way, in fact, even a minimal variation in absolute terms can be significant when compared to the small value of that company's share).</w:t>
      </w:r>
    </w:p>
    <w:p>
      <w:r>
        <w:t>The market context</w:t>
      </w:r>
    </w:p>
    <w:p>
      <w:r>
        <w:t>312. The overall suitability of the agreement described to restrict competition can be better appreciated when evaluated in the competitive context in which it took place.</w:t>
      </w:r>
    </w:p>
    <w:p>
      <w:r>
        <w:t>313. The Italian cement market, despite the characteristics of the production process, and in particular the significant investment costs, presents a structured framework, in which large, medium, and small operators coexist: in fact, the first four operators represent approximately 65% of the market by volume, the first seven about 80%, and the first ten over 85%. Most of the main operators have both fully integrated plants and companies active in the production and marketing of concrete, which constitutes the main outlet for cement sales.</w:t>
      </w:r>
    </w:p>
    <w:p>
      <w:r>
        <w:t>314. This structure has remained almost constant over time even though, due to the crisis that has affected the sector, demand, particularly during the contested period, has undergone a substantial decline, which has led to the disposal of some plants and efficiency improvements by some companies, in addition to some concentration operations. The contraction of supply is, in fact, based on some indicators (and as stated by the Parties themselves), rather modest compared to the reduction in demand recorded over the last 10 years, to the point that currently the Italian cement industry is characterized by a significant degree of unused overcapacity361.</w:t>
      </w:r>
    </w:p>
    <w:p>
      <w:r>
        <w:t>315. In this scenario, the contested coordination of commercial policies, made possible by a plurality of conducts attributable to the parties, has proven particularly problematic from a competitive standpoint, as it has reduced uncertainty regarding an absolutely relevant variable, significantly influencing the commercial behaviors of cement companies. Moreover, in such a context, the Aitec elaborations facilitated the monitoring of the collusion that had occurred among cement companies.</w:t>
      </w:r>
    </w:p>
    <w:p>
      <w:r>
        <w:t>5.6 Market outcomes and the effects of the agreement as a whole</w:t>
      </w:r>
    </w:p>
    <w:p>
      <w:r>
        <w:t>316. The Parties argued that the nominal and actual price increases would be due not to an agreement but to the need, independently felt by the companies, to cover average fixed costs or investment costs, which had increased due to the decline in demand. This explanation is not shareable: the idea that companies establish their future commercial policies not by evaluating the costs and benefits of such choices, but based on expenses already incurred, does not respond to any economic logic. The Parties themselves, in explaining the parallelism of the increases, acknowledged that, while responding to the aforementioned intention to "recover" the increase in average fixed costs, an isolated increase by a single company would necessarily have failed, whereas the only possible mode of increase would have been "collective" (see supra, par. 210). This is because an isolated increase would inevitably have led to a hemorrhage of volumes in favor of the competition, to the point of making the increase itself unprofitable. This consideration alone shows that the choice to maintain prices prior to the increase cannot be considered "unprofitable" in relation to costs, as otherwise there would be no reason for companies to compete for volumes sold at a loss or at prices that are below cost362.</w:t>
      </w:r>
    </w:p>
    <w:p>
      <w:r>
        <w:t>317. Furthermore, in any case, it is entirely implausible that gradual dynamics such as the evolution of demand or costs could explain such a clear parallelism in the adoption of generalized increases and such marked discontinuities as those recorded in actual average revenues during the periods when companies anticipated the increases.</w:t>
      </w:r>
    </w:p>
    <w:p>
      <w:r>
        <w:t>318. Some Parties (Italcementi, Holcim, Zillo) mentioned known economic models in the literature that could provide economic explanations for the observed trend in cement prices and the related parallelism, which are alternatives to the collusive hypothesis proposed by the Offices. In this sense, it is noted that, while it is theoretically possible to cite non-collusive economic models that may predict trends similar to those observed, or models in which some companies behave independently as followers (with respect to collusive or non-collusive behaviors), in this case, the allegations are supported by the existence of rather clear exogenous elements that, on the contrary, suggest the concerted nature of the observed increases. As for Italcementi's objection, that the agreement could not consist of a "unique and complex" collusive phenomenon due to the reduction in average revenues recorded between the different periods of increase (as well as the documentation in the records that reports phenomena of conflict concerning specific clients), it should be considered that the agreement itself is inserted in a complex context, in strong evolution and in which companies present differentiated characteristics, in which the Parties adopted "simple" rules (such as the adoption of concerted increases and the monitoring of relative positions) that, while not guaranteeing precise and continuous control of actual prices, nonetheless allowed companies to sustain their margins overall for significant periods of time (see Section 3.3 and infra).</w:t>
      </w:r>
    </w:p>
    <w:p>
      <w:r>
        <w:t>319. With reference to the observation, based on price data from Eurostat, that cement prices in Italy would be among the lowest in Europe, it should be noted that this finding, (of 362 Barbetti hypothesizes, instead, that a company aims to maintain its profit constant even following a decline in sales and that, in the presence of fixed costs (which, as such, have not undergone a corresponding reduction), this objective can only be achieved by responding to the decline in sales through a price increase (and therefore margins on those sales). This argument is unfounded, for the following reasons:</w:t>
        <w:br/>
        <w:t>(1) It completely disregards the consideration that pricing choices are linked to the volumes sold, which cannot therefore be considered a "given" when evaluating a price change (which, retroactively affecting quantities, would modify the identity proposed by Barbetti). In this sense, even accepting the (entirely extreme) hypothesis of a perfectly inelastic market demand with respect to price, the pricing decisions of a single company take into account the fact that the existing market demand is contested with competing companies: therefore, even in the face of a market demand that (hypothetically) was perfectly invariant with respect to price, the demand faced by the single company would continue to depend on the price it practices;</w:t>
        <w:br/>
        <w:t>(2) The economic basis for a price increase must be found in the comparison between the price that the company finds convenient before the increase and the one that the company finds convenient to adopt after the increase. Therefore, even assuming that for some reason a cement company had the opportunity to increase the price indefinitely, or in any case significantly, without significantly affecting the volumes sold, then it is not clear why it would have to wait for an increase in unit fixed costs to implement such an increase and not have already practiced a higher price in the previous periods.</w:t>
      </w:r>
    </w:p>
    <w:p>
      <w:r>
        <w:rPr>
          <w:b/>
        </w:rPr>
        <w:t>[Pages 100–102]</w:t>
      </w:r>
    </w:p>
    <w:p>
      <w:r>
        <w:t>102 BULLETIN NO. 31 OF AUGUST 16, 2017</w:t>
        <w:br/>
        <w:t>irrelevant to the allegation of an agreement), implicitly assumes - without providing adequate justification - that the other European countries referred to are entirely comparable to Italy in terms of characteristics and industrial structure of the construction market, to the extent that they constitute precise benchmarks for the price level. It is rather noted that, according to the same Eurostat data, during the contested period, cement prices increased more in Italy than in the rest of Europe.</w:t>
      </w:r>
    </w:p>
    <w:p>
      <w:r>
        <w:t>320. The Parties have then argued, in various forums, that the observed parallelism, related to generalized changes in nominal prices (price lists or generalized discount cuts), has had a different outcome in terms of actual prices, [omissis]. It is observed that, even where companies did not want or could not apply the increases to the exact agreed amount, the fact that there was a general consensus on a reference value shared by competitors made it possible to achieve increases that would otherwise have been difficult to accept by clients. The described concertation constituted a unique negotiation basis from which to collectively start in order to achieve greater increases than those otherwise attainable363.</w:t>
      </w:r>
    </w:p>
    <w:p>
      <w:r>
        <w:t>To prove this, most companies acknowledged that, although not for the entire projected amount (due to discounts applied to individual clients and negotiations with them), the communicated nominal increases were nonetheless effectively applied.</w:t>
      </w:r>
    </w:p>
    <w:p>
      <w:r>
        <w:t>321. As already noted (see supra), the factual data decisively exclude the thesis that the generalized increases to which the contested behaviors refer would concern merely nominal variables without any effect on actual prices (i.e., on the prices actually charged to customers, net of discounts). Such data instead highlight how actual prices have experienced rapid upward shifts, precisely corresponding to episodes of generalized increases in nominal prices. Furthermore, outside of the occasions of increase, actual prices appear to have followed a completely different trend which, although slightly decreasing over time, was not sufficient to generate a substantial erosion of the increases themselves in the subsequent months. In other words, the phenomena of price increases have effectively resulted in an upward shift in the level of actual cement prices, both at the time of the increase and in the subsequent period. In fact, after the episodes of generalized price increases, actual prices resumed their gradual rate of slight decrease, starting from a higher level than that in effect before the increases, without showing downward accelerations that could constitute an immediate erosion of the sudden increases in average revenues recorded concurrently with the commencement of the "nominal" and generalized price changes. Such a trend in actual prices, moreover, is consistent with the aforementioned behavior of companies aimed at respecting, by each, their reference market share in volume364. This behavior, in fact, ensuring strategic control over the quantities of cement placed on the market, was suitable to limit the overall supply within volumes compatible with the actual implementation of the agreed price increase strategies.</w:t>
      </w:r>
    </w:p>
    <w:p>
      <w:r>
        <w:t>322. The succession of such discontinuities over time (corresponding to episodes of generalized revisions of nominal prices) has meant that, despite the ongoing phenomena in the sector, the average revenue level at the end of 2016 is higher than that at the beginning of the observation period (2011) and that it has been, for most of the period 2011-2016, well above the aforementioned initial level, reaching particularly high levels in the years 2011-2013.</w:t>
      </w:r>
    </w:p>
    <w:p>
      <w:r>
        <w:t>323. With regard to the Parties' allegation that the actual increases recorded during the phases of increase present, contrary to nominal increases, elements of disparity among the different companies, even reaching some cases of negative variations, it is noted that such exceptions constitute entirely isolated cases and are often accompanied by recoveries in the immediately following months (to the point of considering that the actual increase has only slightly delayed its manifestation in the level of actual average monthly revenue recorded). Many of these exceptions, moreover, are attributable to the company W&amp;P, which has implemented commercial policies that are entirely differentiated from those of the other Parties to whom the agreement is contested. In contrast, the trends in average revenues of the Parties show a marked parallelism among themselves and with the trend of average revenues achieved by all Parties, as highlighted by the relevant graphs and the "count" of anomalous increases.</w:t>
      </w:r>
    </w:p>
    <w:p>
      <w:r>
        <w:t>324. In conclusion, it can be considered that the overall contested agreement, aimed, ultimately, at supporting corporate revenues during a period of declining demand, has produced significant effects on the market resulting in a significant increase in actual prices, although lower than the nominal value of the agreed increases, as well as in a crystallization of the relative positions of the operators365.</w:t>
      </w:r>
    </w:p>
    <w:p>
      <w:r>
        <w:t>5.7 Conclusions</w:t>
      </w:r>
    </w:p>
    <w:p>
      <w:r>
        <w:t>325. In light of the documented evidence described, the unique, continuous, and complex agreement established by the cement companies, with the active collaboration of the trade association Aitec and the distributor TSC, represents an infringement by object of the competition protection regulations that has also resulted in appreciable restrictive effects on the cement market to the detriment of consumers.</w:t>
      </w:r>
    </w:p>
    <w:p>
      <w:r>
        <w:t>326. Such harmful effects impact consumers in terms of increased or lesser reduction of prices. Moreover, given the importance and pervasiveness of cement as a raw material for downstream production sectors, the contested practice, as a whole, proves particularly damaging for the entire construction sector, as well as for the real estate market366.</w:t>
      </w:r>
    </w:p>
    <w:p>
      <w:r>
        <w:t>6. THE INJURY TO INTRA-COMMUNITY TRADE</w:t>
      </w:r>
    </w:p>
    <w:p>
      <w:r>
        <w:t>327. According to the Commission Communication 2004/C 101/07 – Guidelines on the notion of injury to trade between Member States under Articles 81 and 82 of the Treaty, published in OJ C 101/81 of April 27, 2004 [now Articles 101 and 102 TFEU], the concept of injury to intra-community trade must be interpreted taking into account the direct or indirect, real or potential influence on trade flows between Member States.</w:t>
      </w:r>
    </w:p>
    <w:p>
      <w:r>
        <w:t>328. That said, it is observed that the agreement in question concerns the entire national territory and involves the major operators in the sector operating throughout the national territory, some of whom belong to significant multinational groups, as well as the most representative trade association at the national level.</w:t>
      </w:r>
    </w:p>
    <w:p>
      <w:r>
        <w:t>It follows that the behaviors described above are potentially capable of harming intra-community trade and appear to meet the criteria for an infringement of Article 101 TFEU.</w:t>
      </w:r>
    </w:p>
    <w:p>
      <w:r>
        <w:t>7. SEVERITY AND DURATION OF THE INFRINGEMENTS</w:t>
      </w:r>
    </w:p>
    <w:p>
      <w:r>
        <w:t>329.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w:t>
      </w:r>
    </w:p>
    <w:p>
      <w:r>
        <w:t>330. According to established community and national jurisprudence, to assess the severity of an infringement, a large number of factors must be taken into account, the nature and importance of which vary depending on the type of infringement and its particular circumstances. Among these factors, the nature of the restriction of competition as well as the role and market representativeness of the companies involved are particularly relevant.</w:t>
      </w:r>
    </w:p>
    <w:p>
      <w:r>
        <w:t>331. As for the nature of the agreement in question, based on the investigative findings, it has been established that the Parties to the proceedings have established a unique, complex, and continuous agreement aimed at coordinating the selling prices of cement capable of influencing the business strategies of cement companies and significantly reducing the incentives to compete in the cement market.</w:t>
      </w:r>
    </w:p>
    <w:p>
      <w:r>
        <w:t>332. The agreement has also been implemented since, as emerges from the investigative findings, as a result of it, the actual average revenues of the companies have shown an increasing trend precisely during the periods when the parties had agreed upon and collectively announced homogeneous increases in nominal prices, even though a significant contraction in cement consumption has been recorded in recent years.</w:t>
      </w:r>
    </w:p>
    <w:p>
      <w:r>
        <w:t>333. It is noted that the agreement involved almost all market players associated with Aitec, who collectively hold a market share of 85% of the market. Directly involved in the violation concerning the coordination among the Parties regarding the exchange of information is also the trade association Aitec, which historically represents the main body of representation of the national cement industry. Finally, with regard to the sole activities of verifying the adoption of price increases in the market, the company TSC is also a co-author of the infringement, for the reasons illustrated in the preceding sections.</w:t>
      </w:r>
    </w:p>
    <w:p>
      <w:r>
        <w:t>334. It should be considered that, according to constant jurisprudence, for an infringement of competition rules to be considered intentional, it is not necessary for the company committing it to be aware of violating such rules, but it is sufficient that it could not ignore that its behavior aimed at restricting competition.</w:t>
      </w:r>
    </w:p>
    <w:p>
      <w:r>
        <w:t>335. Moreover, from the investigative findings, it emerges that the companies involved have repeatedly discussed, even within the association, the legality of both price coordination and the methods of collecting and disseminating data by the Trade Association, also due to the existence of a previous community case already discussed and sanctioned in the 1990s, as well as the recent community case closed by the Commission without establishing</w:t>
      </w:r>
    </w:p>
    <w:p>
      <w:r>
        <w:rPr>
          <w:b/>
        </w:rPr>
        <w:t>[Pages 103–105]</w:t>
      </w:r>
    </w:p>
    <w:p>
      <w:r>
        <w:t>BULLETIN NO. 31 OF AUGUST 16, 2017 105</w:t>
        <w:br/>
        <w:t>infringement, as a result of which two of the parties involved – also parties to the present investigative procedure – decided to adopt self-commitment367.</w:t>
      </w:r>
    </w:p>
    <w:p>
      <w:r>
        <w:t>336. It emerges, therefore, that the behaviors carried out by Italcementi S.p.A., Buzzi Unicem S.p.A., Colacem S.p.A., Cementir Italia S.p.A., Sacci S.r.l. in liquidation, Cementirossi S.p.A., Holcim (Italia) S.p.A., Cementerie Aldo Barbetti S.p.A., Cementeria di Monselice S.p.A., Cementizillo S.p.A., Cal.me S.p.A., Cementi Moccia S.p.A., as well as by the trade association Aitec and the company TSC S.r.l., aimed at coordinating the nominal selling prices of cement at the national level constitute very serious violations of the competition protection regulations. In this regard, it is worth recalling that the "Guidelines on the application of the criteria for quantifying administrative pecuniary sanctions imposed by the Authority in application of Article 15, paragraph 1, of Law No. 287/90" consider horizontal agreements on price fixing, market allocation, and production limitation to be particularly serious (point 12).</w:t>
      </w:r>
    </w:p>
    <w:p>
      <w:r>
        <w:t>337. With reference to the duration of the described concertation, its beginning is coincided, for each of the cement companies, with the date of commencement of the first communications of price increases resulting from the contested unique and complex agreement. Conversely, for TSC and Aitec, the beginning of the agreement is coincided, respectively, with the date of the first dissemination of price lists among competing operators and with the first evidence of the dissemination of associative statistics, starting from the data of ministerial processing. The end date of the agreement is coincided for all cement companies with the date of the last occurrence of announcements of price increases. For TSC and Aitec alone, however, the duration of the agreement is coincided, respectively, with the date of the last available evidence regarding the dissemination of price lists among competing operators and with the resumption of statistical processing activities by the MISE. Therefore, the evidence on record allows us to conclude:</w:t>
        <w:br/>
        <w:t>• for Italcementi that participation in the agreement began on June 1, 2011, and lasted until January 1, 2016;</w:t>
        <w:br/>
        <w:t>• for Buzzi that participation in the agreement began on June 1, 2011, and lasted until January 1, 2016;</w:t>
        <w:br/>
        <w:t>• for Colacem that participation in the agreement began on June 1, 2011, and lasted until January 1, 2016;</w:t>
        <w:br/>
        <w:t>• for Cementir that participation in the agreement began on June 1, 2011, and lasted until June 15, 2015;</w:t>
        <w:br/>
        <w:t>• for Cementirossi that participation in the agreement began on June 1, 2011, and lasted until June 15, 2015;</w:t>
        <w:br/>
        <w:t>• for Holcim (Italia) that participation in the agreement began on June 1, 2011, and lasted until January 1, 2016;</w:t>
        <w:br/>
        <w:t>• for Barbetti that participation in the agreement began on June 1, 2011, and lasted until January 1, 2016;</w:t>
        <w:br/>
        <w:t>• for Cementeria di Monselice that participation in the agreement began on June 1, 2011, and lasted until January 1, 2016;</w:t>
        <w:br/>
        <w:t>• for Cementizillo that participation in the agreement began on June 1, 2011, and lasted until January 1, 2016;</w:t>
        <w:br/>
        <w:t>367 Decision of the European Commission 94/815, of November 30, 1994, and Decision of the European Commission, AT 39520 of July 31, 2015.</w:t>
      </w:r>
    </w:p>
    <w:p>
      <w:r>
        <w:t>106 BULLETIN NO. 31 OF AUGUST 16, 2017</w:t>
        <w:br/>
        <w:t>• for Cal.me that participation in the agreement began on January 1, 2012, and lasted until January 1, 2016;</w:t>
        <w:br/>
        <w:t>• for Cementi Moccia that participation in the agreement began on January 1, 2013, and lasted until January 1, 2016;</w:t>
        <w:br/>
        <w:t>• for Sacci that participation in the agreement began on June 1, 2011, and lasted until June 15, 2015;</w:t>
        <w:br/>
        <w:t>• for Aitec that participation in the agreement began on January 31, 2012, and lasted until January 1, 2016;</w:t>
        <w:br/>
        <w:t>• for T.S.C. that participation in the agreement began on November 2, 2015, and lasted until November 19, 2015.</w:t>
      </w:r>
    </w:p>
    <w:p>
      <w:r>
        <w:t>7.1. Criteria for the quantification of the sanction</w:t>
      </w:r>
    </w:p>
    <w:p>
      <w:r>
        <w:t>338. As a preliminary matter, it should be noted that the recipients of the competition regulations are the companies and associations of companies, which are also subject to sanctions in case of violation of the same regulations. The notion of a company, as is known, for the purposes of the application of competition law, encompasses any entity that carries out an economic activity, regardless of the legal status of that entity and its financing methods. This notion must be understood in the sense that it designates an economic unit even though, from a legal point of view, such economic unit is constituted by multiple natural or legal persons. Where it violates the rules laid down in competition law, such economic entity is required, according to the principle of personal responsibility, to answer for the infringement368.</w:t>
      </w:r>
    </w:p>
    <w:p>
      <w:r>
        <w:t>339. That said, in order to quantify the sanction,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r>
    </w:p>
    <w:p>
      <w:r>
        <w:t>340. Following points 7 and following of the Guidelines, the base amount of the sanction is obtained by multiplying a percentage of the value of sales, determined based on the level of severity of the infringement, by the duration of each company's participation in the infringement.</w:t>
      </w:r>
    </w:p>
    <w:p>
      <w:r>
        <w:t>341. Based on these criteria, to calculate the base amount of the sanction, the value of sales of the services concerned attributable to the Parties is taken as a reference, that is, the revenue derived from the sale of gray cement, in the last full year of participation in the infringement, net of VAT and other taxes. The value of sales will also take into account sales made in the relevant market through controlled companies, regardless of whether the subsidiaries participated in the infringement or not369. In fact, the share of total revenue coming, directly or indirectly, from the sale of the products subject to the infringement constitutes the most suitable element to reflect the economic importance of the infringement itself and the relative weight of the company involved in the infringement370. Consequently, for all companies, the specific revenue for the year 2015 will be considered, except for the companies Cementirossi, Cementir, and Sacci, for which the specific revenue for the year 2014 will be taken into account.</w:t>
      </w:r>
    </w:p>
    <w:p>
      <w:r>
        <w:t>368 See Court of Justice, case C-286/13P, Dole/Commission, of March 19, 2015.</w:t>
        <w:br/>
        <w:t>369 See judgment of the Court of Justice, case C—286/13 P, Dole/Commission, of March 19, 2015.</w:t>
        <w:br/>
        <w:t>370 See judgment of the Court of Justice, case C—286/13 P, Dole/Commission, of March 19, 2015.</w:t>
      </w:r>
    </w:p>
    <w:p>
      <w:r>
        <w:t>BULLETIN NO. 31 OF AUGUST 16, 2017 107</w:t>
        <w:br/>
        <w:t>342. With regard to the trade association Aitec, in accordance with point 10 of the Guidelines, the total value of the membership fees paid by the members of the association in the year 2015 will be considered as the value of sales of the goods or services subject to the infringement.</w:t>
      </w:r>
    </w:p>
    <w:p>
      <w:r>
        <w:t>343. With regard to the distributor TSC, in accordance with point 9 of the Guidelines, only the revenue generated from the sale of gray cement in the year 2015371 will be considered, as this is the only year of participation in the infringement.</w:t>
      </w:r>
    </w:p>
    <w:p>
      <w:r>
        <w:t>344. For the purposes of determining the base amount of the sanction, a specific percentage identified based on the severity of the violation may be applied to the base value as determined above. According to the Guidelines, in particular, the proportion considered must be set at a level that can reach 30% of the value of sales, "based on the degree of severity of the violation" (point 11).</w:t>
      </w:r>
    </w:p>
    <w:p>
      <w:r>
        <w:t>345. In relation to the case at hand, it should be noted that, pursuant to point 12 of the Guidelines, for horizontal agreements on price fixing, the percentage of the value of sales considered for the calculation of the base amount "will generally not be less than 15%."</w:t>
      </w:r>
    </w:p>
    <w:p>
      <w:r>
        <w:t>346. In light of the above considerations regarding the very serious nature of the infringement, a severity coefficient of 15% of the value of sales must be attributed to the cement companies that are parties to the investigative procedure, to the Aitec Association, and to the TSC company, as they have engaged in price coordination (also through behaviors aimed at monitoring the adoption and application of the agreed price increases)372.</w:t>
      </w:r>
    </w:p>
    <w:p>
      <w:r>
        <w:t>347. Therefore, due to the severity and duration of the infringement established in this investigation, the base amount of the sanction is defined, for all Parties, in the table that follows. With regard to the Zillo group, Cementizillo, as the parent company, is liable for the infringements of its subsidiary Cementeria di Monselice. The aforementioned companies of the Zillo group, parties to the proceedings, must therefore be considered jointly liable for the payment of the sanction373.</w:t>
      </w:r>
    </w:p>
    <w:p>
      <w:r>
        <w:t>371 See, among others, judgment of the EU Court of Justice, in case C-286/13P, cited, according to which "to determine the fine, it is possible to take into account both the total revenue of the company, which constitutes an indication, albeit approximate and imperfect, of the size and economic power of the company itself, and the fraction of that figure coming from the goods subject to the infringement, which is therefore capable of providing an indication of the magnitude of the same."</w:t>
        <w:br/>
        <w:t>372 See, among others, AGCM decision No. 26064, I783 – Agreement between operators in the vending sector, of June 8, 2016.</w:t>
        <w:br/>
        <w:t>373 See on this point the judgment of the Court of Justice C-628/10P, Alliance One International and others v. Commission, cited, point 47, as well as from C-231/11P to C-233/11P, Commission v. Siemens AG Österreich, cited, points 41 and following.</w:t>
      </w:r>
    </w:p>
    <w:p>
      <w:r>
        <w:rPr>
          <w:b/>
        </w:rPr>
        <w:t>[Pages 106–108]</w:t>
      </w:r>
    </w:p>
    <w:p>
      <w:r>
        <w:t>108 BULLETIN NO. 31 OF AUGUST 16, 2017</w:t>
        <w:br/>
        <w:t>Table 11: definition of the base amount</w:t>
        <w:br/>
        <w:t>Revenue % revenue</w:t>
        <w:br/>
        <w:t>Parties Duration Specific base amount</w:t>
        <w:br/>
        <w:t>Italcementi 271,683,418 15% 4.58 186,782,350</w:t>
        <w:br/>
        <w:t>Buzzi 173,943,482 15% 4.58 119,586,144</w:t>
        <w:br/>
        <w:t>Colacem 111,405,799 15% 4.58 76,591,487</w:t>
        <w:br/>
        <w:t>Cementir 72,200,000 15% 4.04 43,771,250</w:t>
        <w:br/>
        <w:t>Holcim 48,589,047 15% 4.58 33,404,970</w:t>
        <w:br/>
        <w:t>Rossi 66,242,756 15% 4.04 40,159,671</w:t>
        <w:br/>
        <w:t>Sacci 70,309,884 15% 4.04 42,625,367</w:t>
        <w:br/>
        <w:t>Zillo and Monselice 45,099,257 15% 4.58 31,005,739</w:t>
        <w:br/>
        <w:t>Barbetti 44,933,006 15% 4.58 30,891,441</w:t>
        <w:br/>
        <w:t>Calme 25,586,938 15% 4.00 15,352,163</w:t>
        <w:br/>
        <w:t>Moccia 11,834,105 15% 3.00 5,325,347</w:t>
        <w:br/>
        <w:t>Aitec 2,635,095 15% 3.92 1,548,118</w:t>
        <w:br/>
        <w:t>TSC 449,789 15% 0.05 3,142</w:t>
      </w:r>
    </w:p>
    <w:p>
      <w:r>
        <w:t>348. Pursuant to points 19 and 21 of the Guidelines, the base amount of the fine, determined as described in the preceding paragraphs, may be increased to take into account specific circumstances that aggravate (aggravating circumstances) or mitigate (mitigating circumstances) the liability of the author of the violation, with particular reference to the role played by the company in the infringement, the conduct it maintained during the investigation, as well as the efforts made by the agent to eliminate or mitigate the consequences of the violation and the personality of the same, also in light of what is provided for by Article 11 of Law No. 689/81.</w:t>
      </w:r>
    </w:p>
    <w:p>
      <w:r>
        <w:t>349. In this case, the base amount of the fine, determined as previously described, must be reduced to take into account specific mitigating circumstances in favor of certain parties. In particular, the adoption of antitrust compliance programs aimed at preventing the risk of committing violations of competition law constitutes mitigating circumstances, pursuant to paragraph 23 of the Guidelines.</w:t>
      </w:r>
    </w:p>
    <w:p>
      <w:r>
        <w:t>350. The investigative findings have shown that the companies Holcim, Colacem, Italcementi, Cementir, and Barbetti, as well as the trade association Aitec, have adopted compliance programs. The following observations are made in this regard:</w:t>
        <w:br/>
        <w:t>- all programs have been adopted by the Parties (in some cases implemented) and communicated to the Authority even before the submission of the communication of the investigative findings, except for Barbetti, which appears to have adopted only a code of conduct on December 21, 2016, but documented this circumstance only at the time of the submission of the final memorandum;</w:t>
        <w:br/>
        <w:t>- all programs of the Parties, except for that of Barbetti, provide, among other things, for the involvement of management, the identification of program managers, the organization of training activities, as well as the provision of incentives/disincentives, monitoring systems, and audits;</w:t>
      </w:r>
    </w:p>
    <w:p>
      <w:r>
        <w:t>BULLETIN NO. 31 OF AUGUST 16, 2017 109</w:t>
        <w:br/>
        <w:t>- Barbetti's program consists solely of the adoption of a code of conduct that generically outlines the principles for the protection of competition and the behaviors to be adopted in cases of inspections. Therefore, the companies Holcim, Colacem, Italcementi, and Cementir, as well as the trade association Aitec, will be granted a reduction of the base amount of the fine equal to 10% as a mitigating circumstance, due to the nature and content of the programs presented. Conversely, no mitigating circumstance can be recognized for the company Barbetti for the reasons stated above.</w:t>
      </w:r>
    </w:p>
    <w:p>
      <w:r>
        <w:t>351. From a different perspective, in this case, the requests of the companies Colacem, Cal.me, Buzzi, Moccia, Zillo, Monselice, and Cementir to take into account their active repentance and the circumstance of having spontaneously adopted commitments regardless of the outcome of the investigation will not be considered. Similarly, the requests of the companies to have spontaneously adopted commitments following the community procedure closed without a finding of infringement (of substantially similar content to those presented during this investigative procedure) will not be taken into account. It is sufficient to recall the Authority's practice, endorsed in jurisprudence, according to which, when commitments are subject to a "severe judgment on their absolute inadequacy to overcome the anticompetitive issues in their substance, (they) cannot be, consistently, considered mitigating factors."</w:t>
      </w:r>
    </w:p>
    <w:p>
      <w:r>
        <w:t>352. Furthermore, it is deemed necessary to apply a mitigating circumstance solely to the trade association Aitec, which, at least from January 31, 2012, until the end of June 2013, disseminated the "Statistics of interest of the cement industry" to its members, reworking the data provided by MISE. For this period, in fact, while maintaining the autonomous behavior attributable to the Association, the conduct adopted was facilitated by regulatory measures that legitimized the aforementioned Ministry to carry out surveys on the cement market, although not providing, as stated in the reasoning, for monthly release times, as recognized by some parties during the investigative procedure. For these reasons, Aitec will be granted a reduction of the base amount of the fine equal to 10% as a mitigating circumstance.</w:t>
      </w:r>
    </w:p>
    <w:p>
      <w:r>
        <w:t>353. In light of the mitigating circumstances mentioned in the preceding paragraphs, the amount of the fine for each company is as follows:</w:t>
      </w:r>
    </w:p>
    <w:p>
      <w:r>
        <w:t>BULLETIN NO. 31 OF AUGUST 16, 2017 110</w:t>
        <w:br/>
        <w:t>Table 12: calculation of mitigating circumstances</w:t>
        <w:br/>
        <w:t>Parties Base amount Aggravating Mitigating Fine</w:t>
        <w:br/>
        <w:t>Italcementi 186,782,350 18,678,235 168,104,115</w:t>
        <w:br/>
        <w:t>Buzzi 119,586,144 119,586,144</w:t>
        <w:br/>
        <w:t>Colacem 76,591,487 7,659,149 68,932,338</w:t>
        <w:br/>
        <w:t>Cementir 43,771,250 4,377,125 39,394,125</w:t>
        <w:br/>
        <w:t>Holcim 33,404,970 3,340,497 30,064,473</w:t>
        <w:br/>
        <w:t>Rossi 40,159,671 40,159,671</w:t>
        <w:br/>
        <w:t>Sacci 42,625,367 42,625,367</w:t>
        <w:br/>
        <w:t>Zillo and Monselice 31,005,739 31,005,739</w:t>
        <w:br/>
        <w:t>Barbetti 30,891,441 30,891,441</w:t>
        <w:br/>
        <w:t>Calme 15,352,163 15,352,163</w:t>
        <w:br/>
        <w:t>Moccia 5,325,347 5,325,347</w:t>
        <w:br/>
        <w:t>Aitec 1,548,118 309,624 1,238,495</w:t>
        <w:br/>
        <w:t>TSC 3,142 3,142</w:t>
      </w:r>
    </w:p>
    <w:p>
      <w:r>
        <w:t>354. As is known, pursuant to Article 15 of Law No. 287/90, the Authority, "In cases of serious infringements, taking into account the severity and duration of the infringement, also orders the application of an administrative pecuniary sanction of up to ten percent of the revenue achieved by each company or entity in the last financial year closed prior to the notification of the warning." In this regard, point 29 of the Guidelines specifies that: "the calculation base for the maximum penalty is represented, in accordance with national jurisprudence, by the total revenue achieved worldwide in the last financial year closed prior to the notification of the warning, by each company participating in the infringement."</w:t>
      </w:r>
    </w:p>
    <w:p>
      <w:r>
        <w:t>355. The use of worldwide revenue aims, in particular, to ensure a sufficient deterrent character to the fine so that it takes into account the size and economic power of the company concerned, that is, the global resources of the author of the infringement.</w:t>
      </w:r>
    </w:p>
    <w:p>
      <w:r>
        <w:t>356. Considering that the sanctions as determined above exceed, for all the Parties in the proceedings except for Italcementi, Buzzi, and TSC, the maximum limit provided for in Article 15, paragraph 1, of Law No. 287/90, they must be brought within that limit, as indicated in the following Table 13.</w:t>
      </w:r>
    </w:p>
    <w:p>
      <w:r>
        <w:rPr>
          <w:b/>
        </w:rPr>
        <w:t>[Pages 109–111]</w:t>
      </w:r>
    </w:p>
    <w:p>
      <w:r>
        <w:t>BULLETIN NO. 31 OF AUGUST 16, 2017 111</w:t>
        <w:br/>
        <w:t>Table 13: final sanction with a cap of 10% on total turnover</w:t>
        <w:br/>
        <w:t>Total turnover</w:t>
        <w:br/>
        <w:t>Sanction/ Final sanction with</w:t>
        <w:br/>
        <w:t>Parties Sanction (in millions of</w:t>
        <w:br/>
        <w:t>total turnover cap of 10%</w:t>
        <w:br/>
        <w:t>euros)</w:t>
        <w:br/>
        <w:t>Italcementi 168,104,115 4,302 3.9% 168,104,115</w:t>
        <w:br/>
        <w:t>Buzzi 119,586,144 2,669 4.5% 119,586,144</w:t>
        <w:br/>
        <w:t>Colacem 68,932,338 365 18.9% 36,547,501</w:t>
        <w:br/>
        <w:t>Cementir 39,394,125 102 38.7% 10,180,000</w:t>
        <w:br/>
        <w:t>Holcim 30,064,473 48 63.1% 4,762,504</w:t>
        <w:br/>
        <w:t>Rossi 40,159,671 117 34.3% 11,699,000</w:t>
        <w:br/>
        <w:t>Sacci 42,625,367 35 121.3% 3,513,553</w:t>
        <w:br/>
        <w:t>Zillo and</w:t>
        <w:br/>
        <w:t>31,005,739 82 38.0% 8,158,170</w:t>
        <w:br/>
        <w:t>Monselice</w:t>
        <w:br/>
        <w:t>Barbetti 30,891,441 77 39.9% 7,749,654</w:t>
        <w:br/>
        <w:t>Calme 15,352,163 36 42.8% 3,587,541</w:t>
        <w:br/>
        <w:t>Moccia 5,325,347 14 38.5% 1,383,441</w:t>
        <w:br/>
        <w:t>Aitec 1,238,495 3 41.9% 295,995</w:t>
        <w:br/>
        <w:t>TSC 3,142 0.8 0.4% 3,142</w:t>
        <w:br/>
        <w:t>357. Considering the specific circumstances of the case, the Authority deems it appropriate to apply in this case:</w:t>
        <w:br/>
        <w:t>- point 34 of the Guidelines "transitional and final provisions" with specific reference to the company Sacci, as it is in liquidation and to all cement companies that are part of the investigative procedure, as well as to the trade association, due to the ongoing crisis situation in the cement market.</w:t>
        <w:br/>
        <w:t>- point 31 of the Guidelines, relating to "contributory capacity", with reference only to the company Barbetti, and not also with reference to the companies Zillo and Cal.me.</w:t>
        <w:br/>
        <w:t>The crisis of the sector</w:t>
        <w:br/>
        <w:t>358. As noted in the preceding sections, the sector has been affected by a deep crisis as a result of which cement production has significantly contracted (see supra).</w:t>
        <w:br/>
        <w:t>It is recalled that, according to constant jurisprudential orientation, the state of crisis in which a sector finds itself is not sufficient to exclude the application of Article 101 TFEU, although it may be taken into account in the quantification of the sanction378.</w:t>
        <w:br/>
        <w:t>359. In light of the aforementioned jurisprudence, considering the objective difficulties faced by the companies in the sector and the trade association itself, it is deemed appropriate to reduce the amount of the sanction for all cement companies and for Aitec by 50% of the sanction amount, with two specific further adjustments for the companies Sacci and Barbetti.</w:t>
        <w:br/>
        <w:t>378 See, among others, judgment of the EU General Court, in joined cases, T-217/03 and T-245/03, of December 13, 2006, Carni Bovine France.</w:t>
      </w:r>
    </w:p>
    <w:p>
      <w:r>
        <w:t>112 BULLETIN NO. 31 OF AUGUST 16, 2017</w:t>
        <w:br/>
        <w:t>The specificity of Sacci</w:t>
        <w:br/>
        <w:t>360. With particular reference to the company Sacci, the peculiarity of its position is noted, summarized as follows. Since September 2015, and thus before the initiation of the present investigative procedure, this company had submitted a proposal for a preventive agreement, pursuant to Article 186-bis, in business continuity, of the Bankruptcy Law. By subsequent decree pursuant to Article 163 of the Bankruptcy Law, the Court of Rome admitted Sacci to the preventive agreement, simultaneously appointing a Delegated Judge and two Judicial Commissioners. By subsequent decree of June 7, 2016, the Court of Rome homologated the preventive agreement appointing a judicial liquidator (who accepted the appointment) and by subsequent act of July 29, 2016, the company was then placed in liquidation.</w:t>
        <w:br/>
        <w:t>361. Despite the peculiar corporate situation of Sacci, it is noted that it continued to carry out traditional business activities and therefore generated revenues in the market of the product subject to investigation during the period 2014-2016, precisely because of the specificity of the preventive agreement to which it was subjected "in business continuity."</w:t>
        <w:br/>
        <w:t>Although the conditions for applying a symbolic sanction to the company Sacci are not present in this case, as it concerns a case of an infringement that can be classified as very serious, due to the described specificity of the company, the application of a reduction in the amount of the related sanction is justified, pursuant to paragraph 34 of the Guidelines. Therefore, considering the reduction due to the sector crisis and the circumstance of the company's liquidation, an overall reduction of the sanction amount, indicated in Table 3, of 80% is deemed appropriate.</w:t>
        <w:br/>
        <w:t>The requests for contributory incapacity</w:t>
        <w:br/>
        <w:t>362. Regarding the request for inability to pay made by the company Cementerie Aldo Barbetti S.p.A., the following is noted. [Omissis] it is deemed appropriate to accept the request for contributory incapacity [omissis]. Therefore, the amount of the final sanction, already reduced by 50% due to the sector crisis, will be further reduced by a deemed appropriate amount of 70%.</w:t>
        <w:br/>
        <w:t>363. The request cannot instead be accepted with reference to the company Cal.me, whose request appears to be generically related to the existence of budget losses recorded in recent financial years and therefore appears to be in contrast with the provision of paragraph 31 of the Guidelines.</w:t>
        <w:br/>
        <w:t>The company may, if necessary, obtain the installment payment of the fine, upon reasoned request and in the presence of the required conditions.</w:t>
        <w:br/>
        <w:t>364. Regarding the request for inability to pay made by the companies Cementizillo and Cementeria di Monselice [omissis]. It follows that the companies of the Zillo group will also not be granted this mitigating circumstance. The companies Cementizillo and Cementeria di Monselice may, if necessary, obtain the installment payment of the fine, upon reasoned request and in the presence of the required conditions.</w:t>
        <w:br/>
        <w:t>365. The following table indicates the final amounts of the sanctions.</w:t>
      </w:r>
    </w:p>
    <w:p>
      <w:r>
        <w:t>BULLETIN NO. 31 OF AUGUST 16, 2017 113</w:t>
        <w:br/>
        <w:t>Table 14: definitive sanctions</w:t>
        <w:br/>
        <w:t>Sanction reduced to the Final sanction after points</w:t>
        <w:br/>
        <w:t>Parties</w:t>
        <w:br/>
        <w:t>legal limit 34 and 31 Guidelines</w:t>
        <w:br/>
        <w:t>Italcementi 168,104,115 84,052,057</w:t>
        <w:br/>
        <w:t>Buzzi 119,586,144 59,793,072</w:t>
        <w:br/>
        <w:t>Colacem 36,547,501 18,273,751</w:t>
        <w:br/>
        <w:t>Cementir 10,180,000 5,090,000</w:t>
        <w:br/>
        <w:t>Holcim 4,762,504 2,381,252</w:t>
        <w:br/>
        <w:t>Rossi 11,699,000 5,849,500</w:t>
        <w:br/>
        <w:t>Sacci 3,513,553 702,711</w:t>
        <w:br/>
        <w:t>Zillo and Monselice 8,158,170 4,079,085</w:t>
        <w:br/>
        <w:t>Barbetti 7,749,654 1,162,448</w:t>
        <w:br/>
        <w:t>Calme 3,587,541 1,793,771</w:t>
        <w:br/>
        <w:t>Moccia 1,383,441 691,721</w:t>
        <w:br/>
        <w:t>Aitec 295,995 147,997</w:t>
        <w:br/>
        <w:t>TSC 3,142 1,571</w:t>
        <w:br/>
        <w:t>Total 375,570,761 184,018,935</w:t>
        <w:br/>
        <w:t>All of the above having been stated and considered;</w:t>
        <w:br/>
        <w:t>CONSIDERING that the agreement described above, implemented by the following companies: Italcementi, Buzzi, Colacem, Cementir, Sacci in liquidation, Cementirossi, Holcim (Italia) Barbetti, Cementeria di Monselice, Cementizillo, Cal.me, Cementi Moccia, - and TSC, as well as the trade association Aitec, in the cement market constitutes a restrictive practice of competition pursuant to Article 101 TFEU, and, in particular, constitutes a unique, complex, and continuous agreement aimed at limiting competitive confrontation among companies on the selling prices of gray cement in Italy, with the objective of maintaining high prices;</w:t>
        <w:br/>
        <w:t>FURTHER CONSIDERING that the established agreement is characterized as restrictive by object and therefore particularly serious under the established national and community jurisprudence on antitrust matters;</w:t>
        <w:br/>
        <w:t>FURTHER CONSIDERING that the agreement in question has also produced appreciable effects on the market for the sale of gray cement in Italy;</w:t>
        <w:br/>
        <w:t>CONSIDERING that the documentary evidence on file does not allow attributing the infringement solely to the companies Cementi Centro Sud S.p.A. and W&amp;P Italia S.p.A.;</w:t>
      </w:r>
    </w:p>
    <w:p>
      <w:r>
        <w:rPr>
          <w:b/>
        </w:rPr>
        <w:t>[Pages 112–114]</w:t>
      </w:r>
    </w:p>
    <w:p>
      <w:r>
        <w:t>114 BULLETIN NO. 31 OF AUGUST 16, 2017</w:t>
        <w:br/>
        <w:t>RESOLUTION</w:t>
        <w:br/>
        <w:t>a) that the behaviors carried out by the companies Italcementi S.p.A., Buzzi Unicem S.p.A., Colacem S.p.A., Cementir Italia S.p.A., Sacci in liquidation S.r.l., Cementirossi S.p.A., Holcim (Italia) S.p.A., Barbetti S.p.A., Cementeria di Monselice S.p.A., Cementizillo S.p.A., Cal.me S.p.A., Cementi Moccia S.p.A. and TSC S.r.l., as well as by the trade association Aitec, consisting of the coordination of cement selling prices, also assisted by a systematic control of the relative market shares, carried out through an exchange of sensitive information implemented thanks to the trade association AITEC, constitute a restrictive agreement of competition in violation of Article 101 TFEU;</w:t>
        <w:br/>
        <w:t>b) that the Parties refrain in the future from engaging in behaviors similar to those subject to the infringements established in the preceding points;</w:t>
        <w:br/>
        <w:t>c) that, in light of what is indicated in the reasoning, the following administrative monetary sanctions be imposed on the subjects referred to in point a):</w:t>
        <w:br/>
        <w:t>Party Final Sanction</w:t>
        <w:br/>
        <w:t>Italcementi 84,052,057</w:t>
        <w:br/>
        <w:t>Buzzi 59,793,072</w:t>
        <w:br/>
        <w:t>Colacem 18,273,751</w:t>
        <w:br/>
        <w:t>Cementir 5,090,000</w:t>
        <w:br/>
        <w:t>Holcim 2,381,252</w:t>
        <w:br/>
        <w:t>Rossi 5,849,500</w:t>
        <w:br/>
        <w:t>Sacci 702,711</w:t>
        <w:br/>
        <w:t>Zillo 4,079,085</w:t>
        <w:br/>
        <w:t>Barbetti 1,162,448</w:t>
        <w:br/>
        <w:t>Calme 1,793,771</w:t>
        <w:br/>
        <w:t>Moccia 691,721</w:t>
        <w:br/>
        <w:t>Aitec 147,997</w:t>
        <w:br/>
        <w:t>TSC 1,571</w:t>
        <w:br/>
        <w:t>The administrative sanctions referred to in the previous letter c)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BULLETIN NO. 31 OF AUGUST 16, 2017 115</w:t>
        <w:b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payment interest accrued during the same period.</w:t>
        <w:br/>
        <w:t>Immediate communication of the payments made must be given to the Authority, by sending a copy of the model certifying the payment made.</w:t>
        <w:br/>
        <w:t>Pursuant to Article 26 of the same law, companies in economically disadvantaged conditions may request the installment payment of the sanction.</w:t>
        <w:br/>
        <w:t>This provision will be notified to the interested parties and published in the Bulletin of the Antitrust Authority.</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provision itself.</w:t>
        <w:br/>
        <w:t>THE DEPUTY SECRETARY GENERAL THE PRESIDENT</w:t>
        <w:br/>
        <w:t>Annalisa Rocchietti Giovanni Pitruzzella</w:t>
      </w:r>
    </w:p>
    <w:p>
      <w:r>
        <w:t>116 BULLETIN NO. 31 OF AUGUST 16, 2017</w:t>
        <w:br/>
        <w:t>APPENDIX</w:t>
        <w:br/>
        <w:t>Data on actual prices</w:t>
        <w:br/>
        <w:t>1. Regarding the analysis of the trend of actual average revenues, the Parties (with the exception of TSC and the trade association) were requested to provide information about:</w:t>
        <w:br/>
        <w:t>- The volumes sold to third parties in the national market</w:t>
        <w:br/>
        <w:t>- The revenues associated with the above volumes, to be understood net of VAT and ex works</w:t>
        <w:br/>
        <w:t>2. The Parties were requested to provide such information for each month, starting from 2011 until November 2016 (inclusive) and to break it down by each production or cement handling plant (factories, terminals, and depots). Finally, the Parties were asked to distinguish between bulk cement and cement sold in bags.</w:t>
        <w:br/>
        <w:t>3. Based on this information, relating revenues to the volumes mentioned above:</w:t>
        <w:br/>
        <w:t>- For each of the Parties, the value of the volumes and the corresponding revenues for each of the 71 months considered was calculated, keeping bulk cement and bagged cement distinct</w:t>
        <w:br/>
        <w:t>- For each of the Parties, the ratio between revenues and volumes referred to in the previous point was calculated for each of the 71 months considered, keeping bulk cement and bagged cement distinct. In this way, for each of the Parties, two series of 71 observations each were obtained, representing the trend of the average revenue associated with sales to third parties in the national market for that Party, respectively for bulk cement and for bagged cement. These series are illustrated in the graphs contained in the following section of this Appendix (see figures A3-A28).</w:t>
        <w:br/>
        <w:t>- Additionally, the sum of the volumes and the sum of the corresponding revenues realized by all the Parties for each of the 71 months considered were calculated, keeping bulk cement and bagged cement distinct.</w:t>
        <w:br/>
        <w:t>- Finally, the ratio between revenues and volumes referred to in the previous point was calculated for each of the 71 months considered, keeping bulk cement and bagged cement distinct. In this way, two series of 71 observations each were obtained, representing the trend of the overall average revenue associated with sales to third parties in the national market for all the Parties, respectively for bulk cement and for bagged cement. This trend is illustrated in section 3.3.1 of the CRI and is the basis for Tables 5-7 present in that section.</w:t>
        <w:br/>
        <w:t>The trends of actual prices</w:t>
        <w:br/>
        <w:t>4. In this section, the trend of the actual average revenue calculated for all the Parties as a whole (which corresponds to a weighted average revenue of the average revenues of the individual Parties) is compared with the trends of the actual average revenues calculated for each of the Parties in this proceeding (with the exception of TSC and AITEC and with the aggregation of the two companies of the Zillo Group). It should also be noted that the graphs indicate the generalized increases in nominal prices, using the same methods – and the same reference amounts – used for the graphs of overall average revenues, in order to allow each Party to compare the trend of its revenues with the average trend.</w:t>
      </w:r>
    </w:p>
    <w:p>
      <w:r>
        <w:rPr>
          <w:b/>
        </w:rPr>
        <w:t>[Pages 115–117]</w:t>
      </w:r>
    </w:p>
    <w:p>
      <w:r>
        <w:t>BULLETIN NO. 31 OF AUGUST 16, 2017 117</w:t>
        <w:br/>
        <w:t>Total Parties</w:t>
        <w:br/>
        <w:t>Figure A1 – average revenue from sales to third parties of bulk cement</w:t>
        <w:br/>
        <w:t>Source: AGCM elaborations on data from the Parties.</w:t>
        <w:br/>
        <w:t>Figure A2 – average revenue from sales to third parties of bagged cement</w:t>
        <w:br/>
        <w:t>Source: AGCM elaborations on data from the Parties.</w:t>
      </w:r>
    </w:p>
    <w:p>
      <w:r>
        <w:t>118 BULLETIN NO. 31 OF AUGUST 16, 2017</w:t>
        <w:br/>
        <w:t>Italcementi</w:t>
        <w:br/>
        <w:t>Figure A3 – average revenue from sales to third parties of bulk cement - Italcementi</w:t>
        <w:br/>
        <w:t>(omitted)</w:t>
        <w:br/>
        <w:t>Figure A4 – average revenue from sales to third parties of bagged cement – Italcementi</w:t>
        <w:br/>
        <w:t>(omitted)</w:t>
        <w:br/>
        <w:t>Buzzi</w:t>
        <w:br/>
        <w:t>Figure A5 – average revenue from sales to third parties of bulk cement - Buzzi</w:t>
        <w:br/>
        <w:t>(omitted)</w:t>
        <w:br/>
        <w:t>Figure A6 – average revenue from sales to third parties of bagged cement – Buzzi</w:t>
        <w:br/>
        <w:t>(omitted)</w:t>
        <w:br/>
        <w:t>Colacem</w:t>
        <w:br/>
        <w:t>Figure A7 – average revenue from sales to third parties of bulk cement - Colacem</w:t>
        <w:br/>
        <w:t>(omitted)</w:t>
        <w:br/>
        <w:t>Figure A8 – average revenue from sales to third parties of bagged cement – Colacem</w:t>
        <w:br/>
        <w:t>(omitted)</w:t>
        <w:br/>
        <w:t>Cementir</w:t>
        <w:br/>
        <w:t>Figure A9 – average revenue from sales to third parties of bulk cement - Cementir</w:t>
        <w:br/>
        <w:t>(omitted)</w:t>
        <w:br/>
        <w:t>Figure A10 – average revenue from sales to third parties of bagged cement – Cementir</w:t>
        <w:br/>
        <w:t>(omitted)</w:t>
        <w:br/>
        <w:t>Sacci1</w:t>
        <w:br/>
        <w:t>Figure A11 – average revenue from sales to third parties of bulk cement - Sacci</w:t>
        <w:br/>
        <w:t>(omitted)</w:t>
        <w:br/>
        <w:t>Figure A12 – average revenue from sales to third parties of bagged cement – Sacci</w:t>
        <w:br/>
        <w:t>(omitted)</w:t>
        <w:br/>
        <w:t>1</w:t>
        <w:br/>
        <w:t>It should be noted that for Sacci, the average revenues are reported up to July 2016, as subsequently the Party company (the current Sacci S.r.l. in liquidation) sold its activities in the cement sector to the Cementir group.</w:t>
      </w:r>
    </w:p>
    <w:p>
      <w:r>
        <w:t>BULLETIN NO. 31 OF AUGUST 16, 2017 119</w:t>
        <w:br/>
        <w:t>Holcim</w:t>
        <w:br/>
        <w:t>Figure A13 – average revenue from sales to third parties of bulk cement - Holcim</w:t>
        <w:br/>
        <w:t>(omitted)</w:t>
        <w:br/>
        <w:t>Figure A14 – average revenue from sales to third parties of bagged cement – Holcim</w:t>
        <w:br/>
        <w:t>(omitted)</w:t>
        <w:br/>
        <w:t>Cementirossi</w:t>
        <w:br/>
        <w:t>Figure A15 – average revenue from sales to third parties of bulk cement - Cementirossi</w:t>
        <w:br/>
        <w:t>(omitted)</w:t>
        <w:br/>
        <w:t>Figure A16 – average revenue from sales to third parties of bagged cement – Cementirossi</w:t>
        <w:br/>
        <w:t>(omitted)</w:t>
        <w:br/>
        <w:t>Gruppo Zillo2</w:t>
        <w:br/>
        <w:t>Figure A17 – average revenue from sales to third parties of bulk cement – Gruppo Zillo</w:t>
        <w:br/>
        <w:t>(omitted)</w:t>
        <w:br/>
        <w:t>Figure A18 – average revenue from sales to third parties of bagged cement – Gruppo Zillo</w:t>
        <w:br/>
        <w:t>(omitted)</w:t>
        <w:br/>
        <w:t>Barbetti</w:t>
        <w:br/>
        <w:t>Figure A19 – average revenue from sales to third parties of bulk cement - Barbetti</w:t>
        <w:br/>
        <w:t>(omitted)</w:t>
        <w:br/>
        <w:t>Figure A20 – average revenue from sales to third parties of bagged cement - Barbetti</w:t>
        <w:br/>
        <w:t>(omitted)</w:t>
        <w:br/>
        <w:t>Calme</w:t>
        <w:br/>
        <w:t>Figure A21 – average revenue from sales to third parties of bulk cement - Calme</w:t>
        <w:br/>
        <w:t>(omitted)</w:t>
        <w:br/>
        <w:t>Figure A22 – average revenue from sales to third parties of bagged cement - Calme</w:t>
        <w:br/>
        <w:t>(omitted)</w:t>
        <w:br/>
        <w:t>2</w:t>
        <w:br/>
        <w:t>The Gruppo Zillo considers the two Parties Cementizillo S.p.A. and Cementeria di Monselice S.p.A. jointly (omitted).</w:t>
      </w:r>
    </w:p>
    <w:p>
      <w:r>
        <w:rPr>
          <w:b/>
        </w:rPr>
        <w:t>[Pages 118–120]</w:t>
      </w:r>
    </w:p>
    <w:p>
      <w:r>
        <w:t>120 BULLETIN NO. 31 OF AUGUST 16, 2017</w:t>
        <w:br/>
        <w:t>Moccia</w:t>
        <w:br/>
        <w:t>Figure A23 – average revenue from sales to third parties of bulk cement - Moccia</w:t>
        <w:br/>
        <w:t>(omissis)</w:t>
        <w:br/>
        <w:t>Figure A24 – average revenue from sales to third parties of bagged cement - Moccia</w:t>
        <w:br/>
        <w:t>(omissis)</w:t>
        <w:br/>
        <w:t>W&amp;P</w:t>
        <w:br/>
        <w:t>Figure A25 – average revenue from sales to third parties of bulk cement – W&amp;P</w:t>
        <w:br/>
        <w:t>(omissis)</w:t>
        <w:br/>
        <w:t>Figure A26 – average revenue from sales to third parties of bagged cement – W&amp;P</w:t>
        <w:br/>
        <w:t>(omissis)</w:t>
        <w:br/>
        <w:t>Cementi Centro Sud</w:t>
        <w:br/>
        <w:t>Figure A27 – average revenue from sales to third parties of bulk cement – CCS</w:t>
        <w:br/>
        <w:t>(omissis)</w:t>
        <w:br/>
        <w:t>Figure A28 – average revenue from sales to third parties of bagged cement - CCS</w:t>
        <w:br/>
        <w:t>(omissis)</w:t>
        <w:br/>
        <w:t>5. As can be seen from the graphs presented in the previous section, the Parties show, in most cases, a trend of actual average revenues with characteristics similar to those highlighted for the trend of the overall average revenue presented in section 3.3.1, particularly with regard to i) the presence of "jumps," that is, marked discontinuities, in the level of actual average revenues corresponding to episodes of nominal increases and ii) the presence of a trend, in the remaining periods, towards a slight and regular decrease in the level of prices.</w:t>
        <w:br/>
        <w:t>6. This analogy also implies that, in addition to a clear parallelism between the variations of nominal prices detected at the start of the investigation, there is also a parallelism between the trends of the actual prices of the Parties.</w:t>
        <w:br/>
        <w:t>Relationship between actual and nominal prices</w:t>
        <w:br/>
        <w:t>7. As previously mentioned, the company Holcim has argued (omissis)</w:t>
      </w:r>
    </w:p>
    <w:p>
      <w:r>
        <w:t>BULLETIN NO. 31 OF AUGUST 16, 2017 121</w:t>
        <w:br/>
        <w:t>TELEVISION RIGHTS</w:t>
        <w:br/>
        <w:t>SR30 - LEGA PRO - GUIDELINES FOR THE MARKETING OF AUDIOVISUAL RIGHTS</w:t>
        <w:br/>
        <w:t>SEASON 2017/2018</w:t>
        <w:br/>
        <w:t>Provision No. 26712</w:t>
        <w:br/>
        <w:t>THE ANTITRUST AUTHORITY</w:t>
        <w:br/>
        <w:t>IN ITS MEETING of July 25, 2017;</w:t>
        <w:br/>
        <w:t>HEARD the Rapporteur Professor Michele Ainis;</w:t>
        <w:br/>
        <w:t>HAVING REGARD to Law No. 287 of October 10, 1990;</w:t>
        <w:br/>
        <w:t>HAVING REGARD to Legislative Decree No. 9 of January 9, 2008, concerning the Regulation of ownership and marketing of sports audiovisual rights and the related distribution of resources;</w:t>
        <w:br/>
        <w:t>HAVING REGARD to Article 6, paragraph 1, of the aforementioned Legislative Decree, according to which the Italian Professional Football League is required to predetermine, for the football competitions under its jurisdiction, guidelines "for the marketing of audiovisual rights containing rules regarding the offer and assignment of the audiovisual rights themselves, criteria regarding the formation of the related packages and the further rules" provided for by the decree in order to guarantee participants in the competitive procedures "conditions of absolute fairness, transparency, and non-discrimination";</w:t>
        <w:br/>
        <w:t>HAVING REGARD to Article 6, paragraph 6, of the same Legislative Decree, which establishes that the Authority for Communications Guarantees and the Antitrust Authority shall verify, for their respective areas of competence, the compliance of the guidelines with the principles and provisions of Legislative Decree No. 9/2008 and approve them within sixty days of receipt;</w:t>
        <w:br/>
        <w:t>HAVING REGARD to the guidelines referred to in Legislative Decree No. 9/2008, transmitted by the Italian Professional Football League with a note dated June 16, 2017;</w:t>
        <w:br/>
        <w:t>HAVING REGARD to the public consultation convened by the Authority with resolution dated June 21, 2017;</w:t>
        <w:br/>
        <w:t>CONSIDERING the following:</w:t>
        <w:br/>
        <w:t>I. THE ITALIAN PROFESSIONAL FOOTBALL LEAGUE</w:t>
        <w:br/>
        <w:t>1. The Italian Professional Football League (hereinafter also referred to as Lega Pro) is the private association of football clubs registered in the Single Division Championship. Among the tasks assigned to Lega Pro are the organization and management of the Single Division Championship – articulated in the Regular Season, Play Off, and Play Out tournaments – and the events of the Coppa Italia di Lega Pro and the Supercoppa di Lega Pro.</w:t>
        <w:br/>
        <w:t>II. THE CONTENTS OF THE GUIDELINES</w:t>
        <w:br/>
        <w:t>2. Below are summarized the main contents of the guidelines prepared by Lega Pro, as communicated by the aforementioned association on June 16, 2017.</w:t>
        <w:br/>
        <w:t>3. The Guidelines in question regulate the sports audiovisual and radio rights pertaining to the following football competitions, organized by Lega Pro in the 2017/2018 sports season: Single Division Championship, the Play Off and Play Out tournaments, the Coppa Italia di Lega Pro tournament, and the Supercoppa di Lega Pro tournament.</w:t>
      </w:r>
    </w:p>
    <w:p>
      <w:r>
        <w:t>122 BULLETIN NO. 31 OF AUGUST 16, 2017</w:t>
        <w:br/>
        <w:t>4. For the mentioned competitions, Lega Pro will proceed with the centralized sale of primary audiovisual rights (first broadcast rights of events) and secondary rights (rights to broadcast replays, summaries, and highlights of events) through the development of rights packages that provide for television transmission methods (satellite and digital terrestrial), radio, and via IP protocol, which differ from each other depending on the exclusive or non-exclusive nature of their exploitation.</w:t>
        <w:br/>
        <w:t>5. Pending the approval procedure of the Guidelines in question, Lega Pro on July 10, 2017 – having verified internally the opportunity and necessity of marketing domestic rights nationally for a longer period than just the 2017/2018 sports season – presented an integration of the aforementioned Guidelines. In particular, Lega Pro requested, limited to only the audiovisual products related to live broadcasts nationally, that the duration of the Guidelines be extended to the 2018/2019 and 2019/2020 Sports Seasons as well. With reference to the marketing of audiovisual rights locally, that is, the marketing of other audiovisual products locally or nationally different from live broadcasts nationally, Lega Pro stated that it intends to maintain the duration for only one sports season, given the continuous evolution of the market and the lack of interest from local operators to make long-term investments.</w:t>
        <w:br/>
        <w:t>The outcome of the assignment procedures in the last three sports seasons</w:t>
        <w:br/>
        <w:t>6. Based on the information made available by the League on July 17, 2017, the assignment procedures for the last two football seasons of the Lega Pro championship confirmed a negative trend. A limited number of operators participated in the competitive procedures for the marketing of matches of individual sports clubs.</w:t>
        <w:br/>
        <w:t>7. Many competitive procedures went deserted, and communication operators interested in purchasing, aware of the lack of competition, preferred to wait for the outcome of the procedure to subsequently purchase the audiovisual rights through private negotiation at a significantly lower cost. In this case, the private negotiation took place through the acceptance of the offer made by the communication operator since, particularly with regard to local broadcasting activities, sports clubs have an interest in acquiring the rights related to their matches in order to promote the club's sports activities in the territory. As for the live broadcasts of away matches exclusively, given their impact on the number of spectators present in the stadiums, a competitive procedure was only initiated in the presence of an expression of interest containing a minimum offer of significant economic value.</w:t>
        <w:br/>
        <w:t>8. In the 2015/2016 and 2016/2017 seasons, the audiovisual rights sold exclusively were as follows:</w:t>
        <w:br/>
        <w:t>(cid:1) Package "40 first-choice live matches";</w:t>
        <w:br/>
        <w:t>(cid:1) Package "live away matches of individual sports clubs";</w:t>
        <w:br/>
        <w:t>(cid:1) Package "delayed home and away matches of individual sports clubs";</w:t>
        <w:br/>
        <w:t>(cid:1) Package "live radio of individual sports clubs".</w:t>
        <w:br/>
        <w:t>The audiovisual rights sold non-exclusively are as follows:</w:t>
        <w:br/>
        <w:t>(cid:1) Package "stadium-studio";</w:t>
        <w:br/>
        <w:t>(cid:1) Packages "highlights";</w:t>
        <w:br/>
        <w:t>(cid:1) Package "highlights for news reporting rights."</w:t>
      </w:r>
    </w:p>
    <w:p>
      <w:r>
        <w:rPr>
          <w:b/>
        </w:rPr>
        <w:t>[Pages 121–123]</w:t>
      </w:r>
    </w:p>
    <w:p>
      <w:r>
        <w:t>BULLETIN NO. 31 OF AUGUST 16, 2017 123</w:t>
        <w:br/>
        <w:t>The channel "Lega Pro Tv"</w:t>
      </w:r>
    </w:p>
    <w:p>
      <w:r>
        <w:t>9. As already specified in the Guidelines relating to the Sports Seasons 2015/20161 and 2016/20172, Lega Pro, in light of a persistent lack of interest from national communication operators, deemed that the only feasible path was that indicated by Article 13 of the Melandri Decree, namely the direct distribution to its fans of all matches of the competitions organized by it. The web channel, named "Lega Pro Channel," allowed users/fans, during the past sports season, to watch the matches for free on the multichannel distribution platform "Sportube." The results achieved, in terms of access to the live matches broadcast on the thematic channel, were deemed satisfactory by the League.</w:t>
      </w:r>
    </w:p>
    <w:p>
      <w:r>
        <w:t>10. The Lega Pro Tv Channel (hereinafter also "Channel") operates with transmission modes via IP protocol and will continue to operate with this transmission mode for the 2017/2018 Sports Season. For the establishment of the thematic channel, the League has signed a collaboration contract with a technical operator, maintaining the editorial responsibility of the Channel, which remains marked with the "Lega Pro" brand. With the aforementioned Channel, Lega Pro aims to attract the interest of new generations of users who, being open to innovative forms of communication, use smartphones and tablets almost constantly.</w:t>
      </w:r>
    </w:p>
    <w:p>
      <w:r>
        <w:t>11. After an initial free period, starting from the 2016/2017 sports season, Lega Pro decided to continue providing the service through the paid web channel, always and in any case in the form of self-production, adopting a very contained cost policy.</w:t>
      </w:r>
    </w:p>
    <w:p>
      <w:r>
        <w:t>Marketing Rights</w:t>
      </w:r>
    </w:p>
    <w:p>
      <w:r>
        <w:t>12. The rights subject to commercialization pertain to the regular season matches of the Single Division Championship and the Coppa Italia. As for the matches of the Play Offs and Play Outs, the Coppa Italia, and the Supercoppa of Lega Pro, the rights will be licensed at the time of identifying the sports clubs admitted to participate in the aforementioned competitions (usually in May and June).</w:t>
      </w:r>
    </w:p>
    <w:p>
      <w:r>
        <w:t>13. During the sports seasons 2015/2016 and 2016/2017, the direct distribution of matches, both through OTT systems and through social networks such as Facebook and Twitter, proved to be an effective tool for fan loyalty, having demonstrated its suitability for creating a substantial "fan base."</w:t>
      </w:r>
    </w:p>
    <w:p>
      <w:r>
        <w:t>14. Conversely, regarding the 2016/2017 football season, Lega Pro noted that the commercialization of "live broadcasts" on the traditional distribution platform, both nationally – about 40/50 regular season matches broadcast per season – and locally – with the transmission of only away matches – proved unsatisfactory both in economic terms and in terms of prospective collaboration and promotional growth. In particular, it sometimes happened that national broadcasters decided not to broadcast the live matches of the competitions, even preferring to broadcast events from other less prestigious competitions.</w:t>
      </w:r>
    </w:p>
    <w:p>
      <w:r>
        <w:t>15. According to point 4 of the Guidelines, Lega Pro will market, at least at the local level, the packages related to "live broadcasts" in free-to-air only after receiving serious expressions of interest. It will instead offer local and national operators, in a logic of promoting the movement as well as to ensure the widespread dissemination of news information, the packages already marketed in previous seasons related to Highlights, delayed broadcasts, stadium-studio connections, and radio broadcasts.</w:t>
      </w:r>
    </w:p>
    <w:p>
      <w:r>
        <w:t>1 Cf. SR25 - Lega Pro-Guidelines for the commercialization of audiovisual rights Season 2015-2016.</w:t>
        <w:br/>
        <w:t>2 Cf. SR27 - Lega Pro-Guidelines for the commercialization of audiovisual rights Season 2016-2017.</w:t>
      </w:r>
    </w:p>
    <w:p>
      <w:r>
        <w:t>124 BULLETIN NO. 31 OF AUGUST 16, 2017</w:t>
      </w:r>
    </w:p>
    <w:p>
      <w:r>
        <w:t>Marketing Criteria and Package Formation</w:t>
      </w:r>
    </w:p>
    <w:p>
      <w:r>
        <w:t>16. Among the criteria for the preparation of packages, Lega Pro indicated that each individual package will concern rights related to broadcasting on a single distribution platform. Only the packages for national live broadcasts, if they are subject to commercialization, may provide for "product distribution," with consequent freedom of choice of the transmission platform.</w:t>
      </w:r>
    </w:p>
    <w:p>
      <w:r>
        <w:t>17. In the event of a negative outcome of the competitive procedure, Lega Pro reserves the right to market new packages in subsequent procedures, prepared by merging existing ones or through separate licensing of the individual rights that are part of the Package or other Packages3. In preparing the packages, Lega Pro will take into account the primary needs of mutuality, communication, and visibility of the sports clubs participating in the competitions: for this reason, packages may also be developed that provide for the cumulative distribution of matches from all groups or from a single group. As specified in the note of July 17, 2017, this hypothesis will be considered and adopted if a certain package remains unsold and, at the request of individual sports clubs or following an expression of interest from a communication operator or on the advisor's indication, an attempt can be made to sell it. In this case, the sale will still be conducted primarily through a competitive procedure.</w:t>
      </w:r>
    </w:p>
    <w:p>
      <w:r>
        <w:t>18. The packages containing rights for the distribution of free-to-air live broadcasts of events of individual sports clubs via Digital Satellite Platform (DTH) or Digital Terrestrial (DTT) will be prepared to ensure the distribution of all matches played away by the aforementioned teams, with the option to include within the same packages also their home matches, provided that the offer presented is economically advantageous for Lega Pro.</w:t>
      </w:r>
    </w:p>
    <w:p>
      <w:r>
        <w:t>19. The identification of the types of audiovisual rights will be carried out in relation to the requests of communication operators and, consequently, to the "product" requested by the end user.</w:t>
      </w:r>
    </w:p>
    <w:p>
      <w:r>
        <w:t>20. Lega Pro will use the tool of private negotiation for the assignment of audiovisual rights only in the event of a negative outcome of the competitive procedure, that is, due to lack of offers, failure to reach the minimum price of the same, or for any other reason that does not allow the assignment of the packages. In this case, if during the private negotiation two or more communication operators express interest in acquiring the package, a new procedure will be initiated for the aforementioned subjects, consisting of sending a sealed offer, with a base offer amount that is not less than 70% of the minimum consideration of the previous competitive procedure. If, on the other hand, during the private negotiation, only one communication operator expresses interest in purchasing the package, no procedure will be initiated, and the package will be assigned to the only operator who submitted an offer, which cannot be less than 70% of the initial price; in this circumstance, the right of Lega Pro to refrain from proceeding with the assignment in the event of an offer lower than the minimum initial price, deemed inappropriate for the economic interest of the League and its associates, is reserved.</w:t>
      </w:r>
    </w:p>
    <w:p>
      <w:r>
        <w:t>Criteria for the Preparation of Packages</w:t>
      </w:r>
    </w:p>
    <w:p>
      <w:r>
        <w:t>21. Lega Pro has developed some types of packages considering the experience gained in previous seasons and the changed market needs. In preparing the packages, Lega Pro has taken and will take into account the primary needs of mutuality, communication, and visibility of the sports clubs. For this reason, packages have also been developed that provide for the cumulative transmission of events from all groups in which the Single Division Championship is articulated. The League, while maintaining the specified criteria for package formation, reserves the right to modify them at the time of publishing the invitations to offer.</w:t>
      </w:r>
    </w:p>
    <w:p>
      <w:r>
        <w:t>The Packages</w:t>
      </w:r>
    </w:p>
    <w:p>
      <w:r>
        <w:t>22. In presenting the Guidelines, Lega Pro did not proceed with an analytical articulation of the packages, limiting itself to describing the types of groups of distinct packages according to the national and/or local scope of the exclusivity granted for live broadcasts and delayed broadcasts to be transmitted in different ways (TV, radio, and IP Protocol), as reported below:</w:t>
        <w:br/>
        <w:t>a) possible exclusive distribution at the national level of "live broadcasts" and/or "highlights": one or more packages per product of live broadcasts, with choice by the assignee (for a maximum of 3 matches for each club, both home and away) or packages focused on a single sports team or a group of teams (also at the assignee's choice), in combination with or with highlights of all competitions, as well as packages of only highlights;</w:t>
        <w:br/>
        <w:t>b) possible exclusive distribution at the local level of "live broadcasts" of Regular Season events or "live broadcasts" of Play Off and Play Out events, Coppa Italia, and Supercoppa: packages could be prepared for the distribution, free-to-air or paid, on any platform, of the "live broadcasts" of the "external" Regular Season events played by a single team, also aggregating the events into packages intended for macro regional areas, also with a limit on transmissions for each club. Packages could also be prepared for distribution on any Platform, free-to-air or paid, of the "external live broadcasts" of the events of the Play Off and Play Out tournaments. In the description of the Package, it may be provided that if a single external Event is "chosen" for live transmission by the communication operator licensed for audiovisual rights for distribution at the national level, the local assignee will be required to broadcast the Event exclusively in a conditional access mode, and the agreed consideration will be proportionally reduced;</w:t>
        <w:br/>
        <w:t>c) exclusive local distribution of "delayed broadcasts": packages could be prepared for the free-to-air distribution of "delayed broadcasts" of all Regular Season events of the Championship, of Coppa Italia (excluding the events of the semifinals and finals) played by a single team, or packages for the distribution, free-to-air or paid, of the "delayed broadcasts" of the events of the Play Off and Play Out tournaments, of the semifinals and finals of Coppa Italia, and of the Supercoppa;</w:t>
        <w:br/>
        <w:t>d) audiovisual transmission at the national or local level not exclusively of "related images": packages containing the right to television broadcasting in a non-exclusive form, live and free-to-air, exclusively via satellite and/or digital terrestrial transmission, of sports programs of the type "stadium/studio," broadcast live during the matches of the Single Division Championship (excluding the events of the Play Out Tournament and the Play Off Tournament) and of the Coppa Italia (excluding semifinals and finals) played by a single sports club, or by multiple clubs; in combination with the package of a single club, the related highlights may also be licensed in a non-exclusive form. Packages may also be prepared for the distribution, free-to-air or paid, of the "stadium-studio" of the events of the Play Off and Play Out tournaments, of the semifinals and finals of Coppa Italia, and of the Supercoppa;</w:t>
        <w:br/>
        <w:t>e) non-exclusive distribution at the national or local level of "highlights" and/or "related images": in coordination and taking into account the content of the package(s) a),</w:t>
      </w:r>
    </w:p>
    <w:p>
      <w:r>
        <w:rPr>
          <w:b/>
        </w:rPr>
        <w:t>[Pages 124–126]</w:t>
      </w:r>
    </w:p>
    <w:p>
      <w:r>
        <w:t>126 BULLETIN NO. 31 OF AUGUST 16, 2017</w:t>
        <w:br/>
        <w:t>packages could be prepared for distribution, within sponsored in-depth programs and/or talk shows, of "highlights," lasting three to five minutes, of each Event of the Regular Season of the Championship and the Coppa Italia (excluding the semifinals and the final) played by all participating Sports Societies, or of the Events of the Play Off and Play Out tournaments, the Events of the semifinals and the final of the Coppa Italia, as well as the Supercoppa;</w:t>
      </w:r>
    </w:p>
    <w:p>
      <w:r>
        <w:t>f) exclusive radio broadcasting: packages of rights for live, full or excerpt broadcasts of the radio commentary of all Events of the Regular Season of the Championship and the Coppa Italia (excluding the Events of the semifinals and the final) played by a single team, or of the Events of the Play Off and Play Out tournaments, the Events of the semifinals and the final of the Coppa Italia, as well as the Supercoppa could be prepared;</w:t>
      </w:r>
    </w:p>
    <w:p>
      <w:r>
        <w:t>g) non-exclusive "web commentary" rights via IP platform: packages containing the non-exclusive right to carry out, live free or pay, via IP Platform, the so-called "web commentary" (text commentary) of all Events of the Regular Season of the Championship and the Coppa Italia (excluding the Events of the semifinals and the final) played by a single team, or of the Events of the Play Off and Play Out tournaments, the Events of the semifinals and the final of the Coppa Italia, as well as the Supercoppa could be prepared;</w:t>
      </w:r>
    </w:p>
    <w:p>
      <w:r>
        <w:t>h) non-exclusive distribution via IP platform of "highlights" and/or "related images": packages containing the rights for non-exclusive transmission via IP Platform, live and/or free-to-air, of a commentary and in-depth program according to the "stadium/studio" format during all Events of the Regular Season of the Championship and the Coppa Italia (excluding the Events of the semifinals and the final) played by a single team, or of the Events of the Play Off and Play Out tournaments, the Events of the semifinals and the final of the Coppa Italia, as well as the Supercoppa could be prepared. During the program, web commentary will not be allowed, but only updates on the progress of the Event will be communicated, in accordance with the provisions of the AGCOM regulation for the exercise of the right to commentary;</w:t>
      </w:r>
    </w:p>
    <w:p>
      <w:r>
        <w:t>i) Scouting database: Non-exclusive package related to the delayed images of all Events of the Championship (in its division into three tournaments), Play Off and Play Out, of the Coppa Italia and Supercoppa to be used exclusively for scouting purposes: the images may be inserted into a database and made available only to professionals, entities, and companies interested in the service, with express exclusion of any other use.</w:t>
      </w:r>
    </w:p>
    <w:p>
      <w:r>
        <w:t>23. Regarding the competition strategy developed for the 2017/2018 season, Lega Pro represented in its response to the request for information dated July 17, 2017, its intention to license to local operators the so-called "minor" audiovisual rights – that is, the delayed and live radio broadcasts through the preparation of exclusive packages to be awarded through competitive procedures and, in case of negative outcome, through private negotiation – as well as the summaries and related images, through the preparation of packages in a non-exclusive form with unchanged fees for interested operators. With reference to national communication operators, pursuant to point 6 letter a) of the Guidelines, Lega Pro intends to request expressions of interest for the licensing acquisition of one or more packages of live broadcasts.</w:t>
      </w:r>
    </w:p>
    <w:p>
      <w:r>
        <w:t>General rules for offers and competitive procedure</w:t>
      </w:r>
    </w:p>
    <w:p>
      <w:r>
        <w:t>24. According to point 8 of the Guidelines, Lega Pro will announce the start of the competitive procedure and the deadlines for submitting offers on its official website; simultaneously, Lega Pro will publish on its website the invitation to offer forms, within which the content of the packages made available to national and local communication operators will be described in detail.</w:t>
      </w:r>
    </w:p>
    <w:p>
      <w:r>
        <w:t>25. In the new system, it will be sufficient for interested communication operators to choose the selected package (or selected packages) on the website to proceed with the acquisition, in the manner that will be indicated on the website and which are summarized here in the following points.</w:t>
      </w:r>
    </w:p>
    <w:p>
      <w:r>
        <w:t>26. In the case of non-exclusive packages, the operator must:</w:t>
        <w:br/>
        <w:t>(cid:1) complete the package acquisition form that they will have downloaded from the official Lega Pro website. The aforementioned form must contain the signature of the form, the signature of the express and complete acceptance of the General License Conditions;</w:t>
        <w:br/>
        <w:t>(cid:1) proceed via home banking to pay the fee (which will include the price of the package and the access price to the signal for each event of the package) to the Lega Pro account indicated in the invitation to offer. The certification document of the payment must be attached to the delivery of the package acquisition form;</w:t>
        <w:br/>
        <w:t>(cid:1) deliver to Lega Pro the self-certification declaration of the qualification requirements referred to in paragraph 7, letter a).</w:t>
      </w:r>
    </w:p>
    <w:p>
      <w:r>
        <w:t>27. Following the receipt of the offer, Lega Pro will carry out a formal check of the documentation and verify the payment, as well as its compliance. At the end of these operations, Lega Pro will respond regarding the assignment of the package with an official communication to the PEC address of the offeror, acknowledging the completion of the agreement.</w:t>
      </w:r>
    </w:p>
    <w:p>
      <w:r>
        <w:t>28. In the case of exclusive packages, the communication operator must deliver in a sealed envelope or via PEC message the completed form in all its parts containing the offer for the indicated exclusive package(s), accompanied by the required documentation and make a payment via home banking of the amount indicated in the documentation as a deposit.</w:t>
      </w:r>
    </w:p>
    <w:p>
      <w:r>
        <w:t>29. The opening of the offers (in sealed envelopes or received at the PEC address of Lega Pro) will be carried out by a commission appointed for this purpose at the Lega Pro headquarters: representatives and/or delegates of the communication operators participating in the procedure may attend the operations and the drafting of the award minutes.</w:t>
      </w:r>
    </w:p>
    <w:p>
      <w:r>
        <w:t>30. Following the opening of the envelopes, the ranking of the offers that have exceeded the minimum price will be drawn up, and Lega Pro will proceed to assign the package to the operator who submitted the highest offer. In the event that no offers above the minimum price are received or only one offer is received, it will be at the discretion of Lega Pro, pursuant to art. 8 paragraph 4 of Legislative Decree No. 9/2008, after notifying the Authority, to revoke the offer of the package.</w:t>
      </w:r>
    </w:p>
    <w:p>
      <w:r>
        <w:t>III. EVALUATIONS</w:t>
      </w:r>
    </w:p>
    <w:p>
      <w:r>
        <w:t>31. Pursuant to Article 6, paragraph 1, of Legislative Decree No. 9/2008, the guidelines must provide rules regarding the offer and assignment of audiovisual rights, criteria regarding the formation of the related packages, and further rules to ensure that participants in the competitive procedures have conditions of absolute fairness, transparency, and non-discrimination.</w:t>
      </w:r>
    </w:p>
    <w:p>
      <w:r>
        <w:t>32. In this context, the Authority is called to examine the guidelines in question for the purpose of approval, after verifying, for the relevant profiles, their compliance with the principles and provisions of the aforementioned Decree (Article 6, paragraph 6). The evaluations that follow therefore leave the Authority's power to supervise the correct application of Legislative Decree No. 9/2008 and the Guidelines intact, using the powers provided by Law No. 287 of October 10, 1990 (Article 20 of Legislative Decree No. 9/2008).</w:t>
      </w:r>
    </w:p>
    <w:p>
      <w:r>
        <w:t>33. That said, the considerations made in this provision regarding the structure chosen for the packages of the rights in question and some competition rules that Lega Pro intends to adopt to obtain their assignment apply only to the Guidelines submitted for this evaluation by the Authority and take into account the context of low appeal of the rights in question and the objective of ensuring an economic return to the professional football movement of Lega Pro.</w:t>
      </w:r>
    </w:p>
    <w:p>
      <w:r>
        <w:t>34. With reference to the level of detail of the criteria for forming the packages, at the time of presenting the Guidelines, Lega Pro did not proceed with an analytical articulation of the packages, limiting itself to describing the types of groups of distinct packages depending on the national and/or local scope of the exclusivity granted for live broadcasts and delayed broadcasts to be transmitted in different ways (TV, radio, and IP Protocol). It is noted that the description of the specific contents of the packages must be evaluated in light of the need to provide a minimum number of suitable information to allow an assessment of compliance with the guiding principles of the Decree, as well as the limits set by it, with particular regard to the characteristics of the events – such as their degree of appeal – from which follows the possibility of proposing to the public the events of greater interest.</w:t>
      </w:r>
    </w:p>
    <w:p>
      <w:r>
        <w:t>35. That said, it is emphasized that following the publication of the invitations to offer, the potential evaluation of the compliance of the concrete declination of the packages, as well as the subsequent assignment of the rights, remains unaffected, pursuant to national and community legislation and Article 8 of the Melandri Decree. The Authority, in fact, believes that national and community legislation on competition is sufficient to allow intervention where Lega Pro, in the concrete preparation of the packages and final assignment, does not adhere to the Authority's indications and such behavior prejudices competition in the acquisition of specific rights and in the downstream markets, to the detriment of consumers.</w:t>
      </w:r>
    </w:p>
    <w:p>
      <w:r>
        <w:t>36. For the 2017/2018 season, Lega Pro intends to structure its offer into different packages. Firstly, one or more packages of live broadcasts at the national level will be the subject of an invitation to offer, relating to matches that may have a certain appeal in relation to a specific geographical area or the notoriety of a single sports society. At the same time, the Guidelines provide for the articulation of a series of packages, exclusive and non-exclusive, relating to local broadcasts, in order to incentivize the specific demand coming from fans linked to the teams of the geographical area of belonging.</w:t>
      </w:r>
    </w:p>
    <w:p>
      <w:r>
        <w:t>37. In general, it is believed that the rules set out in the guidelines in question regarding the offer and assignment of audiovisual rights, and in particular the provision of a minimum offer price, the criteria for determining it, and the use of selective competitive procedures, are currently suitable to allow full and impartial competition among participants, in accordance with Article 6, paragraph 1, of Legislative Decree No. 9/2008.</w:t>
      </w:r>
    </w:p>
    <w:p>
      <w:r>
        <w:t>38. The choice to market the packages related to live broadcasts on the traditional television platform only after receiving serious expressions of interest, based on the information transmitted by Lega on July 17, 2017, is linked to economic reasons: in particular, the live television broadcast of a match results in a decrease in the number of spectators present at the stadium, as well as lower revenues from ticket sales. This, in the case of offers below a certain minimum limit, would be detrimental to the participating sports societies. It is believed that, also based on what was stated by Lega Pro in the response of July 17, 2017, this decision does not harm users or operators.</w:t>
      </w:r>
    </w:p>
    <w:p>
      <w:r>
        <w:rPr>
          <w:b/>
        </w:rPr>
        <w:t>[Pages 127–129]</w:t>
      </w:r>
    </w:p>
    <w:p>
      <w:r>
        <w:t>BULLETIN NO. 31 OF AUGUST 16, 2017 129</w:t>
        <w:br/>
        <w:t>of communication as the former could in any case watch the match on the thematic channel upon payment of a particularly modest fee, while operators could still acquire audiovisual rights by paying low amounts.</w:t>
      </w:r>
    </w:p>
    <w:p>
      <w:r>
        <w:t>39. With reference to the marketing criteria, it is stated that the League reserves the right to modify the packages, compared to their configuration in the Guidelines, at the time of publishing the invitations to offer, while maintaining the criteria for their formation.</w:t>
      </w:r>
    </w:p>
    <w:p>
      <w:r>
        <w:t>40. Given the low interest of operators highlighted by Lega Pro, evidenced by the negative trend recorded in recent years in the marketing of audiovisual rights for Lega Pro championships, and the possibility for users to utilize an alternative and low-cost mode, represented by the Lega Pro Channel, a margin of flexibility in modifying the packages can be considered acceptable.</w:t>
      </w:r>
    </w:p>
    <w:p>
      <w:r>
        <w:t>41. The considerations made, related to the relevant market context, also justify the possibility for Lega Pro to resort to private negotiation in the event of tenders that are entirely or partially deserted. In this regard, a mechanism that can be considered suitable to preserve the competitive comparison underlying the tender procedures is the provision by Lega Pro of a limit on the compensation that can be offered by interested operators in order to ensure that rights have the possibility of obtaining remuneration, while the evaluation by Lega Pro of its effectiveness in application remains valid, also with a view to adopting alternative mechanisms in the preparation of future calls.</w:t>
      </w:r>
    </w:p>
    <w:p>
      <w:r>
        <w:t>42. As mentioned, in order to give greater visibility to sporting and institutional events, Lega Pro has created, through the multichannel distribution platform Sportube, its thematic channel "Lega Pro Channel" to which the user can access upon payment of a fee. The initiative, already implemented during previous sports seasons, provides an additional distribution platform in competition with others through which matches can be broadcast, increases the overall offer available to the end user, and ensures the visibility of events that do not attract the interest of traditional television operators. On the other hand, the presence of multiple rights holders for the same events generates greater competition in the market with obvious benefits for consumers.</w:t>
      </w:r>
    </w:p>
    <w:p>
      <w:r>
        <w:t>43. The identification of the sports clubs for which to market the live television broadcasts of external matches, based on the expressions of interest expressed by broadcasters, appears to be a mechanism suitable to guarantee the possibility of choice for communication operators, as well as the prerogatives of individual clubs.</w:t>
      </w:r>
    </w:p>
    <w:p>
      <w:r>
        <w:t>44. As for the transmission of events by the League through the Channel, it is believed that it does not create distortions in the television markets, harming the position of operators awarded the rights, as the Channel will only be broadcast on the internet platform. Furthermore, the broadcasts by the Channel will result in the absence of an absolute exclusivity arising from the coexistence of multiple distribution platforms for the same product, with multiple rights holders for the same events, resulting in an increase in the overall offer, to the benefit of the end consumer. The transmission of unsold events by the Channel, finally, will guarantee consumers access to all matches played within the competitions organized by Lega Pro.</w:t>
      </w:r>
    </w:p>
    <w:p>
      <w:r>
        <w:t>45. It is reported that Lega Pro on July 10, 2017, requested, limited to audiovisual products related to live broadcasts at the national level, that the duration of the Guidelines be extended to the 2018/2019 and 2019/2020 Sports Seasons. With reference to the marketing of audiovisual rights at the local level, or the marketing of other audiovisual products at the local or national level different from live broadcasts at the national level, Lega Pro has stated that it intends to maintain the duration for only one sports season, given the continuous evolution of the market and the low interest from local operators in making long-term investments.</w:t>
      </w:r>
    </w:p>
    <w:p>
      <w:r>
        <w:t>46. That said, with respect to the marketing of audiovisual rights at the local level and the marketing of audiovisual products different from live broadcasts at the national level, where Lega Pro does not intend to proceed with modifying the sales procedure adopted in the Guidelines subject to this evaluation for the 2018/2019 and 2019/2020 seasons, the considerations made in this provision allow the organizing entity not to proceed with the transmission of Guidelines for the aforementioned two seasons.</w:t>
      </w:r>
    </w:p>
    <w:p>
      <w:r>
        <w:t>CONSIDERING that the Authority's power to assess the compliance of the invitations to offer and the sales procedure for the audiovisual rights subject to this proceeding with national and community antitrust regulations and Legislative Decree No. 9/2008 remains unaffected and to proceed with the verification of any violations of the aforementioned regulations in the event that Lega Pro, in the concrete preparation of the packages and final assignment, does not comply with the Authority's indications and such behavior harms competition in the acquisition of specific rights and in downstream markets, to the detriment of consumers.</w:t>
      </w:r>
    </w:p>
    <w:p>
      <w:r>
        <w:t>THEREFORE, IT IS CONSIDERED appropriate to approve, for the reasons and within the limits stated in the motivation, the guidelines under Article 6, paragraph 6, of Legislative Decree No. 9/2008;</w:t>
      </w:r>
    </w:p>
    <w:p>
      <w:r>
        <w:t>RESOLVES</w:t>
        <w:br/>
        <w:t>to approve, pursuant to Article 6, paragraph 6, of Legislative Decree No. 9/2008, for the reasons and within the limits stated in the motivation, the guidelines of the Italian Professional Football League submitted on June 17, 2017, concerning the marketing of audiovisual sports rights related to the sports seasons 2017/2018, 2018/2019, and 2019/2020, regarding audiovisual products related to live broadcasts at the national level, and for the sports season 2017/2018, with reference to the marketing of audiovisual rights at the local level or the marketing of audiovisual products different from live broadcasts at the national level.</w:t>
      </w:r>
    </w:p>
    <w:p>
      <w:r>
        <w:t>This provision will be notified to the interested parties.</w:t>
      </w:r>
    </w:p>
    <w:p>
      <w:r>
        <w:t>THE DEPUTY SECRETARY GENERAL THE PRESIDENT</w:t>
        <w:br/>
        <w:t>Annalisa Rocchietti Giovanni Pitruzzella</w:t>
      </w:r>
    </w:p>
    <w:p>
      <w:r>
        <w:t>BULLETIN NO. 31 OF AUGUST 16, 2017 131</w:t>
        <w:br/>
        <w:t>SR31 - SERIE B FOOTBALL LEAGUE - GUIDELINES FOR THE MARKETING OF AUDIOVISUAL RIGHTS FOR THE 2018/2019, 2019/2020, AND 2020/2021 SEASONS</w:t>
        <w:br/>
        <w:t>Provision No. 26713</w:t>
        <w:br/>
        <w:t>THE ANTITRUST AUTHORITY</w:t>
        <w:br/>
        <w:t>IN ITS MEETING of July 25, 2017;</w:t>
        <w:br/>
        <w:t>HEARD the Rapporteur Dr. Gabriella Muscolo;</w:t>
        <w:br/>
        <w:t>HAVING REGARD to Law No. 287 of October 10, 1990;</w:t>
        <w:br/>
        <w:t>HAVING REGARD to Legislative Decree No. 9 of January 9, 2008, concerning "Regulations on the ownership and marketing of sports audiovisual rights and the related distribution of resources";</w:t>
        <w:br/>
        <w:t>HAVING REGARD to Article 6, paragraph 1, of the aforementioned Legislative Decree, according to which the National League of Professional Football Series B is required to predetermine, for the football competitions under its jurisdiction, guidelines "for the marketing of audiovisual rights containing rules regarding the offer and assignment of the audiovisual rights themselves, criteria regarding the formation of the related packages and the further rules" provided for by the Decree in order to guarantee, to participants in competitive procedures, "conditions of absolute fairness, transparency, and non-discrimination";</w:t>
      </w:r>
    </w:p>
    <w:p>
      <w:r>
        <w:t>HAVING REGARD to Article 6, paragraph 6, of the aforementioned Legislative Decree, which establishes that the Authority for Guarantees in Communications and the Antitrust Authority verify, for their respective areas of competence, the compliance of the guidelines with the principles and provisions of the same Legislative Decree and approve them within sixty days of receipt;</w:t>
      </w:r>
    </w:p>
    <w:p>
      <w:r>
        <w:t>HAVING REGARD to the guidelines referred to in Legislative Decree No. 9/2008 of the National League of Professional Football Series B for the centralized sale of audiovisual rights related to the sports seasons 2018/2019, 2019/2020, and 2020/2021 approved on June 19, 2017, and transmitted by note of June 20, 2017;</w:t>
      </w:r>
    </w:p>
    <w:p>
      <w:r>
        <w:t>HAVING REGARD to the public consultation convened by the Authority with resolution of June 28, 2017;</w:t>
      </w:r>
    </w:p>
    <w:p>
      <w:r>
        <w:t>CONSIDERING the following:</w:t>
        <w:br/>
        <w:t>I. THE NATIONAL LEAGUE OF PROFESSIONAL FOOTBALL SERIES B</w:t>
        <w:br/>
        <w:t>1. The National League of Professional Football Series B (hereinafter also "LNPB") privately associates the sports clubs affiliated with the Italian Football Federation ("FIGC") that participate in the Serie B Championships and that, for this purpose, make use of the services of professional football players. The LNPB, as a trade association of sports clubs affiliated with the FIGC, enjoys organizational and administrative autonomy. Among the tasks entrusted to the LNPB are the organization of the Serie B Championship – articulated in the Regular Season, Play Off, and Play Out tournaments – and the event of the Primavera Championship.</w:t>
      </w:r>
    </w:p>
    <w:p>
      <w:r>
        <w:t>2. Legislative Decree No. 9/2008 recognizes the LNPB, as the organizer of the aforementioned competitions, and the sports clubs, as organizers of the individual events of such competition, the co-ownership of the related audiovisual rights and assigns their exercise to the LNPB.</w:t>
      </w:r>
    </w:p>
    <w:p>
      <w:r>
        <w:rPr>
          <w:b/>
        </w:rPr>
        <w:t>[Pages 130–132]</w:t>
      </w:r>
    </w:p>
    <w:p>
      <w:r>
        <w:t>132 BULLETIN NO. 31 OF AUGUST 16, 2017</w:t>
        <w:br/>
        <w:t>II. THE CONTENTS OF THE GUIDELINES</w:t>
        <w:br/>
        <w:t>3. Below are summarized the main contents of the guidelines prepared by the LNPB, as communicated by the aforementioned association on June 20, 2017.</w:t>
        <w:br/>
        <w:t>Premise</w:t>
        <w:br/>
        <w:t>4. The Guidelines in question regulate the centralized marketing of audiovisual sports rights related to the sports seasons 2018/2019, 2019/2020, and 2020/2021.</w:t>
        <w:br/>
        <w:t>5. The LNPB will proceed with the centralized sale of primary audiovisual rights (live broadcast rights of events) and secondary rights (rights to broadcast replays, highlights, and significant images of events) related to the competitions it organizes, namely the Serie B Championship and the Primavera 2 Championship. In relation to the latter, it is noted that the LNPB, in agreement with the Lega Calcio Serie A, has recently modified the format of the Primavera Championship: pursuant to the amended Article 58 of the Internal Organizational Regulations of the F.I.G.C., the Primavera Championship is divided into two Championships, Primavera 1 and Primavera 2, for which the rules of promotion/relegation will apply. The Primavera 1 Championship will be organized by the Lega Calcio Serie A while the Primavera 2 Championship will be organized by the LNPB.</w:t>
        <w:br/>
        <w:t>6. The current format of the Serie B Championship consists of two phases, the first, called "regular season" and the second, referred to as "Play-offs" and "Play-outs." The "regular season" involves the participation of 22 teams, with a round-trip match format. Each team plays one home match and one away match against each of the others, for a total of 462 events. The teams ranked 1st and 2nd in the "regular season" of the Serie B Championship are directly promoted to the Serie A Championship of the following season while the teams ranked from 3rd to 8th place compete in a series of "play-offs," with a format subject to annual approval by the FIGC. The teams ranked last, second to last, and third to last in the regular season of the Serie B Championship are directly relegated to the Prima Divisione Lega Pro. The teams ranked fourth to last and fifth to last compete in a "play-out" against each other, with home and away matches, to determine the fourth team that will be relegated to Prima Divisione.</w:t>
        <w:br/>
        <w:t>7. However, the LNPB emphasizes that the number of teams participating in the tournament and, consequently, the number of events that make up the regular season may be reduced to 20 teams and 380 events in any of the sports seasons 2018/2019, 2019/2020, and 2020/2021.</w:t>
        <w:br/>
        <w:t>8. The LNPB intends to initially carry out distinct competitive procedures for centralized sales and to form multiple packages that differ from each other based on the market to which they are intended and the nature of exclusivity or non-exclusivity of their exploitation. The composition of each package and the rules governing its exploitation will be described in the corresponding invitation to submit bids.</w:t>
        <w:br/>
        <w:t>9. The Guidelines define the formation criteria concerning the following packages of rights: (i) packages exercisable on an exclusive basis in the national territory; (ii) packages exercisable on a non-exclusive basis in the national territory; (iii) audio packages; (iv) packages intended for the international market. The LNPB also reserves the right to form packages of audiovisual rights for emerging platforms that may be identified in the future by the Authority for Communications Guarantees.</w:t>
        <w:br/>
        <w:t>Criteria for the formation of audiovisual rights packages</w:t>
        <w:br/>
        <w:t>10. The criteria for the formation of audiovisual rights packages exercisable on an exclusive basis in the national territory are as follows (paragraph 24 of the Guidelines):</w:t>
      </w:r>
    </w:p>
    <w:p>
      <w:r>
        <w:t>BULLETIN NO. 31 OF AUGUST 16, 2017 133</w:t>
        <w:br/>
        <w:t>a) the packages are formed taking into account market conditions and therefore for the exercise of audiovisual rights for each platform (sale "by platform") or according to sales methods that put different platforms in competition (sale "by product"), or with both methods for certain events; common criteria will be provided for all forms of transmission for domestic users or for commercial establishments of events organized by the LNPB;</w:t>
        <w:br/>
        <w:t>b) in forming the individual packages, the LNPB takes into account the technological and economic development of the various platforms and the evolution of viewing terminals;</w:t>
        <w:br/>
        <w:t>c) the invitations to submit bids may allow – by setting corresponding fees and access prices – particular forms of exploitation that disregard the type of platform used;</w:t>
        <w:br/>
        <w:t>d) the initial offer to the market includes, regardless of the sales method, a minimum number of live broadcasts equal to 50% of the events of the Serie B Championship. The LNPB reserves the right to subsequently allocate a different number of live broadcasts for commercialization;</w:t>
        <w:br/>
        <w:t>e) in the case of platform sales, the commercialization of events from the Serie B Championship or the Primavera 2 competition includes multiple packages of audiovisual rights reserved for different platforms, but the LNPB is not obliged to prepare multiple packages for each platform;</w:t>
        <w:br/>
        <w:t>f) in the case of "product" sales or in the case of sales with both methods (by platform and by product), the commercialization of events from the Serie B Championship or the Primavera 2 competition may include multiple packages of audiovisual rights;</w:t>
        <w:br/>
        <w:t>g) pursuant to Article 7, paragraph 8, of Legislative Decree 9/2008, the LNPB reserves the right to market a single package for the live broadcasts of all events of the Serie B Championship, or of the Primavera 2 competition, or to assign to a single operator all packages related to the live broadcasts of events of that Championship;</w:t>
        <w:br/>
        <w:t>h) in any case, the commercialization of at least one independent package for the free-to-air transmission of highlights in deferred and related images, including interviews, is provided;</w:t>
        <w:br/>
        <w:t>i) the balance of the packages between the content of the offered audiovisual rights and the corresponding minimum price is determined according to reasonableness, taking into account the need to form commercially interesting packages, also in terms of audience and attractiveness, for communication operators, also in relation to the expectations of users, whether individuals or commercial establishments, and the technical methods of enjoying the events, it being understood that the packages may differ in content and economic value;</w:t>
        <w:br/>
        <w:t>j) a reserve in favor of sports clubs is provided for the rights referred to in paragraphs 49 of the Guidelines (broadcasting of the replay or summary of the event by a single local television broadcaster in clear, starting no earlier than 48 hours after the end of the event, and live radio commentary of the entire event by only two local radio broadcasters, one of which is the official radio of the club) and 50 of the Guidelines (broadcasting on official thematic channels dedicated to their team of related images, including live, as well as the replay, summary, and highlights of the events of the competitions they organize and the events in which they participate as a guest team);</w:t>
        <w:br/>
        <w:t>k) the Invitations to Submit Bids contain an indication of whether the LNPB makes the audiovisual signal of the events available to the assignees of the audiovisual rights in exchange for payment of the corresponding access price or if, and for which events, the audiovisual production of the same signal is the responsibility of the assignees;</w:t>
        <w:br/>
        <w:t>l) the assignees of certain packages may be granted the right to enjoy integrations of the images of the events and/or to access particular production methods;</w:t>
      </w:r>
    </w:p>
    <w:p>
      <w:r>
        <w:t>134 BULLETIN NO. 31 OF AUGUST 16, 2017</w:t>
        <w:br/>
        <w:t>m) a specific regulation may be established for advertising exploitations granted to the assignees. The LNPB and the sports clubs reserve the right to autonomously carry out, in compliance with applicable regulations, advertising exploitations not expressly granted to the assignees.</w:t>
        <w:br/>
        <w:t>11. The criteria for the formation of audiovisual rights packages exercisable on a non-exclusive basis in the national territory are as follows (point 25 of the Guidelines):</w:t>
        <w:br/>
        <w:t>a) the exploitation of non-exclusive rights is permitted in forms that do not prejudice the exploitation of exclusive rights;</w:t>
        <w:br/>
        <w:t>b) the commercialization includes a package of non-exclusive rights exercisable on free-to-air television platform throughout the national territory for the transmission of highlights in deferred during the time slot that does not prejudice the exploitation of exclusive rights;</w:t>
        <w:br/>
        <w:t>c) a reserve in favor of local broadcasters of a share of rights related to highlights is provided.</w:t>
        <w:br/>
        <w:t>The LNPB is also guaranteed the right to convert non-assigned rights from non-exclusive to exclusive and vice versa or to combine non-exclusive rights with exclusive packages provided that this does not cause any prejudice to operators who have already acquired exclusive primary rights for the Italian territory.</w:t>
        <w:br/>
        <w:t>12. The criteria for the formation of audio rights packages exercisable in the national territory are as follows (paragraph 27 of the Guidelines):</w:t>
        <w:br/>
        <w:t>a) the commercialization includes a package of radio rights with live broadcasts of all events of the Serie B Championship to be exercised on an exclusive basis nationally;</w:t>
        <w:br/>
        <w:t>b) the commercialization also includes packages intended for operators at the local or national level or in both areas, exercisable on a non-exclusive basis, which include up to a maximum of 4 (four) significant live audio extracts related to the events of the Serie B Championship, in such a way that their duration does not prejudice the exploitation of the packages of other assignees and preserves the exercise of the right of reporting as provided by the Regulation for the exercise of radio reporting issued by the Authority for Communications Guarantees and in force from time to time.</w:t>
        <w:br/>
        <w:t>The LNPB also reserves the right to package audio rights for the Primavera 2 competition.</w:t>
        <w:br/>
        <w:t>The assignment procedures</w:t>
        <w:br/>
        <w:t>13. The procedures for the commercialization of audiovisual rights are carried out according to the rules of private law. The LNPB, at the time of carrying out the competitive procedures and the assignment of the audiovisual rights included in the packages, operates in a position of private autonomy.</w:t>
        <w:br/>
        <w:t>14. The subjects admitted to participate in the assignment procedures: (i) must be primary operators in the national and international sector, meaning operators capable of having a distribution capacity with adequate coverage of the national territory, the means and organization necessary to support the activities resulting from the assignment, adequate solvency guarantees, and economic resources of their own or guaranteed by partners, such as to ensure the exact fulfillment of the obligations contemplated by the assignment according to criteria that will be indicated in the invitations to submit bids; (ii) must not be, directly or indirectly, controlled, controlling, or subject to common control pursuant to paragraph 1 of Article 2359 of the Civil Code in relation to other communication operators, or to independent intermediaries participating in the procedure for the same packages. If, however, two or more subjects linked by the aforementioned corporate relationships participate in the procedure for the same packages, only the offer that results from them will be considered admissible.</w:t>
      </w:r>
    </w:p>
    <w:p>
      <w:r>
        <w:rPr>
          <w:b/>
        </w:rPr>
        <w:t>[Pages 133–135]</w:t>
      </w:r>
    </w:p>
    <w:p>
      <w:r>
        <w:t>BULLETIN NO. 31 OF AUGUST 16, 2017 135</w:t>
        <w:br/>
        <w:t>higher than the same package(s); (iii) they must not be operators who, based on unequivocal elements, can be traced back to a single decision-making center, as regulated by letter c) of paragraph 15 of Article 43 of Legislative Decree No. 177 of July 31, 2005. If, however, two or more subjects in such a situation participate in the procedure for the same packages, only the offer that is higher than the same package(s) will be considered admissible.</w:t>
      </w:r>
    </w:p>
    <w:p>
      <w:r>
        <w:t>15. Independent intermediaries must not be in situations of control or connection or analogous control with respect to communication operators, the LNPB, and sports companies, must possess proven capacity in the field of national rights distribution, as well as meet certain solvency and reliability requirements, to guarantee the proper fulfillment of the obligations contemplated by the assignment.</w:t>
      </w:r>
    </w:p>
    <w:p>
      <w:r>
        <w:t>The news of the initiation of competitive procedures related to packages offered exclusively and the related deadlines for submitting offers is published on the official website of the LNPB and disseminated through a specific press release on the same date and, limited to the news of the initiation of the procedure, published in at least two of the main national daily newspapers. Furthermore, the official website of the LNPB provides a detailed description of the contents of the packages offered to the market, along with the essential conditions for assignment. The deadlines for submitting offers are set according to reasonable criteria, in any case not less than fifteen working days from the date of publication of the invitation to submit offers.</w:t>
      </w:r>
    </w:p>
    <w:p>
      <w:r>
        <w:t>16. Offers must be submitted in a sealed envelope at the registered office of the LNPB by the deadline set by the corresponding invitation to submit offers. Each envelope must contain a single and independent offer for the package that one intends to acquire.</w:t>
      </w:r>
    </w:p>
    <w:p>
      <w:r>
        <w:t>17. The LNPB evaluates the admissibility of the offers based on the criteria set forth in the Guidelines and admits to participate in the procedure only those subjects among the bidders who:</w:t>
        <w:br/>
        <w:t>- possess, and unconditionally accept, the requirements, limits, and obligations all provided in these Guidelines and in the relevant invitation to offer;</w:t>
        <w:br/>
        <w:t>- offer guarantees of fulfillment that the LNPB deems satisfactory at its discretion;</w:t>
        <w:br/>
        <w:t>- have transmission capacity capable of reaching at least 50% of the Italian population in the national territory regarding the packages for the national market.</w:t>
      </w:r>
    </w:p>
    <w:p>
      <w:r>
        <w:t>18. The LNPB, starting from this marketing cycle, will consider offers submitted with any type of condition as inadmissible. Furthermore, if there is pending litigation against the bidder with the LNPB for non-payment or delayed payment of fees provided in the licensing contracts concerning audiovisual rights assigned as a result of the competitive procedure immediately preceding the ongoing one, the bidding subject must, under penalty of ineffectiveness of its offer, provide a surety guarantee for the payment of any amount accrued and not yet paid.</w:t>
      </w:r>
    </w:p>
    <w:p>
      <w:r>
        <w:t>19. Of the offers that are admitted to participate in the procedure, the LNPB prepares a ranking based on the price contemplated by each offer. The rights will then be assigned to the subject that submitted the highest offer, provided it is above the minimum price, as long as all other conditions set forth in the Guidelines and invitations to submit offers are respected.</w:t>
      </w:r>
    </w:p>
    <w:p>
      <w:r>
        <w:t>20. In the case of unassigned packages, the LNPB decides whether to initiate a new competitive procedure from the beginning or to proceed with private negotiations, reserving the right in both cases to make changes to the packages themselves. An invitation to participate in private negotiations will be published on the official website of the LNPB within a maximum of thirty days from the date set for the opening of the envelopes or from the date on which the rights return to the availability of the Lega Calcio Serie B. All subjects who have communicated their expression of interest in response to the invitation to participate will be admitted to the private negotiations.</w:t>
      </w:r>
    </w:p>
    <w:p>
      <w:r>
        <w:t>21. Any changes to the composition of the packages determined by the LNPB during or as a result of the private negotiation, which involve forms of exploitation of the rights originally offered to the market that are substantially different or additional, or their substantial reductions, will be promptly and simultaneously communicated in writing to only those subjects who have expressed interest in the private negotiation and have been admitted to participate. In the same communication, the LNPB indicates the minimum offer prices if it deems it appropriate to provide them for the packages and the deadline for submitting the related offers.</w:t>
      </w:r>
    </w:p>
    <w:p>
      <w:r>
        <w:t>22. The negotiation phases may not last more than sixty days. If within the aforementioned sixty days the LNPB has not received any offers or receives offers deemed insufficient, it may initiate new competitive procedures or continue the private negotiation for a maximum of an additional thirty days, also based on new compositions of the packages.</w:t>
      </w:r>
    </w:p>
    <w:p>
      <w:r>
        <w:t>23. With regard to exclusive audiovisual rights packages related to the live broadcasts of the competition, the LNPB reserves the right not to assign any of the packages if the offers do not allow for the awarding of the entire system of exclusive audiovisual rights put up for sale. Therefore, if even one of the said exclusive packages put up for sale does not receive an offer equal to or greater than the minimum price, the LNPB has the right not to proceed with the assignment of any package of the same live broadcasts. In this case, the LNPB – without prejudice to the right to distribute audiovisual content through its own distribution platform – initiates a new competitive procedure by modifying the composition and/or the minimum price of the packages. Furthermore, if this procedure also has a negative outcome, it may again modify the exclusive rights packages and proceed to a third auction or, alternatively, initiate private negotiations if it does not modify the composition.</w:t>
      </w:r>
    </w:p>
    <w:p>
      <w:r>
        <w:t>24. In the case of packages returned to the availability of the LNPB following the termination of a licensing contract or for any other reason, the LNPB reserves the right to initiate new competitive procedures through an invitation to offer or private negotiations (in case of urgency) and/or to use the audiovisual rights through its thematic channel or other distribution forms provided by the Guidelines.</w:t>
      </w:r>
    </w:p>
    <w:p>
      <w:r>
        <w:t>25. As for non-exclusive audiovisual rights, these will be determined in detail by the LNPB at the same time as the initiation of competitive procedures related to the exclusive audiovisual rights offered. They, pending licensing contracts, may be modified only if the primary exclusive audiovisual rights for the Italian territory are not prejudiced.</w:t>
      </w:r>
    </w:p>
    <w:p>
      <w:r>
        <w:t>26. The assignment of non-exclusive packages is perfected by the LNPB in favor of all operators who, possessing the necessary requirements, accept the sales conditions by offering the price requested by the LNPB and transmitting, duly signed, the standard licensing contract. Furthermore, it is at the discretion of the LNPB to accept requests for the assignment of non-exclusive packages even during or after the first or second sports season to which the Guidelines refer. In this case, the fee is due from the operator pro rata temporis in relation to the actual duration of the license. Finally, for such packages, the LNPB has the right to accept assignment requests whose effectiveness retroacts to the beginning of the sports season in progress at the time of the request, upon payment of the entire fee.</w:t>
      </w:r>
    </w:p>
    <w:p>
      <w:r>
        <w:t>27. If the LNPB intends to proceed with the assignment of all audiovisual rights of a competition exercisable in the Italian territory to an independent intermediary pursuant to</w:t>
      </w:r>
    </w:p>
    <w:p>
      <w:r>
        <w:t>BULLETIN NO. 31 OF AUGUST 16, 2017 137</w:t>
        <w:br/>
        <w:t>Article 7, paragraph 4, of Legislative Decree 9/2008, it conducts a specific competitive procedure, notifying it by promptly publishing a notice on the official website of the LNPB and in at least two of the main national daily newspapers. The assignment of the rights occurs through a competitive procedure having the same criteria provided for the direct assignment of exclusive rights. The LNPB proceeds with the actual assignment of audiovisual rights to the selected independent intermediary once forty-five days have passed since the communication to the Antitrust Authority of the results and the criteria adopted in the relevant competitive procedure.</w:t>
      </w:r>
    </w:p>
    <w:p>
      <w:r>
        <w:t>The independent intermediary may proceed with the formation and modification of the packages in agreement with the LNPB and subject to the approval of the Authority for Communications Guarantees and the Antitrust Authority, while respecting the competitive procedures provided for by Article 7 of Legislative Decree 9/2008.</w:t>
      </w:r>
    </w:p>
    <w:p>
      <w:r>
        <w:t>28. Each assignee must undertake to exercise the audiovisual rights in compliance with the Guidelines and all the provisions of the invitation to submit offers related to the package awarded to it, the Audiovisual Production Regulations, the Editorial Guidelines, other regulations, and communications from the LNPB as well as national and international sports regulations as applicable and in compliance with the Media and Sports Code and all provisions aimed at repressing unsportsmanlike conduct related to the world of gaming and betting.</w:t>
      </w:r>
    </w:p>
    <w:p>
      <w:r>
        <w:t>29. Pursuant to Article 11, paragraph 6, of Legislative Decree 9/2008, it is prohibited for communication operators assigned to sublicense to third parties and in any case allow them to exercise audiovisual rights. Pursuant to Article 11, paragraph 8, of Legislative Decree 9/2008, the independent intermediary eventual assignee of the audiovisual rights is required to sublicense the rights without modifying the packages and in fair, transparent, and non-discriminatory ways, providing in the sublicensing contracts concluded with the operators the discretionary right for the LNPB to terminate, after a warning to comply, the assignment to the licensee and to step into the aforementioned contracts if the financial conditions of the independent intermediary have become such as to put the achievement of the counter-performance at evident risk, unless the licensee complies promptly or provides, equally promptly, suitable guarantees.</w:t>
      </w:r>
    </w:p>
    <w:p>
      <w:r>
        <w:t>Assigned and unexercised rights</w:t>
      </w:r>
    </w:p>
    <w:p>
      <w:r>
        <w:t>30. The communication operator assigned one or more packages who, during the duration of the licensing contract, does not intend or cannot exercise audiovisual rights awarded to it in relation to one or more events of the competition, is required to notify the LNPB with at least fifteen days' notice prior to the date of the considered event. A similar provision applies to the communication operator assigned one or more packages marketed by platform who, during the duration of the licensing contract, does not intend or cannot exercise audiovisual rights in relation to all the platforms of which it is an assignee.</w:t>
      </w:r>
    </w:p>
    <w:p>
      <w:r>
        <w:t>31. In the aforementioned cases, as well as in the case that the LNPB has received reasonably reliable information and has subsequently verified that the assignee will not exercise audiovisual rights, or in the case where there are objectively verified reasons for which the audiovisual rights are not exercised, the LNPB proceeds to award such unexercised audiovisual rights to other communication operators through private negotiation or to exercise them directly.</w:t>
      </w:r>
    </w:p>
    <w:p>
      <w:r>
        <w:t>32. The audiovisual rights that are not exercised by the assignee must also be offered to local broadcasters, who may exercise them live only if they are not exercised live, in the same time slots, for events assigned to other assignees. However, in the case of matches of the</w:t>
      </w:r>
    </w:p>
    <w:p>
      <w:r>
        <w:rPr>
          <w:b/>
        </w:rPr>
        <w:t>[Pages 136–138]</w:t>
      </w:r>
    </w:p>
    <w:p>
      <w:r>
        <w:t>138 BULLETIN NO. 31 OF AUGUST 16, 2017</w:t>
        <w:br/>
        <w:t>Serie B Championship, local broadcasters to whom audiovisual rights not exercised by the assignees are offered and subsequently assigned may exercise the same audiovisual rights, if live, only in a pay-per-view conditional access format, or, if not paid, in deferred mode starting from 24:00 on the day the matches are played.</w:t>
      </w:r>
    </w:p>
    <w:p>
      <w:r>
        <w:t>Assigned rights to sports clubs</w:t>
      </w:r>
    </w:p>
    <w:p>
      <w:r>
        <w:t>33. The following secondary rights, subject to autonomous commercial initiatives and related only to events of the competitions organized by them, are reserved for sports clubs, which may offer them on the market no earlier than the start of the competitive procedure of the LNPB:</w:t>
        <w:br/>
        <w:t>a) broadcasting of the replay or summary of the event by a single local free-to-air television broadcaster, starting no earlier than 48 hours after the end of the event, in any case never overlapping with the times of other events organized by the Lega Calcio Serie B; for the same purpose, reciprocal agreements with the sports club participating in the event as a guest are permitted;</w:t>
        <w:br/>
        <w:t>b) live radio commentary of the entire event by only two local radio broadcasters, one of which is the official radio of the club.</w:t>
      </w:r>
    </w:p>
    <w:p>
      <w:r>
        <w:t>The aforementioned rights may be assigned by the event organizer only to local television and radio broadcasters that transmit on terrestrial television platforms and whose audience is included in the region where the sports club is based, under the express and mandatory condition that such broadcasters do not transmit the events beyond the borders of the aforementioned region where the sports club is based and are not in any case, during the broadcasts of the events, interconnected or retransmitted by other television or radio broadcasters of any kind and type.</w:t>
      </w:r>
    </w:p>
    <w:p>
      <w:r>
        <w:t>34. Furthermore, audiovisual rights related to the transmission on official thematic channels dedicated to their team of related images, including live broadcasts, as well as replays, summaries, and highlights of the events organized by them and the events in which they participate as a guest team, are reserved for sports clubs.</w:t>
      </w:r>
    </w:p>
    <w:p>
      <w:r>
        <w:t>35. The dissemination of images and audio commentaries of the events via the official thematic channel in Italian territory occurs through terrestrial, satellite, or internet television platforms with the following modalities: (i) in the pre-match, post-match, and halftime, related images may also be broadcast live; (ii) unless exceptions are made, highlights, summaries, and replays may be broadcast no earlier than a reasonable period of time after the end of the match, in compliance with the exclusive rights granted to communication operators and the right to report; (iii) live audio commentary of the events; (iv) social content.</w:t>
      </w:r>
    </w:p>
    <w:p>
      <w:r>
        <w:t>36. The possible failure to assign packages as a result of the completion of the entire centralized competitive procedures means that the related audiovisual rights may be marketed or exercised directly through their own thematic channel also by individual sports clubs, pursuant to Article 11, paragraph 3, of Legislative Decree 9/2008, and therefore not be marketed by the LNPB in an exclusive form.</w:t>
      </w:r>
    </w:p>
    <w:p>
      <w:r>
        <w:t>37. The Assembly of the LNPB, convened in such a way as to ensure a reasonable period of time to successfully market the rights belonging to the clubs before the start of the competition, and in any case no earlier than the fortieth day and no later than the twentieth day prior to the first event of the Competition to which the rights refer, having verified the negative outcome of the assignment procedures, entrusts an independent entity with the certification of the unsold rights and makes the consequent decisions regarding the methods of exercise, event by event, of such unsold audiovisual rights.</w:t>
      </w:r>
    </w:p>
    <w:p>
      <w:r>
        <w:t>38. Following the certification of the unsold rights, each individual sports club is also placed in a position, on a non-exclusive basis and with the widest autonomy, to offer to the market the unsold audiovisual rights related only to the events in which its team participates and of which it has availability pursuant to Article 11, paragraph 3, of Legislative Decree 9/2008, or to exercise them directly on its own thematic channel.</w:t>
      </w:r>
    </w:p>
    <w:p>
      <w:r>
        <w:t>39. The sales procedures initiated by the sports clubs must in any case be coordinated with the activities of the LNPB in order to ensure certainty and transparency to the counterparties, and therefore, by way of example, the exercise of the offered rights must be compatible with that of the rights marketed by the LNPB.</w:t>
      </w:r>
    </w:p>
    <w:p>
      <w:r>
        <w:t>40. The individual sports club may in any case waive the exercise of the unsold rights referred to in Article 11, paragraph 3, of Legislative Decree 9/2008, in favor of the LNPB so that the latter may use them exclusively for its own thematic channel or other distribution forms, or continue the centralized marketing of such rights. In this case, the LNPB may exclusively exercise only the unsold rights of those sports clubs that have expressed the aforementioned waiver.</w:t>
      </w:r>
    </w:p>
    <w:p>
      <w:r>
        <w:t>41. Unsold audiovisual rights must also be offered to local broadcasters, which may exercise them live only if they are not exercised live, in the same time slots, for events assigned to other assignees. However, in the case of matches of the Serie B Championship, local broadcasters to whom unsold audiovisual rights are offered and subsequently assigned may exercise the same audiovisual rights, if live, only in a pay-per-view conditional access format, or, if not paid, in deferred mode starting from 24:00 on the day the matches are played.</w:t>
      </w:r>
    </w:p>
    <w:p>
      <w:r>
        <w:t>42. Sports clubs exploiting the unsold rights are required to present only images owned by them using only their own brand. Such rights may not be bundled into an audiovisual product that is configured as alternative or competing with the audiovisual products concerning the competitions marketed by the LNPB.</w:t>
      </w:r>
    </w:p>
    <w:p>
      <w:r>
        <w:t>III. EVALUATIONS</w:t>
      </w:r>
    </w:p>
    <w:p>
      <w:r>
        <w:t>43. Pursuant to Article 6, paragraph 1, of Legislative Decree No. 9/2008, the Guidelines must provide rules regarding the offer and assignment of audiovisual rights, criteria regarding the formation of the related packages, and further rules in order to guarantee participants in the competitive procedures conditions of absolute fairness, transparency, and non-discrimination.</w:t>
      </w:r>
    </w:p>
    <w:p>
      <w:r>
        <w:t>44. In this context, the Authority is called upon to examine the Guidelines approved by the LNPB for the purpose of approval, after verifying, for the relevant profiles, their compliance with the principles and provisions of the Decree itself (Article 6, paragraph 6, of the Decree).</w:t>
      </w:r>
    </w:p>
    <w:p>
      <w:r>
        <w:t>45. That said, the evaluations that follow leave intact the Authority's power to supervise the correct application of the Decree and the Guidelines, availing itself of the powers provided for by Law No. 287 of October 10, 1990 (Article 20 of the Decree).</w:t>
      </w:r>
    </w:p>
    <w:p>
      <w:r>
        <w:t>46. Article 7, paragraph 8, of the Decree – considering the lesser importance for the public and the lower economic value of the audiovisual rights related to the events of the Serie B football Championship compared to those concerning the Serie A football Championship, highlighted by the fact that the total economic resources generated by the two competitions are in a ratio of about one to one hundred – establishes a simplified legal framework, exempting the LNPB from the application of certain provisions.</w:t>
      </w:r>
    </w:p>
    <w:p>
      <w:r>
        <w:t>47. Firstly, for the audiovisual rights of the Serie B championship, there is no prohibition on acquiring exclusively by a single operator all packages related to live broadcasts (non-application of Article 9, paragraph 4, of the aforementioned Decree). Furthermore, the LNPB: i) in the event that different platforms are put in competition, is not required to prepare multiple packages (non-application of Article 8, paragraph 2); ii) is not required to prepare balanced packages among themselves, in order to ensure the presence, in each of them, of events of high interest for users (non-application of Article 8, paragraph 3); iii) is not required to contribute to the development and growth of emerging platforms, granting them audiovisual rights directly that include, among other things, a significant share of the rights related to the first broadcast (non-application of Article 14, paragraph 4).</w:t>
      </w:r>
    </w:p>
    <w:p>
      <w:r>
        <w:t>48. Regarding the formation of packages of audiovisual rights that can be exercised exclusively in the national territory, the Guidelines provide only an extremely generic description of the criteria that the LNPB intends to follow.</w:t>
      </w:r>
    </w:p>
    <w:p>
      <w:r>
        <w:t>49. Regarding the level of detail of the criteria for the formation of packages, this must be evaluated in light of the need to provide a minimum number of information suitable to allow an assessment regarding compliance with the guiding principles of the Decree, as well as the limits imposed by it, with particular regard to the characteristics of the events – such as their degree of appeal – from which follows the possibility of proposing to the public the events of greater interest.</w:t>
      </w:r>
    </w:p>
    <w:p>
      <w:r>
        <w:t>That said, regarding the criteria identified in order to preserve competitive balance, it is observed that such criteria must lead to the preparation of packages compliant with the principles of fairness, transparency, and non-discrimination, with specific reference to the actual balance among them, especially in qualitative terms and in terms of the appeal of the events. In particular, the packages related to exclusive rights should be prepared in a balanced manner in order to promote competition among operators, allowing them to propose to the public the events of greater interest.</w:t>
      </w:r>
    </w:p>
    <w:p>
      <w:r>
        <w:t>50. As noted in previous interventions during the evaluation of the Guidelines adopted by the LNPB and in particular during the transmission of the Guidelines for the three-year period 2015/20181, in light of the prohibition on sublicensing the rights provided for by Article 11, paragraph 6, of the Decree, the preparation of packages "by platform" or with "mixed" modalities would be in abstract preferable to a mode of assignment of rights "by product". In fact, the transfer of multiple packages in exclusive "by product" can be considered in its effects akin to an exclusive situation, given the prohibition on resale of acquired rights. Conversely, a "by platform" configuration, even if it conferred exclusivity within each single transmission platform, would in fact consist of the absence of absolute exclusivity for a single operator: the presence of multiple rights holders on the same events would generate greater competition in the market with evident benefits for consumers. This solution would also address the critical issues inherent in the "by product" sale, which would lead to a fragmented offer with significant negative effects for consumers, who would have to multiply the number of subscriptions to see all events or, alternatively, give up watching some of them.</w:t>
      </w:r>
    </w:p>
    <w:p>
      <w:r>
        <w:t>51. If the LNPB opted for a "by product" marketing solution, it is noted that it is suitable to allow the achievement of a competitive market structure provided that the stipulation of "non-exclusive agreements concerning the retransmission, simultaneously or deferred, directly or by third parties, of audiovisual products, and agreements for the distribution of the signal on other platforms" is expressly permitted, pursuant to Article 11, paragraph 7, of Legislative Decree No. 9/2008. In this way, it indeed appears possible to achieve the same effect of an offer on different platforms.</w:t>
      </w:r>
    </w:p>
    <w:p>
      <w:r>
        <w:t>1 Approval measure No. 25130, of October 8, 2014, adopted in the context of case SR23 - Serie B football league - guidelines for football championships 2015/2016, 2016/2017, 2017/2018.</w:t>
      </w:r>
    </w:p>
    <w:p>
      <w:r>
        <w:rPr>
          <w:b/>
        </w:rPr>
        <w:t>[Pages 139–141]</w:t>
      </w:r>
    </w:p>
    <w:p>
      <w:r>
        <w:t>BULLETIN NO. 31 OF AUGUST 16, 2017 141</w:t>
      </w:r>
    </w:p>
    <w:p>
      <w:r>
        <w:t>52. In this perspective, taking into account the more general context of the sports rights market, it seems desirable that the exclusive offer for the product is configured in such a way as to have an impact in terms of audience and attractiveness that incentivizes non-winning operators to conclude retransmission agreements.</w:t>
      </w:r>
    </w:p>
    <w:p>
      <w:r>
        <w:t>53. Considering the current lack of definition of the criteria for forming packages of exclusive rights, it is emphasized that subsequent to the publication of the invitations to offer, the Authority's assessment of the compliance of the specific formulation of the packages, as well as the subsequent assignment of audiovisual rights, remains unaffected, pursuant to Law No. 287/90, the Treaty on the Functioning of the European Union, and Legislative Decree No. 9/2008. The Authority, in fact, believes that national and community legislation on competition is sufficient to allow intervention where the LNPB, in the concrete preparation of the packages and final assignment, does not adhere to the Authority's indications and such behavior prejudices competition in the acquisition of specific rights and in downstream markets, to the detriment of consumers.</w:t>
      </w:r>
    </w:p>
    <w:p>
      <w:r>
        <w:t>54. The provision of the Guidelines according to which marketing includes, regardless of the method of sale, a minimum number of live broadcasts equal to 50% of the events of the Serie B Championship, is in accordance with the provisions of Article 7, paragraph 3, of Legislative Decree No. 9/2008, which does not contemplate an obligation to market live broadcasts related to all events of the competition but requires the organizer of the competition to indicate in the Guidelines the minimum number of live broadcasts intended for marketing.</w:t>
      </w:r>
    </w:p>
    <w:p>
      <w:r>
        <w:t>55. With regard to the rules concerning the offer and assignment of audiovisual rights, the Guidelines provide, for the packages offered exclusively, the conduct of a first phase, consisting of the publication of the invitation to offer, the submission of sealed bids by interested parties, and the formation of a ranking based on the price offered. In this context, it has been provided that the Assembly of the LNPB – specifically convened within five days from the deadline for the submission of offers for the approval of the aforementioned ranking and for the possible assignment – proceeds for each package to the assignment of rights to the party that has offered the highest price, provided it is above the minimum price. This provision appears to be in accordance with the provisions of Article 8, paragraph 4, of the Decree, which provides that the only case for revocation of the offer is when the minimum price established is not reached. It is positively noted that, in order to achieve greater transparency in the bidding procedures, the Guidelines specify that the Assembly of the LNPB shall proceed, within the indicated terms, to the assignment of the packages and not merely to the approval of the minutes of the opening of the bids, clearly separating the two moments of the procedure. Furthermore, it is commendable that the term for the LNPB assembly meeting is short, generally less than five days; in this regard, it is deemed necessary that, in any case, the invitations to offer indicate in advance the date on which the Assembly that will proceed with the awarding is convened.</w:t>
      </w:r>
    </w:p>
    <w:p>
      <w:r>
        <w:t>56. In the event that even one of the packages of rights is not awarded due to the negative outcome of the competitive procedure carried out, the LNPB reserves the right not to award any package; in this case, it will initiate a new competitive procedure by modifying the packages and/or the minimum price. In the event of another negative outcome of the procedure, the LNPB reserves the right to proceed through new competitive procedures or, if it does not modify the packages, through private negotiations with parties that express interest in participating.</w:t>
      </w:r>
    </w:p>
    <w:p>
      <w:r>
        <w:t>57. On this point, the importance of defining a minimum price adequate to the content of each package and such as to minimize the likelihood that the sale of one or more packages has a negative outcome must be emphasized. Furthermore, the LNPB must set the minimum prices of the packages in such a way as to avoid that the provision of the option not to award any package in the absence of achieving the minimum price even for just one of them artificially generates a minimum price for the overall offer that, as previously noted by the Authority, does not find correspondence in the provisions of Legislative Decree No. 9/2008 and would create a high degree of uncertainty for participants in the procedures.</w:t>
      </w:r>
    </w:p>
    <w:p>
      <w:r>
        <w:t>58. In any case, the Authority positively evaluates the provision that requires the LNPB to conduct at least one more competitive procedure, by modifying the composition of the packages and/or the minimum price, before the possible private negotiation. This provision, in fact, combines the possibility of reformulating the offer of the packages – when these are not awarded – with the guarantees associated with competitive procedures.</w:t>
      </w:r>
    </w:p>
    <w:p>
      <w:r>
        <w:t>59. In addition, any phase of private negotiation must be based on respect for the principles inherent in competitive procedures, taking into account, in particular, the need to ensure participants in the procedures in question conditions of absolute fairness, transparency, and non-discrimination.</w:t>
      </w:r>
    </w:p>
    <w:p>
      <w:r>
        <w:t>60. With reference to the packages of audio rights, the anticipated possibility of marketing a package of audio rights with live broadcasts of all events of the Serie B Championship, to be exercised on an exclusive basis nationally, is in accordance with Article 15, paragraph 2, of the aforementioned Legislative Decree No. 9/2008. Similarly, in line with what is provided in the aforementioned Article 15, the Guidelines have regulated the marketing, in a non-exclusive form by radio broadcasters operating nationally or locally, of live extracts of the events of the competition, provided that their duration does not prejudice the exploitation of the packages of other assignees. Finally, the interests of local broadcasters are safeguarded, as required by paragraph 4 of the aforementioned Article 15, since the Guidelines in question reserve to sports clubs the marketing of live radio commentary rights for the entire event in favor of two local radio broadcasters.</w:t>
      </w:r>
    </w:p>
    <w:p>
      <w:r>
        <w:t>61. As for the regulation of the packages that have returned to the availability of the LNPB following the termination of license contracts or for other reasons, the LNPB reserves the right to choose whether to activate new competitive procedures through an invitation to offer or to use private negotiation, in case of urgency. This provision appears proportionate insofar as it conditions the failure to resort to the competitive procedures provided for by Legislative Decree No. 9/2008 to reasons of urgency and the need to protect consumers' interests in the continuity of enjoyment of events.</w:t>
      </w:r>
    </w:p>
    <w:p>
      <w:r>
        <w:t>62. With regard to the provisions concerning the enjoyment by individual sports clubs of the rights that remained unsold following the centralized procedures, the provision according to which the certification of the negative outcome of the procedures is entrusted to an independent party on behalf of the Assembly of the LNPB is particularly appreciated. Furthermore, the timing with which the Assembly of the LNPB will be convened to verify the negative outcome of the centralized assignment procedure of the rights, which must be convened no earlier than the fortieth day and no later than the twentieth day prior to the first event of the Competition to which the rights refer, is appreciated. It is also positively evaluated that the Assembly of the LNPB is convened within the indicated time frame, in such a way as to ensure a reasonable period of time to successfully market the rights belonging to the clubs before the start of the Competition.</w:t>
      </w:r>
    </w:p>
    <w:p>
      <w:r>
        <w:t>CONSIDERING that the Authority's power to assess the compliance of the invitations to offer and the procedure for the sale of audiovisual rights subject to this proceeding with national and community antitrust legislation and Legislative Decree No. 9/2008 remains unaffected and to proceed with the verification of any violations of the aforementioned legislation in the event that the LNPB, in the concrete preparation of the packages and final assignment, does not adhere to the Authority's indications and such behavior prejudices competition in the acquisition of specific rights and in downstream markets, to the detriment of consumers.</w:t>
      </w:r>
    </w:p>
    <w:p>
      <w:r>
        <w:t>CONSIDERING that the Guidelines in question, regarding the aspects related to the configuration of the packages, in order to be fully compliant with national and community antitrust legislation and the principles and provisions of Legislative Decree No. 9/2008, must take into account the indications formulated above;</w:t>
      </w:r>
    </w:p>
    <w:p>
      <w:r>
        <w:t>THEREFORE, it is deemed appropriate to approve, for the reasons and within the limits stated in the motivation, the Guidelines in question pursuant to Article 6, paragraph 6, of Legislative Decree No. 9/2008;</w:t>
      </w:r>
    </w:p>
    <w:p>
      <w:r>
        <w:t>RESOLVES</w:t>
      </w:r>
    </w:p>
    <w:p>
      <w:r>
        <w:t>to approve, pursuant to Article 6, paragraph 6, of Legislative Decree No. 9/2008, for the reasons and within the limits stated in the motivation, the Guidelines of the LNPB filed on June 20, 2017, concerning the centralized marketing of sports audiovisual rights relating to the sports seasons 2018/2019, 2019/2020, and 2020/2021.</w:t>
      </w:r>
    </w:p>
    <w:p>
      <w:r>
        <w:t>This provision will be notified to the interested parties.</w:t>
      </w:r>
    </w:p>
    <w:p>
      <w:r>
        <w:t>THE DEPUTY SECRETARY GENERAL THE PRESIDENT</w:t>
      </w:r>
    </w:p>
    <w:p>
      <w:r>
        <w:t>Annalisa Rocchietti Giovanni Pitruzzella</w:t>
      </w:r>
    </w:p>
    <w:p>
      <w:r>
        <w:rPr>
          <w:b/>
        </w:rPr>
        <w:t>[Pages 142–144]</w:t>
      </w:r>
    </w:p>
    <w:p>
      <w:r>
        <w:t>144 BULLETIN NO. 31 OF AUGUST 16, 2017</w:t>
        <w:br/>
        <w:t>ACTIVITY OF REPORTING AND CONSULTATION</w:t>
        <w:br/>
        <w:t>AS1406 - MUNICIPALITY OF GIARDINI NAXOS (ME) - ORDINANCE NO. 6 OF MARCH 6, 2017 "PROHIBITION OF ABUSIVE TAXI ACTIVITY"</w:t>
        <w:br/>
        <w:t>Rome, May 23, 2017</w:t>
        <w:br/>
        <w:t>Municipality of Giardini Naxos</w:t>
        <w:br/>
        <w:t>The Antitrust Authority, in its meeting of May 17, 2017, decided to express an opinion pursuant to Article 21-bis of Law No. 287 of October 10, 1990, regarding the content of the ordinance of the Municipality of Giardini Naxos No. 6 of March 6, 2017 (hereinafter the Ordinance), published in the municipal bulletin from March 6, 2017, to March 21, 2017, entitled "Prohibition of abusive taxi activity."</w:t>
        <w:br/>
        <w:t>The Ordinance, while pursuing the legitimate objective of combating the phenomenon of abusive taxi activity, in fact represents a measure capable of restricting competition, hindering the operation in the territory of the Municipality of Giardini Naxos of holders of NCC authorizations issued by other municipalities1.</w:t>
        <w:br/>
        <w:t xml:space="preserve">The Ordinance, in particular, as stated in the preamble, was adopted in application of a series of provisions of the framework law No. 21 of 1992, introduced in 2008 by Article 29, paragraph 1 quater, letter a), of Law Decree No. 207 of December 30, 2008, converted, with amendments, by Law No. 14 of February 27, 2009, namely Articles 5-bis, 11, paragraphs 3 and 4, and 11-bis. These provisions – whose effectiveness, it is highlighted, has been expressly suspended until December 31, 2017, by Law No. 19 of February 27, 20172 – have been the subject of numerous reports by this Authority3 as they </w:t>
        <w:br/>
        <w:t>1 Formally, the ordinance addresses NCCs indiscriminately, regardless of the municipality that issued the relevant authorization; however, since it is absolutely reasonable to assume that NCCs authorized by the Municipality of Giardini Naxos have their base in the municipal territory, it clearly appears aimed at countering, in substance, those NCCs that, while operating in Giardini Naxos, have been authorized by other municipalities.</w:t>
        <w:br/>
        <w:t>2 This law, during the conversion of Law Decree No. 244 of December 30, 2016 (the so-called "Milleproroghe" decree), expressly provided, following the provision of yet another extension of the deadline for the adoption of the interministerial decree provided for by Law Decree No. 40/2010, which will set forth provisions aimed at preventing abusive practices in the exercise of taxi and NCC services, that: "consequently, the suspension of effectiveness provided for by Article 7-bis, paragraph 1, of Law Decree No. 5 of February 10, 2009, converted, with amendments, by Law No. 33 of April 9, 2009, is understood to be extended until December 31, 2017" (Article 9, paragraph 3, second period).</w:t>
        <w:br/>
        <w:t>3 The Authority in its reports has noted that these provisions have introduced unjustified and discriminatory restrictions to the framework law on the non-scheduled TPL sector, which are neither functional nor proportional to the possible needs of municipalities to monitor traffic flows in urban areas or to control and combat abusive taxi activity: see very recently AS1354 of March 1, 2017, "Reform of the non-scheduled mobility sector"; see also AS1137 of July 2, 2014, "Proposals for competitive reform for the annual law on the market and competition for the year 2014"; AS683 of April 27, 2010 "Regulation of the rental with driver activity" and AS501 of February 19, 2009, "Regulation of the rental with driver activity (draft law for conversion into law, with amendments, of Law Decree No. 207 of December 30, 2008)." Lastly, the Authority reiterated that "both the provisions that the Government intends to approve under current legislation (interministerial decree), and those that it will have to adopt in the future (the reorganization of the framework law of January 15, 1992, No. 21) must not provide for any provision that limits on a territorial basis the activity of NCC operators as instead provided for by Articles 3, paragraph 3, 5-bis, 8, paragraph 3, and 11 of the current text of Law No. 21/1992. Considering that the NCC activity is carried out in a market regime, bound only to obtaining a mere authorization to start the activity, it is believed that the optimal solution is the provision of a national authorization issued by the Ministry of Infrastructure and Transport, as occurs for medium and long-distance road mobility services.(…)”.</w:t>
        <w:br/>
        <w:t>4 Article 11-bis of Law 21/92 (expressly referred to by the ordinance) provides for the suspension and cancellation from the register of drivers.</w:t>
      </w:r>
    </w:p>
    <w:p>
      <w:r>
        <w:t>146 BULLETIN NO. 31 OF AUGUST 16, 2017</w:t>
        <w:br/>
        <w:t>Communication regarding the non-compliance of the Municipality of Giardini Naxos with the Opinion expressed by the Authority pursuant to Article 21-bis of Law 287/90 regarding the ordinance of the Municipality of Giardini Naxos No. 6 of March 6, 2017, entitled "Prohibition of abusive taxi activity."</w:t>
        <w:br/>
        <w:t>The Antitrust Authority in its meeting of July 25, 2017, decided that it will challenge before the competent TAR the ordinance of the Municipality of Giardini Naxos No. 6 of March 6, 2017 (hereinafter, also the Ordinance), entitled "Prohibition of abusive taxi activity."</w:t>
        <w:br/>
        <w:t>In particular, in the reasoned Opinion adopted in the meeting of May 17, 2017, it was argued that the Ordinance, while pursuing the legitimate objective of combating the phenomenon of abusive taxi activity, in fact represented a measure capable of restricting competition, hindering the operation in the territory of the Municipality of Giardini Naxos of holders of NCC authorizations issued by other municipalities. The Ordinance was adopted in application of a series of provisions of the framework law No. 21 of 1992 - namely Articles 5-bis, 11, paragraphs 3 and 4, and 11-bis - the effectiveness of which has been expressly suspended until December 31, 2017, by Law No. 19 of February 27, 20175.</w:t>
        <w:br/>
        <w:t>Therefore, the Ordinance, to the extent that it is based on a clearly restrictive normative framework for competition – and in any case currently suspended by Parliament pending a comprehensive reform of the non-scheduled TPL sector – unjustifiably reinforces the sanctioning framework established by the Highway Code and appears likely to restrict the number of operators present in the Municipality of Giardini Naxos, with the effect of reducing the offer of non-scheduled public transport services, to the detriment of users, in a territory, that of Giardini Naxos and the nearby Taormina, which has a tourist vocation and repeatedly hosts events of national and international significance.</w:t>
        <w:br/>
        <w:t>Pursuant to Article 21-bis, paragraph 2, of Law No. 287/90, the Municipality of Giardini Naxos should have communicated to the Authority, within sixty days of receiving this opinion, the initiatives taken to remove the above-mentioned competition violation. However, no communication was received within that timeframe. Therefore, having noted the non-compliance of the Municipality of Giardini Naxos regarding the reasoned opinion pursuant to Article 21-bis of Law 287/90, the Authority has ordered the challenge of the Ordinance before the TAR for Sicily.</w:t>
        <w:br/>
        <w:t>5 This law, during the conversion of Law Decree No. 244 of December 30, 2016 (the so-called "Milleproroghe" decree), expressly provided, following the provision of yet another extension of the deadline for the adoption of the interministerial decree provided for by Law Decree No. 40/2010, which will set forth provisions aimed at preventing abusive practices in the exercise of taxi and NCC services, that: "consequently, the suspension of effectiveness provided for by Article 7-bis, paragraph 1, of Law Decree No. 5 of February 10, 2009, converted, with amendments, by Law No. 33 of April 9, 2009, is understood to be extended until December 31, 2017" (Article 9, paragraph 3, second period).</w:t>
      </w:r>
    </w:p>
    <w:p>
      <w:r>
        <w:rPr>
          <w:b/>
        </w:rPr>
        <w:t>[Pages 145–147]</w:t>
      </w:r>
    </w:p>
    <w:p>
      <w:r>
        <w:t>BULLETIN NO. 31 OF AUGUST 16, 2017 147</w:t>
        <w:br/>
        <w:t>UNFAIR TRADE PRACTICES</w:t>
        <w:br/>
        <w:t>PS9031B – ADEMATHÈ - REGISTRATION IN THE MISE LIST</w:t>
        <w:br/>
        <w:t>Notice of adoption of the closure of the procedure</w:t>
        <w:br/>
        <w:t>THE ANTITRUST AUTHORITY</w:t>
        <w:br/>
        <w:t>Notice of adoption of the closure of the procedure, pursuant to Article 19, paragraph 2, of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 in relation to procedure PS9031B – Ademathè – registration in the MISE list.</w:t>
        <w:br/>
        <w:t>The publication of this notice in the weekly Bulletin of the Antitrust Authority, followed by the closure of the procedure with which the unfairness of the commercial conduct was determined, is carried out pursuant to and for the effects of Article 19, paragraph 2 of the Regulation, given the lack of receipt of responses to the attempt to transmit the communication of the initiation of the procedure made on March 10, 2017 prot. no. 25422 and the subsequent investigative acts.</w:t>
        <w:br/>
        <w:t>For any communication addressed to the Authority regarding the case in question, please refer to the "C" Directorate of the General Directorate for Consumer Protection and the reference PS9031B.</w:t>
        <w:br/>
        <w:t>Information regarding the payment methods for penalties can be found in the "payment of penalties" section of the Authority's website (www.agcm.it).</w:t>
      </w:r>
    </w:p>
    <w:p>
      <w:r>
        <w:t>148 BULLETIN NO. 31 OF AUGUST 16, 2017</w:t>
        <w:br/>
        <w:t>PS9031B – ADEMATHÈ - REGISTRATION IN THE MISE LIST</w:t>
        <w:br/>
        <w:t>Provision No. 26707</w:t>
        <w:br/>
        <w:t>THE ANTITRUST AUTHORITY</w:t>
        <w:br/>
        <w:t>IN ITS MEETING of July 25, 2017;</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br/>
        <w:t>VIEWED the acts of the procedure;</w:t>
        <w:br/>
        <w:t>I. THE PARTY</w:t>
        <w:br/>
        <w:t>1. ADeMaThè Italia - Association of Tasters and Masters of Tea (hereinafter ADeMaThè), as a professional, pursuant to Article 18, paragraph 1, letter b) of the Consumer Code. This Association provides educational activities, conducting training courses in the tea and infusions sector; it also provides consultancy services to entities, companies, and professional operators active in the production and marketing of such products.</w:t>
        <w:br/>
        <w:t>The professional has not transmitted data regarding its turnover.</w:t>
        <w:br/>
        <w:t>II. THE COMMERCIAL PRACTICE</w:t>
        <w:br/>
        <w:t>2. The procedure concerns the behavior exhibited by the professional, consisting of the dissemination of advertising information, through the website www.maestridelthe.it, likely to mislead consumers regarding the characteristics of the training courses and the final certifications obtainable as a result of the same courses.</w:t>
        <w:br/>
        <w:t>3. In particular, based on the information acquired for the application of the Consumer Code and the report from the Ministry of Economic Development, the professional would have disseminated information on its website, likely to mislead consumers regarding the characteristics of the professional training courses and the value of the related certifications.</w:t>
        <w:br/>
        <w:t>4. The website www.maestridelthe.it contains statements regarding the characteristics of the professional training courses and the value of the final certifications that could lead consumers to believe, contrary to the truth, that the professional courses held by ADeMaThè allow participants, upon completion of the courses in question, to obtain a professional title recognized by law.</w:t>
      </w:r>
    </w:p>
    <w:p>
      <w:r>
        <w:t>BULLETIN NO. 31 OF AUGUST 16, 2017 149</w:t>
        <w:br/>
        <w:t>III. THE FINDINGS OF THE PROCEDURE</w:t>
        <w:br/>
        <w:t>1) The course of the procedure</w:t>
        <w:br/>
        <w:t>5. In relation to the above-described commercial practice, on January 11, 2017, and May 16, 2017, official observations were made on the professional's website www.maestridelthe.it and the relevant web pages were acquired for the records of the procedure.1</w:t>
        <w:br/>
        <w:t>6. On January 16, 2017, web pages extracted from the website of the Ministry of Economic Development http://www.sviluppoeconomico.gov.it regarding the list of professional associations and the forms of aggregation of associations – respectively referred to in Articles 2 and 3 of Law No. 4 of January 14, 2013 – published by the Ministry pursuant to Article 2, paragraph 7 of the cited law were acquired for the records.</w:t>
        <w:br/>
        <w:t>7. On March 10, 2017, the Party2 was notified of the initiation of investigative procedure No. PS9031B for possible violation of Articles 20, 21, 22, and 23 letter d) of the Consumer Code.</w:t>
        <w:br/>
        <w:t>8. On May 22, 2017, the Party was notified of the conclusion date of the investigative phase pursuant to Article 16, paragraph 1, of the Regulation.3</w:t>
        <w:br/>
        <w:t>2) The evidence acquired</w:t>
        <w:br/>
        <w:t>9. From the consultation of the professional's website, it emerges that on the homepage “www.maestridelthe.it/Ademathe.html”, some "initiatives" of the association in question are listed in the center of the page, consisting, among other things, of: “1. training and qualifying figures and professions related to the sector through training and specialization courses. 2. Managing the Italian register of Tasters and Masters of Tea.” At the bottom of the same webpage, it is indicated: “Insights: […] Training offer plan Italian Register of Tasters and Masters of Tea.”</w:t>
        <w:br/>
        <w:t>10. Within the webpage “www.maestridelthe.it/Formazione.html”, accessible via the link “Training courses”, the specialization courses and exams listed below are advertised:</w:t>
        <w:br/>
        <w:t>- “Course for Tea Trader* For operators in the commercial sector of Tea”</w:t>
        <w:br/>
        <w:t>- “Course for Tea Sommelier* For operators in the catering sector”</w:t>
        <w:br/>
        <w:t>- “Course for Tea Taster* For blending technicians”</w:t>
        <w:br/>
        <w:t>- “Course for Tea Brewer Expert* for expert infusers”</w:t>
        <w:br/>
        <w:t>- “Course for Tea Ceremonies Master* For ceremony masters”</w:t>
        <w:br/>
        <w:t>- “Course for Tea Plantation Expert* For tea cultivation technicians”</w:t>
        <w:br/>
        <w:t>- “Course for Tea Processing Expert* For transformation technicians”</w:t>
        <w:br/>
        <w:t>- “Qualification exam Tea Industry Expert* For operators in the industrial sector of Tea”</w:t>
        <w:br/>
        <w:t>- “Qualification exam for Tea Master* For Masters of Tea.”</w:t>
        <w:br/>
        <w:t>11. On the same webpage, further down, there is information regarding the alleged legal recognition of the professions just listed: “*Professions recognized pursuant to Law 4/13 thanks to ADeMathè Italia.”</w:t>
        <w:br/>
        <w:t>1 See doc. no. 4 and 5 of the investigative file.</w:t>
        <w:br/>
        <w:t>2 See doc. no. 6 of the investigative file. The communication of the initiation of the procedure against ADeMaThè, by registered mail with return receipt, was unsuccessful; the same communication was therefore published in Bulletin No. 14/2017 published on April 18, 2017.</w:t>
        <w:br/>
        <w:t>3 See Bulletin No. 9/2017 published on May 22, 2017.</w:t>
      </w:r>
    </w:p>
    <w:p>
      <w:r>
        <w:rPr>
          <w:b/>
        </w:rPr>
        <w:t>[Pages 148–150]</w:t>
      </w:r>
    </w:p>
    <w:p>
      <w:r>
        <w:t>150 BULLETIN NO. 31 OF AUGUST 16, 2017</w:t>
        <w:br/>
        <w:t xml:space="preserve">12. On the website in question, the page “www.maestridelthe.it/Albo.html” is also accessible, where, in a central position, a “NATIONAL LIST FOR TEA OPERATORS” is advertised. In this regard, it is specified that the national ADeMathè list is a register in which “those qualified to practice the new professions in the tea and infusions sector are registered.” Below is the list of “professions in the tea and infusions sector” which includes the following “professions”: “Tea Trader,” “Tea Sommelier,” “Tea Taster,” “Tea Blender,” “Tea Brewer Expert,” “Tea Ceremonies Master,” “Tea Plantation Expert,” “Tea Processing Expert,” “Tea Industry Expert,” and “Tea Master.” </w:t>
        <w:br/>
        <w:t>On the same webpage, there are some statements aimed at clarifying the methods of “Registration” to the aforementioned “National List.” In this regard, it is specified, among other things, that “Candidates who wish to obtain a qualification among those provided and registration in the specific sector of the list must pass a theoretical and practical Qualification Exam.”</w:t>
        <w:br/>
        <w:t xml:space="preserve">13. In a section located on the left side of the webpage “www.maestridelthe.it/Albo.html,” with specific reference to the figure of the “tea trader,” the following promotional claim is also highlighted: “Do you want to start a business related to Tea? Do you already have a business and wish to have a recognized qualification and certification? We can give you what you are looking for!” </w:t>
        <w:br/>
        <w:t>14. From the consultation of the web pages extracted from the website http://www.sviluppoeconomico.gov.it of the Ministry of Economic Development, it emerges that ADeMaThè Italia - Association of Tasters and Masters of Tea does not fall among the professional associations referred to in Law No. 4/2013 mentioned above.</w:t>
        <w:br/>
        <w:t>3) The defensive arguments of the professional</w:t>
        <w:br/>
        <w:t>15. The professional did not submit any defensive memorandum.</w:t>
        <w:br/>
        <w:t>IV. OPINION OF THE AUTHORITY FOR GUARANTEES IN COMMUNICATIONS</w:t>
        <w:br/>
        <w:t xml:space="preserve">16. Since the commercial practice subject to this provision was disseminated through telecommunications means, on June 19, 2017, an opinion was requested from the Authority for Guarantees in Communications, pursuant to Article 27, paragraph 6, of the Consumer Code. </w:t>
        <w:br/>
        <w:t>In the opinion received on July 6, 2017, the aforementioned Authority expressed its opinion that, in this case, the internet is a suitable tool to significantly influence the implementation of the commercial practice in question, considering that this means can quickly offer the user a wide range of potential information capable of influencing consumer behavior.</w:t>
        <w:br/>
        <w:t>V. CONCLUDING EVALUATIONS</w:t>
        <w:br/>
        <w:t>17. From the documentation in the records, it emerges that the professional ADeMaThè has disseminated through its website advertising information likely to mislead consumers regarding the qualifications of the professional, the characteristics of the professional training courses organized by it, as well as the legal value of the certificates issued, implying, contrary to the truth, that following attendance at the aforementioned courses, it was possible to acquire a legally recognized professional title.</w:t>
        <w:br/>
        <w:t>18. Such decoding emerges from the overall structure of the message and, in particular, both from expressions that seem to frame tea experts among the professions regulated by law (“training and qualifying figures and professions”; “professions in the tea and infusions sector”), and from expressions that explicitly refer to the attainment of qualifying titles for registration in a register, such as, for example, the indication of an “Italian Register of Tasters and Masters of Tea,” as well as the reference to a register in which “those qualified to practice the new professions in the tea and infusions sector are registered.”</w:t>
        <w:br/>
        <w:t>19. It is noted in this regard that the explicit reference to a “Register” and the attainment of a “recognized certification” are elements capable of influencing the choices of the average consumer interested in obtaining, for a fee, a legally qualified certificate where, on the contrary, the professions advertised in this case do not fall among those organized in “orders” or “colleges” as provided by law.</w:t>
        <w:br/>
        <w:t>20. It should also be noted that the explicit reference to Law No. 4/2013 present on the professional's website, through the statement “*Recognized professions pursuant to Law 4/13 thanks to ADeMathè Italia,” is misleading, since the regulatory provisions contained therein do not aim to “officially recognize” any specific profession, as expressly clarified by the Ministry of Economic Development.</w:t>
        <w:br/>
        <w:t>21. Finally, it should be noted that from the consultation of the web pages of the Ministry of Economic Development's website, acquired in the records on January 16, 2017, it emerges that ADeMaThè Italia - Association of Tasters and Masters of Tea, while indirectly suggesting that it is a professional association, does not fall within the list published by the Ministry on its website of professional associations referred to in Article 2, paragraph 7, and Article 3 of the aforementioned Law No. 4/2013. From this point of view, therefore, the message is likely to mislead consumers also regarding the qualifications of the professional.</w:t>
        <w:br/>
        <w:t>22. In other words, the elements identified characterize the conduct of the professional as contrary to professional diligence, in violation of the obligations set forth in Article 20, paragraph 2, of the Consumer Code, and capable of significantly affecting the freedom of choice of the average consumer, to the detriment of their economic behavior, since they are induced to prefer such professional courses, which are falsely presented as legally recognized and capable of allowing registration in a “Register,” compared to other types of training that do not boast such legal recognition.</w:t>
        <w:br/>
        <w:t>23. In conclusion, for all the aspects mentioned above, the conduct carried out by the professional constitutes the elements of an unfair commercial practice pursuant to Articles 20, 21, 22, and 23 letter d) of the Consumer Code, being capable of misleading the average consumer regarding the characteristics of the professional training courses organized by it and regarding the legal value of the related certificates, as well as the qualifications of the professional.</w:t>
        <w:br/>
        <w:t>VI. QUANTIFICATION OF THE SANCTION</w:t>
        <w:br/>
        <w:t>24.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25. That said,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Regarding this last aspect, the professional did not communicate the requested turnover data.</w:t>
        <w:br/>
        <w:t>26. Regarding the severity of the violation, it is considered that the case in question is characterized by a high offensive potential as it concerns relevant elements for consumer choices (the possible attainment of a “recognized certification” pursuant to law and the possibility of registering in a “Register”) and has been carried out through the internet which, by its nature, is an inherently suitable means to potentially reach a very wide audience of users and, therefore, to determine the widest possible dissemination of the advertising message.</w:t>
        <w:br/>
        <w:t>27. Regarding the duration of the violation, from the elements in the records, it appears that the commercial practice has been carried out by ADeMaThè at least since December 2015 (the time of the first detections on the site)4 and is still ongoing.5</w:t>
        <w:br/>
        <w:t>28. Based on these elements, it is deemed appropriate to determine the amount of the administrative pecuniary sanction applicable to ADeMaThè Italia - Association of Tasters and Masters of Tea in the amount of €25,000 (twenty-five thousand euros).</w:t>
        <w:br/>
        <w:t>THEREFORE, considering the opinion of the Authority for Guarantees in Communications, based on the above considerations, that the commercial practice is deemed unfair pursuant to Articles 20, 21, 22, and 23 letter d) of the Consumer Code, as it is contrary to professional diligence and capable of appreciably distorting the economic behavior of the average consumer in relation to the characteristics of the professional training courses and the actual value of the title obtainable as a result of the aforementioned courses as well as regarding the qualifications of the professional;</w:t>
        <w:br/>
        <w:t>RESOLVES</w:t>
        <w:br/>
        <w:t>a) that the commercial practice described in point II of this provision, carried out by the association ADeMaThè Italia - Association of Tasters and Masters of Tea constitutes, for the reasons and within the limits set forth in the motivation, an unfair commercial practice pursuant to Articles 20, 21, 22, and 23 letter d) of the Consumer Code, and prohibits its dissemination or continuation;</w:t>
        <w:br/>
        <w:t>b) to impose, for the violation referred to in the previous letter a), an administrative pecuniary sanction of €25,000 (twenty-five thousand euros) on the association ADeMaThè Italia - Association of Tasters and Masters of Tea;</w:t>
        <w:br/>
        <w:t xml:space="preserve">c) that the professional communicates to the Authority, within 60 days from the notification of this provision, the initiatives taken in compliance with the injunction referred to in point a). The administrative sanction imposed must be paid within thirty days from the notification of this provision, by bank transfer (in euros) in favor of the State Budget, using the IBAN code IT04A0100003245348018359214 (BIC code: BITAITRRENT), which corresponds to the accounting number 18/3592/14. </w:t>
        <w:br/>
        <w:t xml:space="preserve">After the aforementioned deadline, for the period of delay of less than six months, late interest must be paid at the legal rate starting from the day after the payment deadline and until the date of payment. In case of further delay in compliance, pursuant to Article 27, paragraph 6, of Law No. 689/81, the amount due for the imposed sanction is increased by one-tenth for each semester starting from the day after the payment deadline and until the role is transmitted to the </w:t>
        <w:br/>
        <w:t>4 See doc. n. 2 of the investigation file.</w:t>
        <w:br/>
        <w:t>5 See doc. n. 10 of the investigation file relating to the official detections on the site “www.maestridelthe.it” on July 7, 2017.</w:t>
      </w:r>
    </w:p>
    <w:p>
      <w:r>
        <w:rPr>
          <w:b/>
        </w:rPr>
        <w:t>[Pages 151–153]</w:t>
      </w:r>
    </w:p>
    <w:p>
      <w:r>
        <w:t>BULLETIN NO. 31 OF AUGUST 16, 2017 153</w:t>
        <w:br/>
        <w:t xml:space="preserve">collector; in this case, the surcharge absorbs the late payment interest accrued during the same period. </w:t>
        <w:br/>
        <w:t xml:space="preserve">Notification of the payment must be immediately communicated to the Authority through the submission of documentation certifying the payment made. </w:t>
        <w:br/>
        <w:t xml:space="preserve">This provision will be notified to the interested parties and published in the Bulletin of the Authority for the Protection of Competition and the Market. </w:t>
        <w:br/>
        <w:t xml:space="preserve">Pursuant to Article 27, paragraph 12, of the Consumer Code, in the event of non-compliance with the provision, the Authority applies an administrative pecuniary sanction from €10,000 to €5,000,000. In cases of repeated non-compliance, the Authority may order the suspension of business activities for a period not exceeding thirty days. </w:t>
        <w:br/>
        <w:t xml:space="preserve">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 </w:t>
        <w:br/>
        <w:t xml:space="preserve">THE DEPUTY SECRETARY GENERAL THE PRESIDENT </w:t>
        <w:br/>
        <w:t>Annalisa Rocchietti Giovanni Pitruzzella</w:t>
      </w:r>
    </w:p>
    <w:p>
      <w:r>
        <w:t xml:space="preserve">154 BULLETIN NO. 31 OF AUGUST 16, 2017 </w:t>
        <w:br/>
        <w:t xml:space="preserve">PS10550 - ONECOIN/ONE NETWORK SERVICES LIMITED - PYRAMID SELLING </w:t>
        <w:br/>
        <w:t xml:space="preserve">Provision No. 26708 </w:t>
        <w:br/>
        <w:t xml:space="preserve">THE AUTHORITY FOR THE PROTECTION OF COMPETITION AND THE MARKET </w:t>
        <w:br/>
        <w:t xml:space="preserve">IN ITS MEETING of July 25, 2017;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provision of December 21, 2016, with which, pursuant to Article 27, paragraph 3 of the Consumer Code, the suspension of all activities aimed at promoting and disseminating the cryptocurrency OneCoin and the related training packages by the company ONE NETWORK SERVICES LTD., Mr. Christian Leitner, registrant of the site onecoinsuedtirol.it, Mr. Antonio Guida, registrant of the site onecoinitaliaofficial.it; </w:t>
        <w:br/>
        <w:t xml:space="preserve">VIEWED the provision of February 7, 2017, with which, pursuant to Article 27, paragraph 3 of the Consumer Code, the suspension of all activities aimed at promoting and disseminating the cryptocurrency OneCoin and the related training packages by the company ONELIFE NETWORK LTD; </w:t>
        <w:br/>
        <w:t xml:space="preserve">VIEWED its provision of May 17, 2017, with which, pursuant to Article 7, paragraph 3, of the Regulation, the deadline for concluding the procedure was extended, for specific investigative needs; </w:t>
        <w:br/>
        <w:t xml:space="preserve">VIEWED the acts of the procedure; </w:t>
        <w:br/>
        <w:t xml:space="preserve">I. THE PARTIES </w:t>
        <w:br/>
        <w:t xml:space="preserve">1. The company ONE NETWORK SERVICES LTD. (hereinafter also ONE NETWORK), as a Professional, pursuant to Article 18, letter b), of the Consumer Code, is active in the sector of promoting and disseminating the cryptocurrency known as OneCoin. The company is based in Bulgaria (in Sofia) and is registered in the United Arab Emirates (in Dubai). </w:t>
        <w:br/>
        <w:t xml:space="preserve">2. The company ONELIFE NETWORK LTD. (hereinafter also ONE LIFE), as a Professional, pursuant to Article 18, letter b), of the Consumer Code, is active in the promotion and dissemination of the cryptocurrency known as OneCoin. The company is based in Belize (in Belize City). </w:t>
        <w:br/>
        <w:t xml:space="preserve">3. The company EASY LIFE S.R.L. (hereinafter also EASY LIFE), as a Professional, pursuant to Article 18, letter b), of the Consumer Code, is active in Italy in the promotion and dissemination of the cryptocurrency known as OneCoin. </w:t>
        <w:br/>
        <w:t>4. Mr. Christian Leitner, as a Professional, pursuant to Article 18, letter b), of the Consumer Code, registrant of the site onecoinsuedtirol.it.</w:t>
      </w:r>
    </w:p>
    <w:p>
      <w:r>
        <w:t xml:space="preserve">BULLETIN NO. 31 OF AUGUST 16, 2017 155 </w:t>
        <w:br/>
        <w:t xml:space="preserve">5. Mr. Antonio Guida, as a Professional, pursuant to Article 18, letter b), of the Consumer Code, registrant of the site onecoinitaliaofficial.it. </w:t>
        <w:br/>
        <w:t xml:space="preserve">6. Mr. Stefano Tagliapietra, as a Professional, pursuant to Article 18, letter b), of the Consumer Code, registrant of the site onecoinitalia.com. </w:t>
        <w:br/>
        <w:t xml:space="preserve">7. The CONSUMER USERS PROTECTION CENTER (hereinafter also CTCU), as a notifier, is a consumer association that operates under the law of the Province of Bolzano No. 15/92 for the protection of consumers, under a convention with the Administration of the Province itself and is part of the consumer and user associations recognized by the Consumer Code. </w:t>
        <w:br/>
        <w:t xml:space="preserve">II. THE COMMERCIAL PRACTICE </w:t>
        <w:br/>
        <w:t xml:space="preserve">8. The practice carried out, in various capacities, by the professionals mentioned in the previous paragraph at least since March 2016, consists of promoting adherence to the program for the purchase and dissemination of the cryptocurrency OneCoin (hereinafter also OC). </w:t>
        <w:br/>
        <w:t xml:space="preserve">9. In particular, during meetings and through numerous websites, consumers are presented with the particular economic attractiveness of joining the program that allows obtaining, through a series of complicated processes, the cryptocurrency OC which, over time, would have had and should continue to have significant economic appreciation. </w:t>
        <w:br/>
        <w:t xml:space="preserve">10. The acquisition of OC would initially be linked to the purchase of the "training kit" associated with a certain amount of so-called raw money (tokens), which, after an unspecified period, would allow obtaining the cryptocurrency in question destined over time for a significant increase in value. The table below1 allows appreciating the amount of the initial investment and the promised profit to which the purchase of each package is linked. </w:t>
        <w:br/>
        <w:t xml:space="preserve">Initial Investment </w:t>
        <w:br/>
        <w:t xml:space="preserve">Promised Return </w:t>
        <w:br/>
        <w:t>1 For example, as noted in the table, the basic "starter" package would allow investing €140 and obtaining €2,800 while the maximum expected investment of €27,530 would lead to a return of €3,000,000.00 - See Annex 1 doc. 1 of the investigative file.</w:t>
      </w:r>
    </w:p>
    <w:p>
      <w:r>
        <w:rPr>
          <w:b/>
        </w:rPr>
        <w:t>[Pages 154–156]</w:t>
      </w:r>
    </w:p>
    <w:p>
      <w:r>
        <w:t>156 BULLETIN NO. 31 OF AUGUST 16, 2017</w:t>
        <w:br/>
        <w:t>11. Alongside the significant economic return promised in relation to each consumer's personal adherence to the program, the Professionals highlight that even more relevant and significant earnings are possible by actively encouraging the entry of new consumers into the Program.</w:t>
        <w:br/>
        <w:t>12. In fact, it is suggested to enhance personal investment by taking on the role of Independent Marketing Associate (hereinafter also IMA) and developing one's own sales network to disseminate the cryptocurrency OC, a dissemination that will allow for the acquisition of a series of bonuses upon the entry of each new member and thus immediate and significant earnings for the proposer - in addition to those resulting from their own adherence - also in relation to the appreciation of the cryptocurrency resulting from its dissemination.</w:t>
        <w:br/>
        <w:t>13. Therefore, the economic benefit - real and not merely promised and/or prospective - is closely linked to the fact that the IMA convinces new consumers to enter the program since they will be able to obtain, thanks to the adherence of new subjects, the immediate provision of a series of economic incentives in addition to the appreciation of the OCs in their possession.</w:t>
        <w:br/>
        <w:t>14. The use of one's name is indicated as central in promotional activities to the point that OneCoin leaders, speakers at promotional events, consider it strategic and specifically indicate the closest circle of relatives and friends as the subjects to whom one should primarily address to propose adherence to the program.2 The promoting member is explicitly called upon to leverage their reputation with those closest to them in order to more easily achieve the expansion of the network, their primary interest in enhancing the investment made.</w:t>
        <w:br/>
        <w:t>III. THE OUTCOMES OF THE PROCEEDING</w:t>
        <w:br/>
        <w:t>1) The procedure process</w:t>
        <w:br/>
        <w:t>Preliminary activities</w:t>
        <w:br/>
        <w:t>15. On August 2, 2016, a report was received from the Consumer and User Protection Center of Bolzano (hereinafter CTCU) highlighting unfair conduct by individuals promoting the dissemination of OC.</w:t>
        <w:br/>
        <w:t>16. On September 29, 2016, a report was received from CONSOB.</w:t>
        <w:br/>
        <w:t>17. On November 14, 2016, some information requested from the Guardia di Finanza, Special Antitrust Unit, was received.</w:t>
        <w:br/>
        <w:t>Investigative activities</w:t>
        <w:br/>
        <w:t>18. With reference to the conduct described above and based on the evidence acquired during the preliminary phase, on November 28, 2016, prot. no. 74905, the initiation of the investigative procedure PS10550 was communicated to One Network Services Ltd., Mr. Christian Leitner, Mr. Antonio Guida, and Mr. Stefano Tagliapietra.</w:t>
        <w:br/>
        <w:t>19. In the initiation communication, ONE NETWORK and the other professionals were invited, pursuant to Article 8, paragraph 2, of the Regulation, to submit written statements and documents within 10 days of receipt, regarding the assessment of the prerequisites for the provisional suspension of the aforementioned practices, pursuant to Article 27, paragraph 3, of the Consumer Code.</w:t>
        <w:br/>
        <w:t>2 Cf. video acquired in the file on November 10, 2016, containing the broadcast "Patti Chiari" aired on May 27, 2016, related to an investigation highlighting the promotional methods of OC commented on by experts in the field of virtual currencies (doc.6 of the investigative file). During a promotional event, explicit reference is made to the need to expand the network by primarily addressing relatives and friends in order to convince them more easily to enter the system by leveraging the reputational element and the circumstance that the Program has already had the adherence of the same subject proposing it.</w:t>
      </w:r>
    </w:p>
    <w:p>
      <w:r>
        <w:t>BULLETIN NO. 31 OF AUGUST 16, 2017 157</w:t>
        <w:br/>
        <w:t>20. On December 2, 2016, Stefano Tagliapietra accessed the documents extracting a complete copy of the file and on December 13, 2016, submitted a defensive statement. Other statements were received on December 28, 2016, and February 7, 2017.</w:t>
        <w:br/>
        <w:t>21. ONE NETWORK, on December 6, 2016, submitted a defensive statement.</w:t>
        <w:br/>
        <w:t>22. By provision no. 26308 of December 21, 2016, the Authority ordered the precautionary suspension of all activities aimed at promoting and disseminating the cryptocurrency OC and the related training packages against the company ONE NETWORK and Messrs. Christian Leitner and Antonio Guida3.</w:t>
        <w:br/>
        <w:t>23. Antonio Guida, on January 16, 2017, submitted the compliance report.</w:t>
        <w:br/>
        <w:t>24. On January 17, 2017, some information requested from the Guardia di Finanza, Special Antitrust Unit, was received.</w:t>
        <w:br/>
        <w:t>25. On January 18, 2017, the CTCU provided further information regarding the program, confirming the central role of ONE LIFE and, nationally, of EASY LIFE.</w:t>
        <w:br/>
        <w:t>26. On January 24, 2017, a communication of subjective integration of the initiation communication of the procedure was sent to ONE LIFE and EASY LIFE, and they were invited, pursuant to Article 8, paragraph 2, of the Regulation, to submit written statements and documents within 10 days of receipt, regarding the assessment of the prerequisites for the provisional suspension of the aforementioned practices, pursuant to Article 27, paragraph 3, of the Consumer Code.</w:t>
        <w:br/>
        <w:t>27. On January 25, 2017, Christian Leitner submitted a defensive statement.</w:t>
        <w:br/>
        <w:t>28. On January 30, 2017, EASY LIFE submitted a defensive statement.</w:t>
        <w:br/>
        <w:t>29. By provision no. 26418 of February 7, 2017, the Authority ordered the precautionary suspension of the aforementioned activity against ONE LIFE4.</w:t>
        <w:br/>
        <w:t>30. The company ONE NETWORK, on February 15, 2017, submitted a second defensive statement.</w:t>
        <w:br/>
        <w:t>31. On February 20, 2017, the company ONE LIFE requested to be heard in a hearing. However, the hearing scheduled for February 27, 2017, could not take place as the lawyers of One Life Network Ltd. did not have the necessary power of attorney to represent the party.</w:t>
        <w:br/>
        <w:t>32. On March 2, 2017, the company ONE LIFE, through its lawyers, submitted the compliance statement to the suspension provision accompanied by the power of attorney.</w:t>
        <w:br/>
        <w:t>33. On March 13, 2017, the hearing of the company ONE LIFE took place, which on March 22, 2017, accessed the documents extracting a complete copy of the file. The same, on March 29, 2017, submitted a second statement.</w:t>
        <w:br/>
        <w:t>34. On April 6, 2017, Antonio Guida accessed the documents extracting a complete copy of the file and subsequently, on April 13, 2017, submitted a statement.</w:t>
        <w:br/>
        <w:t>35. On April 26, 2017, Christian Leitner accessed the documents extracting a complete copy of the file.</w:t>
        <w:br/>
        <w:t>36. The CTCU, through the statement of May 11, 2017, supplemented the considerations already made.</w:t>
        <w:br/>
        <w:t>37. On May 11, 2017, the parties were sent the communication of the deadline for concluding the investigative phase, setting the deadline for conclusion to June 1, 2017.</w:t>
        <w:br/>
        <w:t>38. On May 10, 2017, the Authority decided to extend the deadline for concluding the procedure, which was communicated to the parties on May 17, 2017.</w:t>
        <w:br/>
        <w:t>3 Cf. previous point: Stefano Tagliapietra was not the recipient of the suspension provision, as he promptly communicated the suspension of the conduct under examination.</w:t>
        <w:br/>
        <w:t>4 The company EASY LIFE S.R.L. was not the recipient of the interlocutory provision as it promptly communicated the suspension of the conduct under examination.</w:t>
      </w:r>
    </w:p>
    <w:p>
      <w:r>
        <w:t>158 BULLETIN NO. 31 OF AUGUST 16, 2017</w:t>
        <w:br/>
        <w:t>39. On May 26, the hearing of the company ONE LIFE was scheduled, which then requested to postpone the hearing as the representatives of the company would not be able to attend. Following the postponement with the identification of two possible dates on which the hearing could take place, on June 1, 2017, ONE LIFE communicated the definitive unavailability of the company's representatives to participate in the meeting. On May 26, 2017, the company ONE LIFE nonetheless accessed the documents extracting a complete copy of the file.</w:t>
        <w:br/>
        <w:t>40. On May 25, 2017, the hearing of EASY LIFE took place.</w:t>
        <w:br/>
        <w:t>41. On May 31, 2017, the company Antonio Guida accessed the documents extracting a complete copy of the file.</w:t>
        <w:br/>
        <w:t>42. On June 1, 2017, the company One Life Network Ltd., Antonio Guida, Stefano Tagliapietra, and the CNCU submitted their final statements.</w:t>
        <w:br/>
        <w:t>43. On June 5, 2017, a request for an opinion was sent to the Authority for Guarantees in Communications, which was responded to on July 6, 2017.</w:t>
        <w:br/>
        <w:t>2) The evidence acquired</w:t>
        <w:br/>
        <w:t>Reports</w:t>
        <w:br/>
        <w:t>44. The report sent by the CTCU of Bolzano5 highlighted that, in the territory of Trentino Alto Adige, the dissemination of OC and the recruitment of consumers into the Program were promoted through weekly meetings6 and via the website onecoinsuedtirol.it.</w:t>
        <w:br/>
        <w:t>45. The CTCU emphasized that the main characteristic of the "Onecoin packages" was not represented by the training kits but rather by the combination of the latter with tokens and especially by the need to recruit new members in order to achieve bonuses. The animators of the events, described in the complaint, emphasized the circumstance that "OneCoin is a high-yield investment" and that its performance "will be the same as Bitcoin as soon as the currency is active," without, however, providing details about the algorithm on which the cryptocurrency is based and the actual functioning of the mining process. Regarding the circulation of the OCs, the same promoters claimed that an automatic conversion into legal currency was possible.</w:t>
        <w:br/>
        <w:t>46. Further elements regarding the activity carried out to promote OC were derived from a communication sent by CONSOB7 related to investigations conducted, following which it emerged that the Program involves the collection of money by presenting consumers with access to the virtual currency business, an investment with easy and quick earnings also thanks to the sale of training packages through so-called multilevel marketing.</w:t>
        <w:br/>
        <w:t>47. The Commission noted that "it has not been possible to ascertain what the actual activity carried out by One Network Services Ltd. is: in fact, while the asserted main activity would be represented by the sale of training packages - the cost of which can also reach considerable amounts and moreover distributed through a Multi Level Marketing system - on the other hand, the company, using a non-technical terminology that evokes an activity of a financial nature, generically presents users with the possibility of achieving unspecified earnings through the new cryptocurrency OneCoin...". CONSOB did not exclude that the activity in question "hides an appropriative conduct, substantially aimed at acquiring sums of money to the detriment of the members of the system."</w:t>
        <w:br/>
        <w:t>5 Cf. doc.1 investigative file.</w:t>
        <w:br/>
        <w:t>6 The Events take place at the premises of the company Ceramiche Peintner S.r.l. 50, Località Foerche - 39040 Naz-Sciaves (BZ).</w:t>
        <w:br/>
        <w:t>7 Cf. doc.3 of the investigative file.</w:t>
      </w:r>
    </w:p>
    <w:p>
      <w:r>
        <w:rPr>
          <w:b/>
        </w:rPr>
        <w:t>[Pages 157–159]</w:t>
      </w:r>
    </w:p>
    <w:p>
      <w:r>
        <w:t>BULLETIN NO. 31 OF AUGUST 16, 2017 159</w:t>
        <w:br/>
        <w:t>The emulation of the cryptocurrency Bitcoin</w:t>
      </w:r>
    </w:p>
    <w:p>
      <w:r>
        <w:t>48. The evidence collected shows how the program is promoted by making frequent references to the virtual currency BitCoin (hereinafter also BT) through claims such as "OneCoin - The Second Chance! If you missed the opportunity to enter at the right moment and earn with Bitcoin... now don't miss the chance to earn with OneCoin!" or as emerges from the opening frame of one of the main promotional videos8:</w:t>
      </w:r>
    </w:p>
    <w:p>
      <w:r>
        <w:t>49. In other promotional messages, the hypothesis is even credited that OneCoin is about to become the cryptocurrency that aims to be the Bitcoin of the future.</w:t>
      </w:r>
    </w:p>
    <w:p>
      <w:r>
        <w:t>50. For the purposes of this discussion, it is noted that the BitCoin currency is an equal, decentralized, and digital currency whose implementation is based on the principles of cryptography for the generation of coins and for the validation of transactions.</w:t>
      </w:r>
    </w:p>
    <w:p>
      <w:r>
        <w:t>51. Currently, there is no central authority that controls the "minting" and distribution of BT. These would be transactions that occur online without a "centralized" management typical of legal currencies.</w:t>
      </w:r>
    </w:p>
    <w:p>
      <w:r>
        <w:t>52. More than 500 different specifications and protocols of cryptocurrencies, mostly similar to or derived from Bitcoin, would be defined, products that are progressively spreading and that in some cases are used for economic transactions of an illicit nature due to the possibility of maintaining the anonymity of those making and receiving the payment.</w:t>
      </w:r>
    </w:p>
    <w:p>
      <w:r>
        <w:t>53. Regarding the use of virtual currencies, supervisory authorities have expressed some concerns. The Bank of Italy9 discourages supervised operators from purchasing, holding, or selling virtual currencies such as Bitcoin and emphasizes that "supervised intermediaries [...] should be invited to carefully assess the risks indicated by the EBA and to consider that in the absence of adequate safeguards and a clear legal framework regarding the legal nature of virtual currencies, those risks can expose them to losses and consequently undermine the stability of their capital and the stability of the intermediaries themselves" as "the concrete functioning of virtual currency schemes may integrate, within the national legal system, the violation of regulatory provisions, penalized by law."</w:t>
      </w:r>
    </w:p>
    <w:p>
      <w:r>
        <w:t>54. The same concepts are also expressed by the European Banking Authority, which, in a monograph dedicated to the subject10, identifies as many as 70 critical elements related to virtual currencies.</w:t>
      </w:r>
    </w:p>
    <w:p>
      <w:r>
        <w:t>The "cryptocurrency" OneCoin</w:t>
      </w:r>
    </w:p>
    <w:p>
      <w:r>
        <w:t>55. In the already critical and uncertain context just outlined, it emerges that OC presents significant differences compared to BT and other cryptocurrencies as it is described by promoters as a digital currency, controlled by a corporate entity, whose acquisition is based on adherence to a program that includes the combined acquisition of training kits and tokens, the latter intended to become virtual currency.</w:t>
      </w:r>
    </w:p>
    <w:p>
      <w:r>
        <w:t>56. The management of OC therefore presents profiles of significant centralization: the adherent does not participate in any way in the process of creating the currency, which is entirely entrusted to ONE LIFE. The company dictates the timing of conversion from tokens to OneCoins and thus the peculiar process, designed and managed by ONE LIFE, allows for direct control over the transformation process, proposing increasing transformations based on higher investments.</w:t>
      </w:r>
    </w:p>
    <w:p>
      <w:r>
        <w:t>57. The strongly centralized nature of the process of transforming tokens into OC has also been confirmed by EASY LIFE, which highlighted how each adherent would only have the possibility to access the IT platform and know the moment when the split (doubling of tokens) occurs, a phase immediately preceding the transfer of the raw currency to unidentified mining farms whose location is not disclosed and which would consist of computers equipped with particularly complex hardware, capable of performing the described transformation based on the difficulty parameter, also determined centrally and not disclosed to the adherents. Such processes, fundamental for the production of OC, would take place under the exclusive control of OneLife, marking a clear difference in this respect compared to the method of obtaining other currently known virtual currencies.</w:t>
      </w:r>
    </w:p>
    <w:p>
      <w:r>
        <w:t>58. Moreover, the professionals (EasyLife and OneLife) have not expressed a unified position regarding another central and qualifying element of cryptocurrencies such as the amount of "mintable" currency. According to the former, the possibility of creating OC would not be limited and would indeed have been recently increased, not excluding further increments11, while another position seems to exclude such an option12.</w:t>
      </w:r>
    </w:p>
    <w:p>
      <w:r>
        <w:t>59. Also, the nominal value of the electronic currency OC does not actually appear to correspond to a current utility as resulting from exchange mechanisms or defined conversion processes, but always and only an expected value, thus left to the decision of One Life, which can vary it at its discretion, moreover linking it to the expected or supposed spread of the same.</w:t>
      </w:r>
    </w:p>
    <w:p>
      <w:r>
        <w:t>10 See EBA Opinion on “virtual currencies”- EBA/Op/2014/04 of July 4, 2014 www.eba.europa.eu/documents/10180/657547/EBA-Op-2014-08+Opinion+on+Virtual+Currencies.pdf.</w:t>
      </w:r>
    </w:p>
    <w:p>
      <w:r>
        <w:t>11 During the hearing on May 25, 2017, EASY LIFE confirmed that the creation of cryptocurrency would be linked to market demand without a predefined limit.</w:t>
      </w:r>
    </w:p>
    <w:p>
      <w:r>
        <w:t>12 See annex 1 of doc.8 of the investigative file in which the limit of 120 billion possibilities is set.</w:t>
      </w:r>
    </w:p>
    <w:p>
      <w:r>
        <w:t>BULLETIN NO. 31 OF AUGUST 16, 2017 161</w:t>
        <w:br/>
        <w:t>The methods of acquiring the "cryptocurrency" of OneCoin</w:t>
      </w:r>
    </w:p>
    <w:p>
      <w:r>
        <w:t>60. Regarding adherence to the Program13, the consumer wishing to invest in OC can purchase one of the "training kits" sold by ONELIFE in conjunction with a certain number of tokens (raw currency) intended, as already mentioned, to be transformed into OC14.</w:t>
      </w:r>
    </w:p>
    <w:p>
      <w:r>
        <w:t>61. Once in the Program, the new adherent will have to wait for the tokens purchased to double through a procedure not further specified in terms of timing and called "split." Subsequently, they will be converted into virtual currency OC according to a transformation ratio called "difficulty," also determined by OneLife15 based on unknown parameters.</w:t>
      </w:r>
    </w:p>
    <w:p>
      <w:r>
        <w:t>62. The basic investment hypothesis proposed states that 1000 tokens - acquired with the basic starter kit package at a cost of €140 - would correspond, after the split and applying the transformation rate of May 2016 (70 tokens = 1 OneCoin), to about 28 OneCoin and, according to the conversion rate indicated by OneLife, to a value of €157.00. In this base hypothesis, if OneLife's forecasts were to materialize, the value of the 28 OC should reach €2,800.00 within two years, that is, 20 times the amount invested16.</w:t>
      </w:r>
    </w:p>
    <w:p>
      <w:r>
        <w:t>63. However, the adherent is also given the option to opt for more substantial investments. For example, they can choose the Executive Trader package for €3,300.00. In this case, they will receive in conjunction with 30,000 tokens which, applying the transformation rate of May 2016, would equate to 857 OneCoin and - after two years - would be worth €85,700.00, that is, 25 times the amount invested.</w:t>
      </w:r>
    </w:p>
    <w:p>
      <w:r>
        <w:t>64. For consumers interested in investing significant resources, the OneLife offer includes - for the substantial sum of €27,530.00 - the Infinity Trader package which, unlike the others, would contain not only 300,000 initial tokens but also the possibility of a double split and thus the attainment of 1,200,000 units which would correspond to 30,000 OneCoin and, according to the conversion rate indicated by OneLife, to a value of €210,000.00. In this case, the appreciation after two years would lead to the considerable figure of €3,000,000.00 by 2018, that is, 108 times the amount invested.</w:t>
      </w:r>
    </w:p>
    <w:p>
      <w:r>
        <w:t>65. The significant profit promises reported above, however, are never accompanied, in the official documentation on file, by an explanation of what exactly the split is and especially what the parameters are that determine the doubling of the tokens. The same applies to the central phase of the OC production process, namely the so-called mining. It is similarly not indicated where these processes take place and especially what the timing is according to which the raw currency would first be doubled and then transformed into OneCoin.</w:t>
      </w:r>
    </w:p>
    <w:p>
      <w:r>
        <w:t>The value of OC, growth, and conversion (usability)</w:t>
      </w:r>
    </w:p>
    <w:p>
      <w:r>
        <w:t>66. The descriptions of the packages in the previous paragraph show how the exponential increase in value is a central aspect of the promotion of OC. The advertising claims related to OC also emphasize the fact that "in May 2015 the initial value of a OneCoin is set at €1.05, double what was initially expected. The expected increase in value is the</w:t>
        <w:br/>
        <w:t>13 According to OneLife's statements, the program members in Italy would be 51,923.</w:t>
      </w:r>
    </w:p>
    <w:p>
      <w:r>
        <w:t>14 See doc. 1 of the investigative file and annex 1 to doc. 8.</w:t>
      </w:r>
    </w:p>
    <w:p>
      <w:r>
        <w:t>15 This transformation is called "mining" and is centrally governed by OneLife, unlike what happens with other cryptocurrencies, and in particular Bitcoin, where the process of producing the cryptocurrency (mining) is decentralized. The "difficulty" increases over time: in January 2015 it was equal to 4 (4 tokens = 1 OC), but had reached the value of 70 in August 2016; this growth corresponds to a reduction in the growth rate of the "monetary base" of OC.</w:t>
      </w:r>
    </w:p>
    <w:p>
      <w:r>
        <w:t>16 See table in point 11.</w:t>
      </w:r>
    </w:p>
    <w:p>
      <w:r>
        <w:rPr>
          <w:b/>
        </w:rPr>
        <w:t>[Pages 160–162]</w:t>
      </w:r>
    </w:p>
    <w:p>
      <w:r>
        <w:t>162 BULLETIN NO. 31 OF AUGUST 16, 2017</w:t>
        <w:br/>
        <w:t>the following: by June 2016, the expected scenario fluctuates between €2 and €5. By June 2017, a total value between €50 and €100 is anticipated.”</w:t>
      </w:r>
    </w:p>
    <w:p>
      <w:r>
        <w:t>67. Essentially, OneLife and the other professionals promote OC based on the promise of value increase related to the mere passage of time, without the participant having to perform any activity. In this regard, the projections disseminated show that the price of OneCoin could have reached €50-100 in 2017, starting from a value of less than €6 in 2014-16, thanks to the limitation of the quantity of OC issued and the development of demand.</w:t>
      </w:r>
    </w:p>
    <w:p>
      <w:r>
        <w:t>68. Even from this perspective, the information provided by the professionals to consumers, as well as that collected in this proceeding, does not provide any explanation of the mechanisms that would lead to the growth of value, without clarifying its real meaning and, above all, without indicating the reasons on which their forecast is based.</w:t>
      </w:r>
    </w:p>
    <w:p>
      <w:r>
        <w:t>69. The very usability of OC is presented as certain. The websites used by the professionals employ wording aimed at generating in consumers the conviction that cryptocurrencies are destined to become the money of the future, highlighting that “several international banks accept transactions in Bitcoin and reserve the blockchains of cryptocurrencies because cash will be eliminated.” This important principle statement, already debatable in itself, is not accompanied by facts capable of proving its realization with reference to OneCoin.</w:t>
      </w:r>
    </w:p>
    <w:p>
      <w:r>
        <w:t>70. Regarding the direct use of OC to conclude transactions, no information has been provided by the professionals, except for some unconfirmed statements by Easylife during the hearing about an online exchange platform that was only recently launched.</w:t>
      </w:r>
    </w:p>
    <w:p>
      <w:r>
        <w:t>71. The statements regarding convertibility have also been ambiguous. Only EASY LIFE claimed that the daily measure of possible conversions would correspond to 1.5% of the total investment.</w:t>
      </w:r>
    </w:p>
    <w:p>
      <w:r>
        <w:t>The remuneration scheme</w:t>
      </w:r>
    </w:p>
    <w:p>
      <w:r>
        <w:t>72. The expansion of the network - according to the Professionals' perspective - constitutes the prerequisite for the increase in value of the cryptocurrency OC and therefore new IMAs are invited to actively participate in the promotion of the Program to increase the value of their investment and, at the same time, have the opportunity to achieve rewards linked to the quantity and quality of additional consumers recruited. These are true bonuses and represent a central aspect of the entire dissemination system of OC, as emerges from the following slide.</w:t>
      </w:r>
    </w:p>
    <w:p>
      <w:r>
        <w:t>73. In fact, in the promotional activity of the “commercial project” OC, maximum emphasis is placed on the earning possibilities through “network marketing”: it is emphasized that the greatest income opportunities are reserved for those who “like to work with other people and collaborate with a group” since they can “earn even more by enrolling new members and providing them assistance (acting as sponsors)” and, following such activity, “the company distributes 85% of the revenues from the sale of training packages by members in the form of commissions. In this way, there is the possibility of earning much more: up to €5,000.00 a day and €35,000.00 a week.”</w:t>
      </w:r>
    </w:p>
    <w:p>
      <w:r>
        <w:t>74. The description continues by highlighting the economic compensation of the various bonuses recognized for the entry of new members calculated based on different periodicity.</w:t>
      </w:r>
    </w:p>
    <w:p>
      <w:r>
        <w:t>a) Direct Bonus</w:t>
      </w:r>
    </w:p>
    <w:p>
      <w:r>
        <w:t>75. The first of these incentives provides that “for the membership of each new member who invests in OneCoin, the person who introduced them receives a 10% commission on the amount of the investment.” This opportunity is further clarified through an example showing what happens when new consumers are entered into the program:</w:t>
      </w:r>
    </w:p>
    <w:p>
      <w:r>
        <w:t>Revenue Revenue</w:t>
        <w:br/>
        <w:t>Number Kit Euro</w:t>
        <w:br/>
        <w:t>package package</w:t>
        <w:br/>
        <w:t>3x Starter 110 110 330</w:t>
        <w:br/>
        <w:t>2x Trader 550 550 1,100</w:t>
        <w:br/>
        <w:t>Executive Trader 3,300 3,300</w:t>
        <w:br/>
        <w:t>1x Tycoon Trader 5,500 5,500 5,500</w:t>
        <w:br/>
        <w:t>Premium Trader 13,750 13,750</w:t>
        <w:br/>
        <w:t>total 6,930</w:t>
        <w:br/>
        <w:t>Commission 10% 693</w:t>
      </w:r>
    </w:p>
    <w:p>
      <w:r>
        <w:t>b) Fast Start Bonus</w:t>
      </w:r>
    </w:p>
    <w:p>
      <w:r>
        <w:t>76. This incentive is linked to the ability of the new IMA to develop revenue in the shortest time possible: if they manage to recruit additional consumers for a total value of €5,500 within thirty days of their membership, they are rewarded with an additional 10%.</w:t>
      </w:r>
    </w:p>
    <w:p>
      <w:r>
        <w:t>c) Network bonus</w:t>
      </w:r>
    </w:p>
    <w:p>
      <w:r>
        <w:t>77. Another mode of profit comes through the creation of one's own sales network. In fact, “those who want to earn more than the passive investment in OneCoin can do so by building a distribution organization with a binary system,” which is graphically represented as follows:</w:t>
      </w:r>
    </w:p>
    <w:p>
      <w:r>
        <w:t>78. The indication is further detailed specifying that the bonus is paid weekly at an additional 10% based on the income generated by the so-called weak leg, the part of the structure that has achieved the lower revenue. For example, as can be seen in the figure that follows, if the left leg (weak) earns €6,050.00 and the right leg achieves profits of €7,150, the IMA will receive a network bonus of €605.00 (10% of €6,050.00):</w:t>
      </w:r>
    </w:p>
    <w:p>
      <w:r>
        <w:t>79. The difference between the revenue generated by the two legs is then recognized as the starting base of revenue for the following week of one of the two legs.</w:t>
      </w:r>
    </w:p>
    <w:p>
      <w:r>
        <w:rPr>
          <w:b/>
        </w:rPr>
        <w:t>[Pages 163–165]</w:t>
      </w:r>
    </w:p>
    <w:p>
      <w:r>
        <w:t xml:space="preserve">BULLETIN NO. 31 OF AUGUST 16, 2017 165  </w:t>
        <w:br/>
        <w:t xml:space="preserve">d) Matching bonus  </w:t>
        <w:br/>
        <w:t xml:space="preserve">80. The IMA who possesses the "Trader" package and manages to have two other members at the first level of the network who purchase the same kit will also be able to achieve the "Matching Bonus", that is, commissions ranging from 10% to 25% on the revenue generated by the members that the same personally introduces, exclusively referring to the subsequent 4 levels (generations):  </w:t>
        <w:br/>
        <w:t xml:space="preserve">81. The bonuses provided for the first two generations are equal to 10%, for the third to 20%, and for the fourth, it even reaches 25%:  </w:t>
        <w:br/>
        <w:t xml:space="preserve">e) OneLife Bonus and Career Bonus  </w:t>
        <w:br/>
        <w:t xml:space="preserve">82. Finally, other commissions linked to the size of the "pyramid" built and the volume of sales made individually are contemplated, disbursed on a discretionary basis by OneLife.  </w:t>
        <w:br/>
        <w:t xml:space="preserve">The promotional methods of OC  </w:t>
        <w:br/>
        <w:t xml:space="preserve">83. The promotional activity related to the Program is centered on the promise of significant economic results. The evidence on record has shown that the main vehicles are represented by meetings dedicated to presenting the economic advantages that consumers can obtain by joining the Program24 and websites dedicated to its promotion.  </w:t>
        <w:br/>
        <w:t xml:space="preserve">84. OneCoin meetings appear to be the most commonly used tools to publicize the launch of sales networks and to consolidate existing organizations. This is the so-called mass meeting, which consists of organizing events, such as conventions and conferences, during which speakers holding prominent positions in the structure illustrate to a wide audience the characteristics of the product, the modus operandi of the organizational structures, and the earning prospects centered on the compensation plan linked to the sale in question.  </w:t>
        <w:br/>
        <w:t xml:space="preserve">85. The meetings in question follow a recurring pattern and are introduced by a video that praises OneCoin as "the currency 2.0". The promotion continues by emphasizing that, for example, in exchange for an investment of € 12,500.00, new members could obtain the sum of € 850,000.00 in just two years, and this significant increase would be linked to the recruitment of new investors, which is also associated with progressive bonuses.  </w:t>
        <w:br/>
        <w:t>24 See doc.6 of the investigative file.</w:t>
      </w:r>
    </w:p>
    <w:p>
      <w:r>
        <w:t xml:space="preserve">166 BULLETIN NO. 31 OF AUGUST 16, 2017  </w:t>
        <w:br/>
        <w:t xml:space="preserve">86. The semantics used by the promoters assumes as a certain fact the circumstance that OC would be destined for strong expansion, represented graphically through the figure that follows:  </w:t>
        <w:br/>
        <w:t xml:space="preserve">Interventions by other Authorities  </w:t>
        <w:br/>
        <w:t xml:space="preserve">87. Supervisory bodies from various countries have intervened against OC and the companies promoting it.  </w:t>
        <w:br/>
        <w:t xml:space="preserve">88. In particular, it appears that the Federal Financial Supervisory Authority (Bundesanstalt für Finanzdienstleistungsaufsicht – BaFin), on 04/18/2017, ordered OneCoin Ltd. and OneLife Ltd. to cease all activities conducted by them in Germany on the grounds that, pursuant to national law on financial instruments, an authorization from BaFin itself would have been necessary for the marketing of an alleged cryptocurrency25.  </w:t>
        <w:br/>
        <w:t xml:space="preserve">89. Of the same tenor appears the intervention of the Financial Services and Markets Authority of Belgium, which announced that it had never authorized OneCoin to operate in the Belgian market and highlighted the possible risks of investing in OC, such as the volatility of the exchange value and the lack of certainty regarding the convertibility of the same into current currency26.  </w:t>
        <w:br/>
        <w:t xml:space="preserve">90. The Financial Conduct Authority of England has also communicated the initiation of an investigation into OneCoin by the London Police. In the text of the statement, it is stated, "we believe that consumers should be suspicious of OneCoin (...). The Professional does not have our authorization nor has it initiated any activity aimed at obtaining it. In any case, we are concerned about the possible harm that consumers in the United Kingdom could suffer."27  </w:t>
        <w:br/>
        <w:t xml:space="preserve">91. Finally, the Bank of Thailand has warned the public of the possibility that the virtual currency OneCoin constitutes a fraud. The institution particularly highlighted that: "the product's advertising guarantees high rates of return if buyers manage to involve other investors"28.  </w:t>
        <w:br/>
        <w:t xml:space="preserve">3) The defensive arguments of the professionals  </w:t>
        <w:br/>
        <w:t xml:space="preserve">The Management Group  </w:t>
        <w:br/>
        <w:t xml:space="preserve">The company ONE NETWORK SERVICES LTD  </w:t>
        <w:br/>
        <w:t xml:space="preserve">92. ONE NETWORK, in a note dated 12/06/2016, intervened in the proceedings, preliminarily arguing that the text of the initiation communication should have been transmitted in Bulgarian in compliance with the provisions of the Human Rights Convention (New York 1966) and the principles expressed in the ruling of the Council of State No. 2345 of April 19, 2000.  </w:t>
        <w:br/>
        <w:t xml:space="preserve">93. Despite the preliminary objection raised, the Professional nonetheless entered into the merits of the observations made by the Authority, highlighting that it is a separate entity, solely responsible for providing administrative support services, in relation to OneCoin Ltd. (promoter of the cryptocurrency) and OneLife Network Ltd (owner of the commercial system and seller of training courses).  </w:t>
        <w:br/>
        <w:t xml:space="preserve">94. The Professional explained the functioning of the cryptocurrency, stating that it would be a legal product both under Italian legislative discipline and regarding European legislation, and that its distribution method would not be attributable to that prohibited by Law 173/2005.  </w:t>
        <w:br/>
        <w:t xml:space="preserve">95. ONE NETWORK finally declared its estrangement from the Italian sites regarding which it would have nothing to report.  </w:t>
        <w:br/>
        <w:t xml:space="preserve">The company ONELIFE NETWORK LTD  </w:t>
        <w:br/>
        <w:t xml:space="preserve">96. ONE LIFE intervened in the proceedings, highlighting that it did not defend itself regarding the initiation integration and the suspension order as it would not have had timely knowledge of the extension order of the proceedings against it.  </w:t>
        <w:br/>
        <w:t xml:space="preserve">96. Subsequently, the Professional highlighted that it had complied with the precautionary measure by suspending all promotional activities from the moment it became aware of the interlocutory measure taken by the Authority and transmitting a communication in this regard to all its sales agents in Italy.  </w:t>
        <w:br/>
        <w:t xml:space="preserve">97. The Party continued by asserting the absolute legality of its network marketing system, which cannot be considered a pyramid sale since within the Program, a position is not marketed but a real product, namely the One Coin cryptocurrency, which constitutes digital currency and an alternative means of payment.  </w:t>
        <w:br/>
        <w:t xml:space="preserve">98. With reference to the functioning of the network marketing mechanism, the Professional specified that it markets training packages structured to assist the new entrant through the site "oneacademy.eu".  </w:t>
        <w:br/>
        <w:t xml:space="preserve">99. Regarding recruitment incentives, ONE LIFE clarified that the Global Compensation Plan, published on the company website, defines the types of bonuses that can be obtained by IMAs through the sale of packages to other consumers who, in turn, are inserted into the system.  </w:t>
        <w:br/>
        <w:t xml:space="preserve">100. It then emphasized that the responsibility for incorrect information communicated at the meetings would not be attributable to ONE LIFE, which does not provide the material used in professional meetings, but should be attributed to the individual Independent Market Agent (also referred to as IMA).  </w:t>
        <w:br/>
        <w:t>28 See "BoT warns public about OneCoin currency" in Bangkok Post of 04/28/2017.</w:t>
      </w:r>
    </w:p>
    <w:p>
      <w:r>
        <w:rPr>
          <w:b/>
        </w:rPr>
        <w:t>[Pages 166–168]</w:t>
      </w:r>
    </w:p>
    <w:p>
      <w:r>
        <w:t>168 BULLETIN NO. 31 OF AUGUST 16, 2017</w:t>
        <w:br/>
        <w:t>101. With respect to the relationship with the IMAs, the party stated that the contracts would specify that those who enter the system, becoming sales agents, acquire the qualification of Professional themselves. In this regard, it emphasized that the distinction between consumer and Professional in network marketing systems would be extremely tenuous, as a person who, for example, organizes promotional meetings for the sale of products cannot be qualified as a mere consumer.</w:t>
      </w:r>
    </w:p>
    <w:p>
      <w:r>
        <w:t>102. Regarding the subjective profile, it added that the companies ONE LIFE and ONECOIN Ltd. operate jointly through the offering of combined products, represented respectively by training packages and the cryptocurrency OneCoin. In particular, ONE LIFE would be the owner and manager of the network marketing system while ONE COIN would deal exclusively with the cryptocurrency, and specifically with mining activities. Finally, ONE NETWORK would provide administrative services to the Program.</w:t>
      </w:r>
    </w:p>
    <w:p>
      <w:r>
        <w:t>103. Regarding the pyramid-like nature of the sale, ONE LIFE contended that this reconstruction would not be correct since the product exists, there would be no obligation to purchase to enter the system and obtain bonuses, and that, in any case, they would not be linked to the mere recruitment of individuals.</w:t>
      </w:r>
    </w:p>
    <w:p>
      <w:r>
        <w:t>The company Easy Life</w:t>
        <w:br/>
        <w:t>104. The company EASY LIFE asserted its estrangement from the Onecoin system, reiterating the trust placed in the value of this cryptocurrency.</w:t>
      </w:r>
    </w:p>
    <w:p>
      <w:r>
        <w:t>105. The party reported having acted solely as the registrant of the website “onelife-Italia.it” and not also of “strutturailsuccesso.it”, both of which, however, were aimed solely at promoting the culture of cryptocurrencies and, therefore, not directly aimed at advertising the Onecoin currency. Within the aforementioned website, in any case, EASY LIFE would have had a supportive role for individuals wishing to join the Onecoin system, given the difficulty of the operations necessary for that purpose.</w:t>
      </w:r>
    </w:p>
    <w:p>
      <w:r>
        <w:t>106. The Professional also claimed to be involved in the Onecoin promotion system as an IMA in a personal capacity and to have profited, in the past, from carrying out such activity through the bonuses provided therein thanks to the recruitment of approximately 2,300 consumers.</w:t>
      </w:r>
    </w:p>
    <w:p>
      <w:r>
        <w:t>The Registrants</w:t>
        <w:br/>
        <w:t>107. Christian Leitner, Antonio Guida, and Stefano Tagliapietra intervened in the proceedings through submissions in which they highlighted that they had not promoted or disseminated the cryptocurrency OC, did not hold the role of IMA, and had no contractual relationship with ONE LIFE.</w:t>
      </w:r>
    </w:p>
    <w:p>
      <w:r>
        <w:t>108. The three registrants also emphasized that they had purchased cryptocurrency in a personal capacity as a form of investment without ever participating in promotional events related to it.</w:t>
      </w:r>
    </w:p>
    <w:p>
      <w:r>
        <w:t>109. Regarding the internet domains they registered, Leitner, Guida, and Tagliapietra stated that these had only informational and educational purposes, and in no case promotional.</w:t>
      </w:r>
    </w:p>
    <w:p>
      <w:r>
        <w:t>IV. OPINION OF THE AUTHORITY FOR GUARANTEES IN COMMUNICATIONS</w:t>
        <w:br/>
        <w:t>110. Since the commercial practice subject to this provision was disseminated via the internet, on June 5, 2017, an opinion was requested from the Authority for Guarantees in Communications (hereinafter also AgCom), pursuant to Article 27, paragraph 6, of the Consumer Code.</w:t>
      </w:r>
    </w:p>
    <w:p>
      <w:r>
        <w:t>BULLETIN NO. 31 OF AUGUST 16, 2017 169</w:t>
        <w:br/>
        <w:t>111. In an opinion received on July 6, 2017, the aforementioned Authority expressed its opinion stating that it first considered, referring to Article 27, paragraph 1-bis, of the Consumer Code, to express its evaluations exclusively regarding the suitability of the means of communication specifically used by the professional in question to disseminate the contested commercial practice as well as to amplify any misleading and/or unfairness.</w:t>
      </w:r>
    </w:p>
    <w:p>
      <w:r>
        <w:t>112. In particular, AgCom noted that, as far as it is concerned, the practice in question refers to the advertising communications made by the Professionals through the various sites intended for the promotion of the program - it considered, among other things, that the internet is a global communication network capable of quickly offering the user a wide range of potential information likely to influence their behavior and that the informative and advertising communications offered by the Professional have been the subject of particular attention from the consumer who, prompted by the promotional campaign, might prefer the highlighted services believing them capable of meeting social and professional needs.</w:t>
      </w:r>
    </w:p>
    <w:p>
      <w:r>
        <w:t>113. Based on the above, the Authority for Guarantees in Communications therefore deemed, and based on the documentation transmitted, that the internet is a suitable tool to significantly influence the realization of the commercial practice.</w:t>
      </w:r>
    </w:p>
    <w:p>
      <w:r>
        <w:t>V. EVALUATIONS</w:t>
        <w:br/>
        <w:t>The professionals involved</w:t>
        <w:br/>
        <w:t>114. The recipients of this provision have participated in the practice under examination in various capacities.</w:t>
      </w:r>
    </w:p>
    <w:p>
      <w:r>
        <w:t>115. ONE LIFE NETWORK LTD. is the owner of the system and seller of the training courses linked to the economic outlay required for joining the scheme.</w:t>
      </w:r>
    </w:p>
    <w:p>
      <w:r>
        <w:t>116. ONE NETWORK SERVICES LTD. plays a decisive role in the Program: on one hand, it appears on the promotional sites of OneCoin and its Bulgarian headquarters is presented as the headquarters of the organization; during the investigation, it was indicated and documented that it provided administrative support services to OneLife Network Ltd29.</w:t>
      </w:r>
    </w:p>
    <w:p>
      <w:r>
        <w:t>117. Regarding the company EASY LIFE S.R.L., its profile and importance were clarified by its legal representative during the hearing on May 25, 201730, highlighting that almost all the company's collaborators would have joined the OC program and that about 2,300 people would be part of its sales and promotion network, and finally that it would have played a coordinating and supporting role for the program in the Italian territory31.</w:t>
      </w:r>
    </w:p>
    <w:p>
      <w:r>
        <w:t>118. As for Mr. Christian Leitner, Antonio Guida, and Stefano Tagliapietra, Registrants of the sites onecoinsuedtirol.it, onecoinitaliaofficial.it, onecoinitalia.com, the documentation in the records and the defensive submissions revealed that they used their domains to publish informational material about OC, providing, through the cited sites, promotional and educational information regarding the Program.</w:t>
      </w:r>
    </w:p>
    <w:p>
      <w:r>
        <w:t>The cryptocurrency OneCoin</w:t>
        <w:br/>
        <w:t>119. The commercial practice subject to this provision consists of the promotion of the cryptocurrency OneCoin based on the promise that the consumer joining the program can achieve substantial profits through, on one hand, a series of transformation mechanisms that would first allow the doubling of the amount of raw currency (tokens) purchased in conjunction with the vaguely defined training kits and then its conversion into OC, and on the other hand, following its dissemination, the expectation of exponential value growth linked to its spread and the increase of its conversion rate.</w:t>
      </w:r>
    </w:p>
    <w:p>
      <w:r>
        <w:t>120. The elements acquired during the proceedings have allowed for the understanding of only some mechanisms of the scheme but have not confirmed the main and substantial elements of the professional's offer; in particular, no concrete evidence has been provided regarding the existence, legality, valuation, circulation, conversion of the aforementioned cryptocurrency OC, considering the responses provided both by the professionals to whom the scheme appears directly attributable and by those professionals who have been involved in the present proceedings in various capacities, despite having been expressly asked to indicate relevant data for understanding the practice (such as, for example, the analytical mechanisms of its operation, the sums invested by consumers for joining the program, the detailed description of the training plan reserved for promoters).</w:t>
      </w:r>
    </w:p>
    <w:p>
      <w:r>
        <w:t>121. In particular, none of the parties involved provided exhaustive clarifications regarding central and fundamental aspects for understanding the procedures governing the creation and development of OC. The described mechanisms for transforming raw currency to obtain OC do not allow for understanding how and when and according to which parameters such transformation occurs.</w:t>
      </w:r>
    </w:p>
    <w:p>
      <w:r>
        <w:t>122. It is also not clarified what the precise content of the training kits is and, consequently, it is not possible to understand how the price is set. It is equally not explained how the different training packages can generate a different number of OC and whether the diversification of the investment derives from a different content of the training kit or from the number of tokens associated with each package, considering also that the professionals have claimed that the different value would not depend on the number of tokens as they are free.</w:t>
      </w:r>
    </w:p>
    <w:p>
      <w:r>
        <w:t>123. Also regarding the life cycle of OC, no clarifying elements have been provided on the functioning of the so-called split that would determine the doubling of the cryptocurrency, nor what the moment is when the transformation into OneCoins occurs and what determines the value of the parameter on which this transition is based (the so-called difficulty). These are evidently central aspects of the transformation of the initial investment into the proposed cryptocurrency, based on claims that are as suggestive as they are devoid of any element of objective verification.</w:t>
      </w:r>
    </w:p>
    <w:p>
      <w:r>
        <w:t>124. Furthermore, regarding the valuation of the cryptocurrency, in light of extensive graphs highlighting a significant growth, no element has been provided that confirms such evaluation, nor has any index been provided that allows for appreciating where such value would be formed and exchanged, where and on what basis the aforementioned cryptocurrency would register the proposed value and allow the consumer to appreciate the "significant" return of their initial investment. This is even more so, as indicated in the findings, given that the value of OC is only prospective in nature.</w:t>
      </w:r>
    </w:p>
    <w:p>
      <w:r>
        <w:t>125. Finally, the information regarding the convertibility of OC, where and when such conversion is possible, also appears uncertain.</w:t>
      </w:r>
    </w:p>
    <w:p>
      <w:r>
        <w:t>126. From these elements, it emerges that adequate and truthful information has not been provided, either to consumers or during the present proceedings, regarding the real nature and characteristics – including its value – of OC, while it is evident that a large number of consumers, exceeding 50,000, attracted by the expected investment prospects, have deemed it appropriate to join the system.</w:t>
      </w:r>
    </w:p>
    <w:p>
      <w:r>
        <w:t>127. The existence of three different companies and their respective roles in the program is also not adequately clarified. On the contrary, the elements provided during the presentations seem to be oriented</w:t>
      </w:r>
    </w:p>
    <w:p>
      <w:r>
        <w:rPr>
          <w:b/>
        </w:rPr>
        <w:t>[Pages 169–171]</w:t>
      </w:r>
    </w:p>
    <w:p>
      <w:r>
        <w:t>BULLETIN NO. 31 OF AUGUST 16, 2017 171</w:t>
        <w:br/>
        <w:t>to support the hypothesis that legal responsibility lies with the corporate entity located in Bulgaria, headed by an expert in cryptocurrencies, with a curriculum accompanied by numerous publications and prestigious positions, while it is omitted, for example, to specify that in reality, the ownership of the system should be traced back to ONE LIFE, which is based in Belize.</w:t>
      </w:r>
    </w:p>
    <w:p>
      <w:r>
        <w:t>128. It is therefore severely lacking and misleading both the possibility and the methods for obtaining the cryptocurrency OC and the substantial profits promised in relation to its appreciation, since no element has been confirmed in the present investigation.</w:t>
      </w:r>
    </w:p>
    <w:p>
      <w:r>
        <w:t>129. Instead, the continuous and instrumental use of the reference, in promotional meetings and on the websites used, to the virtual currency Bitcoin is evident, without however any reference to the fundamental differences between the two products which, along with the non-technical terminology - to which CONSOB refers (see 60 et seq.) - certainly constitute the semantic structure on which a strongly deceptive message is built.</w:t>
      </w:r>
    </w:p>
    <w:p>
      <w:r>
        <w:t>130. For the reasons stated, the conduct aimed at promoting ONECOIN and the prospect of substantial profits associated with it are certainly capable of inducing the average consumer to join the program based on a severely incomplete presentation, which appears misleading in violation of Articles 20, 21, paragraph 1, letters b) and c).</w:t>
      </w:r>
    </w:p>
    <w:p>
      <w:r>
        <w:t>The OneCoin Sales Scheme</w:t>
      </w:r>
    </w:p>
    <w:p>
      <w:r>
        <w:t>131. The Consumer Code, in Article 23, paragraph 1, letter p), qualifies as unfair per se the practice of starting, managing, or promoting "a pyramid promotional system in which the consumer provides a contribution in exchange for the possibility of receiving a compensation derived mainly from the entry of other consumers into the system rather than from the sale or consumption of products"32. Furthermore, with Law No. 173 of 2005, "Regulation of door-to-door sales and consumer protection from pyramid sales forms," the legislator also intended to regulate the phenomenon of multi-level sales, forms of direct door-to-door sales, which are considered lawful in all respects, to be distinguished from all those "sales structures in which the primary economic incentive for the members of the structure is based on the mere recruitment of new subjects rather than on their ability to sell or promote the sale of specific goods or services directly or through other members of the structure" [Art. 5, paragraph 1.], which are instead subject to an absolute prohibition33.</w:t>
      </w:r>
    </w:p>
    <w:p>
      <w:r>
        <w:t>132. According to the jurisprudence of the Court of Justice, the prohibition of pyramid promotional systems is based on three cumulative conditions: 1) the promotion based on the promise of obtaining an economic benefit, 2) the circumstance that the fulfillment of the promise depends on the entry of other consumers into the system, and finally, 3) that the bulk of the revenues that allow financing the promised compensation to consumers does not result from a real economic activity. In the presence of such conditions, the possibility of financing the promised compensations to those who have already entered the system is in fact subordinated to the entry of new participants and to the payment of a financial contribution. The system ceases to be profitable when the growth in the number of participants is no longer sufficient to finance the promised compensations to them.</w:t>
      </w:r>
    </w:p>
    <w:p>
      <w:r>
        <w:t>133. The constitutive element of the unfairness of a pyramid promotional system is the financial contribution that the consumer is required to pay regardless of its amount "in exchange for the possibility for the latter to receive a compensation derived mainly from the entry of other consumers into the system rather than from the sale and consumption of the product"34. The Court, in another ruling, qualifies a commercial practice as a pyramid system "even in the case where there is only an indirect link between the contributions paid by new entrants to such a system and the compensations received by already present members"35.</w:t>
      </w:r>
    </w:p>
    <w:p>
      <w:r>
        <w:t>134. The administrative judge, in two recent rulings of the TAR Lazio (No. 4742/2017 published on April 20, 2017, and No. 6237/2014 published on July 13, 2017), has clarified that pyramid sales systems "share with the permitted 'multi-level' schemes the possibility of having other subjects join the structure by sponsoring their entry as new agents. What differentiates the content and renders its use illegal is the circumstance that in pyramid sales there is a distorted use of the mechanism for recruiting new agents, through the creation of a good in which the object of sale takes a back seat and constitutes a mere pretext for recruiting other subjects who, by paying an 'entrance fee,' enter the pyramid and remain there... thus artificially feeding the system"36.</w:t>
      </w:r>
    </w:p>
    <w:p>
      <w:r>
        <w:t>Continues: The OneCoin Program</w:t>
      </w:r>
    </w:p>
    <w:p>
      <w:r>
        <w:t>135. The OneCoin scheme perfectly fits into the category just described. The sale of the training package that would allow the acquisition of the cryptocurrency OC constitutes, in fact, the pretext for the development of a sales system in which the only real and effective economic incentive derives from the recruitment of new consumers in the form of bonuses recognized from the sale of other training packages for the dissemination of the cryptocurrency OC.</w:t>
      </w:r>
    </w:p>
    <w:p>
      <w:r>
        <w:t>136. The evidence collected seriously doubts the existence, characteristics, and value of the investment promoted to acquire the cryptocurrency OC. In the absence of a sufficiently defined product/good, it is clear that a distribution system that stimulates and rewards new memberships among consumers does not focus on a sales activity, on a real economic activity, but inevitably presents the aspects of a pyramid sale, in which the only economic incentive is linked to the entry of other consumers into the scheme: in this case, the remuneration system has as its sole purpose the rewarding of the recruitment of new members, who are often acquired based on the reputational credit that the proposer is able to spend towards them.</w:t>
      </w:r>
    </w:p>
    <w:p>
      <w:r>
        <w:t>137. Nor is there any doubt that, given the particular nature of the cryptocurrency OC, the purchase and participation in the initial investment by even a single IMA are necessary prerequisites for the dissemination of the network and the involvement of others in the cryptocurrency, as it is precisely and exclusively through the reputational credit, the investment made, and the expected benefit that other consumers can be convinced to join the system by purchasing in turn the training package. In other words, this is the entrance fee that the system requires to enter the program.</w:t>
      </w:r>
    </w:p>
    <w:p>
      <w:r>
        <w:t>138. That the recruitment of new entrants represents the exclusive purpose of the activity and is strongly encouraged through the promise of various bonuses becomes clear when considering that, in this case, the product is not clearly defined, its value or usability is uncertain, and that the remuneration of the network, of the same distribution system arises only from the expansion, from the inclusion of new consumers precisely through the remuneration - this indeed being real - of the sale of new training packages.</w:t>
      </w:r>
    </w:p>
    <w:p>
      <w:r>
        <w:t>139. Even if one were to analyze in detail the nature of the transaction, it is an operation that is disconnected from the provision of a real counter-performance: the transfer of training kits towards the payment of a price - the main source of profit for the entire organization - is only apparent and places the Program perfectly in line with traditional and well-known pyramid structures; indeed, in this case, the dissemination of the scheme develops, or rather uses as a pretext, the expectation of a future appreciation of the OneCoin cryptocurrency.</w:t>
      </w:r>
    </w:p>
    <w:p>
      <w:r>
        <w:t>140. Therefore, based on the principles derivable from the rulings of the Court of Justice and the precedents of this Authority, it can be stated that the OneCoin program is organized and constructed in such a way as to replicate the characteristics of pyramid sales methods, given that for the development of the network it is necessary to participate in the investment to credit the trust and the goodness necessary to develop the scheme. Furthermore, the almost exclusive part of the revenues potentially obtainable from the activity linked to the "Program" derives, not so much from the direct sale of goods - of which it has not been possible to grasp the existence and consistency - but rather from the payment of entrance fees - presented as training packages - by the subjects who, in turn, can increase their economic position in the convoluted bonus system only following the entry or recruitment of other consumers - who thus find themselves in the same condition - thereby generating considerable revenues for the Professionals.</w:t>
      </w:r>
    </w:p>
    <w:p>
      <w:r>
        <w:t>141. The central aspect of the OC system, indeed the only source of income, is therefore not, as the Professionals claim, the purchase of training packages, the activity of transforming raw currency into OneCoin or the appreciation of the OC itself, but the entry of a large number of new subjects into the system, which represents the only and indispensable condition for the possibility of obtaining an economic compensation both to recoup the initial investment and to amplify the profits that indeed come as recognized bonuses, either in percentage form or in more complex forms depending on the development of the scheme, following the inclusion of other consumers.</w:t>
      </w:r>
    </w:p>
    <w:p>
      <w:r>
        <w:t>142. Nor is it relevant at this stage to examine the specific functioning of the various incentives, as in the absence of a clear and distinct sales activity of a good, it is evident that any form of economic incentive tends to reward and remunerate only the entry and recruitment of new consumers and not the activity of selling a good. There is, however, no doubt that when analyzing the economic incentives of the remuneration plan and the role of the IMAs - who are primarily also customers - it is noted that the commissions - in percentage and with increasing trends - are all correlated to new entries and therefore reward the activity of seeking new memberships to feed the scheme.</w:t>
      </w:r>
    </w:p>
    <w:p>
      <w:r>
        <w:t>143. Therefore, while in companies that operate through multi-level direct sales systems, participants/agents are compensated proportionally to the value and quantity of services provided or goods sold, in sales with pyramid characteristics, such as the one under examination, the good or service represents only a pretext or an opportunity to recruit other consumers, so that they in turn enter the pyramid by paying a contribution in the hope, in this case...</w:t>
      </w:r>
    </w:p>
    <w:p>
      <w:r>
        <w:rPr>
          <w:b/>
        </w:rPr>
        <w:t>[Pages 172–174]</w:t>
      </w:r>
    </w:p>
    <w:p>
      <w:r>
        <w:t>BULLETIN NO. 31 OF AUGUST 16, 2017</w:t>
      </w:r>
    </w:p>
    <w:p>
      <w:r>
        <w:t>174 of obtaining the cryptocurrency OC, in its usability and especially in its future appreciation, which should indeed amplify over time and in relation to the spread of the same cryptocurrency.</w:t>
      </w:r>
    </w:p>
    <w:p>
      <w:r>
        <w:t>144. Every consumer who joins the Program is, in fact, made aware of the importance of promoting the system, precisely in order to allow its development through the search for new subjects, in general, willing to make the initial investment and to seek, in turn, new members in order to achieve the economic benefits connected solely and exclusively to the continuous entry of new consumers.</w:t>
      </w:r>
    </w:p>
    <w:p>
      <w:r>
        <w:t>145. In any case, it is observed that, in light of the regulations set forth by the Consumer Code, the circumstance is significant whereby the result sought by the participating subject – namely the appreciation of the cryptocurrency OC – is entirely hypothetical and, in any case, also primarily derives from the entry of other subjects.</w:t>
      </w:r>
    </w:p>
    <w:p>
      <w:r>
        <w:t>146. Therefore, the constitutive conditions of pyramid sales are fulfilled, as the promotion is based on the promise of obtaining an economic benefit, in this case consisting of bonuses and the appreciation of the cryptocurrency OC, which depends on the entry of other consumers into the system; correspondingly, the overwhelming majority of revenues does not result from the sale of a good, but rather from the sums paid by the entry of new consumers into the program to be part of the complex processes of acquiring first the tokens and then the OneCoins and thus the hypothetical and uncertain expectation of seeing their investment in OneCoin appreciated.</w:t>
      </w:r>
    </w:p>
    <w:p>
      <w:r>
        <w:t>147. Based on these elements, therefore, the sales method of the program is attributable to a pyramid scheme in violation of Article 23, paragraph 1, letter p), of the Consumer Code.</w:t>
      </w:r>
    </w:p>
    <w:p>
      <w:r>
        <w:t>Conclusions</w:t>
      </w:r>
    </w:p>
    <w:p>
      <w:r>
        <w:t>148. In light of the evidence previously described and qualified, it is believed that the commercial practice consisting of the promotion and management of the Program, carried out by One Life and the other professionals mentioned above, is unfair:</w:t>
        <w:br/>
        <w:t>- in relation to the incomplete, non-transparent, and untruthful representation regarding: (i) the terms and conditions of the Program proposed to consumers; (ii) the actual nature of the commitments that the consumer undertakes by subscribing to the OneCoin system; (iii) the real possibilities of earning by adhering to the scheme proposed by the Professional and (iv) the concrete possibilities of converting the OneCoin cryptocurrency, all methods that appear to mislead the average consumer regarding the main characteristics of the product and the extent of the Professional's commitments, leading them to make a commercial decision that they otherwise would not have made, in violation of Articles 20 and 21, paragraph 1, letters b) and c), of the Consumer Code;</w:t>
        <w:br/>
        <w:t>- with specific regard to the methods of promoting the OneCoin cryptocurrency and the related training packages, the almost exclusive part of the revenues obtainable from the activity promoted by the professionals derives from the sale/recruitment of third consumers, according to a "pyramid" model, whereby a series of bonuses are recognized both in relation to the type of package purchased and due to the particular development of the network/chain by each consumer/promoter, methods that appear to reproduce the typical dynamics of pyramid sales, considered misleading by Article 23, paragraph 1, letter p) of the Consumer Code;</w:t>
      </w:r>
    </w:p>
    <w:p>
      <w:r>
        <w:t>BULLETIN NO. 31 OF AUGUST 16, 2017</w:t>
      </w:r>
    </w:p>
    <w:p>
      <w:r>
        <w:t>VI. QUANTIFICATION OF THE SANCTION</w:t>
      </w:r>
    </w:p>
    <w:p>
      <w:r>
        <w:t>149.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150.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151. With regard to the severity of the violation, it is taken into account, in the case at hand, the importance and economic size of the professionals: the Professional ONE LIFE NETWORK LTD is an operator of significant economic size, presenting considerable revenue, of no less than €300-400 million. This is the creator of the scheme and therefore the overwhelmingly predominant beneficiary of the illegal activity.</w:t>
      </w:r>
    </w:p>
    <w:p>
      <w:r>
        <w:t>152. With regard to the severity of the violation, it is taken into account in the case at hand the particular nature of the violations found related to the adoption of a pyramid-type distribution scheme of particular severity and impact on the consumer's self-determination in their commercial choices.</w:t>
      </w:r>
    </w:p>
    <w:p>
      <w:r>
        <w:t>153. The severity is also appreciated in relation to the extent of the practice which has involved a large number of consumers (51,923 in Italy) and the methods of dissemination of the offer which has been conveyed, in addition to through meetings in hotel rooms organized for this purpose, through the internet, means capable of reaching a large number of consumers and - as highlighted in the opinion rendered by AgCom - tools suitable for significantly influencing the realization of the practice.</w:t>
      </w:r>
    </w:p>
    <w:p>
      <w:r>
        <w:t>154. As for the duration of the practice, from the available elements it appears that it has been carried out at least since the beginning of 2016 until at least February 2017.</w:t>
      </w:r>
    </w:p>
    <w:p>
      <w:r>
        <w:t>155. Based on these elements, it is deemed appropriate to determine the base amount of the administrative pecuniary sanction applicable to ONE LIFE NETWORK LTD. in the amount of €2,000,000 (two million euros).</w:t>
      </w:r>
    </w:p>
    <w:p>
      <w:r>
        <w:t>156. The company ONE NETWORK SERVICE LTD. has actively participated in the realization of the practice, being indicated in the promotional documentation as the contact person for the system.</w:t>
      </w:r>
    </w:p>
    <w:p>
      <w:r>
        <w:t>157. For these reasons, it is deemed appropriate to determine the base amount of the administrative pecuniary sanction applicable to ONE NETWORK SERVICE LTD. in the amount of €500,000 (five hundred thousand euros).</w:t>
      </w:r>
    </w:p>
    <w:p>
      <w:r>
        <w:t>158. The company EASY LIFE S.R.L. has promoted and disseminated the program in Italian territory also through coordination activities.</w:t>
      </w:r>
    </w:p>
    <w:p>
      <w:r>
        <w:t>159. For these reasons, it is deemed appropriate to determine the base amount of the administrative pecuniary sanction applicable to EASY LIFE S.R.L. in the amount of €100,000 (one hundred thousand euros).</w:t>
      </w:r>
    </w:p>
    <w:p>
      <w:r>
        <w:t>160. Furthermore, considering the economic situation of the Professional, which presents negative economic conditions with a loss-making balance sheet, it is deemed appropriate to reduce the administrative pecuniary sanction applicable to EASY LIFE S.R.L. to €80,000 (eighty thousand euros).</w:t>
      </w:r>
    </w:p>
    <w:p>
      <w:r>
        <w:t>161. Finally, it is deemed appropriate to determine the base amount of the administrative pecuniary sanction applicable to Mr. Christian Leitner, Mr. Antonio Guida, and Mr. Stefano Tagliapietra in the amount of the minimum penalty equal to €5,000 (five thousand euros).</w:t>
      </w:r>
    </w:p>
    <w:p>
      <w:r>
        <w:t>176 BULLETIN NO. 31 OF AUGUST 16, 2017</w:t>
      </w:r>
    </w:p>
    <w:p>
      <w:r>
        <w:t>CONSIDERED, therefore, having seen the opinion of the Authority for Guarantees in Communications, based on the considerations set forth above, that the commercial practice in question is unfair as it is contrary to professional diligence and capable of misleadingly presenting the Program for the promotion and sale of the OneCoin cryptocurrency, which in reality is characterized by its pyramid nature in violation of Articles 20, 21, paragraph 1, letters b) and c), and 23, paragraph 1, letter p), of the Consumer Code;</w:t>
      </w:r>
    </w:p>
    <w:p>
      <w:r>
        <w:t>RESOLVES</w:t>
      </w:r>
    </w:p>
    <w:p>
      <w:r>
        <w:t>a) that the commercial practice described in point II of this provision, carried out by the companies ONE LIFE NETWORK LTD., ONE NETWORK SERVICE LTD., EASY LIFE S.R.L. and by Mr. Christian Leitner, Mr. Antonio Guida, and Mr. Stefano Tagliapietra, in their capacity as professionals pursuant to Article 18, paragraph 1, letter b), of the Consumer Code, constitutes, for the reasons and within the limits set forth in the motivation, an unfair commercial practice pursuant to Articles 20, 21, paragraph 1, letters b) and c), and 23, paragraph 1, letter p), of the Consumer Code and prohibits its dissemination or continuation;</w:t>
      </w:r>
    </w:p>
    <w:p>
      <w:r>
        <w:t>b) to impose on the company ONE LIFE NETWORK LTD. an administrative pecuniary sanction of €2,000,000 (two million euros);</w:t>
      </w:r>
    </w:p>
    <w:p>
      <w:r>
        <w:t>c) to impose on the company ONE NETWORK SERVICE LTD. an administrative pecuniary sanction of €500,000 (five hundred thousand euros);</w:t>
      </w:r>
    </w:p>
    <w:p>
      <w:r>
        <w:t>d) to impose on the company EASY LIFE S.R.L. an administrative pecuniary sanction of €80,000 (eighty thousand euros);</w:t>
      </w:r>
    </w:p>
    <w:p>
      <w:r>
        <w:t>e) to impose on Mr. Christian Leitner an administrative pecuniary sanction of €5,000 (five thousand euros);</w:t>
      </w:r>
    </w:p>
    <w:p>
      <w:r>
        <w:t>f) to impose on Mr. Antonio Guida an administrative pecuniary sanction of €5,000 (five thousand euros);</w:t>
      </w:r>
    </w:p>
    <w:p>
      <w:r>
        <w:t>g) to impose on Mr. Stefano Tagliapietra an administrative pecuniary sanction of €5,000 (five thousand euros).</w:t>
      </w:r>
    </w:p>
    <w:p>
      <w:r>
        <w:t>For professionals with legal headquarters in Italy, 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with a debit to one's bank or postal account, through home banking and CBI services provided by banks or by Poste Italiane S.p.A., or by using the telematic services of the Revenue Agency, available on the website www.agenziaentrate.gov.it.</w:t>
      </w:r>
    </w:p>
    <w:p>
      <w:r>
        <w:t>For professionals with legal headquarters in a foreign state, the imposed administrative sanction must be paid within thirty days, via bank transfer (in euros) in favor of the State Budget,</w:t>
      </w:r>
    </w:p>
    <w:p>
      <w:r>
        <w:rPr>
          <w:b/>
        </w:rPr>
        <w:t>[Pages 175–177]</w:t>
      </w:r>
    </w:p>
    <w:p>
      <w:r>
        <w:t>BULLETIN NO. 31 OF AUGUST 16, 2017 177</w:t>
        <w:br/>
        <w:t>using the IBAN code IT04A0100003245348018359214 (BIC code: BITAITRRENT), which corresponds to the accounting triplet 18/3592/14".</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date the role is transmitted to the collector for collection;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 xml:space="preserve">THE DEPUTY SECRETARY GENERAL THE PRESIDENT </w:t>
        <w:br/>
        <w:t>Annalisa Rocchietti Giovanni Pitruzzella</w:t>
      </w:r>
    </w:p>
    <w:p>
      <w:r>
        <w:t xml:space="preserve">178 BULLETIN NO. 31 OF AUGUST 16, 2017 </w:t>
        <w:br/>
        <w:t xml:space="preserve">PS10655 - DAD/CCF-PAID INSERTIONS </w:t>
        <w:br/>
        <w:t xml:space="preserve">Provision No. 26709 </w:t>
        <w:br/>
        <w:t xml:space="preserve">THE COMPETITION AND MARKET AUTHORITY </w:t>
        <w:br/>
        <w:t xml:space="preserve">IN ITS MEETING of July 25, 2017; </w:t>
        <w:br/>
        <w:t xml:space="preserve">HEARD the Rapporteur Professor Michele Ainis;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VIEWED the documents of the proceeding;</w:t>
      </w:r>
    </w:p>
    <w:p>
      <w:r>
        <w:t xml:space="preserve">I. THE PARTY </w:t>
        <w:br/>
        <w:t xml:space="preserve">1. CCF Credit Collection Factoring s.r.o. (hereinafter also 'CCF'), as a professional, pursuant to Article 18, letter b), of the Consumer Code. The company, established on April 7, 2016, in the Czech Republic, operates in the debt collection sector and acts, among other things, on behalf of DAD Deutscher Adressdienst GmbH. </w:t>
        <w:br/>
        <w:t>The professional did not provide its accounting data during the proceeding.</w:t>
      </w:r>
    </w:p>
    <w:p>
      <w:r>
        <w:t xml:space="preserve">II. THE COMMERCIAL PRACTICE </w:t>
        <w:br/>
        <w:t xml:space="preserve">2. The proceeding concerns the behavior carried out by the professional, consisting of sending payment reminders to Italian micro-enterprises1, on behalf of DAD Deutscher Adressdienst GmbH (hereinafter also 'DAD')2, regarding alleged advertising services that they would have benefited from in previous years through the website http://www.registro-italiano-in-internet.com/. </w:t>
        <w:br/>
        <w:t xml:space="preserve">3. Precisely due to the manner in which payments were requested, for a service not consciously requested by the micro-enterprises, DAD has been repeatedly sanctioned by the Authority3. </w:t>
        <w:br/>
        <w:t xml:space="preserve">4. The complaints in question come from micro-enterprises that in previous years have been victims of the aforementioned unfair commercial practice. Specifically, the communications subject to the proceeding are materially carried out by CCF, following a scheme centered on three letters, sent in the name and on behalf of DAD, at very close intervals. </w:t>
        <w:br/>
        <w:t xml:space="preserve">1 Pursuant to Article 18, paragraph 1, letter d-bis), of the Consumer Code. </w:t>
        <w:br/>
        <w:t xml:space="preserve">2 In particular, CCF Credit Collection Factoring s.r.o. operates "in the name and on behalf" of DAD Deutscher Adressdienst GmbH by virtue of a mandate. See, among others, CCF's memorandum of March 23, 2017 (doc. prot. No. 0028568 of 2017). </w:t>
        <w:br/>
        <w:t>3 See the proceedings PS9158, IP228 and the recent IP261 (Provision No. 26634 of June 7, 2017). In particular, the practice considered unfair by the Authority was articulated around a series of conducts aimed at promoting the subscription service of online advertising announcements called "Registro Italiano in Internet per le imprese", hindering the exercise of the right of withdrawal contractually granted, as well as requesting payment for such subscription in aggressive manners, directly or through a debt collection company, even resorting to the threat of legal action.</w:t>
      </w:r>
    </w:p>
    <w:p>
      <w:r>
        <w:t xml:space="preserve">BULLETIN NO. 31 OF AUGUST 16, 2017 179 </w:t>
        <w:br/>
        <w:t xml:space="preserve">5. The first letter, titled "NOTICE of Legal Procedure DAD Vs [company name and order number]"4, is sent to the recipient and for information to a German lawyer in Hamburg. </w:t>
        <w:br/>
        <w:t xml:space="preserve">6. The text is as follows5: "The undersigned debt collection agency, Credit Collection Factoring, authorized by DAD Deutscher Adressdienst GmbH (by virtue of power of attorney) has been mandated to collect the debt related to the position better outlined in the subject. From the documentation in the records - which we attach for your convenience - it appears that on [date in 2010] your company signed a commercial contract (B2B) for consideration and legally binding for the creation of a three-year advertising announcement on the WEB PORTAL "ITALIAN REGISTER ON THE INTERNET". The text and contractual conditions clearly indicated that it was a paid service with a minimum duration of three years, for a due consideration of EUR 958.00 per year to be paid upon issuance of the invoice. The methods for exercising the right of withdrawal were also specified, to be exercised within two (2) weeks from the date of the order. In fulfillment of the received order, our principal has created and maintained the advertising announcement related to your company, which has however proven to be in default of the obligations signed, seriously violating the contractual conditions and terms. Therefore, to date, despite the contract being canceled, the payment of EUR 2,874.00 (Two Thousand Eight Hundred Seventy-Four/00) for unpaid dues remains outstanding. In addition to interest, recovery costs, and reminder costs. </w:t>
        <w:br/>
        <w:t xml:space="preserve">Detail of amounts: </w:t>
        <w:br/>
        <w:t xml:space="preserve">• Unpaid dues: EUR 2,874.00 </w:t>
        <w:br/>
        <w:t xml:space="preserve">• Interest: EUR 198.46 </w:t>
        <w:br/>
        <w:t xml:space="preserve">• Recovery costs: EUR 297.00 </w:t>
        <w:br/>
        <w:t xml:space="preserve">• Reminder costs: EUR 43.50 </w:t>
        <w:br/>
        <w:t xml:space="preserve">Given the above, we invite you to make the payment of EUR 3,412.96 (Three Thousand Four Hundred Twelve/96) no later than five (5) days from the date of this letter, in order to avoid aggravating your debt position with the addition of legal costs in case of litigation. </w:t>
        <w:br/>
        <w:t xml:space="preserve">We are obliged to inform you that, if the above peremptory deadline passes without payment being made and without an amicable resolution of the dispute being agreed with the undersigned, we will be forced, regrettably, to protect the rights of our principal by requesting the issuance of a payment injunction from the competent Court6 for the contract and in compliance with the community provisions regarding commercial debts" (grammatical errors and bold in the original text). </w:t>
        <w:br/>
        <w:t xml:space="preserve">7. In the most recent reports, however, the first letter takes on a different form, being titled "RELEASE with Settlement Act ref. ORDER [order number] DAD Deutscher Addressdienst GmbH / [company name]"7. </w:t>
        <w:br/>
        <w:t xml:space="preserve">4 See, for example, doc. prot. 0060513 of 2016. Or also "NOTICE of Coercive Collection DAD Vs [company name and order number]" (cf. doc. prot. No. 0047258 of 2017). </w:t>
        <w:br/>
        <w:t xml:space="preserve">5 Cf. doc. prot. 0060513 of 2016. </w:t>
        <w:br/>
        <w:t xml:space="preserve">6 Sometimes the specification "ex Reg. CE 1896/2006" is added. Cf. doc. prot. No. 0030034 of 2017. </w:t>
        <w:br/>
        <w:t>7 See doc. prot. No. 0049679 of 2017.</w:t>
      </w:r>
    </w:p>
    <w:p>
      <w:r>
        <w:rPr>
          <w:b/>
        </w:rPr>
        <w:t>[Pages 178–180]</w:t>
      </w:r>
    </w:p>
    <w:p>
      <w:r>
        <w:t>180 BULLETIN NO. 31 OF AUGUST 16, 2017</w:t>
        <w:br/>
        <w:t>8. The tone also changes, as it emphasizes the fact that with the settlement agreement DAD will waive any claim. The text is as follows: "Dear Legal Representative, mandated by the company DAD Deutscher Addressdienst GmbH, we hereby confirm that, with your payment of the amount of € 2,874.00 (Two Thousand Eight Hundred Seventy-Four Euros) inclusive, no later than [payment date8], to be executed by bank transfer directly to the account of the company Dad Deutscher Addressdienst GmbH, the claimed credit will be considered settled, as well as the contract resolved and canceled and any mutual obligations present and future arising from the Order in question. This transaction shall be understood as total resolution of the contract arising from the order in question, as well as mutual waiver of any further claim to have, directly or through any intermediary. The Dad GmbH or whoever represents it commits to waive any action of any kind, before any European Judicial Authority, as upon receipt of the agreed payment the contract will be definitively considered canceled. DAD Deutscher Addressdienst GmbH also commits to remove your name from the website www.registro-italiano-in-internet.com. Following are the bank details of Dad Deutscher Addressdienst GmbH for the payment in settlement and transactive write-off: [bank details related to an account of the company DAD]" (grammatical errors and bold in the original text)9.</w:t>
      </w:r>
    </w:p>
    <w:p>
      <w:r>
        <w:t>9. Once the period (always a few days) granted for payment has elapsed, the CCF sends a second email with the subject "NOTICE of payment DAD Vs. [company name and order number]"10.</w:t>
      </w:r>
    </w:p>
    <w:p>
      <w:r>
        <w:t>10. The communication is as follows11: "Having noted that the request for invoice payment dated [date of the first communication] has been disregarded by your Company; officiated by the company DAD Deutscher Adressdienst GmbH (hereinafter DAD); having examined the original documents; considering that this is a liquid and enforceable credit, considering Regulation EC 593/2008; considering Regulation EC 1896/2006; considering the German Civil Code (German Civil Code, Sections 6, 7, and 8). With reference to the above-mentioned subject, we invite and warn you to provide, within three (3) days from this notice, the payment of the sum of EUR 3,412.96 (Three Thousand Four Hundred Twelve Euros and Ninety-Six Cents). For unpaid three-year fees: EUR 2,874.00; for recovery costs: EUR 297.00; interest and reminder costs EUR 241.96 related to the three-year contract for advertising insertion on the WEB PORTAL "ITALIAN REGISTER ON THE INTERNET" managed by DAD.13 In case of non-response to payment, the matter will be passed to the local law firm, which will proceed to file a request for a European injunction (pursuant to Regulation EC 1896/2006) at the Court of Hamburg - Germany" (grammatical errors, bold, underlines, and larger characters in the original text).</w:t>
      </w:r>
    </w:p>
    <w:p>
      <w:r>
        <w:t>11. In the most recent complaints, the title of the second communication is "FINAL FORMAL REMINDER before the request for injunction." The text is then different as it keeps open the possibility of negotiating the amounts allegedly due. In fact, after the introductory part, essentially similar to what was described previously, it reads "in the absence of proof of payment to settle the matter in question by the day14 [date] - the amount acceptable as a final settlement of the matter we are engaged in, on the part of Dad GmbH, may be partially subject to negotiation - to define with the undersigned an amicable settlement of the dispute, the issuance of a European injunction pursuant to Regulation EC No. 1896/2006 by the Court of Hamburg, competent by contract and in compliance with community provisions on commercial debts, will be requested without delay. The entire sum related to the claimed credit will be requested with the addition of interest, reminder costs, and monetary revaluation, for a total of € 3,574.00 (THREE THOUSAND FIVE HUNDRED SEVENTY-FOUR Euros) excluding legal costs related to the matter, thus with undeniable further burden of costs solely at your expense"15.</w:t>
      </w:r>
    </w:p>
    <w:p>
      <w:r>
        <w:t>12. Finally, after a few more days, the last email is sent with the subject "Filing of payment injunction DAD Vs. [company name and order number]"16 in which it is announced that the company's trusted lawyer will file "the request for injunction at the Court of Hamburg"17.</w:t>
      </w:r>
    </w:p>
    <w:p>
      <w:r>
        <w:t>13. In particular, in this communication it reads: "as already widely warned in the two previous letters, your Company has a debt of EUR 3,412.96 towards DAD Deutscher Adressdienst GmbH, which remains unpaid to this day. The undersigned believes to have done everything possible to reach an amicable settlement, but it is evident that your choice is to let the matter proceed to litigation, with further burden of legal costs (EUR 850.00) and trial costs. Your Company may, however, appeal the European payment injunction within 30 days from its notification. The notification (which you will approximately receive by the end of [month omitted] 2016) will be made at your legal headquarters by means of a judicial officer. The related act will be accompanied by a sworn translation in Italian and will be suitable to fully exert its effectiveness in Italian territory for executive purposes with conservatory seizure of bank accounts (pursuant to Regulation EU 655/2014) and seizure of movable and immovable property. [Date omitted] p.v. the Law Firm Muller (which reads in copy and which will kindly communicate to the undersigned the registration number) will file a request for injunction at the Court of Hamburg at Sievekingplatz 1-20355 Hamburg. We inform you that in order to close this unfortunate matter, the Company [company name] has until 14:00 on [date omitted] September 2016 to pay the fees and thus cancel the contract and debt. We also inform you that the estimated costs (based on similar disputes) of a Community litigation range between 8,000.00 and 12,000.00 EUR." (grammatical errors and bold in the original)18.</w:t>
      </w:r>
    </w:p>
    <w:p>
      <w:r>
        <w:t>14. In the most recent complaints, the last letter is titled "Request for PAYMENT INJUNCTION – ref. order No. [order number and company name]," but the content is entirely similar to what has already been illustrated19.</w:t>
      </w:r>
    </w:p>
    <w:p>
      <w:r>
        <w:t>15. Furthermore, in cases where micro-enterprises – directly or through their lawyers – have attempted to communicate directly with CCF20, denying the claimed credits and stating that they referred to practices for which there was no intention to sign an advertising contract, the debt collection company has continued to insistently request payment, sometimes proposing a settlement in which it reduced its claims, but always threatening the activation of enforcement procedures.</w:t>
      </w:r>
    </w:p>
    <w:p>
      <w:r>
        <w:t>III. THE FINDINGS OF THE PROCEEDING</w:t>
        <w:br/>
        <w:t>1) The procedure process</w:t>
        <w:br/>
        <w:t>16. In relation to the behaviors described above, on February 9, 2017, the Party was notified of the initiation of investigative procedure No. PS10655 for possible violation of Articles 20, 24, 25, paragraph 1, letters d) and e), as well as 26, paragraph 1, letter f) of the Consumer Code.</w:t>
      </w:r>
    </w:p>
    <w:p>
      <w:r>
        <w:t>17. In this context, the unfairness of the practice carried out by CCF on behalf of DAD, aimed at aggressively demanding payment for a paid advertising service that the micro-enterprise had not consciously requested, was particularly contested.</w:t>
      </w:r>
    </w:p>
    <w:p>
      <w:r>
        <w:t>18. Concurrently with the initiation communication21, in order to acquire useful knowledge elements for the evaluation of the commercial practice in question, the professional was requested, pursuant to Article 27, paragraphs 3 and 4, of the Consumer Code and Article 12, paragraph 1, of the Regulation, to provide information regarding: i) its corporate and organizational structure (administrative and technical); ii) the contractual relationships between CCF Credit Collection Factoring s.r.o. and the company DAD Deutscher Adressdienst GmbH; iii) the criteria by which the Italian micro-enterprises to which payment reminders were sent for the collection of the alleged credits related to the services of the website http://www.registro-italiano-in-internet.com/ were selected; iv) the number, list, and economic sector of the Italian subscribers; v) the number, list, and economic sector of the Italian subscribers who paid following the payment reminders received from CCF; vi) the turnover generated in each of the years for which CCF Credit Collection Factoring s.r.o. has been active in the collection of the alleged credits related to the services of the website http://www.registro-italiano-in-internet.com.</w:t>
      </w:r>
    </w:p>
    <w:p>
      <w:r>
        <w:rPr>
          <w:b/>
        </w:rPr>
        <w:t>[Pages 181–183]</w:t>
      </w:r>
    </w:p>
    <w:p>
      <w:r>
        <w:t>BULLETIN NO. 31 OF AUGUST 16, 2017 183</w:t>
      </w:r>
    </w:p>
    <w:p>
      <w:r>
        <w:t xml:space="preserve">19. On March 23, 2017, CCF submitted its response to the request for information, along with a defense memorandum22.  </w:t>
        <w:br/>
        <w:t xml:space="preserve">20. On June 5, 2017, the Party was notified of the conclusion date of the preliminary phase, pursuant to Article 16, paragraph 1, of the Regulation23. This notification was made on June 13, 2017.  </w:t>
        <w:br/>
        <w:t xml:space="preserve">21. The professional did not submit any final memorandum by the established deadline, nor did he provide his accounting data.  </w:t>
        <w:br/>
        <w:t xml:space="preserve">2) The evidence acquired  </w:t>
        <w:br/>
        <w:t xml:space="preserve">22. The commercial practice contested against the professional in the initiation communication has been in place at least since June 201624 and is still ongoing25. Furthermore, as can be inferred from the residence of the various reporters, it appears that CCF sends the aforementioned communications to recipients throughout the national territory.  </w:t>
        <w:br/>
        <w:t xml:space="preserve">23. During the investigation, it emerged that CCF carries out on behalf of the company DAD the activity of debt collection that it claims against Italian microenterprises, as a presumed consideration for advertising services sold in the past years between 200926 and 201227.  </w:t>
        <w:br/>
        <w:t xml:space="preserve">24. In particular, there is a mandate relationship between CCF and DAD by virtue of which the former "acts in the name and on behalf of"28 the latter. This collection mandate provides for payment to CCF of a fee proportional to the recovered credit, while the risk of default would remain with DAD. Additionally, microenterprises are urged to pay the allegedly owed amounts directly into the bank account of the mandating company DAD.  </w:t>
        <w:br/>
        <w:t xml:space="preserve">3) The defensive arguments of the Party  </w:t>
        <w:br/>
        <w:t xml:space="preserve">25. CCF stated that it exclusively deals with debt collection activities, and therefore it "is not involved in any way in the contractual matters that underlie the credit itself"29.  </w:t>
        <w:br/>
        <w:t xml:space="preserve">26. Regarding its mode of operation, it stated that before accepting the assignment "the CCF Company ensures that, prima facie, the contract between creditor and debtor can be considered valid – in particular, it checks whether the form has been duly signed and whether the advertisement has occurred. Only if this verification is positive, the CCF Company accepts the mandate and proceeds to carry out the assignment by contacting the debtor and urging payment, via email and phone"30.  </w:t>
        <w:br/>
        <w:t xml:space="preserve">27. More specifically, it does not consider its behavior to be contrary to professional diligence or aggressive because:  </w:t>
        <w:br/>
        <w:t xml:space="preserve">(i) its collaborators "do not surprise visit microenterprises or urge payment by contacting neighbors or relatives, nor do they use misleading acronyms, information, or wording"31;  </w:t>
        <w:br/>
        <w:t xml:space="preserve">(ii) the transmission of reminders occurs shortly thereafter "to facilitate a quick resolution of the dispute and assess the usefulness of continuing attempts or returning the mandate"32;  </w:t>
        <w:br/>
        <w:t xml:space="preserve">(iii) it does not impose burdensome or disproportionate obstacles on businesses that intend to dispute their debt to DAD;  </w:t>
        <w:br/>
        <w:t xml:space="preserve">(iv) the threat of initiating legal action would not be manifestly reckless or unfounded, "as the credit is enforceable under German law, at least based on a prima facie investigation, since only the judicial authority is vested with the power to ascertain the validity or otherwise of the obligation"33;  </w:t>
        <w:br/>
        <w:t xml:space="preserve">(v) it would act fully legitimately to obtain immediate payment for a service undeniably rendered by the mandating company as it would be "impossible to argue that the microenterprise did not request the 'product', having freely signed an advertisement form, written in the language it understands"34.  </w:t>
        <w:br/>
        <w:t xml:space="preserve">IV. CONCLUDING EVALUATIONS  </w:t>
        <w:br/>
        <w:t xml:space="preserve">28. It should be noted preliminarily that the conduct under examination is capable of prejudicing the economic behavior of medium and small-sized enterprises, including microenterprises, as the examination of the documentation on file shows that this commercial practice has also involved those enterprises that meet the characteristics referred to in Article 18, paragraph 1, letter d-bis), of the Consumer Code35.  </w:t>
        <w:br/>
        <w:t xml:space="preserve">29. Regarding the merits of the case under examination, the persistent payment reminders sent by CCF on behalf of DAD are justified by it as consideration for advertising services originally provided by DAD. Furthermore, the amounts requested exceed the original amounts, as late payment interest and recovery and reminder costs, in addition to legal fees yet to be defined, are added to these.  </w:t>
        <w:br/>
        <w:t xml:space="preserve">30. In this regard, given the timing and increasingly pressing content of the reminders, they are likely to exert undue pressure on the recipients, as they threaten the initiation of legal action and emphasize the negative consequences that the alleged insolvency would bring to the involved microenterprise, thereby inducing it to proceed with payment or to agree to "an amicable resolution of the dispute"36. Therefore, the professional's argument that this mode of operation would be determined by the need to make the debt recovery procedure more efficient is not acceptable.  </w:t>
        <w:br/>
        <w:t xml:space="preserve">31. In particular, in addition to the pressing nature of the payment reminders (three communications within a few weeks), there is the circumstance that CCF announces the imminent summons to court for the forced recovery of the credit before a foreign court (Hamburg - Germany), demanding immediate payment ("We invite and warn you to provide, within three (3) days from this warning, payment"), emphasizing among other things in several points the increase in costs ("the estimated costs (based on similar disputes) of a Community litigation range from 8,000.00 to 12,000.00 EUR"; "avoid worsening your debt position with the addition of legal fees in case of litigation"; "the matter proceeds to litigation, with further increase in legal costs (EUR 850.00)").  </w:t>
        <w:br/>
        <w:t xml:space="preserve">32. Overall, therefore, CCF's behavior unduly pressures the involved enterprises to accept an extrajudicial resolution of the dispute, inducing them to pay for services provided in ways already deemed improper by this Authority37. Furthermore, consider that CCF, acting in the name and on behalf of DAD, in addition to exerting undue pressure through the repeated and insistent debt recovery requests described above, has not taken into account the disputes regarding the lack of basis for the credit raised in the specific cases by the microenterprises38, but instead continued to threaten to initiate legal action, which, for the reasons stated above, is manifestly reckless and unfounded.  </w:t>
        <w:br/>
        <w:t xml:space="preserve">33. The effects of such alteration of the choices of microenterprises are extremely significant, as the acceptance of the settlement involves the outlay of thousands of euros.  </w:t>
        <w:br/>
        <w:t xml:space="preserve">34. The commercial practice carried out by the professional is characterized by extreme breadth and capillarity, having essentially involved the entire national territory, as well as a very long duration, as it is still ongoing and there are reports on file in which CCF's letters were sent in June 201639.  </w:t>
        <w:br/>
        <w:t xml:space="preserve">35. The conduct described above must be considered improper pursuant to Article 20, paragraph 2, of the Consumer Code, being contrary to professional diligence, as there is no evidence from the professional of the normal degree of attention that can reasonably be expected, given the characteristics of the activity carried out. The contrariety to professional diligence by CCF is particularly evident in the fact that the collection system centered on sending three increasingly pressing communications constitutes a mechanism that the professional uses to unduly influence the decision-making process of the recipients, forcing them to make a consumption choice that they would not otherwise have made.  </w:t>
        <w:br/>
        <w:t xml:space="preserve">36. In conclusion, it is believed that the conduct of CCF violates the provisions of Articles 20, 24, 25, paragraph 1, letter e), as well as 26, paragraph 1, letter f), of the Consumer Code.  </w:t>
        <w:br/>
        <w:t xml:space="preserve">V. QUANTIFICATION OF THE SANCTION  </w:t>
        <w:br/>
        <w:t xml:space="preserve">37.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  </w:t>
        <w:br/>
        <w:t xml:space="preserve">38.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w:t>
        <w:br/>
        <w:t xml:space="preserve">37 See the previously cited proceedings PS9158, IP228, and IP261.  </w:t>
        <w:br/>
        <w:t xml:space="preserve">38 See: doc. prot. n. 0067331 of 2016, doc. prot. n. 0027160 of 2017; doc. prot. n. 0029006 of 2017; doc. prot. n. 0044493 of 2017; doc. prot. n. 0044501 of 2017; doc. prot. n. 0048907 of 2017.  </w:t>
        <w:br/>
        <w:t>39 See doc. prot. n. 0061123 of 2016.</w:t>
      </w:r>
    </w:p>
    <w:p>
      <w:r>
        <w:rPr>
          <w:b/>
        </w:rPr>
        <w:t>[Pages 184–186]</w:t>
      </w:r>
    </w:p>
    <w:p>
      <w:r>
        <w:t>186 BULLETIN NO. 31 OF AUGUST 16, 2017</w:t>
        <w:br/>
        <w:t>economic conditions of the company itself. With regard to this last aspect, it should be emphasized that the professional did not provide their accounting data during the proceedings.</w:t>
      </w:r>
    </w:p>
    <w:p>
      <w:r>
        <w:t>39. Regarding the seriousness of the violation, first of all, account is taken in the case at hand of the nationwide dissemination of the commercial practice, as evidenced by the documents on file. Secondly, the significant economic harm caused to Italian companies is also relevant, as they would be required to pay over three thousand euros for advertising services never requested.</w:t>
      </w:r>
    </w:p>
    <w:p>
      <w:r>
        <w:t>40. As for the duration of the violation, the available evidence indicates that this commercial practice has been carried out by CCF since at least June 2016 and is still ongoing.</w:t>
      </w:r>
    </w:p>
    <w:p>
      <w:r>
        <w:t>41. Based on these elements, it is deemed appropriate to determine the amount of the administrative pecuniary sanction applicable to CCF Credit Collection Factoring s.r.o. in the amount of €100,000 (one hundred thousand euros).</w:t>
      </w:r>
    </w:p>
    <w:p>
      <w:r>
        <w:t>CONSIDERED, therefore, based on the aforementioned considerations, that the commercial practice in question is deemed unfair pursuant to Articles 20, 24, 25, paragraph 1, letter e), as well as 26, paragraph 1, letter f), of the Consumer Code, as it is contrary to professional diligence and capable, through the undue conditioning of micro-enterprises regarding the acceptance of an out-of-court settlement related to the payment of advertising services never consciously requested, of appreciably distorting their economic behavior;</w:t>
      </w:r>
    </w:p>
    <w:p>
      <w:r>
        <w:t>RESOLVES</w:t>
        <w:br/>
        <w:t>a) that the commercial practice described in point II of this provision, carried out by CCF Credit Collection Factoring s.r.o., constitutes, for the reasons and within the limits set forth in the motivation, an unfair commercial practice pursuant to Articles 20, 24, 25, paragraph 1, letter e), as well as 26, paragraph 1, letter f), of the Consumer Code, and prohibits its dissemination or continuation;</w:t>
      </w:r>
    </w:p>
    <w:p>
      <w:r>
        <w:t>b) to impose on CCF Credit Collection Factoring s.r.o. an administrative pecuniary sanction of €100,000 (one hundred thousand euros);</w:t>
      </w:r>
    </w:p>
    <w:p>
      <w:r>
        <w:t>c) that the professional shall communicate to the Authority, within 90 days from the notification of this provision, the initiatives taken in compliance with the injunction referred to in point a).</w:t>
      </w:r>
    </w:p>
    <w:p>
      <w:r>
        <w:t>The imposed administrative sanction must be paid within thirty days from the notification of this provision, via bank transfer (in euros) to the State Budget,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w:t>
      </w:r>
    </w:p>
    <w:p>
      <w:r>
        <w:t>BULLETIN NO. 31 OF AUGUST 16, 2017 187</w:t>
        <w:br/>
        <w:t>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DEPUTY SECRETARY GENERAL THE PRESIDENT</w:t>
        <w:br/>
        <w:t>Annalisa Rocchietti Giovanni Pitruzzella</w:t>
      </w:r>
    </w:p>
    <w:p>
      <w:r>
        <w:t>188 BULLETIN NO. 31 OF AUGUST 16, 2017</w:t>
        <w:br/>
        <w:t>PS10666 - ATAC-SUPPRESSION OF RAIL SERVICES</w:t>
        <w:br/>
        <w:t>Provision No. 26710</w:t>
        <w:br/>
        <w:t>THE COMPETITION AND MARKET AUTHORITY</w:t>
        <w:br/>
        <w:t>IN ITS MEETING of July 25,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November 30, 2016, which ordered the inspection, pursuant to Article 27, paragraphs 2 and 3, of the Consumer Code, at the offices of ATAC S.p.A.;</w:t>
      </w:r>
    </w:p>
    <w:p>
      <w:r>
        <w:t>VIEWED the resolutions of March 1 and May 17, 2017, which, pursuant to Article 7, paragraph 3, of the Regulation, ordered the extension of the deadline for concluding the proceedings, respectively by 60 days for specific investigative needs and by 30 days awaiting the need to ensure the Party an adequate exercise of the right of defense;</w:t>
      </w:r>
    </w:p>
    <w:p>
      <w:r>
        <w:t>VIEWED the documents of the proceedings;</w:t>
      </w:r>
    </w:p>
    <w:p>
      <w:r>
        <w:t>I. THE PARTIES</w:t>
        <w:br/>
        <w:t>1. ATAC S.p.A. (hereinafter also ATAC or the Company), as a professional, pursuant to Article 18, letter b), of the Consumer Code. ATAC is a joint-stock company wholly controlled by the special territorial entity Città Metropolitana Roma Capitale ("Rome Capital"), active in the Local Public Transport (TPL) sector. Following the merger with Met.Ro S.p.A. and Trambus S.p.A. on January 1, 2010, ATAC currently manages all forms of collective mobility within the Metropolitan Area of Rome1, including the railway lines Rome - Lido di Ostia, Rome — Giardinetti - Pantano, and Rome — Civita Castellana Viterbo (hereinafter, collectively also "former concession railways"). Based on the last approved financial statement (year 2015), it appears that ATAC achieved revenues from sales and services amounting to €818,900,023 and an operating loss of €79,194,3842.</w:t>
      </w:r>
    </w:p>
    <w:p>
      <w:r>
        <w:t>2. ALTROCONSUMO, founded in 1973 under the name of Consumer Defense Committee, is one of the most representative consumer associations - non-profit - at the national level, registered in the list of consumer and user associations representative at the national level kept by the Ministry of Economic Development, as a subject representing widespread interests constituted as an association3.</w:t>
      </w:r>
    </w:p>
    <w:p>
      <w:r>
        <w:t>1 See http://www.atac.roma.it/page.asp?p=52.</w:t>
        <w:br/>
        <w:t>2 See http://www.atac.roma.it/files/doc.asp?r=4698.</w:t>
        <w:br/>
        <w:t>3 By virtue of the participation request received on January 23, 2017. See document No. 15 in the index of the file.</w:t>
      </w:r>
    </w:p>
    <w:p>
      <w:r>
        <w:rPr>
          <w:b/>
        </w:rPr>
        <w:t>[Pages 187–189]</w:t>
      </w:r>
    </w:p>
    <w:p>
      <w:r>
        <w:t>BULLETIN NO. 31 OF AUGUST 16, 2017 189</w:t>
      </w:r>
    </w:p>
    <w:p>
      <w:r>
        <w:t>II. THE COMMERCIAL PRACTICE</w:t>
      </w:r>
    </w:p>
    <w:p>
      <w:r>
        <w:t>3. The procedure concerns the conduct carried out by the professional, consisting of the representation – through the Schedule disseminated at the stations and on the website www.atac.roma.it – of an offer of frequent and substantial transport services that has not been reflected in the service actually provided, due to the systematic and persistent cancellation of scheduled runs of the public railway transport service, offered under exclusive conditions, along the routes Rome - Lido di Ostia, Rome – Giardinetti - Pantano, and Rome — Civita Castellana Viterbo.</w:t>
      </w:r>
    </w:p>
    <w:p>
      <w:r>
        <w:t>4. In particular, according to information acquired by ATAC itself4 following the closure, in June 2016, of the exploratory investigation conducted by the Authority in the local public transport sector (IC47)5, it emerged that the professional, in its capacity as the legally monopolistic manager of transport services on the "former concession railways"6, provided, during the period from 2010 to October 2016, a transport offer that was different and inferior to that scheduled in the Service Contract (hereinafter also, CdS) signed with the Lazio Region7, as reflected in the aforementioned Schedule posted at the stations and disseminated on the website www.atac.roma.it.</w:t>
      </w:r>
    </w:p>
    <w:p>
      <w:r>
        <w:t>5. Furthermore, ATAC would not have informed its users - or would not have adequately informed them, in advance and in a timely manner - about the impossibility of carrying out certain runs, despite being aware of the systematic reasons that could have caused the cancellation of some of them and the rescheduling of the times of those adjacent.</w:t>
      </w:r>
    </w:p>
    <w:p>
      <w:r>
        <w:t>III. THE FINDINGS OF THE PROCEDURE</w:t>
      </w:r>
    </w:p>
    <w:p>
      <w:r>
        <w:t>1) The procedure process</w:t>
      </w:r>
    </w:p>
    <w:p>
      <w:r>
        <w:t>6. Based on information acquired for the application of the Consumer Code8 regarding the commercial practice described above, on November 30, the investigative procedure no. PS10666 was initiated against ATAC S.p.A.9, for possible violation of Articles 20, 21, and 22 of the Consumer Code10.</w:t>
      </w:r>
    </w:p>
    <w:p>
      <w:r>
        <w:t>7. The initiation of the investigative procedure was communicated to the professional on December 5, 2016, the day on which an inspection was carried out at the company's headquarters in Rome.</w:t>
      </w:r>
    </w:p>
    <w:p>
      <w:r>
        <w:t>8. On December 23, 2016, ATAC transmitted its own memorandum while responding to the request for information contained in the communication initiating the procedure11.</w:t>
      </w:r>
    </w:p>
    <w:p>
      <w:r>
        <w:t>9. On January 17, 2017, the professional transmitted 2 DVDs containing the databases named INFOATAC and INFOMOBILITA' in incoming and outgoing, particularly those relating to the years 2015 - 2016.</w:t>
      </w:r>
    </w:p>
    <w:p>
      <w:r>
        <w:t>10. On January 23, 2017, a request to participate in the procedure was received from the consumer association Altroconsumo. The request was accepted and communicated to the Parties on the following February 9, 201712.</w:t>
      </w:r>
    </w:p>
    <w:p>
      <w:r>
        <w:t>11. On March 1, 2017, the extension of the deadline for concluding the procedure was communicated to the Parties, as decided by the Authority on the same day. This deadline was further extended by resolution of May 17, 2017 - and communicated to the Parties on the same day - at the request of the professional13.</w:t>
      </w:r>
    </w:p>
    <w:p>
      <w:r>
        <w:t>12. The Parties accessed the documents of the procedure, respectively, ATAC on March 21, 2017, and Altroconsumo on the following March 30th14.</w:t>
      </w:r>
    </w:p>
    <w:p>
      <w:r>
        <w:t>13. On March 24, 2017, the professional was heard in a specific hearing15.</w:t>
      </w:r>
    </w:p>
    <w:p>
      <w:r>
        <w:t>14. On April 26, 2017, the deadline for closing the investigative phase was communicated to the Parties16. This deadline was subsequently extended at the request of ATAC on May 17, 201717.</w:t>
      </w:r>
    </w:p>
    <w:p>
      <w:r>
        <w:t>15. On May 15, 2017, the final memorandum of Altroconsumo18 was received.</w:t>
      </w:r>
    </w:p>
    <w:p>
      <w:r>
        <w:t>16. On May 26, 2017, the final memorandum of ATAC19 was received.</w:t>
      </w:r>
    </w:p>
    <w:p>
      <w:r>
        <w:t>17. On May 29, 2017, opinions were requested pursuant to Article 27, paragraph 6, and Article 27, paragraph 1-bis of the Consumer Code, respectively from AGCOM and ART20. The opinion of ART was received on June 28, 201721, and the opinion of AGCOM on July 6, 2017.</w:t>
      </w:r>
    </w:p>
    <w:p>
      <w:r>
        <w:t>9 See doc. n. 7 in the index of the file.</w:t>
      </w:r>
    </w:p>
    <w:p>
      <w:r>
        <w:t>10 In this context, a potentially unfair commercial conduct was particularly hypothesized under various profiles: a) the failure to carry out the scheduled runs, as resulting from the Schedule disseminated at the stations and through the website www.atac.roma.it, as it was presumably capable of misleading consumers regarding the actual availability of the service, in violation of Article 21 of the Consumer Code; b) the failure to disseminate preventive and timely information regarding the impossibility of carrying out certain runs, despite ATAC being aware of the systematic reasons that could have caused their cancellation, in possible violation of Article 22 of the same Code; c) the alleged violation of Article 20, paragraph 2, of the Consumer Code as, given the reduction in the number and frequency of runs compared to what was established by the Service Contract signed with the Lazio Region - due to shortcomings in the organization and management of the service by ATAC, rather than to exogenous reasons - the professional would have failed to comply with the standards of professional diligence required of an operator of such significance, concessionaire of a public service, in the management of essential transport lines for commuters and urban mobility.</w:t>
      </w:r>
    </w:p>
    <w:p>
      <w:r>
        <w:t>11 See doc. n. 12 in the index of the file.</w:t>
      </w:r>
    </w:p>
    <w:p>
      <w:r>
        <w:t>12 See doc. n. 15, 16, and 17 in the index of the file.</w:t>
      </w:r>
    </w:p>
    <w:p>
      <w:r>
        <w:t>13 See doc. n. 21, 37, and 40 in the index of the file.</w:t>
      </w:r>
    </w:p>
    <w:p>
      <w:r>
        <w:t>14 See doc. n. 28 and 32 in the index of the file.</w:t>
      </w:r>
    </w:p>
    <w:p>
      <w:r>
        <w:t>15 See doc. n. 30 in the index of the file.</w:t>
      </w:r>
    </w:p>
    <w:p>
      <w:r>
        <w:t>16 See doc. n. 35 and 36 in the index of the file.</w:t>
      </w:r>
    </w:p>
    <w:p>
      <w:r>
        <w:t>17 See doc. n. 41 in the index of the file.</w:t>
      </w:r>
    </w:p>
    <w:p>
      <w:r>
        <w:t>18 See doc. n. 39 in the index of the file.</w:t>
      </w:r>
    </w:p>
    <w:p>
      <w:r>
        <w:t>19 See doc. n. 42 in the index of the file.</w:t>
      </w:r>
    </w:p>
    <w:p>
      <w:r>
        <w:t>BULLETIN NO. 31 OF AUGUST 16, 2017 191</w:t>
      </w:r>
    </w:p>
    <w:p>
      <w:r>
        <w:t>2) The evidence acquired</w:t>
      </w:r>
    </w:p>
    <w:p>
      <w:r>
        <w:t>A) The Service Contract</w:t>
      </w:r>
    </w:p>
    <w:p>
      <w:r>
        <w:t>18. ATAC manages, under a legal monopoly, local public transport (TPL) services on the regional railway lines "Rome - Lido di Ostia", "Rome — Giardinetti – Pantano", and "Rome — Civita Castellana Viterbo", based on a Service Contract signed in 2007 between the Lazio Region (as the contracting authority)22 and the company Met.Ro. S.p.A. - the contracting entity to which, in 2010, ATAC succeeded23 - and is still renewed year by year under a prorogation regime.</w:t>
      </w:r>
    </w:p>
    <w:p>
      <w:r>
        <w:t>19. The Service Contract formalizes the mutual commitments and obligations between the contracting authority and the contracting company24. In particular, ATAC, in exchange for a fee that allows for the coverage of service costs net of revenues for each line, operates the public railway transport lines according to an operating program that, in compliance with the quality standards of the services defined in the contract and in the service charter, describes the offer for each of the three lines of the former concession railways, among other things, in terms of: i) service hours; ii) daily runs (weekday and holiday winter, weekday and holiday summer); iii) vehicle-Km of service/trains-Km of service (art. 5).</w:t>
      </w:r>
    </w:p>
    <w:p>
      <w:r>
        <w:t>20. ATAC, directly or by using third parties, takes care of and guarantees the ordinary maintenance of rolling stock (including the periodic inspections required by law) and of the stations and infrastructures in its possession or in exclusive use. The Lazio Region, as the Contracting Authority, is instead responsible for the extraordinary maintenance of the infrastructures, systems, and rolling stock, to be developed with resources granted to the Region under Law No. 297 of June 8, 1978.</w:t>
      </w:r>
    </w:p>
    <w:p>
      <w:r>
        <w:t>21. For what is most relevant for the present provision, the following is highlighted regarding the provisions of certain articles of the Service Contract; and, in particular:</w:t>
        <w:br/>
        <w:t>- Article 8 (Modifications to the Scheduled Service) of the contract provides for the possibility of modifications to the scheduled service, without reduction of the fee, “[...] for carrying out improvement works, renewal, and enhancement of the railway infrastructure [...] and in any case in the event of dysfunctions arising from unforeseeable events with the application of normal diligence” (emphasis added). Pursuant to the same article, the contracting entity of the public railway transport service “communicates the temporary variations of the operating program on the occasion of scheduled works, not concerning ordinary maintenance, on fixed sites and track sites” (paragraph 2) committing to ensure travel conditions quantitatively and qualitatively comparable to the basic offer according to criteria defined for each route that consist of agreements with other accredited/authorized operators for the transport of persons for the route.</w:t>
      </w:r>
    </w:p>
    <w:p>
      <w:r>
        <w:rPr>
          <w:b/>
        </w:rPr>
        <w:t>[Pages 190–192]</w:t>
      </w:r>
    </w:p>
    <w:p>
      <w:r>
        <w:t>192 BULLETIN NO. 31 OF AUGUST 16, 2017</w:t>
        <w:br/>
        <w:t>the affected service or the substitute service or, if possible, the intensification of existing alternative services25;</w:t>
        <w:br/>
        <w:t>- Article 11 (Suppressions), paragraph 3, provides that “[...] if the suppressed journeys due to causes attributable to Met.Ro. S.p.A. [ATAC], excluding the cases provided for in Articles 8 and 9, exceed 2% of the scheduled journeys for the Roma-Lido and Roma-Viterbo lines and 4% for the Roma-Pantano line on a monthly basis, a penalty will be applied as provided in Annex 4”;</w:t>
        <w:br/>
        <w:t>- pursuant to Article 12 of the CdS, the parties annually identify the objectives of effectiveness, efficiency, and quality of services through certain parameters; in particular, as relevant here, Annex 4 indicates, among others, the punctuality standards (% of trains delayed) and reliability (% Trains/Km suppressed or limited compared to the scheduled) that the contracting authority commits to guarantee, as well as the related penalties and incentives26;</w:t>
        <w:br/>
        <w:t>- Article 13 (Reports on Operations) provides for the transmission to the Region by ATAC of "Monthly Reports on Operations" as an assessment of the actual state of the quantitative and qualitative level of the service provided;</w:t>
        <w:br/>
        <w:t>- Article 16 (Reliability) provides for the verification of the reliability of the service rendered in terms of suppressed trains. The same article also refers to the commitment of [ATAC] to transmit to the Region a report certifying the suppressions, concerning each traffic line and the related causes. Penalties are due for the failure to meet reliability standards and do not apply in cases of suppression not attributable to [ATAC] as per Articles 8 and 9;</w:t>
        <w:br/>
        <w:t>- Article 21 (Information to the Public) provides for the commitment of [ATAC] to provide information to travelers regarding, among other things, the schedule and service changes that must be posted in paper form and displayed at the directly affected stations and stops; the wall schedule and the scheduled changes known in advance are defined as Main Information27. Compliance with the commitments made by [ATAC] is verified through monitoring activities28.</w:t>
        <w:br/>
        <w:t>22. Finally, it is noteworthy to mention the provision in Article 25 of the CdS, particularly where it states that the concessionaire (currently ATAC) commits to monitor and intervene in order to ensure: i) the regular execution of the operating program, with particular reference to compliance with frequencies and schedules; ii) the proper management of personnel; and iii) compliance with the qualitative service standards.</w:t>
        <w:br/>
        <w:t>25 Furthermore, pursuant to Article 9 of the CdS, the execution of services cannot be interrupted or suspended by [ATAC] for any reason except for force majeure or in cases ordered by the Authorities for reasons of public order and safety. [ATAC] guarantees, in the event of a strike, the provision of the minimum service quantity required, as established by Law 12/6/1990, No. 146 and the National Agreement of February 7, 1991.</w:t>
        <w:br/>
        <w:t>26 In relation to this last parameter (reliability), point 4.2 of Annex 4 to the Contract provides for a monthly measurement of trains x km suppressed or limited and, in the corresponding Table 1, the penalties provided are reported.</w:t>
        <w:br/>
        <w:t>27 In particular, the following information is defined as "Main": i) wall schedule; ii) scheduled changes known in advance; iii) ticket office hours; iv) existence and location of sales points. All other information provided at the station pursuant to the first paragraph of Article 21 is defined as "Secondary." The same article, in paragraph 4, provides that Met.Ro [ATAC] commits to submit to the Region a quality improvement program also in the area of user information. This program must be clearly identified and measurable. For failure to comply with the established standards, a penalty applies. Furthermore, public information must be particularly well managed on the ground in case of abnormalities in operations that cause delays to trains.</w:t>
        <w:br/>
        <w:t>28 The "scheduled changes known in advance" can be traced back to the "modifications to the scheduled service" referred to in the aforementioned Article 8. See doc. No. 45, opinion rendered by the Transport Regulation Authority.</w:t>
      </w:r>
    </w:p>
    <w:p>
      <w:r>
        <w:t>BULLETIN NO. 31 OF AUGUST 16, 2017 193</w:t>
        <w:br/>
        <w:t>B) The findings regarding the reliability of local public transport services on the former-conceded railways from 2010 to 2016 (October)</w:t>
        <w:br/>
        <w:t>23. Given the above, based on the evidence acquired in the case file29, it has emerged that the actual offer of local railway transport service along the routes “Rome - Lido di Ostia”, “Rome — Giardinetti – Pantano” and “Rome — Civita Castellana Viterbo” has been different and lower - throughout the observation period covered by this provision (2010/October 2016) - compared to the programming provided in the aforementioned Service Contract as reflected in the Schedule posted at the stations and disseminated on the professional's website www.atac.roma.it.</w:t>
        <w:br/>
        <w:t>The deviation between journeys made and scheduled - January 2010/October 2016</w:t>
        <w:br/>
        <w:t>24. In detail, the following Table No. 1 shows the significant and lasting deviation - in terms of the number of journeys - of the railway services actually offered by the professional in the period 2010/October 2016 concerning the total of the former-conceded railways compared to the production objectives of ATAC established in the CdS*30.</w:t>
        <w:br/>
        <w:t>Tab. 1 – Deviation between journeys made and scheduled - January 2010/October 2016</w:t>
        <w:br/>
        <w:t>total former-conceded railways</w:t>
        <w:br/>
        <w:t>scheduled journeys actual journeys suppressed journeys ∆ production % deviations</w:t>
        <w:br/>
        <w:t>%(suppressed/scheduled)</w:t>
        <w:br/>
        <w:t>total total total between actual and scheduled</w:t>
        <w:br/>
        <w:t>2010 262,560 251,377 12,460 4.75 4.26</w:t>
        <w:br/>
        <w:t>2011 255,083 241,514 15,087 5.91 5.32</w:t>
        <w:br/>
        <w:t>2012 255,118 236,031 20,814 8.16 7.48</w:t>
        <w:br/>
        <w:t>2013 253,079 223,921 30,745 12.15 11.52</w:t>
        <w:br/>
        <w:t>2014 239,239 220,364 26,688 11.16 7.89</w:t>
        <w:br/>
        <w:t>2015 231,522 211,422 28,543 12.33 8.68</w:t>
        <w:br/>
        <w:t>2016 199,015 187,899 11,536 5.80 5.59</w:t>
        <w:br/>
        <w:t>29 In particular, the information acquired from ATAC both before the opening of the investigation and during its conduct, as well as the documentation acquired during the inspection carried out on December 5, 2016, at the ATAC headquarters in Rome.</w:t>
        <w:br/>
        <w:t>* In this version, some data are omitted, as elements of confidentiality or secrecy of the information were deemed to exist.</w:t>
        <w:br/>
        <w:t>30 The Tables included in the text, developed based on the reports provided by the professional in the case file concerning the "Monthly Reports on Operations" that ATAC transmits monthly to the Lazio Region (Article 13, paragraph 1, CdS - See annexes to doc. No. 2 in the index of the file), relate to the number of journeys made and the total number of suppressions operated by the professional during the reference period; these data include the number of extraordinary journeys, substitutes for those suppressed (see below).</w:t>
        <w:br/>
        <w:t>The deviation also emerges in terms of Km/vehicles operated (as well as in terms of Trains/Km) as highlighted in the following Table. See docs. No. 2 and 3 in the index of the file and, for the year 2016, doc. Ferrovie Concesse Cons as of October 31, 2016 – folder workstation [omitted] acquired during the inspection carried out on December 5, 2016.</w:t>
        <w:br/>
        <w:t>Deviation between Km/vehicles operated and scheduled - January 2010/October 2016</w:t>
      </w:r>
    </w:p>
    <w:p>
      <w:r>
        <w:t>194 BULLETIN NO. 31 OF AUGUST 16, 2017</w:t>
        <w:br/>
        <w:t>25. The subsequent Table No. 2 highlights the same findings, in terms of the percentage of suppression of journeys and the deviation of journeys actually realized by ATAC during the reference period for each individual route.</w:t>
        <w:br/>
        <w:t>Tab. 2 - Deviation between journeys made and scheduled - January 2010/October 2016</w:t>
        <w:br/>
        <w:t>rome lido rome giardinetti - pantano rome viterbo urban section and</w:t>
        <w:br/>
        <w:t>∆ production %</w:t>
        <w:br/>
        <w:t>∆ production % deviations between ∆ production % deviations between</w:t>
        <w:br/>
        <w:t>%(suppressed/scheduled) %(suppressed/scheduled) %(suppressed/scheduled) deviations between actual and</w:t>
        <w:br/>
        <w:t>actual and scheduled actual and scheduled</w:t>
        <w:br/>
        <w:t>scheduled</w:t>
        <w:br/>
        <w:t>2010 2.96 1.70 3.92 3.60 7.57 7.40</w:t>
        <w:br/>
        <w:t>2011 5.82 4.61 5.30 4.70 7.13 7.09</w:t>
        <w:br/>
        <w:t>2012 4.11 3.29 7.68 7.68 12.45 10.63</w:t>
        <w:br/>
        <w:t>2013 7.14 6.42 15.41 15.41 10.33 8.62</w:t>
        <w:br/>
        <w:t>2014 8.08 3.00 14.87 14.87 7.19 -0.31</w:t>
        <w:br/>
        <w:t>2015 18.82 13.31 11.54 8.18 7.98 5.48</w:t>
        <w:br/>
        <w:t>2016 7.57 7.04 7.79 7.68 1.72 1.64</w:t>
        <w:br/>
        <w:t>The causes of journey suppression</w:t>
        <w:br/>
        <w:t>26. In order to duly consider the possible recurrence of causes of suppression not attributable to the company31, the subsequent Table No. 3 shows, instead, the same findings divided by the different causes of journey suppression that are specifically reported, for each railway line, in the aforementioned "Monthly Reports on Operations" and that essentially certify them.</w:t>
        <w:br/>
        <w:t>Tab. 3 - Causes of journey suppression - Total railways from Jan. 2010 to Oct. 2016</w:t>
        <w:br/>
        <w:t>27. From the analysis of the data, it clearly emerges that the main reasons that have determined the deviations in production compared to that scheduled are substantially due to items such as “lack of personnel,” “lack of materials,” and “schedule adjustment,” which pertain to</w:t>
        <w:br/>
        <w:t>31 See Articles 8 and 9 of the CdS, cited.</w:t>
      </w:r>
    </w:p>
    <w:p>
      <w:r>
        <w:rPr>
          <w:b/>
        </w:rPr>
        <w:t>[Pages 193–195]</w:t>
      </w:r>
    </w:p>
    <w:p>
      <w:r>
        <w:t>BULLETIN NO. 31 OF AUGUST 16, 2017 195</w:t>
        <w:br/>
        <w:t>directly related to the programming and organization competencies of the Services by ATAC and certainly not attributable to exogenous factors or sporadic events or mere service disruptions.</w:t>
      </w:r>
    </w:p>
    <w:p>
      <w:r>
        <w:t>28. In this regard, it suffices to consider that, as evidenced by the documentation on file32, for all routes and for the entire reference period, these items account for almost all the cancellations of trips made [on average: i) for all routes for more than ¾ of the cancellations; ii) for the Roma Lido for about 74% (85% in 2014); iii) for the Roma Giardinetti for 86.5% (96.5% in 2014); iv) for the Roma Viterbo for 56% (89% in 2014).</w:t>
      </w:r>
    </w:p>
    <w:p>
      <w:r>
        <w:t>29. In the year 2015 alone, "lack of personnel" explains over 53% of the cancellations33; followed by "other causes" (22%), "schedule adjustment" (10%), "lack of materials" (8%).</w:t>
      </w:r>
    </w:p>
    <w:p>
      <w:r>
        <w:t>30. From some documents acquired during the inspection, it appears that the persistent deficient provision of the service had long been known to the management of the transport company concerning all the railway lines subject to this proceeding and that the causes of cancellation, to be identified in the lack of personnel, are confirmed to be systematic over time and do not refer only, as asserted by the professional in his submissions, to the peak period that occurred in 2015.</w:t>
      </w:r>
    </w:p>
    <w:p>
      <w:r>
        <w:t>31. Based on the documents on file, the problem of lack of personnel would also concern periods prior to 2015. By way of mere example and not exhaustive, it is recalled:</w:t>
        <w:br/>
        <w:t>- in relation to the Roma-Lido railway line, a slide from an internal document of March 201234, from which the substantial difference between staff and actual needs for the various key figures necessary for the provision of transport service can be inferred;</w:t>
        <w:br/>
        <w:t>- in relation to the Roma-Giardinetti railway line, a note from the Lazio Region35 - addressed to ATAC already in 2012 - in which the existence of multiple causes of cancellation - partial or total - of trips on the line in question is noted and where, among other things, the Region acknowledges that "... the main cause of trip cancellations is the lack of personnel. This serious situation had already been reported in a note ... from 2011 (...). From the operational reports received, it emerges that the phenomenon of lack of personnel has significantly worsened, particularly concerning train staff"36;</w:t>
        <w:br/>
        <w:t>- in relation to the Roma-Viterbo railway line, a document consisting of a chain of emails related to the period July-September 2013, in which the Commuters Committee of the Roma Nord Railway complains about the chronic nature of the cancellations made on the line. On September 6, 2013, the exchange of information between ATAC employees highlights that "What has been highlighted depends on the chronic lack of personnel. There have been uncovered [omitted] driver shifts (...) and [omitted] train conductor shifts (....). Of [omitted] among drivers and conductors of which [omitted] present, only in [omitted] have performed overtime (double shift)"37.</w:t>
      </w:r>
    </w:p>
    <w:p>
      <w:r>
        <w:t>32. Items more properly attributable to technical difficulties, which could also theoretically be attributed to service disruptions for which the company is responsible, such as "material failures," "plant failures," and "power supply interruptions," are of limited scope, while the items termed "Handling Times," "Total Cancellations," and "Service Reduction" are completely irrelevant.</w:t>
      </w:r>
    </w:p>
    <w:p>
      <w:r>
        <w:t>33. The only cancellation causes that, plausibly, cannot be attributed to the responsibility of the professional are "Line Works"38 and, in particular, "Strikes." In any case, even purging, considering the relevance expressed by ATAC in its concluding memorandum39, the data presented above regarding the number of cancellations due to force majeure - among which, indeed, "Line Works" and "Strikes," as well as, prudently, "Other Causes" (despite some of the cancellation causes included therein could also be attributed to the responsibility of the professional40), the available data confirms the significant consistency and systematic nature of the phenomenon of trip cancellations throughout the reference period (see below).</w:t>
      </w:r>
    </w:p>
    <w:p>
      <w:r>
        <w:t>34. In particular, even not considering the cancellations due to force majeure41, for all the former concession railways – between 2010 and 2013 – the percentage of trips not made (canceled) more than doubled, rising from 3.12% to 10.77% of the total scheduled trips, reaching in 2013 a level of about 28,000 across all former concession railways. In 2014-15, the cancellations (ranging between 21,000 and 26,000 trips) represented between 9.2% and 10.6% of the scheduled trips. In January-October 2016, the phenomenon, while diminishing, remained well above physiological levels, representing cancellations of over 4% of the scheduled trips.</w:t>
      </w:r>
    </w:p>
    <w:p>
      <w:r>
        <w:t>35. In order to appreciate the frequency and magnitude of cancellations over the years, it is necessary to look at the percentages of cancellations recorded in each month for each line. The following graphs highlight in how many months (measured as a percentage of the total months in the period January 2010 — October 2016) a certain percentage of cancellations was recorded concerning the number of scheduled trips. The cancellations considered are only those attributable to ATAC (purged, as mentioned, from the number of those resulting from force majeure42).</w:t>
      </w:r>
    </w:p>
    <w:p>
      <w:r>
        <w:t>36. In the graphs below, the first vertical bar represents the proportion of months in which the level of cancellations was found to be physiological. The remaining bars represent the frequency of monthly percentages of cancellations beyond the physiological level in increasing order of intensity of the phenomenon.</w:t>
      </w:r>
    </w:p>
    <w:p>
      <w:r>
        <w:t>Graph 1</w:t>
        <w:br/>
        <w:t>Roma Lido - frequency of monthly percentages of</w:t>
        <w:br/>
        <w:t>cancellation compared to the scheduled for causes</w:t>
        <w:br/>
        <w:t>attributable to ATAC in the period Jan 2010-Oct. 2016</w:t>
        <w:br/>
        <w:t>30.0%</w:t>
        <w:br/>
        <w:t>F 25.0%</w:t>
        <w:br/>
        <w:t>R 20.0%</w:t>
        <w:br/>
        <w:t>E 15.0%</w:t>
        <w:br/>
        <w:t>Q 10.0%</w:t>
        <w:br/>
        <w:t>U 5.0%</w:t>
        <w:br/>
        <w:t>E 0.0%</w:t>
        <w:br/>
        <w:t>N 0-2 2-4 4-6 6-8 8-10 10-12 12-14 14-16 16-18 18-20 &gt;20</w:t>
        <w:br/>
        <w:t>Z % monthly cancellation</w:t>
        <w:br/>
        <w:t>A</w:t>
        <w:br/>
        <w:t>Graph 2</w:t>
        <w:br/>
        <w:t>Roma-Giardinetti - frequency of monthly percentages of</w:t>
        <w:br/>
        <w:t>cancellation compared to the scheduled for causes</w:t>
        <w:br/>
        <w:t>attributable to ATAC in the period Jan 2010-Oct. 2016</w:t>
        <w:br/>
        <w:t>40.0%</w:t>
        <w:br/>
        <w:t>F</w:t>
        <w:br/>
        <w:t>30.0%</w:t>
        <w:br/>
        <w:t>R</w:t>
        <w:br/>
        <w:t>E 20.0%</w:t>
        <w:br/>
        <w:t>Q</w:t>
        <w:br/>
        <w:t>10.0%</w:t>
        <w:br/>
        <w:t>U</w:t>
        <w:br/>
        <w:t>E 0.0%</w:t>
        <w:br/>
        <w:t>N 0-4 4-6 6-8 8-10 10-12 12-14 14-16 16-18 18-20 &gt;20</w:t>
        <w:br/>
        <w:t>Z % monthly cancellation</w:t>
        <w:br/>
        <w:t>A</w:t>
      </w:r>
    </w:p>
    <w:p>
      <w:r>
        <w:rPr>
          <w:b/>
        </w:rPr>
        <w:t>[Pages 196–198]</w:t>
      </w:r>
    </w:p>
    <w:p>
      <w:r>
        <w:t>198 BULLETIN NO. 31 OF AUGUST 16, 2017</w:t>
        <w:br/>
        <w:t>Graph 3</w:t>
        <w:br/>
        <w:t>Rome - Viterbo (urban and suburban) - frequency of monthly percentages of cancellations compared to the scheduled for reasons attributable to ATAC in the period January 2010 - October 2016</w:t>
        <w:br/>
        <w:t>40.0%</w:t>
        <w:br/>
        <w:t>F</w:t>
        <w:br/>
        <w:t>30.0%</w:t>
        <w:br/>
        <w:t>R</w:t>
        <w:br/>
        <w:t>E 20.0%</w:t>
        <w:br/>
        <w:t>Q</w:t>
        <w:br/>
        <w:t>10.0%</w:t>
        <w:br/>
        <w:t>U</w:t>
        <w:br/>
        <w:t>E 0.0%</w:t>
        <w:br/>
        <w:t>N 0-2 2-4 4-6 6-8 8-10 10-12 12-14 14-16 16-18 18-20 &gt;20</w:t>
        <w:br/>
        <w:t>Z</w:t>
        <w:br/>
        <w:t>% monthly cancellations</w:t>
        <w:br/>
        <w:t>A</w:t>
        <w:br/>
        <w:t>37. As shown in the previous graphs, the monthly percentages of cancellations were nonetheless above physiological levels in at least 60% of the months of the considered period: i) on the Rome-Lido railway line, in almost 75% of the months43; ii) on the Rome-Giardinetti Pantano railway line, in 62% of the months; iii) on the Rome-Viterbo railway line (urban and suburban section) in 65% of the months. Cancellations exceeded even 10% of scheduled runs in over 20% of the months for the Rome-Lido44, in 8.5% of the months for the Rome-Viterbo, and in almost a third of the months for the Rome-Giardinetti.</w:t>
        <w:br/>
        <w:t>38. The phenomenon was particularly severe on the Rome-Lido route in 2015, where an average of daily cancellations of 31 was recorded, about three times that observed in the years from 2011 to 201445, reaching peaks of extreme criticality in the summer months when, even with reference to the other two routes, the concentration of canceled runs was particularly high.</w:t>
        <w:br/>
        <w:t>39. From the documentation acquired in the file, it emerged that the professional, at least until September 2015, sought to contain the negative effects resulting from the cancellation of runs through management actions with overtime shifts by the staff in service, despite the presence and awareness of the structural limit given by the voluntary adherence of the worker to the overtime shift46.</w:t>
        <w:br/>
        <w:t>40. ATAC has carried out, in some circumstances, extraordinary runs47 in replacement of those canceled, rescheduling the planned times (advancing the departure of subsequent trains and postponing previous trains).</w:t>
        <w:br/>
        <w:t>43 Sum of the frequencies indicated by the vertical bars following the first.</w:t>
        <w:br/>
        <w:t>44 Sum of the frequencies indicated by the vertical bars corresponding to the percentages 10-12 and subsequent.</w:t>
        <w:br/>
        <w:t>45 See, by way of example and not exhaustive, doc. 16 02 02 Rome-Lido - contained in the workstation folder [omitted] acquired during the inspection on December 5, 2016.</w:t>
        <w:br/>
        <w:t>46 See doc. no. 12 in the index of the file, pp. 30-31.</w:t>
        <w:br/>
        <w:t>47 In other circumstances, extraordinary runs were not used by the professional to contain the inconvenience of cancellations even when the number of these was high. By way of mere example and not exhaustive, the following findings are reported: 1) Rome Viterbo Railway - July 2012 - urban section: canceled runs 1,149 - extraordinary runs: 0 - suburban section - March 2011 - canceled runs 190 - extraordinary runs: 0; 2) Rome Lido Railway, September 2015: canceled runs 992 - extraordinary runs: 47; 3) Rome Giardinetti Railway - July 2013 - canceled runs 799 - extraordinary runs: 0. See attachment to doc. no. 2 in the index of the file.</w:t>
        <w:br/>
        <w:t>48 See doc. no. 12, pp. 8 and 9, in the index of the file.</w:t>
      </w:r>
    </w:p>
    <w:p>
      <w:r>
        <w:t>200 BULLETIN NO. 31 OF AUGUST 16, 2017</w:t>
        <w:br/>
        <w:t>41. The subsequent Image no. 1 exemplifies the modus operandi of ATAC in cases where, for contingent reasons related to extraordinary refusals, absenteeism, or use of Law 104 without notice (which are the predominant causes of cancellations that occurred, in particular, on the Rome-Lido and Rome-Viterbo)48, some shifts of the train staff remain uncovered, here hypothetically corresponding to the 3 departures at 9:10, 9:20, and 9:30. In this circumstance, the professional proceeds to a reorganization of the service that also implies the cancellation of the runs departing at 9:40 and 9:50. Therefore, instead of having 3 canceled shifts and 4 scheduled shifts completed, with the new rescheduling aimed at balancing departures, there will be 5 canceled shifts, 2 extraordinary shifts, and 2 scheduled shifts completed – that is, 4 runs completed out of the 7 planned.</w:t>
        <w:br/>
        <w:t>Image no. 1</w:t>
        <w:br/>
        <w:t>42. The technical remedy devised by the professional essentially only has the effect of reducing the time interval between one run and another (frequency) compared to what would have been determined by leaving the official schedule unchanged, not altering the objective data of the reduction in the number of runs scheduled and expected by users.</w:t>
        <w:br/>
        <w:t>43. From the specific example produced by ATAC, the actually canceled shifts remain at a number of 3 (9:10, 9:30, and 9:50) out of the 7 total considered in the reference time frame reported in the example itself, with the result, also this objective, that ATAC has nonetheless disregarded the Schedule due to the actual cancellation of some of the scheduled shifts. Such cancellations (without which there would normally be no rescheduling), as has been extensively demonstrated in the preceding paragraphs, in almost the majority of cases depend, throughout the period subject to observation of this provision, on reasons nonetheless attributable to the direct responsibility of the professional (particularly the lack of personnel and not due to force majeure or unforeseeable events with the application of normal diligence as provided by the Service Contract).</w:t>
        <w:br/>
        <w:t>44. The rescheduling of runs, through the mechanism represented above (recourse to extraordinary runs), therefore seems ineffective in the sense that it does not appear capable of compensating for all the canceled runs. This is particularly evident when analyzing the data relating to the runs carried out.</w:t>
        <w:br/>
        <w:t>45. From such data, in fact, a significant negative deviation emerges between the production carried out (which includes extraordinary runs)49 and the scheduled production (calculated both in terms of the number of runs and KM/vehicles)50. In fact, the average deviation between runs carried out and scheduled runs, calculated on the total of the former concession railways, increased from 4.3% to 11.5% between 2010 and 2013, then settling between 8% and 9% in 2014-15 and reducing to 5.5% in 2016.</w:t>
        <w:br/>
        <w:t>46. The frequency and extent of deviations between the runs carried out and those scheduled (as resulting from the Schedule) can be appreciated by observing the percentages of deviation recorded in each month for each line, reported in the following graphs.</w:t>
        <w:br/>
        <w:t>47. In these graphs, as previously, the frequency with which a certain monthly percentage of deviation between the runs carried out and those scheduled51 was recorded during the considered period is shown.</w:t>
        <w:br/>
        <w:t>48. From the graphs, it appears that, despite ATAC having carried out extraordinary runs, the deviations were above 4% in at least more than half of the months of the considered period in all former concession railways. The deviations even exceeded 10% in over 17% of the months for the Rome-Lido, in almost 20% of the months for the Rome-Viterbo, and in a third of the months for the Rome-Giardinetti52.</w:t>
        <w:br/>
        <w:t>49 See the cited "Monthly Operating Reports," doc. no. 2 in the index of the file.</w:t>
        <w:br/>
        <w:t>50 For the results in terms of KM/vehicles, see previous note no. 30.</w:t>
        <w:br/>
        <w:t>51 The first vertical bar represents the proportion of months in which the percentage of actual/scheduled deviation was physiological. The remaining bars represent the frequency of monthly deviation percentages beyond the physiological level in increasing order of intensity of the phenomenon.</w:t>
        <w:br/>
        <w:t>52 [See elaborations reported in doc. no. 35 in the index of the file – communication of the conclusion of the preliminary phase].</w:t>
      </w:r>
    </w:p>
    <w:p>
      <w:r>
        <w:rPr>
          <w:b/>
        </w:rPr>
        <w:t>[Pages 199–201]</w:t>
      </w:r>
    </w:p>
    <w:p>
      <w:r>
        <w:t>BULLETIN NO. 31 OF AUGUST 16, 2017 201</w:t>
        <w:br/>
        <w:t>Graph 4</w:t>
        <w:br/>
        <w:t>Rome-Lido - Frequency of monthly % deviations</w:t>
        <w:br/>
        <w:t>actual/planned Jan. 2010 - Oct. 2016</w:t>
        <w:br/>
        <w:t>35.0%</w:t>
        <w:br/>
        <w:t>F 30.0%</w:t>
        <w:br/>
        <w:t>R</w:t>
        <w:br/>
        <w:t>25.0%</w:t>
        <w:br/>
        <w:t>E</w:t>
        <w:br/>
        <w:t>Q 20.0%</w:t>
        <w:br/>
        <w:t>U</w:t>
        <w:br/>
        <w:t>15.0%</w:t>
        <w:br/>
        <w:t>E</w:t>
        <w:br/>
        <w:t>N</w:t>
        <w:br/>
        <w:t>10.0%</w:t>
        <w:br/>
        <w:t>Z</w:t>
        <w:br/>
        <w:t>A 5.0%</w:t>
        <w:br/>
        <w:t>0.0%</w:t>
        <w:br/>
        <w:t>0-2 2-4 4-6 6-8 8-10 10-12 12-14 14-16 16-18 18-20 &gt;20</w:t>
        <w:br/>
        <w:t>monthly % deviation between actual and scheduled runs</w:t>
        <w:br/>
        <w:t>Graph 5</w:t>
        <w:br/>
        <w:t>Rome-Giardinetti - Frequency of monthly % deviations</w:t>
        <w:br/>
        <w:t>actual/planned Jan. 2010 - Oct. 2016</w:t>
        <w:br/>
        <w:t>35.0%</w:t>
        <w:br/>
        <w:t>30.0%</w:t>
        <w:br/>
        <w:t>F</w:t>
        <w:br/>
        <w:t>R</w:t>
        <w:br/>
        <w:t>25.0%</w:t>
        <w:br/>
        <w:t>E</w:t>
        <w:br/>
        <w:t>Q 20.0%</w:t>
        <w:br/>
        <w:t>U</w:t>
        <w:br/>
        <w:t>15.0%</w:t>
        <w:br/>
        <w:t>E</w:t>
        <w:br/>
        <w:t>N</w:t>
        <w:br/>
        <w:t>10.0%</w:t>
        <w:br/>
        <w:t>Z</w:t>
        <w:br/>
        <w:t>A 5.0%</w:t>
        <w:br/>
        <w:t>0.0%</w:t>
        <w:br/>
        <w:t>0-4 4-6 6-8 8-10 10-12 12-14 14-16 16-18 18-20 &gt;20</w:t>
        <w:br/>
        <w:t>monthly % deviation between actual and scheduled runs</w:t>
      </w:r>
    </w:p>
    <w:p>
      <w:r>
        <w:t>202 BULLETIN NO. 31 OF AUGUST 16, 2017</w:t>
        <w:br/>
        <w:t>Graph 6</w:t>
        <w:br/>
        <w:t>Rome-Viterbo - urban and suburban section - Frequency</w:t>
        <w:br/>
        <w:t>of monthly % deviations actual/planned</w:t>
        <w:br/>
        <w:t>Jan. 2010 - Oct. 2016</w:t>
        <w:br/>
        <w:t>35.0%</w:t>
        <w:br/>
        <w:t>30.0%</w:t>
        <w:br/>
        <w:t>F</w:t>
        <w:br/>
        <w:t>R 25.0%</w:t>
        <w:br/>
        <w:t>E</w:t>
        <w:br/>
        <w:t>20.0%</w:t>
        <w:br/>
        <w:t>Q</w:t>
        <w:br/>
        <w:t>U</w:t>
        <w:br/>
        <w:t>15.0%</w:t>
        <w:br/>
        <w:t>E</w:t>
        <w:br/>
        <w:t>N 10.0%</w:t>
        <w:br/>
        <w:t>Z</w:t>
        <w:br/>
        <w:t>5.0%</w:t>
        <w:br/>
        <w:t>A</w:t>
        <w:br/>
        <w:t>0.0%</w:t>
        <w:br/>
        <w:t>0-2 2-4 4-6 6-8 8-10 10-12 12-14 14-16 16-18 18-20 &gt;20</w:t>
        <w:br/>
        <w:t>monthly % deviation between actual and scheduled runs</w:t>
        <w:br/>
        <w:t>49. Throughout the entire period, therefore, the service on the railway routes Rome - Lido di Ostia, Rome — Giardinetti - Pantano, and Rome — Civita Castellana Viterbo was operated by ATAC, structurally performing a number of runs lower than that scheduled, to a degree well above the deviations that can be considered "physiological."</w:t>
        <w:br/>
        <w:t>C) Information to users</w:t>
        <w:br/>
        <w:t>50. With regard to the aspect of communication to customers, at the time of the initiation of the PS10666 investigative procedure, a responsibility of ATAC was also hypothesized for the informational omission regarding the limited provision of transport service on the railway lines in question, compared to what was scheduled in the CdS and resulting from the timetable posted at the stations and disseminated on the company website www.atac.roma.it.</w:t>
        <w:br/>
        <w:t>51. On this point, the elements on record do not reveal any preventive system of clear and structured communication to the public regarding the reduction of ATAC's offer, in terms of the suppression of scheduled runs, just as in the case of the reorganization of runs through the insertion of extraordinary runs, despite the professional being aware of it in a timely manner.</w:t>
        <w:br/>
        <w:t>52. Although ATAC stated in its submissions that it had provided information to users, taking care to warn travelers in advance53, the carrier did not, however, provide evidence in this regard, except for some attachments reporting an information action towards the customers using the Rome-Viterbo railway (April 2012) to anticipate problems related to the regularity of operations on the same route54 or the activation of assistants, if necessary, especially during the summer months, when a greater suppression of runs had been highlighted; in such cases, advance communication was made through posted signs55, indicating which urban trains from Flaminio and Montebello were subject to suppression on the same day (see subsequent Images No. 2 and 3).</w:t>
        <w:br/>
        <w:t>Image No. 2</w:t>
        <w:br/>
        <w:t>Image No. 3</w:t>
        <w:br/>
        <w:t>53. On the contrary, the evidence acquired during the inspection highlights the serious deficiency in the information provided to service users through the institutional channels used by the professional (in particular the website) and its chronic inefficiencies over time.</w:t>
        <w:br/>
        <w:t>54. By way of example, the text of the following emails (years 2012/2013) is reported, which effectively summarize the total absence of communication and the perception of users regarding the conduct under examination:</w:t>
        <w:br/>
        <w:t>i) From: [omitted] /ATAC/ATRL/IT to various addresses</w:t>
        <w:br/>
        <w:t>Date: Monday, January 09, 2012 03:29 PM</w:t>
        <w:br/>
        <w:t>Subject: Analysis of customer information on Rome-Lido, Termini-Giardinetti, Metro B - As Is and To Be56</w:t>
        <w:br/>
        <w:t>Attached to this is an interesting and in-depth work carried out by the Infomobility structure on the situation of customer information on the Rome-Lido, Termini-Giardinetti lines (...). In</w:t>
        <w:br/>
        <w:t>55 Subsequently, variable message boards were activated.</w:t>
        <w:br/>
        <w:t>56 See Analysis of customer information on Rome-Lido – Folder [omitted]. The document cited in the subject of the email was also acquired during the inspection.</w:t>
      </w:r>
    </w:p>
    <w:p>
      <w:r>
        <w:rPr>
          <w:b/>
        </w:rPr>
        <w:t>[Pages 202–204]</w:t>
      </w:r>
    </w:p>
    <w:p>
      <w:r>
        <w:t>204 BULLETIN NO. 31 OF AUGUST 16, 2017</w:t>
        <w:br/>
        <w:t>in particular, regarding the railways under concession (...), the studies highlight the almost total absence of even a minimal "information culture," as well as the dramatic lack of any technical support for this purpose. In light of what emerged during meetings with consumer associations, as well as based on the requests that arrive daily through complaints, letters to the media, or documents from commuter committees, a serious reflection is needed on this true "black hole" of information which, if resolved even partially, would certainly help to ease the tension that accompanies the service on a daily basis. Not by chance (...), commuters or users are often aware (or can be made aware) of delays or difficulties in making investments in infrastructure and/or rolling stock. However, they ask to be informed at least about unplanned events that affect their freedom of movement, their right to mobility, and their management of time, whether it be work or leisure. (...) [emphasis added].</w:t>
      </w:r>
    </w:p>
    <w:p>
      <w:r>
        <w:t>ii) "From: [omitted] - Sent: 12/07/2013</w:t>
        <w:br/>
        <w:t>To: [omitted]</w:t>
        <w:br/>
        <w:t>Cc: [omitted]; Commuter Committee Rome Nord &lt;pendolari.romanord@gmail.com&gt;</w:t>
        <w:br/>
        <w:t>Subject: Uncommunicated and Unreported Cancellations on the Website</w:t>
        <w:br/>
        <w:t>One word for you: THANK YOU (...) for not informing us of anything, no boards, no communications, no ATAC staff at the stations who would make a phone call to inform users of any delays or cancellations (in that case, one decides whether it might be more convenient to take the bus or drive or run to work!). Thank you for your initiatives and your responses, (...) PS: forget my subscription, I will never do it again and many other people will do the same” [emphasis added]. The justification of the professional, noted in the chain of emails, which highlights the precariousness of the customer information system, is as follows: “This morning, the communication of the cancellations of the 6:20 and 7:20 departures from Flaminio and 6:50 from Montebello was missed because the depot manager was busy managing the service preparation and forgot to communicate the cancellations by 7:30. It was an isolated incident. We have urged everyone to communicate all cancellations urgently”57.</w:t>
      </w:r>
    </w:p>
    <w:p>
      <w:r>
        <w:t>iii) Good morning, this morning (July 12, 2013 - 8:10 AM) no cancellations were reported on the ATAC website while a train left Montebello in half an hour (at 8:00 AM) and we are packed like battery hens. Horrible travel conditions. If you are unable to guarantee a service as per the schedule that YOU have drafted, at least have the care to communicate to us (on the web) correctly what is happening on the railway network....and instead, in addition to the damage, the mockery. Mockery because a little correct communication at least internally would suffice (...)58. [emphasis added].</w:t>
      </w:r>
    </w:p>
    <w:p>
      <w:r>
        <w:t>55. Further evidence highlights how, even at the beginning of 2014, some representatives of the Rome Nord Commuter Committee were received by the CEO of ATAC on the issue of communication. During the meeting, among other things, the representatives of the commuters complained about the total absence of information regarding train passages or the cancellation of services59.</w:t>
      </w:r>
    </w:p>
    <w:p>
      <w:r>
        <w:t>57 See email https___mail.notes.na.collabserv.com_data3_20325156_20546216 9 – Folder [omitted]– acquired during inspection.</w:t>
        <w:br/>
        <w:t>58 See https___mail.notes.na.collabserv.com_data3_20325156_20546216 7 - Folder [omitted]– acquired during inspection.</w:t>
        <w:br/>
        <w:t>59 See file R_ Meeting commuter committee Rome Nord - Public information boards - Folder [omitted] – acquired during inspection, in which it can also be read “Considering the willingness of the CEO Dr. (…) to meet the requests made by the members of the commuter committee who intervened, I kindly ask those addressed to participate in a meeting at the Saxa Rubra offices (…) to share what has been done so far and to schedule the activities still to be carried out.”</w:t>
      </w:r>
    </w:p>
    <w:p>
      <w:r>
        <w:t>BULLETIN NO. 31 OF AUGUST 16, 2017 205</w:t>
        <w:br/>
        <w:t>56. What has been reported so far demonstrates how the information activities for users were deficient even in a period following the implementation of the infomobility platform that ATAC declared to have been established since 2011 (see below).</w:t>
        <w:br/>
        <w:t>57. From the evidence in the records, it appears that the professional did not provide (and does not provide) users in advance with information about the planned cancellations of services, as well as about the intervention with the insertion of extraordinary services and consequent rescheduling of the timetable.</w:t>
        <w:br/>
        <w:t>58. On this point, it is emblematic what the professional himself stated – who essentially certifies the total absence of preventive information regarding cancellations and timetable adjustments – where he declared that information about changes in schedules, cancellations, or delays of services is published only when it is confirmed, in order to avoid what ATAC defines as the "announcement effect," even when the concrete possibility of cancellations has been known for some time (e.g., the night before) and only if they involve significant inconveniences. In this regard, the following statement from the Head of Networks Services and Infomobility of ATAC is reported, which, while explaining the procedure followed by the Infomobility unit to provide information to consumers on the various information systems – and as it appears from infoatac (every change is indeed certified by an email sent from that mailbox) – among other things, states: “All room operators can proceed to insert changes in the departure times of trains, preferably with a 30-minute advance notice before departure and mainly through a rescheduling of the times, following telephone communications from the DCT (Central Traffic Management). Upon receiving the call, the operators note on a sheet that reports the numbers of the various trains, the cancellation or delay and then proceed to insert this information on the Infoatac information platform. The change is not made well in advance, even when the cancellation is communicated the night before by the DCT, as very often an adjustment occurs, for example, a train that has been accommodated is added or the crew is recovered." Information is published at the moment it is confirmed, in order to avoid the announcement effect. Reports are also received from the DCT at various times of the day that capture what has happened on the individual line in terms of cancellations. Only occasionally do they report the cancellations that are expected in the following hours60.” [emphasis added].</w:t>
      </w:r>
    </w:p>
    <w:p>
      <w:r>
        <w:t>The Infoatac and Infomobility platforms</w:t>
        <w:br/>
        <w:t>to carry out”.</w:t>
        <w:br/>
        <w:t>See also the following documents:</w:t>
        <w:br/>
        <w:t>- Rome Viterbo - disruptions occurring on January 15, 2015 - Folder [omitted] – where the long times required to restore the regularity of the service in case of faults on the line and consequent cancellation of services are evident: “To the FRN Commuter Committee - As anticipated informally (...), yesterday afternoon - around 5:30 PM - a fault occurred in a rolling stock that caused the temporary interruption of the electricity supply in the urban section. (...). This inconvenience introduced delays (due to the technical operations of re-energization) and the specific cancellation - on the urban section only - of four services leaving Rome (between 5:40 PM and 6:16 PM). (...). The service returned to normal around 7:00 PM)”;</w:t>
        <w:br/>
        <w:t>- cancellation of 16 evening services today - Folder [omitted] in which the Rome Nord Commuter Committee at 3:21 PM on 09/17/2014 writes: “We have just learned that in the evening shift (6 PM - 10 PM) as many as 16 services will be skipped. This state of affairs is UNACCEPTABLE. We therefore want to have the reasons for these cancellations immediately and strongly request to restore as many services as possible to avoid certain suffering (physical and psychological) for the commuting users.”</w:t>
      </w:r>
    </w:p>
    <w:p>
      <w:r>
        <w:t>60 See the attachment 2 to the inspection report of December 5, 2016. [See also, doc. no. 30 of the index of the file, minutes of the hearing of March 24, 2017, cited.]</w:t>
      </w:r>
    </w:p>
    <w:p>
      <w:r>
        <w:t>206 BULLETIN NO. 31 OF AUGUST 16, 2017</w:t>
        <w:br/>
        <w:t>59. Despite ATAC having implemented, starting from 2011, the infoatac information platform61 - with the declared aim of improving communication methods with customers, as well as activating additional communication channels regarding public urban transport contracted with the City of Rome (an industrial choice that also concerned the network of regional railways) - the documentation in the records highlights that this platform has not been used to provide a preventive communication system to customers specifically regarding the reduced provision of railway transport services and therefore suitable to timely warn users who wished to modify their transport choice62.</w:t>
        <w:br/>
        <w:t>60. Regarding this database, there are no publications of communications to users following the information conveyed on the database itself regarding the cancellation of trains63; moreover, the number of press releases present in Infoatac (2015-2016) drafted to inform users of the slowdown or suspension of local railway services, due to lack of personnel or rolling stock (especially during the period - summer 2015 - when the greatest inconveniences were recorded)64, is meager; furthermore, in some circumstances, these press releases seem to have been disseminated after the occurrence of the event, in order to justify what happened65.</w:t>
        <w:br/>
        <w:t>61. The systematic nature of these issues, on the other hand, is well highlighted by the numerous and frequent emails received by infoatac in which the cancellations of services on the routes subject to the proceedings are reported, mainly due to the lack of personnel66.</w:t>
        <w:br/>
        <w:t>62. Furthermore, the professional himself indicated that, after a processing process by the competent structures, only where deemed necessary, information is returned on the same channels from which the requests originated, particularly social networks67.</w:t>
      </w:r>
    </w:p>
    <w:p>
      <w:r>
        <w:t>61 The professional, during the investigation, provided the Infoatac databases (Email channel used for messaging intended for stakeholders) and Infomobility (Internal email box used for institutional and internal corporate communications) for the years 2015 and 2016 in incoming and outgoing. These databases consist of tens of thousands of communications related not only to the informational (and operational) aspects of the former-conceded railway lines but also to surface transport services (buses) and the metro lines of Rome (A, B, and C). The infomobility platform receives real-time information on the status of the service and retransmits it to all interested stakeholders; on the company website; on the most widely used social network channels, such as Twitter, Whatsapp, Telegram (where it is also possible to obtain on-demand information); to the press.</w:t>
        <w:br/>
        <w:t>Overall, the website and social channels total about 6 million contacts/month. In the context of the assignment of the regional rail service, ATAC has implemented territorial communication, through the revision of the graphics and completeness of the information present on the timetables that, since 2011, have also been available on the website; has centralized in a single structure the point of collection of news related to the service and has studied and implemented a service communication plan on each line that translates into some activities that allow monitoring of operating conditions aimed at real-time communication and to assist in the control of operations.</w:t>
        <w:br/>
        <w:t>62 On this point, see the email Analysis of customer information on Rome-Lido, Termini-Giardinetti, Metro B - As Is and To Be, contained in the folder station [omitted], cited previous point no. 57.</w:t>
        <w:br/>
        <w:t>63 See, by way of mere example and not exhaustive, the email Cancellations 09/07/2015 ferr. RM VT — at 10:00 AM, in which the internal cancellation of several trains on the line starting from 11:45 AM is communicated, without any elements that would suggest a subsequent information to users.</w:t>
        <w:br/>
        <w:t>64 It emerges, in fact, that during the years 2015 – 2016 only three press releases aimed at informing users about the inconveniences (slowdown or suspension of service) due to systematic reasons attributable to the absence of personnel or trains were issued. The press releases of which there is evidence are contained in the emails sent by the ATAC Press Office, respectively on June 5 and July 3, 2015, and October 31, 2016.</w:t>
        <w:br/>
        <w:t>65 See, by way of mere example and not exhaustive, the email Press release: Atac, further slowdowns in the metro and Rome-Lido on July 3, 2015, 9:09 PM, in which the slowdowns, among other things, on the Rome-Lido Railway, which had already occurred during the day due to unavailability of trains or operating personnel, are reported.</w:t>
        <w:br/>
        <w:t>66 In the month of July 2015 alone, approximately 25 emails were sent to infoatac reporting the cancellation of services due to lack of personnel/material.</w:t>
        <w:br/>
        <w:t>67 See doc. no. 30 of the index of the file, minutes of the hearing of March 24, 2017, cited.</w:t>
      </w:r>
    </w:p>
    <w:p>
      <w:r>
        <w:rPr>
          <w:b/>
        </w:rPr>
        <w:t>[Pages 205–207]</w:t>
      </w:r>
    </w:p>
    <w:p>
      <w:r>
        <w:t>BULLETIN NO. 31 OF AUGUST 16, 2017 207</w:t>
      </w:r>
    </w:p>
    <w:p>
      <w:r>
        <w:t>63. From the internal Infomobilità system, a significant series of institutional communications (emails) can be inferred, which concern, among other things, the railway lines subject to the proceedings and relate to various issues68, as well as the instructions for managing responses to users who request information or complain about delays and cancellations.</w:t>
      </w:r>
    </w:p>
    <w:p>
      <w:r>
        <w:t>64. From this database, it emerges, however, that the professional only communicates about delays in response to so-called mentions on social media (Twitter, etc.), and, therefore, when the inconvenience (e.g., long waits) has already manifested. In various cases, no responses are even provided to consumer complaints69.</w:t>
      </w:r>
    </w:p>
    <w:p>
      <w:r>
        <w:t>65. Finally, the evidence on file shows how the management of the information conveyed through this database is quite centralized, not allowing for a prompt informational response to users.</w:t>
      </w:r>
    </w:p>
    <w:p>
      <w:r>
        <w:t>66. By way of mere example and not exhaustive, an excerpt from an email from 2015 is reported in which the Head of Networks Services and Infomobilità orders, among other things, the prohibition of transmitting all content that goes outside (production notes, (...), bulletins, and Infoatac) without prior authorization from him, which is also necessary for all interactions with users on the Twitter channel, including the communication of arrival times70.</w:t>
      </w:r>
    </w:p>
    <w:p>
      <w:r>
        <w:t>67. Further evidence indicates that, pending a decision on the content of the publication regarding the situation of train circulation to be conveyed externally, it is ordered to provide the "regular" information ("Around 7:15 we will assess the train circulation and then decide what to put on the site. In the meantime, the 'regular' information must be published everywhere. If there are problems reported from the lines, let me know immediately")71.</w:t>
      </w:r>
    </w:p>
    <w:p>
      <w:r>
        <w:t>The management of customer relations (reports and complaints)</w:t>
      </w:r>
    </w:p>
    <w:p>
      <w:r>
        <w:t>68. With regard to the management of customer relations (reports and complaints), ATAC has highlighted that it occurs based on corporate procedure standards, according to the representative scheme of the main customer contact tools illustrated in the following Image.</w:t>
      </w:r>
    </w:p>
    <w:p>
      <w:r>
        <w:t>68 These issues concern safety, work on the lines, breakdowns, strikes, daily reports of trips made compared to those scheduled, cleanliness of trains, etc.</w:t>
      </w:r>
    </w:p>
    <w:p>
      <w:r>
        <w:t>69 See, by way of mere example and not exhaustive, the indication given by the Head of Networks Services and Infomobilità to ignore (“Ignore it”) the complaint of a commuter on the Rome-Civita Castellana-Viterbo route regarding the discrepancy between the information provided by ATAC on its website (everything regular) and the delay experienced (see “Mention from [omissis]”), from January 2015). The reports conveyed by consumers and users who request information or complain about delays and cancellations, especially through social media (Twitter in particular), given their sometimes colorful nature, are not only “ignored” but also “banned,” meaning that the professional proceeds to eliminate the consumer's connection to the channel.</w:t>
      </w:r>
    </w:p>
    <w:p>
      <w:r>
        <w:t>70 See the email Activity office Infomobilità of March 14, 2015.</w:t>
      </w:r>
    </w:p>
    <w:p>
      <w:r>
        <w:t>71 See the email Train Circulation of July 9, 2015.</w:t>
      </w:r>
    </w:p>
    <w:p>
      <w:r>
        <w:t>208 BULLETIN NO. 31 OF AUGUST 16, 2017</w:t>
      </w:r>
    </w:p>
    <w:p>
      <w:r>
        <w:t>Image No. 4</w:t>
      </w:r>
    </w:p>
    <w:p>
      <w:r>
        <w:t>69. From the communication management procedure document (year 2014)72, it emerges that the customer can communicate with ATAC S.p.A. in the following ways: A) Company website (www.atac.roma.it)73; B) Mail (letters and/or fax)74; C) "Customer Report/Proposal" form75; D) Public counter (managed by Agenzia Roma Servizi per la Mobilità)76. Customer communications can also be received by ATAC through external entities (for example: individual Municipalities, Rome Capital, Region, Certification Bodies, etc.).</w:t>
      </w:r>
    </w:p>
    <w:p>
      <w:r>
        <w:t>70. The management of communications, by a dedicated structure (Customer and People Care - CPC), is carried out by evaluating and responding directly to the customer and, in the case of communications from customers transmitted to ATAC by external entities, also informing these latter. In the case of communications received directly by other Divisions/Departments/Structures of ATAC, they are required to forward the relevant documentation to the CPC structure for the management of the practice77.</w:t>
      </w:r>
    </w:p>
    <w:p>
      <w:r>
        <w:t>72 The document containing this procedure was acquired during the inspection. This procedure aims to regulate the process of managing communications (including environmental reports) that reach ATAC S.p.A. from customers regarding the provision of services related to public and private mobility (including on-street parking and park-and-ride), providing all Divisions/Departments/Structures involved in managing the process with references regarding the activities to be carried out.</w:t>
      </w:r>
    </w:p>
    <w:p>
      <w:r>
        <w:t>73 To send communications via web mail, the Customer must connect to the website www.atac.roma.it, enter their details (name, surname, and email address) and the text of the communication. Following the entry of this data, the system (CRM) assigns a letter code (which identifies the report for the CPC Structure) and a WEB code (which identifies the report for the Customer) that is automatically transmitted to the Customer.</w:t>
      </w:r>
    </w:p>
    <w:p>
      <w:r>
        <w:t>74 The Customer can send communications by letter and/or fax, addressing them to ATAC. The General Protocol forwards the communications received, via the Proteus system (date and entry code), to the CPC Structure, which proceeds to enter and process them in the CRM.</w:t>
      </w:r>
    </w:p>
    <w:p>
      <w:r>
        <w:t>75 The form is available at: the Metro stations of Rome Capital; the railway stations of the Rome-Lido, Rome-Giardinetti, and Rome-Viterbo lines; the staffed terminal stops; the staffed parking lots. The Customer can fill out the form and deliver it directly to the ATAC S.p.A. staff present on-site, who will send it via internal mail to the General Protocol, which transmits it via Proteus to the CPC Structure for subsequent entry into the CRM. Alternatively, the Customer can send the form via fax.</w:t>
      </w:r>
    </w:p>
    <w:p>
      <w:r>
        <w:t>76 The Customer makes the report by filling out the appropriate form provided by the TPL counter of RSM, which is forwarded to ATAC S.p.A. The General Protocol, after registration, transmits the communications to the CPC Structure, which proceeds with the entry into the CRM.</w:t>
      </w:r>
    </w:p>
    <w:p>
      <w:r>
        <w:t>77 ATAC has stated that it has recently paid more attention to reporting on reports and complaints sent on service-related issues, with additional implementation regarding Metroferro and the "Concession Railways." These corrections have become necessary due to the different ways of interacting by customers who,</w:t>
      </w:r>
    </w:p>
    <w:p>
      <w:r>
        <w:t>BULLETIN NO. 31 OF AUGUST 16, 2017 209</w:t>
      </w:r>
    </w:p>
    <w:p>
      <w:r>
        <w:t>71. The absence and/or inadequacy of the information provided to the public is also evident from the content of numerous reports/complaints related to the former concession railways acquired in the records, which refer to the inefficient regularity of the service during the period covered by this investigation.</w:t>
      </w:r>
    </w:p>
    <w:p>
      <w:r>
        <w:t>72. In particular, from the analysis of the reports concerning all user reports/complaints related to the former concession railways, from the years 2010 to 2016, acquired during the inspection carried out last December, within the reports that have a direct relevance to the subject of the proceedings and clearly derive from the constant and repeated cancellation of trips (such as, for example: failure to comply with stop times, inability to board vehicles, overcrowding at stops/stations, crowded cars, information on schedules, lines, and routes, accuracy and updating of information, etc.), the high percentage incidence of complaints for failure to comply with stop times compared to the total reports received by ATAC in the reference period in this area emerges, percentages that, with the exception of the year 2014 (40%), are overall well above 50% in all the years considered78.</w:t>
      </w:r>
    </w:p>
    <w:p>
      <w:r>
        <w:t>73. This is made even more evident by reading the text of some of the reports on the subject found during the inspection and related to the reference period79. For example, in relation to the direction increasingly, rather than writing via the website, letter, fax, etc. to report service disruptions related to the regularity of the service, uses the new social platforms (Twitter, WhatsApp, Telegram) that are more dynamic and faster, given that in most cases, the customer needs to know at that precise moment the status of the service and the timing of the bus/train/metro passage.</w:t>
      </w:r>
    </w:p>
    <w:p>
      <w:r>
        <w:t>78 See files 48_Details_Reports_most_reported_lines_ConcessionRailways (...) - for the years from 2010 to 2016 - present within the subfolder report text contained in the folder [omissis] acquired during the inspection. See, by way of example and not exhaustive, also the doc. Ref Ref Service Disruptions Rome-Lido - contained within the folder [omissis] - Email, related to a report received by the Public Relations office of the Lazio Region - on 11/03/2015 - in which it is reported, among other things, the serious delay in communicating "strong slowdowns" on the Rome-Lido line, highlighting how it is “(...) absolutely intolerable a communication policy to users that does not provide for preventive communications and leaves users at the mercy of the daily event (...)”. See also the numerous comments on complaints regarding delays and cancellations, conveyed by consumers especially through social media (Twitter in particular), viewable within the Infomobilità database provided by the professional.</w:t>
      </w:r>
    </w:p>
    <w:p>
      <w:r>
        <w:t>79 By way of example:</w:t>
        <w:br/>
        <w:t>Year 2010 – “I write, for the umpteenth time, to emphasize the most serious thing for me for a key public service and for a professional organization: the absolute lack of information to users - detailed reasons for the inconvenience/service disruption, alternative solutions, apologies (?) - and the attitude of indifference and irresponsibility of the staff and, therefore, I deduce, of the company they represent.” (Rome-Lido);</w:t>
        <w:br/>
        <w:t>Year 2011 – “On 07/11/2011 upon arrival at the terminal of the GIARDINETTI TERMINI LAZIALI line - direction GIARDINETTI, at 18:31 I found the gate closed and sealed with padlocks. On the station display, the message SERVICE SUSPENDED DUE TO STRIKE was flashing, but the resumption of service was scheduled for 17:00 to respect the guarantee time slots. No one was present to provide information to users standing in the rain waiting, until someone came out of the offices and deigned to announce to everyone that the service would not be restored due to lack of personnel.” (Rome-Giardinetti);</w:t>
        <w:br/>
        <w:t>Year 2012 – “Dear Sirs, I unfortunately find myself writing to you again regarding another complaint about the Rome - Civita Castellana - Viterbo line. I reached the Flaminio station tonight at 20:32. Unfortunately, only the "usual" notice of canceled trips was available at the station. In particular, the 20:36 trip was not made. This forced me to use the 20:54 trip, which also departed (train 111-206-112 arrived at 20:54) at 20:57: therefore, 25 minutes of waiting instead of the 16 - 18 scheduled (9 - 7 minutes of delay). The complaint aims to submit to you again the question regarding the REASON for the canceled trips (requested via the form on the website and via Twitter, see below): as I had already asked on Twitter, it is not understood whether they are due to lack of personnel, holidays... the employees at the station (security guards, drivers, ticket inspectors, etc.) cannot provide explanations in any case. Only once did Customer Assistance hypothesize that "perhaps there will be a lack of personnel...": it is yet another manifestation of lack of communication towards the user.” (Rome-Viterbo);</w:t>
        <w:br/>
        <w:t>Year 2013 – “Complaint against the absurd and yet again, unexpected cancellation of the 12:11 trip, which occurred "de facto" (i.e., the delay of the trip reached 16 minutes, effectively "skipping" to the next trip at 12:26, which also arrived late by one minute). Naturally, after 11 minutes of waiting, the voice of the loudspeaker finally announced that the train to Rome would arrive in "about 4 minutes," without any reason and especially when it was perfectly useless to communicate it!!”. (Rome-Lido);</w:t>
        <w:br/>
        <w:t>Year 2014 – “With extreme regret, I find myself sending you again a report regarding the failure to comply with the schedule by this line... it has now become almost customary to verify that most evenings when I have</w:t>
      </w:r>
    </w:p>
    <w:p>
      <w:r>
        <w:rPr>
          <w:b/>
        </w:rPr>
        <w:t>[Pages 208–210]</w:t>
      </w:r>
    </w:p>
    <w:p>
      <w:r>
        <w:t>210 BULLETIN NO. 31 OF AUGUST 16, 2017</w:t>
        <w:br/>
        <w:t>Rome – Lido a consumer, in the year 2014, complained as follows: “I have been living in Ostia for many years and using the Roma-Lido to go to work. Unfortunately, I am seeing the service worsen rather than improve. In the last 6 months in particular, NOT a single day has gone by without you canceling some runs or having delays! Every year you publish a schedule that is REGULARLY NOT respected... as confirmed in the "Real Time" pages where EVERY day about half of the runs are reported as canceled or delayed! (…) I kindly ask you to decide whether to finally RESPECT the scheduled times (always set by YOU) or to decide to publish half of them and REDUCE THE PRICE of the Roma-Lido ticket and its SUBSCRIPTION by half! (…)”80.</w:t>
      </w:r>
    </w:p>
    <w:p>
      <w:r>
        <w:t>74. With reference to the Rome-Viterbo line, a consumer in 2016 expressed the following: “(…), I would like to report that with the arrival of summer, the service disruptions on the Rome-Viterbo line are back. For example: ROME VITERBO direction Flaminio, stop at Piazza Euclide: scheduled arrival time 14:19 - actual time 14:45. The problem is that this is not an isolated incident, but unfortunately we often have delays or service disruptions in both directions. Is it possible to verify the reasons for such delays and/or cancellations and communicate them to the customers? (…)81.</w:t>
      </w:r>
    </w:p>
    <w:p>
      <w:r>
        <w:t>3) The defensive arguments of the Party</w:t>
        <w:br/>
        <w:t>75. During the investigation, ATAC submitted its own statements and was heard in a hearing82.</w:t>
        <w:br/>
        <w:t>76. The professional, based on the considerations reported below, believes he acted fully legitimately and in compliance with both the regulations protecting consumers and the requirements of the service contract signed with the Lazio Region.</w:t>
        <w:br/>
        <w:t>77. As a preliminary matter, ATAC, in its final statement, contested the Authority's jurisdiction to apply, in this case, the regulations set forth in the Consumer Code.</w:t>
        <w:br/>
        <w:t>78. In particular, the company represented that the rights of consumers/passengers in railway transport (not only national but also regional and local) are actually already guaranteed by Regulation (EC) No. 1371/2007, which provides specific informational obligations on the part of the company operating the railway transport service83 and whose compliance is overseen by a "Control Body," which the national legislator has identified as the Transport Regulation Authority (ART), and to which the same decree has attributed a specific sanctioning power, to be exercised in relation to the activity of ascertaining violations of the provisions of the Regulation. For these reasons, in August 2015, ART sent ATAC a request for information regarding the necessity of taking this means of transport, as waiting times are becoming increasingly longer. Every time the same story: a minimum of 20 - 30 minutes of waiting.” (Rome-Giardinetti);</w:t>
      </w:r>
    </w:p>
    <w:p>
      <w:r>
        <w:t>Year 2015 – “The service has been unreliable for at least four months, the conditions of overcrowding of the vehicles unsustainable, and some people forced to remain on the platform. The declared trains are missing precisely during peak hours, and the posted schedules are consistently (!!) disregarded. And I pay a monthly subscription to suffer. Please, find a solution. Really.” (Rome-Lido).</w:t>
      </w:r>
    </w:p>
    <w:p>
      <w:r>
        <w:t>Refer to files 48_Details_Reports_most_reported_lines_FerrovieConcesse (...) - for the years from 2010 to 2016 - present within the subfolder report text contained in the folder [omitted] present within the folder - station [omitted] acquired during inspection.</w:t>
      </w:r>
    </w:p>
    <w:p>
      <w:r>
        <w:t xml:space="preserve">80 See previous note. </w:t>
        <w:br/>
        <w:t xml:space="preserve">81 See note no. 82. </w:t>
        <w:br/>
        <w:t xml:space="preserve">82 See documents no. 12, 30, and 42 listed in the file index. </w:t>
        <w:br/>
        <w:t>83 Consisting in particular of disseminating information on service cancellations (art. 7), minimum information before the journey “upon request” of the consumer (art. 8, paragraph 1) as well as information during the journey (art. 8, paragraph 2).</w:t>
      </w:r>
    </w:p>
    <w:p>
      <w:r>
        <w:t>BULLETIN NO. 31 OF AUGUST 16, 2017 211</w:t>
        <w:br/>
        <w:t>pursuant to Article 4 of the aforementioned Legislative Decree 70/201484, thus posing the risk of a duplication of interventions by the two Authorities (AGCM and ART).</w:t>
        <w:br/>
        <w:t>79. On the merits of the matter, ATAC claims the erroneous representation of the phenomenon of delays and cancellations by the Authority85 as they were obtained simply by calculating the percentage value of the "runs performed" compared to the total of "scheduled runs."</w:t>
        <w:br/>
        <w:t>80. In this regard, the professional states that the "scheduled runs" item reports the number of runs planned in the operating program developed by ATAC at the beginning of each calendar year, and does not take into account subsequent changes that this program may undergo during the year, due to line works, schedule adjustments, or service reductions, nor, obviously, strikes. Such events – although not predictable during the planning phase – are, however, knowable in advance of their occurrence, and this allows ATAC to agree with the Client (the Lazio Region) on appropriate schedule modifications, which lead to an update of the operating program (“Monthly Revision Program”), disseminated through all institutional channels (posting in stations, updates on the website).</w:t>
        <w:br/>
        <w:t>81. Therefore, ATAC argues that a correct comparison should have compared the "runs performed" to the "Monthly Revision Program" net of strikes, reporting an internal elaboration86 concerning each line whose results show percentages of Runs Performed over Scheduled all exceeding, with a few exceptions, 90%87.</w:t>
        <w:br/>
        <w:t>82. ATAC then highlighted that, over the years, investments in the network have become increasingly urgent, considering that: i) on one hand, there has been a significant increase in the population residing in the area served by the former concession railway lines, resulting in a progressive increase in demand for local public transport; ii) on the other hand, the railway infrastructure has shown a very high "failure rate," compounded by the aging of the train fleet.</w:t>
        <w:br/>
        <w:t>83. In light of these circumstances, the Lazio Region – owner of the lines in question – should have allocated the necessary resources to carry out periodic extraordinary maintenance and renewal88, so much so that today, the lack of investments for the extraordinary maintenance of the network and rolling stock would represent the primary cause of service cancellations89.</w:t>
        <w:br/>
        <w:t>84. Furthermore, in recent years, the Company has had to deal with a progressive depletion of the operating staff (drivers and conductors), as a consequence of a personnel cost containment policy dictated by the Shareholder and subsequently aggravated by the impossibility of hiring new personnel based on the provisions of D.L. No. 78/2015 (c.d. spending review). The presence of such an external constraint would have significantly impacted the service's performance, with the cancellation of several runs. Additionally, during the months of June-September 2015, many workers undertook sudden and unauthorized protest initiatives, which had repercussions on the regularity of the service.</w:t>
        <w:br/>
        <w:t>85. As for the alleged failure to meet professional diligence standards contested against ATAC, the latter argued that events such as line works, schedule adjustments (e.g., summer/winter) or schedule reconfigurations, result in changes (the so-called Monthly Revision Program) that would not be due to "deficiencies in the organization and management of the service by ATAC," and are moreover communicated in advance to users. Alongside the "scheduled" changes, there are also those due to sudden and unforeseeable events (reduced turnover of operating personnel and progressively lower reliability of rolling stock, not attributable to the professional).</w:t>
        <w:br/>
        <w:t>86. ATAC would have nonetheless implemented a series of actions, particularly regarding personnel, to minimize passenger inconveniences90 that would have allowed, starting from October 2015, to overcome the critical issues arising from the absence of operating personnel, improving the quality of service.</w:t>
        <w:br/>
        <w:t>87. Regarding the alleged misleading nature concerning the failure to meet service schedules, ATAC asserts that the "deviations" between monthly scheduled and actual have actually been minimal, as they are contained within a few minutes. Since the service provided on the so-called former concession railways (except for the extra-urban Rome-Viterbo line) is in fact substantially comparable to an urban/metropolitan service, with an average cadence (frequency of runs) of about 15 min. and peaks below 10 min., the schedule represents an indicative datum regarding the frequency of runs, but certainly not an essential element on which the traveler bases the choice to purchase the transport service91.</w:t>
        <w:br/>
        <w:t>88. The traveler using this type of transport is fully aware that – even in the event that the train is canceled – the wait for the next train would still be contained within short times (averaging half the time that elapses until the departure of the next run), which allows for the assumption that the premises on which the choice to purchase the ticket was made remain valid and unchanged.</w:t>
        <w:br/>
        <w:t>89. Finally, ATAC responded to the allegation regarding the lack of prior information to users about cancellations and schedule adjustments, asserting that it operates the transport service based on what is prescribed by the service contract regarding the</w:t>
        <w:br/>
        <w:t>90 In particular, ATAC would have intervened regarding: i) the aging of the rolling stock (on the Rome-Ostia line it transferred a series of new generation trains); ii) the progressive reduction of resources employed in the operation of trains (extraordinary leverage, continuous and constant reconfiguration of the run program); iii) actions for the reconversion of company personnel employed in other tasks (so-called internal mobility); iv) a new agreement with trade unions that – by introducing economic incentives linked to actual presence in service – would have reduced the absenteeism rate of workers and generated an increase in their productivity.</w:t>
        <w:br/>
        <w:t>91 According to ATAC, in fact, the valid transport titles on such lines do not indicate the day and time of use – as is the case in national railway transport service – but, being the same tickets used for metropolitan transport, allow the use of any train starting from the first validation of the ticket. ATAC recalls that it is part of an integrated regional fare community whose travel titles (so-called Metrebus) allow the use of all carriers operating in the municipal territory (ATAC, Cotral, and Roma Tpl) as well as the main carriers operating in the metropolitan city and region (Cotral and Trenitalia) without additional costs; therefore, the travel title for trains on the former concession lines is valid not only on those lines but more generally in the entire fare area to which the title refers, with the consequence that the user can board any means of transport operating in the portion of territory to which the ticket refers.</w:t>
      </w:r>
    </w:p>
    <w:p>
      <w:r>
        <w:rPr>
          <w:b/>
        </w:rPr>
        <w:t>[Pages 211–213]</w:t>
      </w:r>
    </w:p>
    <w:p>
      <w:r>
        <w:t>BULLETIN NO. 31 OF AUGUST 16, 2017 213</w:t>
        <w:br/>
        <w:t>informational obligations92 and that, given the technological evolution that occurred after its signing, it would have increased the channels through which to convey institutional information93.</w:t>
      </w:r>
    </w:p>
    <w:p>
      <w:r>
        <w:t>90. Furthermore, since 2011 the Company: i) has established an operational structure called Infomobilità which is responsible for managing the flow of information; ii) has renewed the corporate website to allow for real-time communication of schedules and services; iii) has activated a Twitter profile to provide information through new media; iv) has activated the Infoatac platform, which is a messaging system that transmits news about the status of the service and urban mobility to all interested stakeholders94.</w:t>
      </w:r>
    </w:p>
    <w:p>
      <w:r>
        <w:t>91. According to ATAC, the small number of press releases available on Infoatac does not imply poor communication with users, since there are other structures – both internal and external to the company – that communicate, like Infoatac, any variations in the operating schedule95.</w:t>
      </w:r>
    </w:p>
    <w:p>
      <w:r>
        <w:t>92. ATAC has also activated a flow of information on the most widely used social channels (Twitter, Whatsapp, Telegram), allowing users to obtain information on demand. This form of communication – in addition to being subject to the specific rules of each social network – is regulated at the corporate level by the so-called Social policy96.</w:t>
      </w:r>
    </w:p>
    <w:p>
      <w:r>
        <w:t>93. The professional then clarified that the fact of providing feedback "only where deemed necessary" should be understood to mean that unnecessary interactions are exclusively those with haters, spammers, and detractors. Regarding the so-called "announcement effect," ATAC reiterated that it is not uncommon for runs that were supposed to be canceled to instead be regularly carried out, as the train "has been accommodated or the traveling personnel is recovered." Therefore, by also communicating potential cancellations, there would only be a risk of disorienting travelers, without providing them with significant benefits.</w:t>
      </w:r>
    </w:p>
    <w:p>
      <w:r>
        <w:t>94. Finally, regarding the "somewhat centralized management of information" that would not allow for prompt informational feedback to users, the modus operandi followed by ATAC would be absolutely in line with what occurs in all other companies.</w:t>
      </w:r>
    </w:p>
    <w:p>
      <w:r>
        <w:t>95. In conclusion, while ATAC acknowledges the existence of further margins for improvement in service provision, ATAC believes that its conduct cannot in any way be considered "deceptive," as the information – once processed internally – has always been made available to travelers through all corporate channels.</w:t>
      </w:r>
    </w:p>
    <w:p>
      <w:r>
        <w:t>4) The submissions of ALTROCONSUMO</w:t>
      </w:r>
    </w:p>
    <w:p>
      <w:r>
        <w:t>96. On May 15, 2017, the consumer association Altroconsumo, a party to the proceedings, sent its concluding submission in which it asserts that, in the matter at hand, there is no doubt that ATAC's conduct constitutes the elements of an unfair commercial practice97.</w:t>
      </w:r>
    </w:p>
    <w:p>
      <w:r>
        <w:t>97. The Company would have, in fact, failed to adequately and correctly inform the urban user of the impossibility of providing the scheduled mobility service and guaranteeing the level of quality agreed upon in the service contracts, thereby altering their economic behavior in exercising the right to choose the type of mobility to use and also compromising the right to choose in purchasing the type of subscription, whether weekly, monthly, or annual.</w:t>
      </w:r>
    </w:p>
    <w:p>
      <w:r>
        <w:t>98. In support of its positions, the Association recalls that recently administrative jurisprudence has reiterated that "the burden of completeness and clarity of information required by consumer protection legislation requires that every message represents the essential characteristics of what it aims to advertise and penalizes their omission, in the face of the emphasis on certain elements, when this makes the real content and terms of the offer or product not clearly perceivable, thus misleading the consumer through the false conviction of the real content of the same and conditioning them in adopting economic behaviors that they otherwise would not have adopted"98.</w:t>
      </w:r>
    </w:p>
    <w:p>
      <w:r>
        <w:t>IV. OPINION OF THE AUTHORITY FOR GUARANTEES IN COMMUNICATIONS</w:t>
      </w:r>
    </w:p>
    <w:p>
      <w:r>
        <w:t>99. Since the commercial practice subject to this provision was disseminated via the Internet, on May 29, 2017, the opinion of the Authority for Guarantees in Communications was requested, pursuant to Article 27, paragraph 6, of the Consumer Code.</w:t>
      </w:r>
    </w:p>
    <w:p>
      <w:r>
        <w:t>100. In an opinion received on July 6, 2017, the Authority for Guarantees in Communications limited its evaluations to the suitability of the specific means of communication used to disseminate the commercial practice to impact and amplify any misleading and/or unfairness of the same practice.</w:t>
      </w:r>
    </w:p>
    <w:p>
      <w:r>
        <w:t>101. In this regard, due to the dissemination of the commercial practice via the Internet, the Authority considered that this tool has become the third mass communication medium by penetration (after television and radio).</w:t>
      </w:r>
    </w:p>
    <w:p>
      <w:r>
        <w:t>102. Furthermore, from the inquiry conducted by the same Authority on the Internet services sector and online advertising, it emerged that the Internet allows "an increasingly accurate profiling of users, from which depends the possibility of reaching specific consumer targets, directing them targeted messages, with increasing levels of personalization" and that "when users use the Internet, they provide information so that their profile (as a consumer) can be used by operators to offer them personalized services." Therefore, the Authority considered that, with reference to the case at hand, the consumer, conditioned by the information disseminated via the Internet regarding the service offered by the professional, could then effectively make a commercial decision, developing in practice the full promotional potential of online communication, ultimately believing that, in this case, the Internet is a suitable tool to significantly influence the realization of the commercial practice subject to the proceedings.</w:t>
      </w:r>
    </w:p>
    <w:p>
      <w:r>
        <w:t>97 Altroconsumo is considering undertaking further initiatives, complementary to those initiated by the Authority, in favor of all consumers harmed by the conduct of the subjects recipients of the communication initiating the proceedings.</w:t>
      </w:r>
    </w:p>
    <w:p>
      <w:r>
        <w:t>98 T.A.R. Lazio, Section I, Judgment 12-06-2015, No. 8253; in a similar sense, see also Tar Lazio, Section I, January 8, 2013, No. 106.</w:t>
      </w:r>
    </w:p>
    <w:p>
      <w:r>
        <w:t>BULLETIN NO. 31 OF AUGUST 16, 2017 215</w:t>
      </w:r>
    </w:p>
    <w:p>
      <w:r>
        <w:t>V. OPINION OF THE TRANSPORT REGULATORY AUTHORITY</w:t>
      </w:r>
    </w:p>
    <w:p>
      <w:r>
        <w:t>103. Since the commercial practice subject to this provision concerns the local public transport (TPL) sector, on May 29, 2017, the opinion of the Transport Regulatory Authority was requested, pursuant to and for the effects of Article 27, paragraph 1-bis, of the Consumer Code, introduced by Article 1, paragraph 6, letter a), of Legislative Decree No. 21/2014.</w:t>
      </w:r>
    </w:p>
    <w:p>
      <w:r>
        <w:t>104. On June 28, 2017, the aforementioned Authority issued a detailed opinion in which it initially made some general considerations, identifying and illustrating the specific sector regulation applicable to the case in question, in order to verify whether the examined conduct also conflicts with the regulation, as well as providing contextual elements aimed at a better assessment of the standard of professional diligence required of a professional in the sector.</w:t>
      </w:r>
    </w:p>
    <w:p>
      <w:r>
        <w:t>105. Regarding the exercise of regulatory powers, the Authority highlighted its competencies derived from the founding norm of the Authority (Article 37, Legislative Decree No. 201/2011)99, specifying the elements that the sector regulatory framework is aimed at ensuring, among which is compliance with the provisions of Regulation (EC) No. 1371/2007, where applicable.</w:t>
      </w:r>
    </w:p>
    <w:p>
      <w:r>
        <w:t>106. In particular, the Authority specified that, regarding the applicability of the provisions of Regulation (EC) No. 1371/2007, Article 2, paragraph 2, states that "this regulation does not apply to railway undertakings and transport services that do not hold a license under Directive 95/18/EC." The same is indicated by Legislative Decree No. 70/2014, which defines the railway undertaking as "any public or private undertaking holding a license...". In this case, ART highlights that ATAC, which took over from Met.Ro S.p.A. in the service contract with the Lazio Region for the provision of public railway transport services on the routes Rome – Lido di Ostia, Rome - Viterbo, and Rome-Giardinetti-Pantano, does not hold the aforementioned license and, therefore, is formally excluded from the scope of application of the aforementioned Regulation (EC) No. 1371/2007.</w:t>
      </w:r>
    </w:p>
    <w:p>
      <w:r>
        <w:t>107. The impossibility of applying the provisions contained in Regulation (EC) No. 1371/2007 led to the interruption of the investigative activity that ART had initiated in 2015 with the sending of a request for information to ATAC regarding the management of complaints, service disruptions, and the low quality level of the services provided, which emerged following user reports, as well as the poor functioning of vehicles and their air conditioning systems.</w:t>
      </w:r>
    </w:p>
    <w:p>
      <w:r>
        <w:t xml:space="preserve">108. Regarding the Service Contract, ART then recalled the main contextual norms related to the case at hand, while, in relation to the issue of programming and investments, it considered that the railway service along the Rome – Ostia Lido lines, Rome – </w:t>
        <w:br/>
        <w:t>99 The Authority performs regulatory functions in relation to: 1) the definition of the schemes for the calls for tenders for the exclusive assignment of transport services and the agreements to be included in the specifications of the same tenders (paragraph 2, letter f); 2) the definition of "minimum quality service conditions" (paragraph 2, letter d) and "specific rights, including compensation rights, that users can demand from service providers" (paragraph 2, letter e); 3) In terms of passenger rights, both for the railway sector and for bus transport and for maritime and inland waterways, it performs specific supervisory functions. Under Legislative Decree No. 17 April 2014 No. 70, the Authority is indeed responsible for ascertaining violations of the provisions of Regulation (EC) No. 1371/2007, relating to the rights and obligations of passengers in railway transport and for imposing the penalties provided for by the aforementioned legislative decree. Therefore, in accordance with the combined provisions of Article 27, paragraph 1-bis, and Article 19 of the Consumer Code, the sector regulatory framework is aimed at ensuring: A. the productive efficiency of management for the benefit of user-consumers and compliance with predetermined quality standards that are adequately made public; B. the application of the regulation of minimum quality conditions and specific rights also of a compensatory nature; C. compliance with the provisions of Regulation (EC) No. 1371/2007, where applicable.</w:t>
      </w:r>
    </w:p>
    <w:p>
      <w:r>
        <w:rPr>
          <w:b/>
        </w:rPr>
        <w:t>[Pages 214–216]</w:t>
      </w:r>
    </w:p>
    <w:p>
      <w:r>
        <w:t>216 BULLETIN NO. 31 OF AUGUST 16, 2017</w:t>
        <w:br/>
        <w:t>Civitacastellana – Viterbo and Rome – Pantano falls within the characteristics of services subject to</w:t>
        <w:br/>
        <w:t>OSP and has highlighted the commitments that arise from this for the Region and ATAC100.</w:t>
        <w:br/>
        <w:t>109. Furthermore, with regard to the mutual obligations of the two contracting parties, the Lazio Region must</w:t>
        <w:br/>
        <w:t>ensure a transport offer adequate to the demand needs in its temporal and spatial characteristics101, while ATAC, as the contractor, is responsible for the management of the service and for the ordinary maintenance of the rolling stock.</w:t>
        <w:br/>
        <w:t>110. Regarding the minimum quality conditions of the railway transport service102, with particular reference to the findings of the procedure, the ART, after identifying the articles of the Contract that define the indicators, standards, and related penalties, proceeded to compare the annual objectives with the levels achieved, published in the Service Charters103, for the different years with reference to the regularity of the service, measured as trips made/trips scheduled, noting that:</w:t>
        <w:br/>
        <w:t>1. the target values in 2010 correspond to those defined in Annex 4 of the Contract respectively for the Rome – Ostia Lido and Rome – Civitacastellana – Viterbo lines; the value related to Rome -Pantano (Giardinetti) is an improvement;</w:t>
        <w:br/>
        <w:t>2. for the years following 2010, the percentage of irregularity recorded shows a deviation:</w:t>
        <w:br/>
        <w:t>a) exceeding 3 times the target value in 2011 and 2 times the target value in 2012 for the Rome-Civitacastellana-Viterbo line; b) nearly 2 times the target value in 2012 for the Rome – Pantano line;</w:t>
        <w:br/>
        <w:t>3. the Service Charter does not provide for any type of reimbursement to the user for negative deviations from the set objectives.</w:t>
        <w:br/>
        <w:t>111. Finally, with reference to the lack of information regarding the regularity of the service, the Authority considered that the Contract does not provide for public information through "social" channels, as at the time of signing, these channels did not have the current dissemination. This constitutes one of the critical elements of the annual renewal, which, on the one hand, does not provide for an update with respect to the technological and informational context, and on the other hand, establishes that the penalties related to "public information" refer only to the information present at the station, that is, do not refer to other communication channels.</w:t>
        <w:br/>
        <w:t>112. The ART has finally noted how, in the regime of prorogation of the CdS, the function of service programming, which is the responsibility of the Lazio Region, has been effectively delegated to ATAC which, instead of considering the infrastructural constraints in programming, has related</w:t>
        <w:br/>
        <w:t>100 The ART has also highlighted the commitments of the Region pursuant to Article 22, paragraph 1 of the Service Contract, consisting, among other things, in implementing projects to improve intermodal infrastructures and in defining the plan for extraordinary interventions (investment plan) for maintaining efficiency and improving the rolling stock and infrastructures necessary for the provision of transport services, recalling the responsibility of the Lazio Region, as the Granting Authority, for the extraordinary maintenance of infrastructures, systems, and rolling stock, as well as those of ATAC, as the Grant Recipient.</w:t>
        <w:br/>
        <w:t>101 The ART referred to the Authority's resolution of April 3, 2017, No. 48 which, although issued after the date of signing the Service Contract, remains valid as a reference for subsequent renewals, considers that among the minimum quality conditions "an adequate offer of services during the times when the user who moves for work or study reasons is most concentrated, such as during peak hours of non-holiday periods."</w:t>
        <w:br/>
        <w:t>102 Pursuant to Articles 12 and 21, ATAC undertakes to operate the railway lines according to the Operating Program and in compliance with the quality standards of the services defined in the Contract and in the Service Charter. In relation to the aforementioned standards (Effectiveness/Efficiency/Quality Objectives relating to Punctuality, Reliability, Crowding, Efficiency of rolling stock, Cleanliness (of stations and rolling stock) and User Information. For these factors, the contract provides for the definition of indicators and related minimum quality standards (Annex 4) and a penalty system.</w:t>
        <w:br/>
        <w:t>103 The most recent Service Charters available date back to the years 2010, 2011, 2012, and 2013.</w:t>
      </w:r>
    </w:p>
    <w:p>
      <w:r>
        <w:t>BULLETIN NO. 31 OF AUGUST 16, 2017 217</w:t>
        <w:br/>
        <w:t>the systematic deviations of the service to the characteristics of the offer (issues related to mixed-use locations, traffic-light intersections, sight-running)104.</w:t>
        <w:br/>
        <w:t>113. With respect to the informational profile, the contract, while presenting a section on user information consistent with the reference context of 2007, provides in Article 21, paragraph 4, for the company's responsibility to submit to the Region a program for improving quality also in the area of user information. This program must be identified and be measurable105.</w:t>
        <w:br/>
        <w:t>114. Furthermore, although it is not possible to find specific violations of Reg. (EC) 1371/2007, the provisions contained therein can be taken as a parameter for evaluating the diligence required of the operator and for verifying the adequacy of the information and assistance provided to users. Where service disruptions occur (regardless of the causes), in fact, there arises, on the part of the railway company, a duty to inform the passenger and provide adequate assistance.</w:t>
        <w:br/>
        <w:t>VI. CONCLUDING EVALUATIONS</w:t>
        <w:br/>
        <w:t>115. This procedure concerns the conduct carried out by ATAC S.p.A., consisting of the presentation – through the Schedule disseminated at the stations and on the website www.atac.roma.it – of an offer of frequent and substantial transport services, in the face of the systematic and persistent suppression of the scheduled trips of the public railway transport service, offered under exclusivity, along the routes Rome - Lido di Ostia, Rome — Giardinetti - Pantano, and Rome — Civita Castellana Viterbo (former concession railways)106. Another aspect under observation concerns the lack of - or inadequate - information to users regarding the impossibility of making certain trips, even though the professional was aware of the systematic reasons that could have caused the suppression of some trips and the rescheduling of those adjacent.</w:t>
        <w:br/>
        <w:t>116. The sector relevant to the case at hand falls within that of Local and Regional Public Transport (TPLR), subject to Public Service Obligations (OSP) pursuant to Legislative Decree No. 422 of November 19, 1997,107 a sector of crucial importance for the economic and social development of the Country, due to the growing demand for mobility of people in urban areas and the equally growing request for a qualitative offer that guarantees transport reliability, adherence to schedules, certainty in movements, and a high level of quality of the service rendered, especially when the served areas involve a significant number of citizens/consumers.</w:t>
        <w:br/>
        <w:t>117. In particular, the correspondence between the service offered and that expected at the advertised times, in fact, fully falls within the rights of users of public services who make their mobility choices by purchasing the transport service offered precisely based on what is presented to them. Moreover, as stated in paragraph 2 of Article 101 of the Consumer Code, "the user relationship must take place in compliance with predetermined quality standards that are adequately made public."</w:t>
        <w:br/>
        <w:t>104 In this regard, the ART observes that the changed conditions of service operation would have justified the revision of the contract signed in 2007, rather than the reprehensible recourse to the institution of extension.</w:t>
        <w:br/>
        <w:t>105 In this sense, the ART notes a significant lack: from 2007 to today, the methods of information have reached significant levels of capillarity up to personalized information on the needs of the individual user and levels of timeliness up to "real time"; the communication tools contractually guaranteed by the company remain, however, those of information on paper support.</w:t>
        <w:br/>
        <w:t>106 The Rome-Lido and Rome-Viterbo are, respectively, the first and second commuter lines at the national level.</w:t>
        <w:br/>
        <w:t>107 Entitled "Delegation to regions and local authorities of functions and tasks in the field of local public transport, pursuant to Article 4, paragraph 4, of Law No. 59 of March 15, 1997."</w:t>
      </w:r>
    </w:p>
    <w:p>
      <w:r>
        <w:t>218 BULLETIN NO. 31 OF AUGUST 16, 2017</w:t>
        <w:br/>
        <w:t>118. Given these premises, the dissemination of the Schedule of the public railway transport service on the lines under observation in this provision, contrary to what ATAC asserted in its defense memos, represents - even considering the characteristics of the service itself, which according to the professional would be of a metropolitan type and not railway - an essential element and not an indicative datum regarding the frequency of trips; in this regard, it is worth noting that the consumer has a reasonable expectation of being informed in advance and in a timely manner regarding changes that, due to unforeseen causes, may plausibly occur in the provision of the service, so as to be free in their daily mobility choice.</w:t>
        <w:br/>
        <w:t>119. Also preliminarily, the exception of incompetence raised by ATAC in its concluding memos must be addressed, due to the applicability of Regulation EC 1371/2007 which provides specific informational obligations on the part of the company operating the railway transport service and whose compliance is overseen by the Transport Regulatory Authority (ART). On this point, it is sufficient to note that the same Transport Authority, in the opinion rendered, highlighted that Article 2 of the aforementioned Regulation states that it does not apply "to railway companies and transport services that do not hold a license [such as ATAC] under Directive 95/18/EC"108.</w:t>
        <w:br/>
        <w:t>120. The impossibility – for the ART – of applying the provisions contained in Reg. (EC) No. 1371/2007, in fact, led to the interruption of the investigative activity initiated by the Authority itself which, in 2015, had requested information from the professional regarding the low quality level of the services provided on some of the former concession railway routes following user reports109.</w:t>
        <w:br/>
        <w:t>121. It is concluded that the exception of incompetence raised by ATAC regarding the practice contested against it is without merit.</w:t>
        <w:br/>
        <w:t>122. That said, the conduct of the professional, realized through the dissemination of the predefined schedules available at the station and on the website www.atac.roma.it not corresponding to the actual transport offer to users (due to the significant suppression of scheduled trips) and failing to inform consumers in advance – or not adequately informing them – about the systematic decrease in trips recorded throughout the reference period of this investigation, constitutes, as will be argued later, the elements of an unfair commercial practice in violation of Articles 20, 21, and 22 of the Consumer Code.</w:t>
        <w:br/>
        <w:t>123. Entering into the merits of the conduct, it is first highlighted that, throughout the reference period (starting from the year 2010 - the moment when ATAC took over from Met.Ro. S.p.A. in the management of the aforementioned former concession railways and until October 2016), the investigative findings showed how the professional has constantly and systematically disregarded the official Schedule reporting the scheduled trips - and therefore the frequencies expected by consumers - on the reference routes, significantly and substantially reducing the transport service offer compared to what was provided in the service contract, thus generating serious inconveniences for users in terms of delays and overcrowding of vehicles and, consequently, misleading consumers about the schedules and frequency of train passage and thereby altering their free and informed economic choice regarding the modes of transport to be used.</w:t>
        <w:br/>
        <w:t>124. Such an economic choice, in fact, especially when made by commuting citizens (a condition that characterizes almost all users who use the former concession railways)</w:t>
      </w:r>
    </w:p>
    <w:p>
      <w:r>
        <w:rPr>
          <w:b/>
        </w:rPr>
        <w:t>[Pages 217–219]</w:t>
      </w:r>
    </w:p>
    <w:p>
      <w:r>
        <w:t>BULLETIN NO. 31 OF AUGUST 16, 2017 219</w:t>
        <w:br/>
        <w:t>who daily need to reach their workplaces or places of study within reasonably certain times or even, during certain periods of the year, for leisure110, is determined not only by the price of the transport service but also by a whole series of other factors among which, certainly, the expected travel time of the route to be covered (which certainly has an economic value equal to the quality of the service provided) and the likelihood that it will be extended due to the cancellation or delay of services.</w:t>
      </w:r>
    </w:p>
    <w:p>
      <w:r>
        <w:t>125. The latter, in fact, plays a decisive role in urban transport – in light of the fixed cost of the ticket and could plausibly lead to a different economic choice (e.g. the use of a private vehicle), if one were aware of its probable extension due to the repeated failure to comply with the Schedule.</w:t>
      </w:r>
    </w:p>
    <w:p>
      <w:r>
        <w:t>126. This, as mentioned, has structurally occurred in this case due to the systematic and significant cancellation of services attributable to the professional, which is the basis and represents the premise of the unfair commercial practice in question.</w:t>
      </w:r>
    </w:p>
    <w:p>
      <w:r>
        <w:t>127. The evidence on record has shown that ATAC has not been able (and does not seem to be able even now) to ensure compliance with the Schedule and eliminate (or at least reduce) the inconveniences caused to users due to the decrease in the transport offer that it had committed to maintain, despite the technical remedy (advancing the departure of subsequent trains and postponing previous trains) with which the professional would have tried to contain the negative effects resulting from the cancellation of services111.</w:t>
      </w:r>
    </w:p>
    <w:p>
      <w:r>
        <w:t>128. The cancellation of services, in fact, regardless of the subsequent reorganization of them, has substantially nullified the informational value of the Schedule disseminated by the professional [which, it is reiterated, constitutes the main information on the basis of which the consumer makes (economic) decisions in urban areas regarding the means of transport to be used to reach work or other places of interest], since it has very often (if not ordinarily) not corresponded with the actual consistency of the railway transport service actually offered by ATAC throughout the period under observation in this provision.</w:t>
      </w:r>
    </w:p>
    <w:p>
      <w:r>
        <w:t>129. As highlighted by the analysis of the available data, the production ∆ in terms of deviations of services performed compared to those scheduled112 has resulted, for the former concession railways as a whole, always [and significantly] negative113.</w:t>
      </w:r>
    </w:p>
    <w:p>
      <w:r>
        <w:t>130. If we observe the trend of the canceled services with reference to each individual route, it emerges that the percentage variations of these compared to the scheduled range from -3% (Rome Lido – year 2010) to almost -20% (also on the Rome Lido in the year 2015)114.</w:t>
      </w:r>
    </w:p>
    <w:p>
      <w:r>
        <w:t>110 Consider, for example, the citizens who reach seaside resorts using the Rome-Lido during the summer months.</w:t>
      </w:r>
    </w:p>
    <w:p>
      <w:r>
        <w:t>111 The extraordinary services, in fact, replacing some of those canceled, seem to have only slightly alleviated the inconveniences in terms of reduced frequencies between one service and another. This modus operandi has resulted [and results] in the fact that the user does not notice the cancellations and the chronicity of the daily delays that ensue generates overcrowding and low service quality, creating a "habit" of inefficiency. Consequently, the number of "formal" complaints on this aspect is limited in absolute value compared to the demand for mobility and the number of users who daily use the transport service on the railway lines in question, as well as compared to the widespread perception of the phenomenon. This perception is instead fully captured in the numerous complaints that passengers direct to the professional on social networks and that emerged from the analysis of the databases – in particular Infomobilità – provided on record by the professional [Cf. doc. n. 14 of the index of the file].</w:t>
      </w:r>
    </w:p>
    <w:p>
      <w:r>
        <w:t>112 But also in terms of Km/vehicles. [Cf. Tab. n.2 included in the previous note n. 30].</w:t>
      </w:r>
    </w:p>
    <w:p>
      <w:r>
        <w:t>113 Cf. previous Table n.1.</w:t>
      </w:r>
    </w:p>
    <w:p>
      <w:r>
        <w:t>114 Except for a single exception regarding the (partial) data of the year 2016 on the urban and extra-urban Rome-Viterbo route whose variation is just below 2%. [Cf. previous Table n.2].</w:t>
      </w:r>
    </w:p>
    <w:p>
      <w:r>
        <w:t>220 BULLETIN NO. 31 OF AUGUST 16, 2017</w:t>
      </w:r>
    </w:p>
    <w:p>
      <w:r>
        <w:t>131. Such findings, in fact, appear sufficient in themselves to reveal the enormity of the phenomenon for the entire period taken as a reference (2010-Oct 2016). This phenomenon goes well beyond the physiological limits that can reasonably be expected in the provision of a local public transport service, such as that managed by the professional, and has caused serious inconveniences for users of the railway service in the affected areas, particularly in the year 2015, when citizens had to endure the cancellation of over 28,500 services, equivalent to over 12% of the scheduled services.</w:t>
      </w:r>
    </w:p>
    <w:p>
      <w:r>
        <w:t>132. In that year: i) in the case of the Rome-Lido, the cancellation affected over 11,000 services (out of a total of about 59,000), equivalent to about 18% of those scheduled, concentrated in the months of July (only just over half of the scheduled services were performed), August (over 25% of the scheduled services were canceled) and September (about 20% of the scheduled services were canceled). In the other months, the percentage of canceled services compared to those scheduled was 5-10%; ii) in the case of Rome — Giardinetti - Pantano, the cancellation affected almost 12,000 services (11.5% of the scheduled services), mainly concentrated in the months of January, June, July, and August; iii) in the case of Rome-Viterbo, over 5,500 cancellations were recorded (about 8% of the scheduled services), always concentrated between July and August (about 74% of the total cancellations).</w:t>
      </w:r>
    </w:p>
    <w:p>
      <w:r>
        <w:t>133. Regarding the observed magnitude of the phenomenon, the professional's objection must be considered, which, in his final submissions, generally contested the framework of the data elaboration presented above, stating that the item "scheduled services" would report the number of services planned in the operating program prepared by ATAC at the beginning of each calendar year and would not take into account the subsequent modifications that such a program may undergo during the year (Monthly Revision Program). However, in this regard, the professional has only provided an internal elaboration, lacking specific supporting documentation since the attached documentation is insufficient to demonstrate the results presented115.</w:t>
      </w:r>
    </w:p>
    <w:p>
      <w:r>
        <w:t>134. In this regard, it should be noted preliminarily that at no time during the investigation (nor even during the hearing held at the Authority's headquarters) did the professional disclose or document the formal communication of such Revisions of the initial program to the Region.</w:t>
      </w:r>
    </w:p>
    <w:p>
      <w:r>
        <w:t>135. The documentation used by the Authority for its elaborations consists, instead, precisely of the tables presented monthly to the Region by the professional himself in order to allow monitoring of the Company's operations retrospectively. These are, in fact, the tables contained in the Monthly Operating Reports116, referred to in Article 13 of the CdS, which ATAC transmits to the Region by the month following the reference month (for the monthly reports), as an assessment of the actual state of the quantitative and qualitative level of the service provided, and such tables represent, until proven otherwise, the only official documentation that certifies the reliability of the service performed by ATAC and, as such, the only one useful for the purposes of this investigation.</w:t>
      </w:r>
    </w:p>
    <w:p>
      <w:r>
        <w:t>136. The only possible modifications to the service programming are those provided for by Article 8 of the CdS, from which it is evident that ATAC can proceed with such modifications, subject to a favorable opinion from the Region and without this resulting in a reduction of the compensation, solely for the execution of scheduled works (not concerning ordinary maintenance) for improvements, renewal, and enhancement of the railway infrastructure, as well as of the areas and facilities in which the activities related to railway operation are developed and, in any case, in the event of dysfunctions arising from unforeseeable events with the application of normal diligence.</w:t>
      </w:r>
    </w:p>
    <w:p>
      <w:r>
        <w:t>137. In any case, the same data and elaborations produced by the professional in his final submission show that, at least for all the former concession railways, the frequency of deviations between actual and scheduled during the reference period (January 2010 – October 2016) exceeds in over 50% of cases, the physiological levels indicated in the service contract (2% of the scheduled journeys for the Rome-Lido and Rome-Viterbo lines and 4% for the Rome-Giardinetti-Pantano line)117.</w:t>
      </w:r>
    </w:p>
    <w:p>
      <w:r>
        <w:t>138. Moreover, what emerges from the evidence on record unequivocally demonstrates that the cancellation of services by ATAC cannot at all be attributed to sporadic events or mere service disruptions or - predominantly - to force majeure causes, but presents a structural underlying nature; this is inferred by associating such data with the reasons that have led to the significant reduction of the service provided by ATAC118.</w:t>
      </w:r>
    </w:p>
    <w:p>
      <w:r>
        <w:t>139. This appears even more serious when considering, as demonstrated above, that even purging the overall data of the number of cancellations from those arising from force majeure119, the significant consistency, constancy, and systematic nature of the phenomenon of service cancellations – beyond physiological limits – is nonetheless confirmed throughout the entire period taken as a reference120.</w:t>
      </w:r>
    </w:p>
    <w:p>
      <w:r>
        <w:t>140. In this case, the phenomenon presents characteristics of systematicity attributable, in particular, to the chronic insufficiency of personnel, especially during certain periods of the year and, therefore, to a commercial choice/responsibility of ATAC not to intervene adequately and effectively on this shortcoming, placing the consequences on consumers and distorting their choices.</w:t>
      </w:r>
    </w:p>
    <w:p>
      <w:r>
        <w:t>141. As highlighted in the paragraph of the investigative findings, in fact, the main reasons that have determined the deviations of actual provision compared to that scheduled depend substantially on items such as "lack of personnel," "lack of materials," and "schedule adjustment," that is, items that directly pertain to the programming and organization of Services by ATAC and are certainly not attributable to exogenous factors or sporadic events or mere service disruptions. These items have accounted for almost all of the cancellations of services performed (see previous points 28 and 29).</w:t>
      </w:r>
    </w:p>
    <w:p>
      <w:r>
        <w:t>142. It is noted, in particular, that the persistent and well-documented lack of personnel (which, in the year 2015 alone, accounts for over 53% of the cancellations)121 cannot certainly be attributed, as claimed by the professional, to the so-called hiring freeze, determined by the application of the spending review (D.L. n. 78/2015). In fact, as evidenced by the records, this lack has manifested itself, albeit to varying degrees, throughout the entire period taken as a reference by the investigation (2010-2016)122 and for all railway routes123.</w:t>
      </w:r>
    </w:p>
    <w:p>
      <w:r>
        <w:rPr>
          <w:b/>
        </w:rPr>
        <w:t>[Pages 220–222]</w:t>
      </w:r>
    </w:p>
    <w:p>
      <w:r>
        <w:t>222 BULLETIN NO. 31 OF AUGUST 16, 2017</w:t>
        <w:br/>
        <w:t>143. Moreover, the management actions taken by ATAC (at least until September 2015)124, based on the use of extraordinary leverage – given their non-structural nature – have left unchanged the discrepancy between what was promised by ATAC through the Schedule and the service actually provided during the period considered.</w:t>
        <w:br/>
        <w:t>144. In this context, the scarcity and obsolescence of rolling stock and the lack of funding from the Lazio Region do not seem to explain the deficient provision of the service, which appears largely attributable to responsibilities solely referable to the professional.</w:t>
        <w:br/>
        <w:t>145. Therefore, in light of the above, the service on the former concession railways was offered by ATAC by continuously and structurally operating a number of runs lower than those scheduled, to a degree well beyond the deviations that could be considered "physiological," failing to meet the commitment made to consumers/users through the dissemination of the Schedule published also on its website and, in fact, misleading them regarding the actual availability of the service and causing them evident inconveniences125.</w:t>
        <w:br/>
        <w:t>146. Regarding the information provided to users, it is preliminarily noted that if ATAC had been able – particularly during the summer period – to inform consumers in advance and promptly of the high probability that some trains would be canceled, they would have had the opportunity to consciously choose the means of transport to use.</w:t>
        <w:br/>
        <w:t>147. The serious lack of information provided to service users through the institutional channels used by the professional (particularly the website) has clearly emerged from the elements acquired in the records, which show that ATAC did not provide consumers in advance with information about the cancellations of scheduled runs, as well as about the insertion of extraordinary runs and the consequent rescheduling of the timetable, despite the professional being aware of it in a timely manner126.</w:t>
        <w:br/>
        <w:t>148. On such occasions, although ATAC has stated that it has taken it upon itself to warn travelers in advance each time, it has not provided evidence in this regard127. Rather, the findings in the records show a constant absence of communication with users regarding changes to schedules and the cancellation of runs.</w:t>
        <w:br/>
        <w:t>149. Although ATAC has effectively implemented a communication system (website, social networks) that goes beyond the provisions of the CdS (paper postings at stations which, in the technological era in which we live, is evidently completely insufficient), it still appeared to lack a clear and structured system of preventive communication to customers. In particular, with regard to the case of reduced provision of the railway transport service, no system was established that would allow timely notification to users about the cancellations that would occur on the relevant lines, allowing, if necessary, for a change in transport choice128. The cancellation of runs has been and is still managed without any prior notice or with a notice at the station close to the departure time or even after it129.</w:t>
        <w:br/>
        <w:t>150. In this regard, both from the documentation in the file and from the statements acquired during the inspection, it has emerged that information about changes to schedules, cancellations, or delays of runs is published only when it is confirmed, in order to avoid what ATAC defines as "announcement effect," even when the need to cancel runs has been known for some time (e.g., the night before) and only if the cancellation causes significant inconveniences130.</w:t>
        <w:br/>
        <w:t>151. What seems to emerge, therefore, is a management of information in real time and not preventive and, in any case, close to the scheduled departure time of the canceled train, even when information regarding the cancellation of runs has been concretely available since the day before the probable occurrence of the event (cancellation).</w:t>
        <w:br/>
        <w:t>152. Regarding the Infomobilità system, which consists of numerous institutional communications concerning various issues primarily related to surface transport and metro lines131, it also does not appear useful for preventive communication to users, but serves the function, which is also heavily centralized, of providing instructions to operators in order to manage the responses to be given to users who request information or complain about inconveniences resulting from delays and cancellations that have already occurred.</w:t>
        <w:br/>
        <w:t>153. The absence and/or inadequacy of the information provided to the public and the consequent critical issues generated by this are also evident from the content of the numerous reports/complaints referring to the inefficient regularity of the service during the period considered in this investigation132.</w:t>
        <w:br/>
        <w:t>154. In light of this, the conduct of the professional must be deemed contrary to professional diligence due to the total absence – or serious inadequacy – of the information provided to users regarding the cancellation/modification of certain runs, thus misleading consumers regarding the availability of the service, the possibility of modifying their transport choices – with reference to both means and times – and therefore causing evident inconveniences, in violation of Articles 20, paragraph 2, and 22 of the same Code.</w:t>
        <w:br/>
        <w:t>Conclusions</w:t>
        <w:br/>
        <w:t>155. In light of the above, the conduct carried out by the professional, consisting of the frequent and systematic failure to comply with the Schedule disseminated at the stations and through the website www.atac.roma.it, given the verified and repeated cancellation of scheduled runs, is therefore suitable to mislead consumers regarding the actual availability of the service and to distort their economic behavior, in violation of Article 21 of the Consumer Code; moreover, the failure to disseminate preventive and timely information regarding the impossibility of carrying out certain runs – or of carrying them out at different times – despite being aware of the reasons that would have caused the cancellation/modification of the same, constitutes behavior not corresponding to the normal degree of competence and attention that can reasonably be expected from a company such as ATAC, given the characteristics of the activity carried out (burdened, moreover, in this case, by the commitment to fulfill public service obligations for commuters and urban mobility), thus resulting in violation of Article 20, paragraph 2, and 22 of the Consumer Code.</w:t>
        <w:br/>
        <w:t>130 See previous note no. 63.</w:t>
        <w:br/>
        <w:t>131 See previous point 66.</w:t>
        <w:br/>
        <w:t>132 See previous point no. 75 and notes no. 81 and 82.</w:t>
      </w:r>
    </w:p>
    <w:p>
      <w:r>
        <w:t>224 BULLETIN NO. 31 OF AUGUST 16, 2017</w:t>
        <w:br/>
        <w:t>VII. QUANTIFICATION OF THE SANCTION</w:t>
        <w:br/>
        <w:t>156.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157.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158. With regard to the severity of the violation, consideration is given in the case at hand to the size of the professional, a joint-stock company wholly controlled by the special territorial entity Città Metropolitana Roma Capitale and a concessionaire, under a legal monopoly regime, of the local public transport service in the metropolitan area of Rome, operating 309 surface lines (Bus, Tram, and Trolleybus); 3 Metro lines and 3 metropolitan railway lines (former concession railways). Based on the last approved financial statement (year 2015), it appears that ATAC achieved revenues from sales and services amounting to €818,900,023 and an operating loss of €79,194,384.</w:t>
        <w:br/>
        <w:t>159. Also with reference to severity, only concerning the former concession railways, according to what is reported on the professional's website133, the number of passengers transported in 2012 was 42 million (now estimated at about 200,000 passengers/day), thus the scope of the practice in question can be considered extensive, causing significant inconveniences to a very large number of consumers using the local mobility service.</w:t>
        <w:br/>
        <w:t>160. Regarding the duration of the violation, from the elements available in the records, it appears that the commercial practice has been in place since 2010 and is still ongoing.</w:t>
        <w:br/>
        <w:t>161. Based on these elements, it is deemed appropriate to determine the base amount of the administrative pecuniary sanction applicable to ATAC S.p.A. at €4,000,000 (four million euros).</w:t>
        <w:br/>
        <w:t>162. Considering that there is, in this case, a mitigating circumstance since the professional, based on the last approved financial statement, has incurred losses of over €79 million134, it is deemed appropriate to set the amount of the administrative pecuniary sanction applicable to ATAC S.p.A. at €3,600,000 (three million six hundred thousand euros).</w:t>
        <w:br/>
        <w:t>THEREFORE, taking into account the opinion of the Authority for Guarantees in Communications and in accordance with the opinion of the Transport Regulatory Authority, based on the considerations set forth above, it is concluded that the commercial practice in question is unfair pursuant to Articles 20, paragraph 2, 21, and 22 of the Consumer Code as it is contrary to professional diligence due to the failure to comply with the diligence standards required of a concessionaire of a public transport service for commuters and urban mobility and suitable to appreciably distort the economic behavior of the average consumer in relation to the services offered and advertised by the professional given the frequent and systematic cancellation of runs and the consequent failure to comply with the Schedule disseminated at the stations and through the website www.atac.roma.it, as well as</w:t>
        <w:br/>
        <w:t>133 See web page http://www.atac.roma.it/page.asp?p=52, noted on July 11, 2017</w:t>
        <w:br/>
        <w:t>134 The professional also stated, in its final submissions, that the negative economic situation persists also based on the preliminary management report (the draft budget closed on 31.12.16 is not yet finalized), recording operating losses for 2016 that would amount to approximately [omitted] euros.</w:t>
      </w:r>
    </w:p>
    <w:p>
      <w:r>
        <w:rPr>
          <w:b/>
        </w:rPr>
        <w:t>[Pages 223–225]</w:t>
      </w:r>
    </w:p>
    <w:p>
      <w:r>
        <w:t>BULLETIN NO. 31 OF AUGUST 16, 2017 225</w:t>
        <w:br/>
        <w:t>regarding the failure to disseminate preventive and timely information regarding the impossibility of carrying out certain runs — or of carrying them out at different times — despite ATAC being aware of the reasons that would have caused the cancellation/modification of the same;</w:t>
      </w:r>
    </w:p>
    <w:p>
      <w:r>
        <w:t>RESOLUTION</w:t>
        <w:br/>
        <w:t>a) that the commercial practice described in point II of this provision, carried out by the company ATAC S.p.A., constitutes, for the reasons and within the limits set out in the reasoning, an unfair commercial practice pursuant to Articles 20, paragraph 2, 21, and 22 of the Consumer Code, and prohibits its dissemination or continuation;</w:t>
        <w:br/>
        <w:t>b) to impose an administrative pecuniary sanction of €3,600,000 (three million six hundred thousand euros) on the company ATAC S.p.A.;</w:t>
        <w:br/>
        <w:t>c) that the professional shall communicate to the Authority, within sixty days from the notification of this provision, the initiatives taken in compliance with the warning referred to in point a).</w:t>
      </w:r>
    </w:p>
    <w:p>
      <w:r>
        <w:t>The administrative sanction imposed must be paid within thirty days from the notification of this provision, using the tax codes indicated in the attached F24 model with identifying elements, pursuant to Legislative Decree No. 241/1997. Payment must be made electronically by debiting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 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activities for a period not exceeding thirty days.</w:t>
      </w:r>
    </w:p>
    <w:p>
      <w:r>
        <w:t>226 BULLETIN NO. 31 OF AUGUST 16, 2017</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DEPUTY SECRETARY GENERAL THE PRESIDENT</w:t>
        <w:br/>
        <w:t>Annalisa Rocchietti Giovanni Pitruzzella</w:t>
      </w:r>
    </w:p>
    <w:p>
      <w:r>
        <w:t>BULLETIN NO. 31 OF AUGUST 16, 2017 227</w:t>
        <w:br/>
        <w:t>PS10763 - JUVENTUS FOOTBALL CLUB - MEMBERSHIP CONTRACT</w:t>
        <w:br/>
        <w:t>Provision No. 26711</w:t>
        <w:br/>
        <w:t>THE COMPETITION AND MARKET AUTHORITY</w:t>
        <w:br/>
        <w:t>IN ITS MEETING of July 25, 2017;</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April 20, 2017, as supplemented on May 19, 2017, and lastly on June 19, 2017, whereby the company Juventus Football Club S.p.A. submitted commitments pursuant to Article 27, paragraph 7, of the Consumer Code and Article 9 of the Regulation;</w:t>
        <w:br/>
        <w:t>VIEWED the acts of the proceeding;</w:t>
      </w:r>
    </w:p>
    <w:p>
      <w:r>
        <w:t>I. THE PARTY</w:t>
        <w:br/>
        <w:t>1. Juventus Football Club S.p.A. (hereinafter, Juventus), as a professional, pursuant to Article 18, letter b), of the Consumer Code, is an Italian football club based in Turin.</w:t>
      </w:r>
    </w:p>
    <w:p>
      <w:r>
        <w:t>II. THE CONDUCTS SUBJECT TO THE PROCEEDING</w:t>
        <w:br/>
        <w:t>2. The proceeding concerns the behavior carried out by the professional regarding the Membership card, purchasable through its website www.juventus.com. The Membership card provides for three types of membership with differentiated services and costs: J1897 Membership, Premium Membership, and finally, Junior Membership. This contract offers members a series of services, differentiated according to the type of membership, including priority in the purchase of tickets and subscriptions, "contest" services for viewing training sessions and matches, as well as discounts and agreements with affiliated retailers and companies. According to Article 6 of the Terms and Conditions of the Membership, recorded on February 24, 20171, membership in the Membership program is valid for one year from the date of activation of the services and is deemed to be tacitly renewed from year to year unless canceled by the member with at least 15 days' notice prior to the expiration.</w:t>
      </w:r>
    </w:p>
    <w:p>
      <w:r>
        <w:t>3. With reference to these Membership contracts, Juventus would have engaged in the following unfair commercial practices:</w:t>
        <w:br/>
        <w:t xml:space="preserve">a) it would have provided information that is not sufficiently transparent and omissive regarding the characteristics of the paid Membership contract, particularly with reference to the automatic renewal of the same upon expiration. In particular, on the pages that open during the purchase process of the Membership card on the website www.juventus.com, the existence of the automatic renewal clause of the subscription upon expiration is not clearly and simultaneously indicated. </w:t>
        <w:br/>
        <w:t>1 See doc. 2 of the investigative file.</w:t>
      </w:r>
    </w:p>
    <w:p>
      <w:r>
        <w:rPr>
          <w:b/>
        </w:rPr>
        <w:t>[Pages 226–228]</w:t>
      </w:r>
    </w:p>
    <w:p>
      <w:r>
        <w:t>228 BULLETIN NO. 31 OF AUGUST 16, 2017</w:t>
        <w:br/>
        <w:t>presented at the time of purchase. No indication would also be provided, during the purchase process, regarding the methods and terms for canceling the Membership;</w:t>
        <w:br/>
        <w:t>b) it would have obstructed the exercise of consumers' contractual rights, with reference to the exclusion of the right of withdrawal for Membership contracts. Article 20 Exclusion of the right of withdrawal of the Terms and Conditions of Membership2 excludes for this contract the right of withdrawal referred to in Article 52 and following of the Consumer Code, on the grounds that it concerns the provision of services related to leisure activities as per Article 59, paragraph 1, letter n) of the Consumer Code. This contractual provision could prove unlawful under the same provision of the Consumer Code, which establishes that the right of withdrawal referred to in Articles 52 to 58 for distance contracts is excluded concerning services related to leisure activities "if the contract provides for a specific date or period of execution";</w:t>
        <w:br/>
        <w:t>c) finally, it would have established, even for users who have concluded a Membership contract, a telephone line to contact the professional that falls within the category of premium services and exceeds the costs "of the basic rate," possibly in violation of what is provided by Article 64 of the Consumer Code, which establishes that if the professional uses a telephone line to be contacted by the consumer regarding the concluded contract, the consumer is not required to pay "more than the basic rate."</w:t>
        <w:br/>
        <w:t>III. THE OUTCOMES OF THE PROCEEDING: THE PRESENTATION OF COMMITMENTS</w:t>
        <w:br/>
        <w:t>1) The procedure process</w:t>
        <w:br/>
        <w:t>4. In relation to the conduct described above, on March 6, 2017, the professional was notified of the initiation of investigative proceeding No. PS10763. In this context, it was hypothesized that the conduct of Juventus could constitute a violation of Articles 20, 21, and 22, as well as 52 and 64 of the Consumer Code, as the aforementioned commercial practices appear, prima facie, contrary to professional diligence and potentially capable, on the one hand, of appreciably distorting the economic behavior of the average consumer concerning the characteristics of the Membership contract and, on the other hand, of hindering the exercise of consumers' contractual rights.</w:t>
        <w:br/>
        <w:t>5. On April 14, 2017, Juventus responded to the request for information made in the communication initiating the proceeding.</w:t>
        <w:br/>
        <w:t>6. On April 20, 2017, the professional submitted a proposal for commitments, pursuant to Article 27, paragraph 7, of the Consumer Code and Article 9 of the Regulation.</w:t>
        <w:br/>
        <w:t>7. On May 5, 2017, the professional was heard in a hearing.</w:t>
        <w:br/>
        <w:t>8. On May 19, 2017, and lastly on June 19, 2017, Juventus proposed an integration to the commitments presented, providing a consolidated version of the same.</w:t>
        <w:br/>
        <w:t>9. On June 5, 2017, the Party was notified of the conclusion date of the investigative phase pursuant to Article 16, paragraph 1, of the Regulation.</w:t>
        <w:br/>
        <w:t>2) The acquired elements and the commitments of the professional</w:t>
        <w:br/>
        <w:t>10. In the defense note of April 14, 2017, the professional described the Membership contract, as well as the subscription methods and subscription conditions.</w:t>
        <w:br/>
        <w:t>11. As indicated above, on May 19, 2016, Juventus submitted a proposal for commitments, pursuant to Article 27, paragraph 7, of the Consumer Code and Article 9 of the Regulation.</w:t>
        <w:br/>
        <w:t>2 See doc. 2 cited.</w:t>
      </w:r>
    </w:p>
    <w:p>
      <w:r>
        <w:t>BULLETIN NO. 31 OF AUGUST 16, 2017 229</w:t>
        <w:br/>
        <w:t>12. In particular, these commitments, which in their final version are attached to this provision and constitute an integral part thereof, provide for:</w:t>
        <w:br/>
        <w:t>1) Commitments related to the automatic renewal of the Membership program</w:t>
        <w:br/>
        <w:t>13. For contracts currently in force, for which automatic renewal is provided, Juventus commits to cancel the currently active automatic renewal processes, proceeding to inform Members that, upon the natural annual expiration, if they wish to renew the Membership, they must explicitly confirm this intention, providing payment details again. In the absence of such expression of intent, the Membership contract will cease to produce its effects at the scheduled annual expiration and will not be renewed.</w:t>
        <w:br/>
        <w:t>14. For contracts that will be concluded from the date of notification of the Authority's provision, Juventus commits to modify the purchase process, introducing a statement, permanently present on the screen that the consumer views during the purchase process, to clearly inform them that the purchase of the Membership includes automatic renewal at the annual expiration with the option, simultaneously and immediately accessible, to deactivate the automatic renewal, by simply unchecking a specific box already present in the purchase form. The implementation of the commitment is exemplified in the screenshot reproduced in Annex 1 to the statement of commitments. The customer will, in any case, have the option to modify the chosen option at any time, using the reserved area of the site to which they have access through their credentials, or by contacting the company through the channels that will be made available to them free of charge.</w:t>
        <w:br/>
        <w:t>2) Commitments related to the right of withdrawal</w:t>
        <w:br/>
        <w:t>15. Juventus commits to explicitly state in the Terms and Conditions of Membership the provision whereby the consumer who purchases the Membership is entitled to the right of withdrawal, providing specific indications for exercising this right as prescribed by current legislation.</w:t>
        <w:br/>
        <w:t>16. Considering the particular nature of the services and benefits offered by the Membership, Juventus will clearly specify that, if the Member, at their choice, decides to immediately (thus from the moment of purchase of the Membership) use the services offered by the Membership, they expressly accept, by checking a specific box, the loss of the right of withdrawal following the full execution of the contract by the company. In particular, the purchase process will be modified to include, after the acceptance box for the Terms and Conditions of Membership, the insertion of an additional box that, if freely selected by the consumer, will allow them to express their explicit desire to immediately benefit from the full provision of services and enjoyment of the Membership benefits, with the consequent loss of the right of withdrawal. If this box is not checked, the consumer may exercise the right of withdrawal within the terms and in the manner provided by law (see the screenshot reproduced in Annex 2 to the statement of commitments). Furthermore, after the purchase, the user will receive a confirmation communication of the Membership purchase, reminding them of their right to withdraw, if they have not requested to immediately benefit from the services and advantages of the Membership as provided by law.</w:t>
        <w:br/>
        <w:t>17. The commitment therefore entails that the user, contrary to what is currently provided, has the right of withdrawal, the provision of which is included in the Terms and Conditions of Membership, except in the case of users explicitly choosing to immediately benefit from the advantages provided by the Membership with the consequent loss of the right of withdrawal.</w:t>
      </w:r>
    </w:p>
    <w:p>
      <w:r>
        <w:t>230 BULLETIN NO. 31 OF AUGUST 16, 2017</w:t>
        <w:br/>
        <w:t>3) Commitments related to the paid Contact Center</w:t>
        <w:br/>
        <w:t>18. Juventus commits to provide Members with a contact telephone number, without additional costs beyond the basic rate. This communication channel will be reserved only for users who have subscribed to a Membership card, to whom the telephone number will be communicated along with the sending of the welcome packs. The number will also be indicated in the reserved area of the site, to which each individual user will have access through their credentials. Along with the telephone number, the user will receive instructions for contacting the call center without additional costs beyond the basic rate. This number may be used to allow Members to contact the company to raise service-related issues concerning the enjoyment of the Membership. To use the number without any additional cost, the Member must communicate to the contacted operator the identification code of their Membership and a specific unique PIN that allows the use of the number itself.</w:t>
        <w:br/>
        <w:t>19. Juventus finally communicated that the commitments presented will come into effect from the date of notification of the provision accepting the commitments and will remain valid indefinitely, being applied within two weeks3 from the date of notification of the provision, in order to implement the changes described in the commitments to all distance selling activities managed through the site www.juventus.com.</w:t>
        <w:br/>
        <w:t>IV. OPINION OF THE AUTHORITY FOR GUARANTEES IN COMMUNICATIONS</w:t>
        <w:br/>
        <w:t>20. Since the commercial practice subject to this provision has been disseminated via the internet, on June 20, 2017, the opinion of the Authority for Guarantees in Communications was requested, pursuant to Article 27, paragraph 6, of the Consumer Code.</w:t>
        <w:br/>
        <w:t>21. In the opinion received on July 20, 2017, the aforementioned Authority expressed its opinion that, in this case, regarding the communication methods used by the professional, the internet is a suitable tool to significantly influence the realization of the commercial practice in question, considering that this medium is capable of quickly offering the user a wide range of potential information likely to condition the consumer's behavior.</w:t>
        <w:br/>
        <w:t>V. EVALUATION OF THE COMMITMENTS</w:t>
        <w:br/>
        <w:t>22. The Authority believes that the commitments proposed by the professional are suitable to remedy the possible profiles of illegitimacy of the commercial practice contested in the communication of initiation of March 6, 2017.</w:t>
        <w:br/>
        <w:t>23. In particular, with reference to the profile of the automatic renewal of the Membership program, the proposed changes appear suitable to make it immediately perceivable to the user that the Membership contract includes automatic renewal at expiration. The introduction, during the purchase process, of information clearly perceivable by users through the use of bold text is functional for this purpose.</w:t>
        <w:br/>
        <w:t>24. That said, users are given the opportunity, already during the purchase process, to deactivate the automatic renewal at expiration by unchecking a box displayed simultaneously with the information regarding the renewal. Additionally, consumers are recognized, even after the conclusion of the Membership contract, the ability to deactivate the automatic renewal at any time by modifying their profile settings.</w:t>
        <w:br/>
        <w:t>3 See doc. 19 of the investigative file.</w:t>
      </w:r>
    </w:p>
    <w:p>
      <w:r>
        <w:rPr>
          <w:b/>
        </w:rPr>
        <w:t>[Pages 229–231]</w:t>
      </w:r>
    </w:p>
    <w:p>
      <w:r>
        <w:t>BULLETIN NO. 31 OF AUGUST 16, 2017 231</w:t>
      </w:r>
    </w:p>
    <w:p>
      <w:r>
        <w:t>25. An additional guarantee for exercising this option is the professional's commitment to maintain the practice of informing the user, through individual communication, of the imminent renewal of the contract, thus allowing them the possibility to deactivate the automatic renewal.</w:t>
      </w:r>
    </w:p>
    <w:p>
      <w:r>
        <w:t>26. The commitment, for contracts currently in force, to cancel the currently active automatic renewal processes, while informing users that, upon the annual expiration, if they wish to renew the Membership, they must explicitly confirm this intention by providing payment details again, is also suitable to overcome potential illegitimacy issues. In the absence of such a manifestation of will, the Membership contract will cease to produce its effects at the scheduled expiration and will not be renewed. This provision allows for the exclusion of potential harm to customers currently subject to automatic renewal, enabling them to make an informed choice thanks to clear information.</w:t>
      </w:r>
    </w:p>
    <w:p>
      <w:r>
        <w:t>27. With regard to the right of withdrawal, Juventus commits to explicitly state in the Terms and Conditions of the Membership the provision according to which the consumer who purchases the Membership is entitled to the right of withdrawal, providing specific indications for exercising this right as prescribed by current legislation. In order to immediately benefit from the advantages and services offered by the Membership card, potential users have the option to declare at their discretion, by selecting a specific and optional checkbox, that they wish to immediately use the services, thereby losing the right of withdrawal as provided for by Article 59, letter a) and o) of the Consumer Code.</w:t>
      </w:r>
    </w:p>
    <w:p>
      <w:r>
        <w:t>28. Finally, also with reference to the paid Contact Center, the commitment proposed by the professional, consisting of providing users holding the Membership card with a contact phone number at no additional cost beyond the basic rate, appears to be a suitable solution to remove the hypothesized profiles of illegitimacy. This number may be used by Members to raise service-related questions regarding the use of the Membership. To use the number at no additional cost, the Member must communicate to the contacted operator the identification code of their Membership and a specific unique Pin that allows the use of the number itself. The commitment, as proposed, appears suitable to comply with the regulatory provisions of Article 64 of the Consumer Code.</w:t>
      </w:r>
    </w:p>
    <w:p>
      <w:r>
        <w:t>29. In light of the above considerations, it is believed that the commitments presented meet the requirements set forth in Article 27, paragraph 7, of the Consumer Code.</w:t>
      </w:r>
    </w:p>
    <w:p>
      <w:r>
        <w:t>CONSIDERING, therefore, that the commitments presented by Juventus Football Club S.p.A., in the terms outlined above, are suitable to eliminate potential profiles of unfairness in the commercial practices under investigation;</w:t>
      </w:r>
    </w:p>
    <w:p>
      <w:r>
        <w:t>CONSIDERING, to impose the obligation of the aforementioned commitments on Juventus Football Club S.p.A.;</w:t>
      </w:r>
    </w:p>
    <w:p>
      <w:r>
        <w:t>CONSIDERING, therefore, that it is possible to close the proceedings without establishing the infringement;</w:t>
      </w:r>
    </w:p>
    <w:p>
      <w:r>
        <w:t>RESOLVES</w:t>
      </w:r>
    </w:p>
    <w:p>
      <w:r>
        <w:t>a) to make mandatory, with respect to Juventus Football Club S.p.A., pursuant to Article 27, paragraph 7, of the Consumer Code and Article 9, paragraph 2, letter a), of the Regulation, the commitments proposed by the company on May 19, 2017, as described in the statement attached to this provision;</w:t>
      </w:r>
    </w:p>
    <w:p>
      <w:r>
        <w:t>232 BULLETIN NO. 31 OF AUGUST 16, 2017</w:t>
      </w:r>
    </w:p>
    <w:p>
      <w:r>
        <w:t>b) to close the proceedings without establishing the infringement, pursuant to Article 27, paragraph 7, of the Consumer Code and Article 9, paragraph 2, letter a), of the Regulation;</w:t>
      </w:r>
    </w:p>
    <w:p>
      <w:r>
        <w:t>c) that Juventus Football Club S.p.A., within sixty days from the date of notification of this resolution, informs the Authority of the implementation of the commitments.</w:t>
      </w:r>
    </w:p>
    <w:p>
      <w:r>
        <w:t>Pursuant to Article 9, paragraph 3, of the Regulation, the proceedings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DEPUTY SECRETARY GENERAL THE PRESIDENT</w:t>
      </w:r>
    </w:p>
    <w:p>
      <w:r>
        <w:t>Annalisa Rocchietti Giovanni Pitruzzella</w:t>
      </w:r>
    </w:p>
    <w:p>
      <w:r>
        <w:t>BULLETIN NO. 31 OF AUGUST 16, 2017 233</w:t>
      </w:r>
    </w:p>
    <w:p>
      <w:r>
        <w:t>PS10571 - WIND INFOSTRADA-COSTS OF WITHDRAWAL</w:t>
      </w:r>
    </w:p>
    <w:p>
      <w:r>
        <w:t>Provision No. 26714</w:t>
      </w:r>
    </w:p>
    <w:p>
      <w:r>
        <w:t>THE ANTITRUST AUTHORITY</w:t>
      </w:r>
    </w:p>
    <w:p>
      <w:r>
        <w:t>IN ITS MEETING of August 2, 2017;</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acts of the proceedings;</w:t>
      </w:r>
    </w:p>
    <w:p>
      <w:r>
        <w:t>I. THE PARTY</w:t>
      </w:r>
    </w:p>
    <w:p>
      <w:r>
        <w:t>1. Wind Tre S.p.A. (hereinafter Wind, which will also refer to Wind Telecomunicazioni S.p.A., merged into Wind Tre S.p.A. effective January 1, 2017), as a professional, pursuant to Article 18, letter b), of the Consumer Code. The consolidated financial statements of the Wind Tre Group as of December 31, 2016, show a production value of approximately 6 billion and 490 million euros and is in loss1.</w:t>
      </w:r>
    </w:p>
    <w:p>
      <w:r>
        <w:t>II. THE COMMERCIAL PRACTICE</w:t>
      </w:r>
    </w:p>
    <w:p>
      <w:r>
        <w:t>2. The proceedings concern the behavior carried out by Wind, consisting of having modified from September 2016 the renewal period from 30 days to 4 weeks, with the charge of the related costs every 8 weeks instead of every 60 days, of the subscription offers for the fixed telephony and/or data service "Infostrada", through aggressive conduct.</w:t>
      </w:r>
    </w:p>
    <w:p>
      <w:r>
        <w:t>3. In particular, within the variation of the renewal period from 30 days to 4 weeks of the subscriptions to fixed telephony and/or data, the professional has provided for those who exercised the right of withdrawal pursuant to Article 70, paragraph 4, of the electronic communications code following the changes in question:</w:t>
      </w:r>
    </w:p>
    <w:p>
      <w:r>
        <w:t>a) in the case of offers bundled with products in installment payments (phone or tablet or mobile Wi-Fi), the charge in a single solution of the balance of the remaining installments due for the product;</w:t>
      </w:r>
    </w:p>
    <w:p>
      <w:r>
        <w:t>b) for options with a minimum duration, the payment of the fee due for the recovery of the cost of the modem (equal to 40 euros) and/or the device called "Google Chromecast" (equal to 34.90 euros) due in case of early termination for violation of the duration constraints of 24 and 30 months, respectively.</w:t>
      </w:r>
    </w:p>
    <w:p>
      <w:r>
        <w:t>III. THE FINDINGS OF THE PROCEEDINGS</w:t>
      </w:r>
    </w:p>
    <w:p>
      <w:r>
        <w:t>1) The course of the proceedings</w:t>
      </w:r>
    </w:p>
    <w:p>
      <w:r>
        <w:t>4. Based on information acquired for the application of the Consumer Code and reports from various consumers received during the period from August to December 2016 regarding the described commercial practice, on April 6, 2017, it was communicated to the Party.</w:t>
      </w:r>
    </w:p>
    <w:p>
      <w:r>
        <w:t>1 Accessible at the link http://www.windtre.it/Assets/M09/458/C_3_M09_22_0_0_file_it.pdf.</w:t>
      </w:r>
    </w:p>
    <w:p>
      <w:r>
        <w:rPr>
          <w:b/>
        </w:rPr>
        <w:t>[Pages 232–234]</w:t>
      </w:r>
    </w:p>
    <w:p>
      <w:r>
        <w:t>234 BULLETIN NO. 31 OF AUGUST 16, 2017</w:t>
        <w:br/>
        <w:t>the initiation of investigation procedure No. PS10571 for possible violation of Articles 20, 24, and 25 of the Consumer Code.</w:t>
      </w:r>
    </w:p>
    <w:p>
      <w:r>
        <w:t>5. In this context, the aggressiveness of the commercial practice was hypothesized in violation of Articles 24 and 25 of the Consumer Code, in the event that it was established that the reduction of the renewal period from 30 to 28 days for fixed and/or data subscription services also affected the offers associated with the installment sale of products (telephone, etc.), for which the professional has provided, following the exercise of the right of withdrawal, the charge in a single payment of the remaining installments due for the product, or if it concerned cases of options with a minimum duration, for which the professional has charged the fee provided in case of early termination (modem and/or device "Google Chromecast"). Such circumstances, in fact, entail an economic burden for the customer who wishes to exercise the right to withdraw from the contract as they do not intend to accept the modifications unilaterally imposed by the company based on an autonomous and free commercial initiative, would constitute the elements of coercion or undue conditioning capable of significantly limiting the consumer's freedom of choice or behavior regarding the exercise of the aforementioned right, leading them to make a commercial decision they would not have otherwise made.</w:t>
      </w:r>
    </w:p>
    <w:p>
      <w:r>
        <w:t>6. On May 3, 2017, Wind's defense memorandum was received, including the response to the request for information made concurrently with the communication of the initiation of the procedure.</w:t>
      </w:r>
    </w:p>
    <w:p>
      <w:r>
        <w:t>7. On May 19, 2017, pursuant to Article 27, paragraph 7, of the Consumer Code, the professional submitted commitments aimed at removing the unlawful aspects of the contested conduct.</w:t>
      </w:r>
    </w:p>
    <w:p>
      <w:r>
        <w:t>8. In its meeting on May 30, 2017, the Authority rejected the commitments proposed by the Party as they concerned cases of manifest unlawfulness and seriousness. The related decision of rejection was communicated to the professional on June 5, 2017.</w:t>
      </w:r>
    </w:p>
    <w:p>
      <w:r>
        <w:t>9. On May 31, 2017, Wind was heard in a hearing at the Authority's premises.</w:t>
      </w:r>
    </w:p>
    <w:p>
      <w:r>
        <w:t>10. On June 6, 2017, the Party was informed of the conclusion date of the investigative phase pursuant to Article 16, paragraph 1, of the Regulation, granting a period of 20 days for the submission of memoranda and documents.</w:t>
      </w:r>
    </w:p>
    <w:p>
      <w:r>
        <w:t>11. On June 26, 2017, Wind submitted its final memorandum.</w:t>
      </w:r>
    </w:p>
    <w:p>
      <w:r>
        <w:t>12. On June 27, 2017, the opinion was requested from the Authority for Guarantees in Communications, received on July 21, 2017.</w:t>
      </w:r>
    </w:p>
    <w:p>
      <w:r>
        <w:t>2) The evidence acquired</w:t>
      </w:r>
    </w:p>
    <w:p>
      <w:r>
        <w:t>13. From the documentation on file, it emerges that the Company communicated in July 2016 the reduction of the renewal period to the affected customers, including in the bill as well as on the pages of the website www.infostrada.it accessible from the "assistance" link a communication characterized by the following text: "following the evolution of the market and for the need to harmonize with other Wind services, pursuant to and for the effects of the General Conditions of Contract, from September 2016 the fees and contents of the Wind Infostrada subscription offers will be renewed every 4 weeks instead of monthly. Therefore, the telephone bill will be issued every 8 weeks instead of bi-monthly. For technical reasons, the first telephone bill may have a shorter duration. We remind you that, as provided for by Article 70, paragraph 4 of the Electronic Communications Code, if you do not accept the above-mentioned change, you may exercise the right of withdrawal from WIND Infostrada services or switch to another operator without penalties or deactivation costs by August 31, 2016, notifying us by registered letter A.R. to the following address: WIND Telecomunicazioni S.p.A. – Cancellation Service – P.O. Box 14155 - Postal Office Milan 65 - 20152 Milan. If you decide to withdraw and the line affected by this modification proposal is associated with a contract for the installment purchase of a product (telephone, Tablet, etc.) in force, the remaining installments contractually provided will be charged in a single payment. For further information, you can contact customer service at 155 or visit the customer area www.infostrada.it (…)”2.</w:t>
      </w:r>
    </w:p>
    <w:p>
      <w:r>
        <w:t>14. A similar communication would have been disseminated at Wind Infostrada sales points from July 2016.</w:t>
      </w:r>
    </w:p>
    <w:p>
      <w:r>
        <w:t>15. In its defense memoranda and during the hearing on May 31, Wind confirmed that the reduction of the renewal period from 30 to 28 days also affected the offers associated with the installment sale of products (telephone, tablet, etc.) as well as some options with a minimum duration, specifically the offers that provided for the free loan of the modem with a 24-month commitment and the option that provides for the free loan of the device called "Google Chromecast," with a 30-month commitment.</w:t>
      </w:r>
    </w:p>
    <w:p>
      <w:r>
        <w:t>16. Regarding these types of offers, it emerged that for customers who exercised - within the 30 days granted to them by Article 70, paragraph 4 of the Electronic Communications Code - the right of withdrawal following the aforementioned modification, Wind provided for the options associated with the installment sale of products, the charge in a single payment of the balance of the remaining unpaid installments; for options with a duration commitment, the payment of the fee due for the recovery of the cost of the modem (equal to 40 euros) and/or the device called "Google Chromecast" (equal to 34.90 euros) due in case of early termination for violation of the duration commitments.</w:t>
      </w:r>
    </w:p>
    <w:p>
      <w:r>
        <w:t>17. Wind also highlighted that:</w:t>
        <w:br/>
        <w:t>- the total number of customers affected by the aforementioned modification who had associated with the fixed and/or data service the purchase of a product in installments was [50,000 – 100,000]* and that, of these, [400-900] exercised the right of withdrawal following the modification;</w:t>
        <w:br/>
        <w:t>- the total number of customers affected by the aforementioned modification who had activated the option of the modem on loan with a 24-month commitment was [180,000 -350,000] and that, of these, [1,500-3,000] exercised the right of withdrawal following the modification;</w:t>
        <w:br/>
        <w:t>- the total number of customers affected by the aforementioned modification who had activated the option of the "Google Chromecast" device on free loan with a 30-month commitment was [30,000-60,000] (included in the [50,000 – 100,000] mentioned above) and that, of these, [350-650] (included in the [400-900] mentioned above) exercised the right of withdrawal following the modification.</w:t>
      </w:r>
    </w:p>
    <w:p>
      <w:r>
        <w:t>3) The defensive arguments of the Party</w:t>
      </w:r>
    </w:p>
    <w:p>
      <w:r>
        <w:t>18. With memoranda received on May 3 and June 26, 2017, as well as during the hearing held at the Authority's premises on May 31, 2017, Wind argued its defenses as follows.</w:t>
      </w:r>
    </w:p>
    <w:p>
      <w:r>
        <w:t>2 According to what emerges from the website, with subsequent supplementary communication Wind highlighted the following: "With reference to the communication present in the telephone bill of July and August regarding the modification of the billing period to eight weeks pursuant to Article 13 of the Wind Infostrada Contract Conditions, for further informational clarity, it is specified that the fees of the offer and any active additional options will increase the total cost by 8.6% compared to the annual amount paid so far. Furthermore, for technical-operational reasons, the reference period of the first telephone bill following this modification may vary from 51 to 56 days; in any case, the amount that will be charged will be calculated based on the actual number of billed days. In consideration of the above, the deadline for exercising the right of withdrawal from WIND Infostrada services or for switching to another operator without penalties or deactivation costs is extended to October 31, 2016."</w:t>
      </w:r>
    </w:p>
    <w:p>
      <w:r>
        <w:t xml:space="preserve">3 See attachment 3 to the defense memorandum of May 3, 2017. </w:t>
        <w:br/>
        <w:t>* In this version, some data are omitted, as elements of confidentiality or secrecy of the information were deemed to exist.</w:t>
      </w:r>
    </w:p>
    <w:p>
      <w:r>
        <w:t>236 BULLETIN NO. 31 OF AUGUST 16, 2017</w:t>
      </w:r>
    </w:p>
    <w:p>
      <w:r>
        <w:t>19. Initially, it is noted that the competence to intervene on the contested profile is exclusively attributable to AGCom by virtue of specific sectoral norms applicable, including those of the Electronic Communications Code (in particular, Article 70, paragraph 4 C.C.E.) and the regulatory provisions adopted and applied by AGCom, with related inhibitory and sanctioning powers (essentially contained in resolution 519/15/CONS).</w:t>
      </w:r>
    </w:p>
    <w:p>
      <w:r>
        <w:t>20. In application of the principle of specialty, as interpreted by the Plenary Assembly of the Council of State, such special norms would prevail and find application in the cases subject to contestation. The intervention of AGCM based on the norms on unfair practices would, in fact, be in "conflict" with the aforementioned special consumer protection regimes which, regulating "specific aspects" of the alleged practice, specifically establish in favor of the professional the right to "unilaterally modify" the existing contractual conditions, regulating the specific modalities of exercise.</w:t>
      </w:r>
    </w:p>
    <w:p>
      <w:r>
        <w:t>21. All the more so as the initiation communication would introduce a new and specific prohibition, based, in Wind's opinion, on an incorrect reading of the notion of "aggressive practice" referred to in Articles 24 and 25 of the Consumer Code, concerning the hypothesis that the operator would be prohibited from requesting the remaining installments of the price of the device in the case of early withdrawal by the consumer due to the exercise of the right to vary.</w:t>
      </w:r>
    </w:p>
    <w:p>
      <w:r>
        <w:t>22. On the merits, with reference to the case in question, it should be considered that the element of undue conditioning necessary to characterize the conduct as "aggressive" is absent and consequently the contestation advanced by the Authority is unfounded.</w:t>
      </w:r>
    </w:p>
    <w:p>
      <w:r>
        <w:t>23. This is due to the fact that the Customer would be perfectly aware of the effects of the early withdrawal exercised legitimately according to the relevant sectoral legislation as widely described and regulated in the Wind contract conditions.</w:t>
      </w:r>
    </w:p>
    <w:p>
      <w:r>
        <w:t>24. The customer would be informed of the specific commitments they are required to comply with in order to benefit from the payment extension at the time of subscription in the informational material made available to customers.</w:t>
      </w:r>
    </w:p>
    <w:p>
      <w:r>
        <w:t>25. In particular, the customer who activates an offer for a fixed telephony service and also purchases a product or device pays for it in installments, without interest (Article 1 General Conditions of Contract Telephone Included) and commits, until the date of payment of the last installment, not to withdraw from the Subscription, to keep active an offer compatible with the purchased product or device, and to correctly pay the amounts due. In case of non-fulfillment of any of the commitments made by the Customer, including in the case of withdrawal from the contractual relationship, they will be required to pay, in a single payment, all remaining installments due (Article 4 General Conditions of Contract Telephone Included), thus losing the advantage of the payment extension.</w:t>
      </w:r>
    </w:p>
    <w:p>
      <w:r>
        <w:t>26. The offer related to the product or device is therefore a separate offer from the base offer related to the fixed telephony service and has well-defined conditions of use that are presented to the customer at the time of subscription, who would thus be aware of the consequences arising from behaviors that deviate from those required.</w:t>
      </w:r>
    </w:p>
    <w:p>
      <w:r>
        <w:t>27. The failure to fulfill the commitments made by the customer could only result in the termination of the contractual relationship with Wind and, therefore, the obligation to pay the remaining installments in a single payment.</w:t>
      </w:r>
    </w:p>
    <w:p>
      <w:r>
        <w:t>28. It would also be relevant that the exercise of the right of withdrawal would not entail any economic burden as the customer would not be forced to bear additional economic costs, having to pay only the value of the good in their possession, known at the time of subscription of the contract and in the case of the modem and the Google Chromecast device of modest</w:t>
      </w:r>
    </w:p>
    <w:p>
      <w:r>
        <w:rPr>
          <w:b/>
        </w:rPr>
        <w:t>[Pages 235–237]</w:t>
      </w:r>
    </w:p>
    <w:p>
      <w:r>
        <w:t>BULLETIN NO. 31 OF AUGUST 16, 2017 237</w:t>
        <w:br/>
        <w:t>of modest value considering that the final charge to the customer ranges between an amount of 34 and 40 Euros. Furthermore, in the case of such last devices, the situation under analysis would differ substantially from the management method of the devices referred to in the PS10247 provision concerning the mobile telephony sector, as, in this case, no installment payment would be provided during the contractual term but only the commitment to pay €34 (in the case of the Google Chromecast device) or €40 (in the case of Modem/Router), in the event of early withdrawal from the contractual commitment, since that device remains in the customer's possession who thus simply pays its value.</w:t>
      </w:r>
    </w:p>
    <w:p>
      <w:r>
        <w:t>29. Even from this perspective, the characterization of aggressive practice would not appear justifiable since the insignificance of the amount requested from the Customer could not objectively constitute an economic burden such as to represent coercion or undue conditioning for the same.</w:t>
      </w:r>
    </w:p>
    <w:p>
      <w:r>
        <w:t>The measures proposed by Wind</w:t>
      </w:r>
    </w:p>
    <w:p>
      <w:r>
        <w:t>30. With the final memorandum received on June 26, 2017, Wind Tre, while firmly believing in the full compliance of its conduct with regulatory provisions and regardless of the rejection of the Proposal for Commitments, proposed the following collaborative measures, making itself available to:</w:t>
        <w:br/>
        <w:t>i) integrate the article of the contractual conditions relating to the devices in the sense of providing, with reference to the fixed telephony market and in the case of a telephone offer associated with a device, that where a contractual modification concerning the offer or the telephone service occurs, the Customer has the option to continue to make installment payments, through the same payment method, of the remaining installments related to the device or the consideration provided for the purchased product, unless they expressly request to proceed with the relevant payment in a single solution;</w:t>
        <w:br/>
        <w:t>ii) integrate the information provided through multiple communication channels for any future contractual modifications concerning the fixed telephony service with a specific notice reminding the user of the option to make installment payments of the remaining installments related to the device or the consideration provided for the purchased product, unless they expressly request to proceed with the relevant payment in a single solution;</w:t>
        <w:br/>
        <w:t>iii) upon specific request to customer service, reimburse Customers who have exercised the right of withdrawal by bearing the cost related to the purchase of a product in installments or who have activated the modem/Google Chromecast option with a duration constraint combined with a fixed telephony service.</w:t>
      </w:r>
    </w:p>
    <w:p>
      <w:r>
        <w:t>IV. OPINION OF THE AUTHORITY FOR GUARANTEES IN COMMUNICATIONS</w:t>
      </w:r>
    </w:p>
    <w:p>
      <w:r>
        <w:t>31. Since the commercial practice subject to this provision has been disseminated through telecommunications means (in particular, via SMS and the internet), on June 27, 2017, the opinion was requested from the Authority for Guarantees in Communications, pursuant to Article 27, paragraph 1-bis and paragraph 6, of the Consumer Code.</w:t>
      </w:r>
    </w:p>
    <w:p>
      <w:r>
        <w:t>32. With the opinion received on July 21, 2017, the Authority deemed its competence to express the requested opinion pursuant to Article 27, paragraphs 1-bis and 6, of the Consumer Code, due to the relevance to the electronic communications sector and the dissemination of the practice via SMS and the Internet, summarized the following:</w:t>
        <w:br/>
        <w:t>- that the conduct under examination, based on the documentation received, concerns, as far as its competence is concerned, the exercise of the right of withdrawal in the case of offers combined with the installment purchase of a product, or options with the free loan of a modem and/or the device called Google Chromecast;</w:t>
        <w:br/>
        <w:t>- the opportunity to redefine, also in light of the amended Article 27, paragraph 1-bis, of the Consumer Code, the subject of the opinion rendered to the Antitrust Authority pursuant to Article 27, paragraph 6, of the same Code, in the sense of limiting its assessments to the suitability of the specific means of communication used to disseminate the commercial practice to affect and amplify any unfairness of the practice itself;</w:t>
        <w:br/>
        <w:t>- that an interpretation of Article 27, paragraph 1-bis, of the Consumer Code in accordance with European Union law requires the Authority for Guarantees in Communications to express, with the prescribed opinion, an assessment regarding the applicability of the professional's conduct to the scope of a sectoral norm of direct European derivation, suitable, as such, to establish the Authority's competence to intervene in the specific case;</w:t>
        <w:br/>
        <w:t>- that with reference to the mode of communication that occurred via SMS, the tool used is suitable for rapidly disseminating information to users regarding the economic conditions of the signed contracts;</w:t>
        <w:br/>
        <w:t>- that the internet is a global communication network capable of quickly offering the user a wide range of potential information likely to influence their behavior and has become the third mass communication medium by penetration (after television and radio), with 69.2% of Italian households able to access it from home (source: Istat, report "Citizens, businesses, and ICT", year 2016);</w:t>
        <w:br/>
        <w:t>- that, in this case, SMS and the internet, used by Wind Telecomunicazioni S.p.A. to advertise the contractual adjustments in question, are suitable tools to significantly influence the realization of the commercial practice;</w:t>
        <w:br/>
        <w:t>- with reference to the sector regulations regarding the request for opinion pursuant to Article 27, paragraph 1-bis of the Consumer Code, that the conduct held by Wind, within the overall maneuver under examination, is attributable to the current regulatory framework for the electronic communications sector and, specifically, to what is provided by Directive No. 2002/22/EC, and Articles 70 and 71 of the Electronic Communications Code, without prejudice to any profiles of violation of the Consumer Code relating to the misleading and aggressive nature of the same practice;</w:t>
        <w:br/>
        <w:t>- that AGCOM has already assessed the adjustment maneuver implemented by the operator since September 2016, under the specific profiles related to the information provided to users regarding the annual economic increase of the underlying tariffs, ensuring that the Company integrated the relevant information. On the other hand, with reference to the variation of the renewal frequency of the offers and the related billing, the Authority, with resolution No. 121/17/CONS, intervened with general measures aimed at resolving the identified critical issues. As for the costs charged in the event of withdrawal from offers that are also linked to a contract for the purchase of a product, with resolution No. 519/15/CONS, titled "Approval of the Regulation containing provisions for the protection of users regarding contracts for the provision of electronic communications services," the Authority prescribed that "In the case of offers that also include the purchase of goods, the possibility of providing longer installment periods for the payment of the consideration related to such goods, compared to the duration of the main contract concerning the provision of electronic communications services, remains unaffected. Operators guarantee their customers the option, in the event of cancellation of the main contract, to pay in a single solution the remaining installments for the purchase of the devices, without any additional cost, specifying the amount in the contract." More recently, with resolution No. 122/17/CONS, the Authority emphasized</w:t>
      </w:r>
    </w:p>
    <w:p>
      <w:r>
        <w:t>BULLETIN NO. 31 OF AUGUST 16, 2017 239</w:t>
        <w:br/>
        <w:t>that such provisions constitute an undue compression of the right of withdrawal. In fact, in the case of unilateral modification, Article 70, paragraph 4, of the Electronic Communications Code provides that withdrawal occurs without penalties and deactivation costs. Therefore, in the case of installment payments, the user who, due to the unilateral modification, intends to withdraw from the contract, should continue to pay in installments, without prejudice to the option to choose to settle the remaining amount in a single solution. Otherwise, in fact, if the operator were to impose on the user the burden of paying the remaining installments in a single solution due to the early withdrawal caused by its unilateral modification, it would treat the right of withdrawal referred to in the aforementioned Article 70, paragraph 4, as a contractual breach.</w:t>
      </w:r>
    </w:p>
    <w:p>
      <w:r>
        <w:t>V. CONCLUDING ASSESSMENTS</w:t>
      </w:r>
    </w:p>
    <w:p>
      <w:r>
        <w:t>The Authority's power of verification</w:t>
      </w:r>
    </w:p>
    <w:p>
      <w:r>
        <w:t>33. As a preliminary matter, the exception of incompetence of the Authority raised by the professional in their defense memoranda must be addressed, an exception that does not merit acceptance for the reasons that follow.</w:t>
      </w:r>
    </w:p>
    <w:p>
      <w:r>
        <w:t>34. As is known, the regulatory framework has recently been supplemented with the introduction into the Consumer Code of Article 27, paragraph 1-bis, which came into force on March 26, 2014, according to which "even in regulated sectors, pursuant to Article 19, paragraph 3, the competence to intervene against the conduct of professionals that constitutes an unfair commercial practice, while respecting the existing regulation, belongs exclusively to the Antitrust Authority, which exercises it based on the powers provided for in this article, having acquired the opinion of the competent regulatory Authority. The competence of the regulatory Authorities to exercise their powers in cases of violation of regulations that do not constitute an unfair commercial practice remains unaffected (...)".</w:t>
      </w:r>
    </w:p>
    <w:p>
      <w:r>
        <w:t>35. The legislative amendment identifies a general criterion for the preventive allocation of competences that assigns exclusively to AGCM the enforcement regarding all conduct that leads to an unfair commercial practice, including those carried out within "regulated sectors." The competence of sector Authorities remains in cases where behavior contrary to sector norms does not constitute an unfair commercial practice.</w:t>
      </w:r>
    </w:p>
    <w:p>
      <w:r>
        <w:t>36. It follows from the above that the Authority has clear competence under Article 27, paragraph 1-bis, of the Consumer Code to consider the case at hand.</w:t>
      </w:r>
    </w:p>
    <w:p>
      <w:r>
        <w:t>37. In this regard, it should be noted that - despite what the Party has pointed out regarding the existence of a limit to the verification of unfair commercial practices that would essentially derive from the existence of a sectoral norm of European rank, such as Article 70, paragraph 4, of the Electronic Communications Code, which establishes in favor of the professional the right to "unilaterally modify" the existing contractual conditions, specifically regulating the modalities of exercise - the procedure concerns conduct that can be qualified as aggressive under Articles 24 and 25 of the Consumer Code, the verification of which, pursuant to the combined provisions of Articles 19, paragraph 3 and 27, paragraph 1-bis, of the Consumer Code, belongs exclusively to the Antitrust Authority.</w:t>
      </w:r>
    </w:p>
    <w:p>
      <w:r>
        <w:t>Merit assessments</w:t>
      </w:r>
    </w:p>
    <w:p>
      <w:r>
        <w:t>38. The procedure concerns the commercial practice carried out by the professional towards its Infostrada customers, consisting of having provided since September 2016 for the reduction of the renewal period from 30 to 28 days of fixed telephony and/or data offers.</w:t>
      </w:r>
    </w:p>
    <w:p>
      <w:r>
        <w:rPr>
          <w:b/>
        </w:rPr>
        <w:t>[Pages 238–240]</w:t>
      </w:r>
    </w:p>
    <w:p>
      <w:r>
        <w:t>240 BULLETIN NO. 31 OF AUGUST 16, 2017</w:t>
        <w:br/>
        <w:t>"Infostrada" subscribed by the entire customer base through the adoption of aggressive conduct towards specific target users.</w:t>
      </w:r>
    </w:p>
    <w:p>
      <w:r>
        <w:t>39. In particular, within the variation of the renewal period from 30 days to 4 weeks for fixed-line and/or data subscriptions, the professional has provided that those who exercised the right of withdrawal pursuant to Article 70, paragraph 4, of the electronic commerce code, following the aforementioned modifications:</w:t>
        <w:br/>
        <w:t>a) in the case of offers combined with products on installment (telephone or tablet or mobile Wi-Fi), the charge in a single payment of the balance of the remaining installments due for the product;</w:t>
        <w:br/>
        <w:t>b) for options with a minimum duration, the payment of the fee for the recovery of the cost of the modem (equal to 40 euros) and/or the device known as "Google Chromecast" (equal to 34.90 euros) due in case of early termination for violation of the duration constraints of 24 and 30 months, respectively.</w:t>
      </w:r>
    </w:p>
    <w:p>
      <w:r>
        <w:t>40. The investigative findings reveal that, as hypothesized at the outset, the maneuver to reduce the renewal period from 30 to 28 days also affected the fixed-line and/or data offers from Infostrada combined with the installment sale of products (telephone, tablet, etc.) as well as the minimum duration options that provided for the granting of the modem on free loan with a 24-month commitment and the granting of the device known as "Google Chromecast" on free loan, with a 30-month commitment.</w:t>
      </w:r>
    </w:p>
    <w:p>
      <w:r>
        <w:t>41. Regarding these types of offers, it emerged that for clients who exercised - within the 30 days granted to them by Article 70, paragraph 4, of the electronic commerce code - the right of withdrawal following the modification in question, Wind provided for the options combined with the installment sale of products, the charge in a single payment of the balance of the remaining unpaid installments; for options with a duration constraint, the payment of the fee for the recovery of the cost of the modem (equal to 40 euros) and/or the device known as "Google Chromecast" (equal to 34.90 euros) due in case of early termination for violation of the duration constraints.</w:t>
      </w:r>
    </w:p>
    <w:p>
      <w:r>
        <w:t>42. Such circumstances, resulting in an economic burden for the customer who wishes to exercise the right to withdraw from the contract as they do not intend to accept the modifications unilaterally imposed by the company, constitute the elements of coercion or undue conditioning capable of significantly limiting the freedom of choice or behavior of the consumer regarding the exercise of the right in question, leading them to make a commercial decision that they would not have otherwise made.</w:t>
      </w:r>
    </w:p>
    <w:p>
      <w:r>
        <w:t>43. In fact, as demonstrated by the documentation on file, the company independently applied the reduction of the renewal period to these types of customers - the subscribers of fixed-line offers combined with the installment sale of products (conduct sub a) or minimum duration options that provided for the granting of the modem on free loan with a 24-month commitment and the granting of the device known as "Google Chromecast" on free loan, with a 30-month commitment (conduct sub b) - deciding, equally autonomously, to proceed with charging in a single payment the remaining installments of the product or the fee for the devices in case of early withdrawal, even in the case of termination of the contract resulting from the exercise of the right of withdrawal recognized by sector regulations as a specific protection for the customer in the face of a contractual variation imposed by the other party.</w:t>
      </w:r>
    </w:p>
    <w:p>
      <w:r>
        <w:t>44. Through the unilateral imposition of such choices made based on an autonomous and free commercial initiative by the professional, the latter, exploiting its position of supremacy, exerted pressure capable of significantly limiting the freedom of choice and behavior of the average consumer in relation to the enjoyment of services for which an increase in cost was requested during the relationship compared to the agreed tariff.</w:t>
      </w:r>
    </w:p>
    <w:p>
      <w:r>
        <w:t>45. These circumstances evidently reflect on the commercial decision of the consumer himself, exposed as a result of the coercion perpetrated by the professional to economic and/or contractual choices, such as maintaining the service active and not exercising the right of withdrawal provided for his protection by Article 70, paragraph 4, of the electronic commerce code, which he would not have otherwise made.</w:t>
      </w:r>
    </w:p>
    <w:p>
      <w:r>
        <w:t>46. Nor does the defensive argument put forth by the professional in its submissions that the charges in question would not constitute a quid novi for the consumer as they are contractually provided, exclude the aggressiveness of the conduct.</w:t>
      </w:r>
    </w:p>
    <w:p>
      <w:r>
        <w:t>47. In this regard, it suffices to note that the subject of this provision is not the aggressiveness of the contractual provision itself, but the circumstance that the charge of the remaining installments of the product (conduct sub a) or the fee for early withdrawal (conduct sub b) has been provided and requested even in the face of the exercise of the right of withdrawal from the contract that does not result from an initiative of the individual contracting party, but derives from a choice unilaterally imposed by the professional: the exercise of the ius variandi.</w:t>
      </w:r>
    </w:p>
    <w:p>
      <w:r>
        <w:t>48. Finally, regarding the contrariety to professional diligence, Wind does not exhibit the normal degree of competence and attention that can reasonably be expected, given the quality of the professional and the characteristics of the activity carried out, concerning the manner of imposing changes in the service conditions and the burden placed on the consumer.</w:t>
      </w:r>
    </w:p>
    <w:p>
      <w:r>
        <w:t>49. In particular, the contrariety to professional diligence is found to the extent that the professional appears to have considered the exercise of the right of withdrawal under Article 70, paragraph 4, of the electronic commerce code by customers subject to the modification who had subscribed to fixed-line offers combined with the installment sale of products (sub a) or minimum duration options that provided for the granting of the modem on free loan with a 24-month commitment and the granting of the device known as "Google Chromecast" on free loan, with a 30-month commitment (sub b), as a contractual breach, applying the related consequences when, in reality, in this case, the exercise of the right of withdrawal and the consequent termination of the contractual relationship represent the direct and guaranteed consequence by the norm of an autonomous and unilateral choice imposed by the professional on the consumer.</w:t>
      </w:r>
    </w:p>
    <w:p>
      <w:r>
        <w:t>VI. QUANTIFICATION OF THE SANCTION</w:t>
      </w:r>
    </w:p>
    <w:p>
      <w:r>
        <w:t>50.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51.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52. With regard to the severity of the violation, account is taken in the case at hand of the economic size of the professional, which has a turnover of nearly 6.5 billion euros, as well as the nature of the profiles of unfairness that consist of aggressive behaviors with a particular impact on the self-determination of the consumer in their commercial choices. Furthermore, account is taken of the wide dissemination and penetration of the practice that has affected [50,000 - 100,000] consumers holding a fixed line combined with the installment sale of products, of which [30,000-60,000] had activated the option of the "Google Chromecast" device, as well as [180,000 -350,000] customers affected by the modification in question who had activated the option of the modem on free loan with a 24-month commitment.</w:t>
      </w:r>
    </w:p>
    <w:p>
      <w:r>
        <w:t>53. Regarding the duration of the violation, from the available elements on file, it appears that the commercial practice has been carried out since July 2016, from which date the reduction of the renewal period of the offers was communicated until December 2016.</w:t>
      </w:r>
    </w:p>
    <w:p>
      <w:r>
        <w:t>54. Based on these elements, it is deemed appropriate to determine the base amount of the administrative pecuniary sanction applicable to Wind Tre S.p.A. in the amount of 550,000 € (five hundred fifty thousand euros).</w:t>
      </w:r>
    </w:p>
    <w:p>
      <w:r>
        <w:t>55. Considering that there is, in this case, an aggravating circumstance as the professional is the recipient of measures regarding unfair commercial practices and, among others, a measure concerning cases similar to the one under examination in the mobile telephony sector, it is deemed appropriate to determine the amount of the sanction at 650,000 € (six hundred fifty thousand euros).</w:t>
      </w:r>
    </w:p>
    <w:p>
      <w:r>
        <w:t>56. Furthermore, considering the measures proposed by Wind Tre S.p.A. as per paragraph III.3, it is deemed appropriate to determine the amount of the sanction at 550,000 € (five hundred fifty thousand euros).</w:t>
      </w:r>
    </w:p>
    <w:p>
      <w:r>
        <w:t>57. Finally, considering the economic situation of the professional, which presents unfavorable economic conditions with a loss-making balance sheet, it is deemed appropriate to determine the amount of the administrative pecuniary sanction applicable to Wind Tre S.p.A. at 500,000 € (five hundred thousand euros).</w:t>
      </w:r>
    </w:p>
    <w:p>
      <w:r>
        <w:t>THEREFORE, IN ACCORDANCE WITH THE OPINION OF THE AUTHORITY FOR GUARANTEES IN COMMUNICATIONS, BASED ON THE ABOVE CONSIDERATIONS, IT IS FOUND THAT THE COMMERCIAL PRACTICE IN QUESTION IS UNFAIR PURSUANT TO ARTICLES 20, 24, AND 25 OF THE CONSUMER CODE AS IT IS CONTRARY TO PROFESSIONAL DILIGENCE AND CAPABLE, THROUGH THE CHARGE OF THE BALANCE OF THE REMAINING INSTALLMENTS, IN THE CASE OF OPTIONS COMBINED WITH THE INSTALLMENT SALE OF PRODUCTS (conduct sub a), AS WELL AS FOR THE MINIMUM DURATION OPTIONS, THE PAYMENT OF THE FEE FOR THE RECOVERY OF THE COST OF THE MODEM (EQUAL TO 40 EUROS) AND/OR THE DEVICE KNOWN AS "GOOGLE CHROMECAST" (EQUAL TO 34.90 EUROS) DUE IN CASE OF EARLY TERMINATION FOR VIOLATION OF THE DURATION CONSTRAINTS (conduct sub b), TOWARDS CUSTOMERS WHO HAVE DECIDED TO EXERCISE THE RIGHT OF WITHDRAWAL FOLLOWING THE MANEUVER IN QUESTION, TO SIGNIFICANTLY DISTORT THE ECONOMIC BEHAVIOR OF THE AVERAGE CONSUMER IN RELATION TO THE SERVICES OFFERED BY THE PROFESSIONAL AND THE EXERCISE OF THE RIGHT OF WITHDRAWAL;</w:t>
      </w:r>
    </w:p>
    <w:p>
      <w:r>
        <w:t>RESOLVES</w:t>
      </w:r>
    </w:p>
    <w:p>
      <w:r>
        <w:t>a) that the commercial practice described in point II, letters a) and b), of this provision, carried out by the company Wind Telecomunicazioni S.p.A., now Wind Tre S.p.A., constitutes, for</w:t>
      </w:r>
    </w:p>
    <w:p>
      <w:r>
        <w:rPr>
          <w:b/>
        </w:rPr>
        <w:t>[Pages 241–243]</w:t>
      </w:r>
    </w:p>
    <w:p>
      <w:r>
        <w:t>BULLETIN NO. 31 OF AUGUST 16, 2017 243</w:t>
        <w:br/>
        <w:t>the reasons and within the limits set forth in the motivation, an unfair commercial practice pursuant to Articles 20, 24, and 25 of the Consumer Code, and prohibits its dissemination, continuation, or repetition;</w:t>
        <w:br/>
        <w:t>b) to impose an administrative pecuniary sanction of €500,000 (five hundred thousand euros) on the company Wind Tre S.p.A.</w:t>
        <w:br/>
        <w:t>The administrative sanction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Administrative Procedure Code (Legislative Decree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Roberto Chieppa Giovanni Pitruzzella</w:t>
      </w:r>
    </w:p>
    <w:p>
      <w:r>
        <w:t>244 BULLETIN NO. 31 OF AUGUST 16, 2017</w:t>
      </w:r>
    </w:p>
    <w:p>
      <w:r>
        <w:t>Competition Authority Weekly Bulletin</w:t>
        <w:br/>
        <w:t>of competition and market Year XXVII - No. 31 - 2017</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