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https://www.agcm.it/dotcmsdoc/bollettini/2022/32-22.pdf</w:t>
      </w:r>
    </w:p>
    <w:p>
      <w:r>
        <w:t>Pages translated : 120</w:t>
      </w:r>
    </w:p>
    <w:p/>
    <w:p>
      <w:r>
        <w:rPr>
          <w:b/>
        </w:rPr>
        <w:t>[Pages 1–3]</w:t>
      </w:r>
    </w:p>
    <w:p>
      <w:r>
        <w:t>Bulletin</w:t>
        <w:br/>
        <w:t>Weekly</w:t>
        <w:br/>
        <w:t>Year XXXII - No. 32</w:t>
        <w:br/>
        <w:t>Published on the website www.agcm.it</w:t>
        <w:br/>
        <w:t>22 August 2022</w:t>
      </w:r>
    </w:p>
    <w:p>
      <w:r>
        <w:t>SUMMARY</w:t>
        <w:br/>
        <w:t>AGREEMENTS AND ABUSE OF DOMINANT POSITION 5</w:t>
        <w:br/>
        <w:t>A547 - CONDUCT OF WIND TRE TO THE DETRIMENT OF RESELLERS</w:t>
        <w:br/>
        <w:t>Measure no. 30276 5</w:t>
        <w:br/>
        <w:t>I814 - INTERNATIONAL RIGHTS</w:t>
        <w:br/>
        <w:t>Measure no. 30284 21</w:t>
        <w:br/>
        <w:t>CONCENTRATION OPERATIONS 24</w:t>
        <w:br/>
        <w:t>C12461 - ENEL PRODUZIONE/ERG POWER</w:t>
        <w:br/>
        <w:t>Measure no. 30277 24</w:t>
        <w:br/>
        <w:t>C12466 - ENGINEERING INGEGNERIA INFORMATICA/BE SHAPING THE FUTURE</w:t>
        <w:br/>
        <w:t>Measure no. 30278 26</w:t>
        <w:br/>
        <w:t>C12467 - DOLCETTO HOLDCO 2/DIOCLE TOPCO</w:t>
        <w:br/>
        <w:t>Measure no. 30279 30</w:t>
        <w:br/>
        <w:t>C12469 - BC PARTNERS/LILAS 1</w:t>
        <w:br/>
        <w:t>Measure no. 30280 33</w:t>
        <w:br/>
        <w:t>C12472 - BF-CONSORZIO AGRARIO DELL’EMILIA ROMAGNA-CONSORZIO AGRARIO</w:t>
        <w:br/>
        <w:t>DELL’ADRIATICO- CONSORZIO AGRARIO DEL TIRRENO-CONSORZIO AGRARIO CENTRO SUD-</w:t>
        <w:br/>
        <w:t>SOCIETÀ CONSORTILE CONSORZI AGRARI-CONSORZIO AGRARIO DEL NORDEST/CONSORZI</w:t>
        <w:br/>
        <w:t>AGRARI D’ITALIA</w:t>
        <w:br/>
        <w:t>Measure no. 30281 36</w:t>
        <w:br/>
        <w:t>C12473 - GRUPPO TITAGARH-AGENZIA NAZIONALE PER L’ATTRAZIONE DEGLI INVESTIMENTI</w:t>
        <w:br/>
        <w:t>E LO SVILUPPO D’IMPRESA/TITAGARH FIREMA</w:t>
        <w:br/>
        <w:t>Measure no. 30282 48</w:t>
        <w:br/>
        <w:t>C12474 - ARDIAN FRANCE-ITALIAN RENEWABLE RESOURCES/ICQ HOLDING</w:t>
        <w:br/>
        <w:t>Measure no. 30283 53</w:t>
        <w:br/>
        <w:t>REPORTING AND CONSULTATIVE ACTIVITIES 57</w:t>
        <w:br/>
        <w:t>AS1850 – MUNICIPALITY OF FLORENCE - ABSENCE OF PUBLIC PROCEDURES FOR THE</w:t>
        <w:br/>
        <w:t>URBAN TRANSPORT SERVICE FOR TOURIST PURPOSES 57</w:t>
        <w:br/>
        <w:t>AS1851 - MUNICIPALITY OF COSENZA - TENDER FOR THE AWARD OF SERVICES FOR</w:t>
        <w:br/>
        <w:t>NOTIFICATION OF JUDICIAL ACTS AND LOCAL POLICE ACTS 60</w:t>
        <w:br/>
        <w:t>AS1852 – VARIOUS ITALIAN MUNICIPALITIES - PUBLIC NOTICES FOR SCOOTER SHARING SERVICES 64</w:t>
        <w:br/>
        <w:t>UNFAIR TRADE PRACTICES 67</w:t>
        <w:br/>
        <w:t>PS11936 - POSTEMOBILE-EXPIRATION WITHDRAWAL OF DATA OFFER</w:t>
        <w:br/>
        <w:t>Measure no. 30286 67</w:t>
        <w:br/>
        <w:t>PS12192 - BNL-EDILIZIO SUPERBONUS-CESSION OF CREDIT</w:t>
        <w:br/>
        <w:t>Measure no. 30287 84</w:t>
        <w:br/>
        <w:t>PS12193 - DEUTSCHE BANK-EDILIZIO SUPERBONUS-CESSION OF CREDIT</w:t>
        <w:br/>
        <w:t>Measure no. 30288 94</w:t>
        <w:br/>
        <w:t>PS12239 - AGM GROUP-SUPERBONUS ADVERTISING</w:t>
        <w:br/>
        <w:t>Measure no. 30289 103</w:t>
        <w:br/>
        <w:t>PS12320 - ACTIVATION REGISTER-ASSIGNED TO COLLECTION</w:t>
        <w:br/>
        <w:t>Measure no. 30290 115</w:t>
      </w:r>
    </w:p>
    <w:p>
      <w:r>
        <w:t>BULLETIN NO. 32 OF 22 AUGUST 2022 5</w:t>
        <w:br/>
        <w:t>AGREEMENTS AND ABUSE OF DOMINANT POSITION</w:t>
        <w:br/>
        <w:t>A547 - CONDUCT OF WIND TRE TO THE DETRIMENT OF RESELLERS</w:t>
        <w:br/>
        <w:t>Measure no. 30276</w:t>
        <w:br/>
        <w:t>THE ITALIAN COMPETITION AUTHORITY</w:t>
        <w:br/>
        <w:t>IN ITS MEETING of 4 August 2022;</w:t>
        <w:br/>
        <w:t>HEARD the Rapporteur Professor Michele Ainis;</w:t>
        <w:br/>
        <w:t>HAVING REGARD to the law of 10 October 1990, no. 287;</w:t>
        <w:br/>
        <w:t>HAVING REGARD to the law of 18 June 1998, no. 192, and, in particular, article 9;</w:t>
        <w:br/>
        <w:t>HAVING REGARD to the D.P.R. of 30 April 1998, no. 217;</w:t>
        <w:br/>
        <w:t>HAVING REGARD to its measure no. 29874 of 4 November 2021, by which an investigation was initiated pursuant to article 9, paragraph 3-bis, of the law of 18 June 1998, no. 192, and article 14 of the law of 10 October 1990, no. 287, against the company Wind Tre S.p.A. in relation to conduct carried out towards its network of single-brand resellers;</w:t>
        <w:br/>
        <w:t>HAVING REGARD to the "Communication on the procedures for the application of article 14-ter of the law of 10 October 1990, no. 287," adopted in the meeting of 6 September 2012 and published in Bulletin no. 35 of 17 September 2012;</w:t>
        <w:br/>
        <w:t>HAVING REGARD to the communication sent on 24 March 2022, whereby the company Wind Tre presented commitments, pursuant to article 14-ter of law no. 287/90, according to the methods indicated in the specific "Form for the submission of commitments pursuant to article 14-ter of law no. 287/90";</w:t>
        <w:br/>
        <w:t>HAVING REGARD to its resolution no. 30129 of 27 April 2022, by which the publication, on 9 May 2022, of the commitments proposed by the company Wind Tre on the Authority's website was ordered, in order to allow interested third parties to express their observations;</w:t>
        <w:br/>
        <w:t>HAVING REGARD to the observations on the commitments received from interested third parties on the dates of 13, 17, 18, 20, and 27 May 2022, 1, 6, and 8 June 2022;</w:t>
        <w:br/>
        <w:t>HAVING REGARD to the accessory modifications to the commitments received from Wind Tre on 11 July 2022;</w:t>
        <w:br/>
        <w:t>HAVING REGARD to the acts of the proceeding and the documentation acquired during the investigation;</w:t>
        <w:br/>
        <w:t>CONSIDERING the following:</w:t>
        <w:br/>
        <w:t>I. THE PARTIES</w:t>
        <w:br/>
        <w:t>1. Wind Tre S.p.A. (hereinafter also Wind Tre or the Party) is a telecommunications company controlled by the international group CK Hutchison Holdings Limited through the company Wind Tre Italia S.p.A. Wind Tre is active in the provision of telecommunications services on fixed network and</w:t>
      </w:r>
    </w:p>
    <w:p>
      <w:r>
        <w:rPr>
          <w:b/>
        </w:rPr>
        <w:t>[Pages 4–6]</w:t>
      </w:r>
    </w:p>
    <w:p>
      <w:r>
        <w:t>6 BULLETIN NO. 32 OF 22 AUGUST 2022</w:t>
        <w:br/>
        <w:t>has a mobile telecommunications network and, as of 31 December 2016, has incorporated the operator H3G 1.</w:t>
      </w:r>
    </w:p>
    <w:p>
      <w:r>
        <w:t>2. The notifier is a family-controlled company whose reference shareholders have managed, for many years, also through other companies, several retail outlets in Lazio, as authorized resellers first of H3G and, after the aforementioned merger, of Wind Tre2. Therefore, hereinafter, the term "Notifier" refers indiscriminately to each and/or all of these companies, as resellers first of H3G and, subsequently, of Wind Tre. Following Wind Tre's withdrawal in the early months of 2018, the Notifier is no longer a reseller of the telecommunications group.</w:t>
      </w:r>
    </w:p>
    <w:p>
      <w:r>
        <w:t>II. THE CONDUCTS CHALLENGED IN THE RESOLUTION TO INITIATE THE PROCEEDING</w:t>
        <w:br/>
        <w:t>3. The resolution to initiate identified a set of contractual constraints that could, especially when considered collectively, be unsustainable for the single-brand reseller, creating an unlawful contractual imbalance between the parties, particularly with regard to the flow of income and expenses between the reseller and the telecommunications operator. These constraints are part of a contractual context of substantial exclusivity obligation of single-brand resellers towards Wind Tre, both by virtue of a non-competition clause and due to stringent obligations regarding the type of furnishings and materials that the reseller could use in their premises.</w:t>
      </w:r>
    </w:p>
    <w:p>
      <w:r>
        <w:t>4. In more detail, the conducts subject to challenge with the initiation measure are specified below.</w:t>
        <w:br/>
        <w:t>a) The reverse charge mechanism</w:t>
        <w:br/>
        <w:t>5. Under the reverse charge mechanism, the cost of VAT is borne by the reseller, without the latter directly collecting the sale price of the services and devices. In fact, in summary, the end consumer pays an amount inclusive of the VAT cost, which – based on the credit assignment mechanism, concurrent with the retail resale operation, from the reseller (assignor) to Wind Tre (assignee) – is collected by Wind Tre, while the obligation to pay VAT to the tax authorities remains with the reseller as the entity that issued the receipt.</w:t>
      </w:r>
    </w:p>
    <w:p>
      <w:r>
        <w:t>b) The pro-rata refunds mechanism</w:t>
        <w:br/>
        <w:t>6. The second contractual practice identified in the initiation resolution is that of pro-rata refunds. In this regard, it is noted that the sale of mobile devices mostly occurs with the installment payment of the sale price by the end consumer. In this context, originally H3G and subsequently Wind Tre paid the reseller the full commissions monthly; however, with the same frequency, the telecommunications operator accounted for customers who had meanwhile terminated the relationship without completing the installment payment. In the case of end customers who had not completed payments, the telecommunications operator deducted from the amounts due to the reseller the portion of the commission related to the installments that the customer had not paid.</w:t>
      </w:r>
    </w:p>
    <w:p>
      <w:r>
        <w:t>c) The succession of unilateral changes aimed at worsening the economic remuneration of the reseller and the unjustified withdrawal</w:t>
        <w:br/>
        <w:t>7. The initiation resolution identified critical aspects related to the telecommunications operator's practice of unilaterally modifying many of the contractual conditions, including compensation plans, preventing the reseller from making reasonable forecasts about the development of their business and economic survival. Furthermore, in the case of the Notifier, the relationship with Wind Tre progressively deteriorated until Wind Tre withdrew from all existing contracts.</w:t>
      </w:r>
    </w:p>
    <w:p>
      <w:r>
        <w:t>III. THE INSTRUCTIONAL PROCEDURE AND THE PRESENTATION OF COMMITMENTS</w:t>
        <w:br/>
        <w:t>a) The instructional procedure</w:t>
        <w:br/>
        <w:t>8. Following the initiation of the proceeding, the consumer association Codici submitted a request for participation on 20 November 2021, and on 16 December 2021, the company Telecom Italia S.p.A. (hereinafter also TIM); Codici was admitted to participate in the proceeding with communication on 16 December 2021 and TIM with communication on 18 January 2022. The Party and the intervening third parties accessed the file during the proceeding. Furthermore, in addition to specific requests for information3, hearings were held with representatives of Wind Tre on 27 January, 14 and 22 March 2022.</w:t>
      </w:r>
    </w:p>
    <w:p>
      <w:r>
        <w:t>9. Following a request submitted by Wind Tre, the Authority decided, due to the specific needs represented by the Party, to extend the deadline for the presentation of commitments, pursuant to article 14-ter of law 10 October 1990, no. 287, until 24 March 2022, in accordance with the "Communication on the procedures for the application of article 14-ter of law 10 October 1990 no. 287" of 6 September 2012.</w:t>
      </w:r>
    </w:p>
    <w:p>
      <w:r>
        <w:t>10. On 24 March 2022, Wind Tre submitted the set of definitive commitments pursuant to article 14-ter of law no. 287/1990, aimed at resolving the critical issues highlighted by the Authority in the resolution to initiate the proceeding.</w:t>
      </w:r>
    </w:p>
    <w:p>
      <w:r>
        <w:t>11. With resolution of 27 April 2022, the Authority deemed the definitive commitments presented by Wind Tre not manifestly unfounded, ordering their publication on its website on 9 May 2022, in order to allow interested third parties to express their observations. By the deadline set for the conclusion of the market test, namely 8 June 2022, observations were received from the Notifier, TIM, and from eight companies, all of which were either ceased or still current resellers of Wind Tre. Furthermore, following the conclusion of the market test, two hearings were held with Wind Tre, respectively on 23 June and 4 July 2022.</w:t>
      </w:r>
    </w:p>
    <w:p>
      <w:r>
        <w:t>12. In response to the outcome of the public consultation, on 11 July 2022, Wind Tre submitted the final version of its Commitments, attached to this measure. The definitive commitments, received on 11 July 2022, constitute an integral part of this measure and, in this version, the original commitments have been supplemented with ancillary modifications.</w:t>
      </w:r>
    </w:p>
    <w:p>
      <w:r>
        <w:t>IV. THE COMMITMENTS OF WIND TRE SUBJECT TO MARKET TEST</w:t>
        <w:br/>
        <w:t>13. Wind Tre presented, on 24 March 2022, the commitments described below.</w:t>
        <w:br/>
        <w:t>Commitment 1 – Extension of the notice period for single-brand entrepreneurs</w:t>
        <w:br/>
        <w:t>14. In order to facilitate the mobility of resellers towards other activities, in the event of termination of relationships with Wind Tre, the latter commits to "... continue to protect and not disincentivize changes of status or terminations and not to have penalizing attitudes towards single-brand resellers. Additionally, to strengthen the commitment, Wind Tre introduces the option for each single-brand entrepreneur, whether they have requested termination or received it from Wind Tre, to request an extension of the notice period ..., for an additional 60 days." During the notice period, "Wind Tre commits to ensure that the entrepreneur continues to produce (i.e., make activations/sales and thus receive the related compensation for production) for the notice period provided in the contract [omitted]*) without the termination request causing any premature interruption of operations that could put them in economic/financial crisis. Naturally, this commitment will also apply for the additional 60 days if requested by the entrepreneur."</w:t>
      </w:r>
    </w:p>
    <w:p>
      <w:r>
        <w:t>Wind Tre will therefore guarantee "the operational continuity of the codes, software, and hardware necessary to carry out the sales activity and to complete payments (active and passive) related to activities during the notice period and during the additional 60 days requested. It will also ensure that such payments will occur not only during this period (notice plus 60 days) but also after the termination of the relationship to complete all active and passive competencies/pendings."</w:t>
      </w:r>
    </w:p>
    <w:p>
      <w:r>
        <w:t>15. Additionally, "Wind Tre commits to withdraw the furnishings and IT equipment provided on a free loan only after the termination of the relationship, leaving the entrepreneur the possibility to use them even during the notice period and during the additional 60 days requested." The request for an extension of the notice period, in derogation of the contract, must occur using the same methods used for the communication of termination (e.g., PEC). Conversely, the reseller will naturally have the obligation to ensure compliance with: the rules imposed by Privacy legislation regarding the management of databases; the rules imposed by competition protection legislation; relations with any other operator.</w:t>
      </w:r>
    </w:p>
    <w:p>
      <w:r>
        <w:t>16. Regarding the implementation of this commitment, Wind Tre "... will communicate to single-brand entrepreneurs, using the current system with which communications are sent to entrepreneurs (DRMS), what is provided in this commitment, highlighting in particular that they will have the option, in case of termination, to avail themselves, on an individual request basis, of an additional 60 days if they have the need."</w:t>
        <w:br/>
        <w:t>* In this version, some data is omitted, as elements of confidentiality or secrecy of the information were deemed to exist.</w:t>
      </w:r>
    </w:p>
    <w:p>
      <w:r>
        <w:rPr>
          <w:b/>
        </w:rPr>
        <w:t>[Pages 7–9]</w:t>
      </w:r>
    </w:p>
    <w:p>
      <w:r>
        <w:t>BULLETIN NO. 32 OF 22 AUGUST 2022 9</w:t>
        <w:br/>
        <w:t>Commitment 2 – Reverse charge mechanism with credit assignment</w:t>
        <w:br/>
        <w:t>17. Wind Tre states that the applicable regulations require it to apply the reverse charge method for the sale of phones and that, in general, there are no negative effects for entrepreneurs, either of an accounting or tax nature4.</w:t>
        <w:br/>
        <w:t>That said, Wind Tre commits to ensuring the active and passive flows with the timelines represented in the specific Scheme present in the Commitments and outlined below (the values indicated therein are merely exemplary).</w:t>
        <w:br/>
        <w:t>Flow Scheme Commitment 2</w:t>
        <w:br/>
        <w:t>18. In particular, based on the aforementioned Scheme:</w:t>
        <w:br/>
        <w:t>• the financial credit for the installment sale of phones occurs within an average time of 6 days from the sale to the end customer, up to a maximum of 10 days, unless it is necessary to supplement the documentation needed to validate the sale;</w:t>
        <w:br/>
        <w:t>• with regard to the payment of commissions accrued as per contract, the calculation of the fees accrued in the month of competence is sent to the entrepreneur by Wind Tre within the first five calendar days of the second month following the month of competence through the submission of suitable documentation;</w:t>
        <w:br/>
        <w:t>• the invoices for products with a due date of 45 days end of month from the invoice date (for example, purchase on March 20, payment on May 15), which may be offset against the financial credit from the installment sale and the accrued commissions.</w:t>
        <w:br/>
        <w:t>4 Regarding this aspect, see Annex 2 of the final version of its Commitments, attached to this Measure.</w:t>
      </w:r>
    </w:p>
    <w:p>
      <w:r>
        <w:t>10 BULLETIN NO. 32 OF 22 AUGUST 2022</w:t>
        <w:br/>
        <w:t>19. The Scheme described above has been defined by providing that the retailer pays the VAT by the 16th of the month following the sale of the phone (t6), although the regulations allow, in certain circumstances and at the retailer's choice, to pay VAT quarterly, and in this case the payment (t6) would fall beyond the invoice due date.</w:t>
        <w:br/>
        <w:t>20. Furthermore, in the interest of transparency, Wind Tre commits to maintaining the current tools necessary to document its administrative situation to the entrepreneur. In particular, Wind Tre commits to keeping the PagoDealer portal active and remotely accessible, where the entrepreneur has access to all administrative documents (invoices, financial credits, commissions…) and through which they can:</w:t>
        <w:br/>
        <w:t>• request the settlement of the amounts owed to them;</w:t>
        <w:br/>
        <w:t>• offset the amounts owed with those credited;</w:t>
        <w:br/>
        <w:t>• pay the amounts owed.</w:t>
        <w:br/>
        <w:t>21. Wind Tre also commits to maintaining in PagoDealer a detailed representation of the sale of phones through ad hoc reporting that allows searches related to the data of individual phones sold and the corresponding financial credits. The search can be conducted by individual serial number (IMEI) or reference period.</w:t>
        <w:br/>
        <w:t>In PagoDealer, in addition to Wind Tre invoices (debt situation), Wind Tre commits to also include the invoices from the Retailer related to the fees transmitted by the DRMS, which is the tool that allows viewing the details of the fees billed following sales activities.</w:t>
        <w:br/>
        <w:t>Wind Tre commits to maintaining this tool, where the entrepreneur will be able to verify the document of the fee invoice, an aggregated report of the fees issued, and a detailed report that will allow them to consult all individual amounts for each line that contributed to the production of the invoice (both the lines activated in the month and those deactivated in the month).</w:t>
        <w:br/>
        <w:t>Commitment 3 – Pro rata refund mechanism</w:t>
        <w:br/>
        <w:t>22. The pro rata refund was a specific type of refund applied by the then H3G, launched in a particular market condition and required an advance of the fee tied to the entire duration of the customer's contract.</w:t>
        <w:br/>
        <w:t>Throughout the procedure, Wind Tre has stated that, being a mechanism in use in the system of the then H3G, pro rata refunds have never been applied to retailers coming from the then Wind network and, in any case, that it has eliminated this mechanism after the merger, starting from the activations of March 2017.</w:t>
        <w:br/>
        <w:t>Regarding the elimination of the pro rata refund mechanism, Wind Tre has specifically attached to the Commitments the appropriate declaration signed by the directors of Regulatory Affairs and BU Business &amp; Consumer Sales of Wind Tre.</w:t>
        <w:br/>
        <w:t>That said, Wind Tre commits not to reintroduce the advance payment of fees to sales points with the related pro rata refund mechanism.</w:t>
        <w:br/>
        <w:t>23. Currently, however, Wind Tre still uses a type of refund limited to cases where the contract concluded by the retailer with the end customer ceases due to failure to perform regularly within the first [omitted] months (the clause is the subject of specific in-depth analysis in Annex 4 of the Commitments).</w:t>
        <w:br/>
        <w:t>In this context, “Wind Tre commits to keeping the current refunds below a contained average value by conducting monthly monitoring. If the total refund value on the total monthly disbursement exceeds the value of 7%, Wind Tre will initiate an analysis of the causes that led to such an increase, simultaneously notifying the Monitoring Trustee to share the cause.”</w:t>
        <w:br/>
        <w:t>The Monitoring Trustee, based on the information received from Wind Tre and/or requested in-depth analyses, if it finds that such an increase is due to possible issues arising from opportunistic behaviors to the detriment of the operator and/or the end customer (we recall that the exercise of such refunds allows limiting them) will proceed:</w:t>
        <w:br/>
        <w:t>• in collaboration with Wind Tre to identify actions to be introduced to limit, if possible, also with other tools, the recurrence of the identified opportunistic behaviors;</w:t>
        <w:br/>
        <w:t>• to inform the Authority of the need to increase the defined maximum threshold and the actions taken.</w:t>
        <w:br/>
        <w:t>Commitment 4 – Contractual adjustments</w:t>
        <w:br/>
        <w:t>24. Regarding the fees intended for single-brand sales points that should introduce a detrimental variation, Wind Tre commits to ensuring that the term for the entrepreneur to accept or not accept the formally communicated modification is extended.</w:t>
        <w:br/>
        <w:t>In this regard, Wind Tre will adopt the necessary contractual modification extending this period from the current [10-15] days to 30 days.</w:t>
        <w:br/>
        <w:t>Furthermore, Wind Tre commits to explaining - in conventions and/or during territorial meetings - the reasons underlying the contractual modification made to better help retailers understand it, highlighting the factors that led to it, such as the trend of prices in the retail market.</w:t>
        <w:br/>
        <w:t>Finally, Wind Tre commits not to reduce, in percentage year on year, the commissions provided in the contractual annex more than the percentage reduction of retail consumer revenues for the same period and value of the offer.</w:t>
        <w:br/>
        <w:t>25. In this regard, Wind Tre commits, “before proceeding with any potential detrimental contractual variation, to verify the decrease in consumer revenues for the Wind Tre brand and to ensure that the proposed commitment is respected (not to reduce in percentage year on year the commissions provided in the contractual annex more than the percentage reduction of retail consumer revenues for the same period and value of the offer).”</w:t>
        <w:br/>
        <w:t>Commitment 5 – Monitoring Trustee</w:t>
        <w:br/>
        <w:t>26. Wind Tre provides for the appointment of a specific Monitoring Trustee and, for this purpose, “commits within 15 days from the approval of the commitments to submit to the Authority a list of names of external individuals with proven experience in the field of Telecommunications, independent from Wind Tre, regarding whom the Authority may express its approval.</w:t>
        <w:br/>
        <w:t>As soon as it receives the indication of approval that the Authority will have expressed, Wind Tre commits to appointing within a further 15 days from that moment the Monitoring Trustee responsible for verifying the correct implementation of the commitments.</w:t>
        <w:br/>
        <w:t>The appointed Responsible will oversee the approved Commitments and every year, until the expiration of the commitments, will prepare a compliance report.”</w:t>
      </w:r>
    </w:p>
    <w:p>
      <w:r>
        <w:rPr>
          <w:b/>
        </w:rPr>
        <w:t>[Pages 10–12]</w:t>
      </w:r>
    </w:p>
    <w:p>
      <w:r>
        <w:t xml:space="preserve">12 BULLETIN NO. 32 OF 22 AUGUST 2022  </w:t>
        <w:br/>
        <w:t xml:space="preserve">Validity period and implementation timing  </w:t>
        <w:br/>
        <w:t xml:space="preserve">*27. The commitments undertaken by Wind Tre "will be valid for a period of 3 years from the date of actual approval.  </w:t>
        <w:br/>
        <w:t xml:space="preserve">This term is considered by the Writing Company to be sufficiently adequate, also considering the rapidly evolving market conditions, to the benefit of efficient competition and for the advantage of retail points and final consumers."  </w:t>
        <w:br/>
        <w:t xml:space="preserve">Regarding the timing of the implementation of the Commitments, Wind Tre indicated one month for Commitments 1, 4, and 5, while for Commitments 2 and 3, implementation is simultaneous with the approval of the Commitments.  </w:t>
        <w:br/>
        <w:t xml:space="preserve">V. OBSERVATIONS EMERGING FROM THE MARKET TEST  </w:t>
        <w:br/>
        <w:t xml:space="preserve">28. Below are the observations that emerged from the market test and came from TIM, the main competitor of Wind Tre, from the Reporting Party, and from other retailers, mostly single-brand, current or ceased from the Wind Tre distribution network, both from the then H3G and from the then Wind.  </w:t>
        <w:br/>
        <w:t xml:space="preserve">29. TIM made some critical observations regarding the Commitments, believing, in particular, that some improvements in the withdrawal phase (such as extending the notice period) may disincentivize retailers from switching from one operator to another.  </w:t>
        <w:br/>
        <w:t xml:space="preserve">The position of the other participants in the market test, namely eight companies, is more articulated and is summarized below.  </w:t>
        <w:br/>
        <w:t xml:space="preserve">30. Regarding Commitment 1, the Reporting Party observed that it appears "... suitable to facilitate any change of activity on the part of the retailer in the event of the cessation of commercial collaboration with Wind Tre, as it will allow the single-brand retailer to have a more appropriate time to settle various active and passive debts with Wind Tre and at the same time to have the furnishings and IT equipment necessary to ensure continuity of service with Wind Tre and with the related customers until the definitive termination of the relationship with the operator."  </w:t>
        <w:br/>
        <w:t xml:space="preserve">Other retailers participating in the market test also expressed positive evaluations on this commitment, provided that during the notice period, Wind Tre should guarantee the stability of the financial conditions applied and the supply of phones, without requiring advance payment.  </w:t>
        <w:br/>
        <w:t xml:space="preserve">31. Regarding Commitment 2, the Reporting Party states that "some of the conditions ancillary to the changes in the reverse charge mechanism should still be better specified; this also applies to the term until which Wind Tre will allow the retailer access to the current tools (e.g., PagoDealer) necessary to document its administrative situation with Wind Tre, which should be extended at least until the closure, without disputes from the parties, of all accounts receivable/payable, even subsequent to the closure of the relationship."  </w:t>
        <w:br/>
        <w:t xml:space="preserve">Other companies participating in Wind Tre's market test also believe that Commitment 2 is suitable to ensure, under normal market conditions, the sustainability of the cash flow of revenues and expenses, while another company expresses doubts that the timeline hypothesized by Wind Tre is realistic, especially regarding the time frame between the acquisition of mobile devices by the retailer from Wind Tre and the subsequent resale to the final customer.  </w:t>
        <w:br/>
        <w:t xml:space="preserve">32. Regarding Commitment 3, the Reporting Party, as well as other retailers all coming from the then H3G network, noted that the pro-rata refund mechanism has caused significant financial difficulties and hoped for the return of the amounts withheld at the time by Wind Tre.  </w:t>
        <w:br/>
        <w:t xml:space="preserve">Regarding the currently applicable refund system, the Reporting Party noted that "it appears suitable to improve the economic sustainability of the retailer, limiting the cases of refunds and the time frame for their application." The Reporting Party, as well as other retailers, have called for greater transparency in the contractual activation mechanisms and the 7% threshold.  </w:t>
        <w:br/>
        <w:t xml:space="preserve">33. Regarding Commitment 4, the Reporting Party notes that "it appears suitable to impact the economic sustainability of the retailer's activity..." but observes that the commitment only affects the commissions of the retailers and not other contractual variables, such as payment terms, which can also significantly impact the retailer's business sustainability.  </w:t>
        <w:br/>
        <w:t xml:space="preserve">34. Regarding Commitment 5, some retailers have called for a specification of the guarantees of independence of the Monitoring Trustee.  </w:t>
        <w:br/>
        <w:t xml:space="preserve">VI. ACCESSORY MODIFICATIONS MADE BY WIND TRE AS A RESULT OF THE MARKET TEST  </w:t>
        <w:br/>
        <w:t xml:space="preserve">35. Wind Tre – following the observations that emerged from the market test – in the context of accessory modifications has made the integrations and/or modifications to the measures initially presented, summarized below.  </w:t>
        <w:br/>
        <w:t xml:space="preserve">Commitment 1 – Extension of the notice period for single-brand entrepreneurs  </w:t>
        <w:br/>
        <w:t xml:space="preserve">36. Wind Tre has supplemented the Commitment by stating that "the economic conditions in place during the relationship, including the methods and terms of procurement and payment for terminals, do not change during the notice period...  </w:t>
        <w:br/>
        <w:t xml:space="preserve">Therefore, Wind Tre commits to guarantee single-brand entrepreneurs the stability of the methods and terms of procurement and payment for terminals during the notice period, maintaining unchanged, for the entire duration of the commitments, the methods they have in place during the contractual validity prior to withdrawal as better detailed below."  </w:t>
        <w:br/>
        <w:t xml:space="preserve">Therefore, even during the notice period, the retailer will have the opportunity to continue ordering goods with deferred payment conditions (45 days end of month from the invoice date), as in the period of validity of the contract prior to withdrawal and with the same possible exceptions.  </w:t>
        <w:br/>
        <w:t xml:space="preserve">37. Furthermore, for exceptional cases, as an additional guarantee, Wind Tre commits, also during the notice period due to withdrawal and in the event of disputes regarding Wind Tre's request for advance payment, the retailer may contact the Monitoring Trustee directly, so that the individual case is evaluated with the involvement of a third party.  </w:t>
        <w:br/>
        <w:t xml:space="preserve">Commitment 2 – Reverse charge mechanism with credit assignment  </w:t>
        <w:br/>
        <w:t xml:space="preserve">38. Under Commitment 2, as previously illustrated, Wind Tre commits to guarantee the active and passive flows with the timelines represented therein.  </w:t>
        <w:br/>
        <w:t xml:space="preserve">In the context of accessory modifications, Wind Tre has, first of all, specified the following regarding the individual incoming and outgoing flows.  </w:t>
        <w:br/>
        <w:t xml:space="preserve">In this Scheme, it is highlighted that (t) represents the moment of the purchase of goods by the retailer from Wind Tre, a moment that, based on the clarifications provided by Wind Tre, can be done flexibly by the entrepreneur, in light of the trend of their demand. To this end, Wind Tre periodically provides its network of retailers with information on Wind Tre's stock levels.  </w:t>
        <w:br/>
        <w:t xml:space="preserve">The moment (t1) represents the shipment of goods by Wind Tre, which on average occurs within two days following the order, while (t2) indicates the sale of the device to the final customer, possibly with the installment sale system. At the time of sale to the final customer, the retailer collects directly – and thus has an incoming cash flow – a deposit on the amounts of the sale. The remaining part of the sale price is subject to the credit assignment to Wind Tre.  </w:t>
        <w:br/>
        <w:t xml:space="preserve">Subsequently, at (t4), or on average 6 days from the sale to the final customer, Wind Tre makes a financial credit to the retailer, which is an amount "equal to the sale price of the terminal charged to the final customer (thus including VAT) less the amount required to purchase the mobile phones associated with the Wind Tre offer... it is the consideration for the retrocession by the retailer to Wind Tre of the credit owed by the final customer, relating to the price of the installment purchase not collected at the time of sale..."  </w:t>
        <w:br/>
        <w:t xml:space="preserve">The (t6) constitutes the moment of VAT payment, according to the timing provided by current regulations. Finally, (t7) and (t8) represent, respectively, the issuance of the commission document for the sale and the payment of the invoice for the purchase of devices by the retailer.  </w:t>
        <w:br/>
        <w:t xml:space="preserve">39. As specified in the context of accessory modifications, regarding the above Scheme, Wind Tre also commits to:  </w:t>
        <w:br/>
        <w:t xml:space="preserve">- "... implement all necessary actions so that the average time for the delivery of goods from shipment does not exceed 2 working days";  </w:t>
        <w:br/>
        <w:t xml:space="preserve">- "... guarantee the average liquidity given to the entrepreneur from the deposits they collect at the time of retail sale of the phones so that the average weight given by the customer at the time of purchase of the terminals sold with reverse charge with credit assignment is greater than the percentage value of VAT equal to 22%. This commitment will be guaranteed through periodic checks so that the average weight of the advance from the customer at the time of purchase of the terminals sold with reverse charge with credit assignment is greater than the percentage value of VAT";  </w:t>
        <w:br/>
        <w:t>- "... guarantee invoices for products with a due date of 45 days end of month from the invoice date (for example, for all purchases made from the 1st to the 31st of March, payment by the 15th of May; therefore, for purchases made on the first day of the month, the retailer will have up to 75 days to pay the related invoice and the 45 days represent the minimum time that entrepreneurs have to pay the individual invoice for purchases made at the end of the month), which may be offset with the financial credit from the network sale and with the commissions accrued.</w:t>
      </w:r>
    </w:p>
    <w:p>
      <w:r>
        <w:rPr>
          <w:b/>
        </w:rPr>
        <w:t>[Pages 13–15]</w:t>
      </w:r>
    </w:p>
    <w:p>
      <w:r>
        <w:t>BULLETIN NO. 32 OF 22 AUGUST 2022 15</w:t>
        <w:br/>
        <w:t>Upon the expiration of the payment terms for unpaid invoices, the system automatically places the partner in a state that provides for the blocking of processed orders. Wind Tre commits, in the event that the partner fails to comply with the payment terms, to proceed with the manual unblocking of any blocked orders within 5 days from the invoice due date, without prejudice to a credit assessment and/or the history of critical payments that highlight, for example, a previous insolvency”10 (emphasis in the original to highlight the changes introduced to the Commitments).</w:t>
      </w:r>
    </w:p>
    <w:p>
      <w:r>
        <w:t>40. Furthermore, Wind Tre also commits to providing visibility of active and passive accounts after the termination of the relationship with the entrepreneur for at least the entire duration of the commitments, providing “the entrepreneurs, after the termination of the relationship, with specific communications containing evidence related to the active and passive accounts. The sending may be done up to 3 months after the termination of the relationship, except in specific cases that the retailer may bring to the attention of the Monitoring Trustee so that it can be assessed together with Wind Tre whether it is necessary to continue sending such documentation for additional months”11 (emphasis in the original to highlight the changes introduced to the Commitments).</w:t>
      </w:r>
    </w:p>
    <w:p>
      <w:r>
        <w:t>41. The aforementioned accessory modifications are set in a context in which Wind Tre has provided more information on the typical timing occurring between the acquisition of devices by the retailer from Wind Tre and the subsequent resale to the end customer. In particular, based on what was clarified by Wind Tre, “…on average, the terminals are sold to the end customer by the entrepreneur before the expiration of the purchase invoice. Therefore, the average time is summarized as follows:</w:t>
        <w:br/>
        <w:t>1. from the shipment of the terminal to the public sale, approximately [40-60] average days elapse (this term also includes the average 2 working days of shipping);</w:t>
        <w:br/>
        <w:t>2. while the payment from the entrepreneur to W3 occurs in [50-70] average days from shipment;</w:t>
        <w:br/>
        <w:t>3. thus, there is a delta of [7-17] average days in favor of the entrepreneur.</w:t>
        <w:br/>
        <w:t>Furthermore, the financial credit occurs on average about 6 days after the sale to the end customer of the terminal, and the total number of average days obtained by adding this data to the number of days referred to in point 1 is equal to [45-65] days. It can therefore be stated that there is a positive delta of [3-10] days in favor of the entrepreneur who, on average, pays for the supply [3-10] days after the financial credit, which they can use to offset the payment of invoices”12 (emphasis in the original to highlight the changes introduced to the Commitments).</w:t>
      </w:r>
    </w:p>
    <w:p>
      <w:r>
        <w:t>Commitment 3 – Pro Rata Reversal Mechanism</w:t>
        <w:br/>
        <w:t>42. The accessory modifications related to this Commitment concern, firstly, the obligation to maintain the average value of current reversals below a threshold value of 4.20% (so-called reversal threshold), a value lower than the 7% provided for in the Commitments subject to market testing. Secondly, Wind Tre, in the manner specified in the Commitments, has committed to ensuring greater contradiction and transparency in the application of the mechanism, providing the retailer with the necessary information and the justification for the reversal and involving the Monitoring Trustee in cases where the reversal threshold is exceeded.</w:t>
      </w:r>
    </w:p>
    <w:p>
      <w:r>
        <w:t>Commitment 4 – Contractual Restructuring</w:t>
        <w:br/>
        <w:t>43. Wind Tre has integrated the Commitment by ensuring that the procedure provided therein applies not only to changes related to economic conditions but also to any adverse changes applied to the retailer, including payment terms and without prejudice to compliance with the terms provided in Commitment 2, already illustrated.</w:t>
      </w:r>
    </w:p>
    <w:p>
      <w:r>
        <w:t>Commitment 5 – Monitoring Trustee</w:t>
        <w:br/>
        <w:t>44. In the context of the accessory modification, Wind Tre has integrated the requirements of impartiality and independence of the Monitoring Trustee. In particular, Wind Tre commits to appointing a third-party independent expert (so-called Monitoring Trustee), endowed with adequate technical skills, tasked with monitoring the actual implementation of the commitments, acting as an arbitrator in any disputes related to them, and producing periodic reports to the Authority. The Monitoring Trustee must be an external entity to the company, with proven experience in the telecommunications sector and who has not been an employee of group companies in the last 3 years, nor have held positions for such companies nor be exposed to any form of conflict of interest.</w:t>
      </w:r>
    </w:p>
    <w:p>
      <w:r>
        <w:t>Validity Period and Implementation Timing</w:t>
        <w:br/>
        <w:t>45. Finally, in consideration of the upcoming summer period, Wind Tre has proposed to extend the implementation deadline of Commitments no. 1, 4, and 5 by an additional month (i.e., 2 months instead of 1), from the approval of the commitments by the Authority, while maintaining the three-year duration of the commitments themselves.</w:t>
      </w:r>
    </w:p>
    <w:p>
      <w:r>
        <w:t>VII. EVALUATIONS OF THE COMMITMENTS</w:t>
        <w:br/>
        <w:t>46. In light of the following observations, it is believed that the definitive Commitments, as integrated in the context of accessory modifications and received on 11 July 2022, appear suitable to overcome the competitive issues subject to the resolution initiating the procedure.</w:t>
      </w:r>
    </w:p>
    <w:p>
      <w:r>
        <w:t>47. In particular, it is noted that Commitment 1 appears functional to facilitate the reorganization of the single-brand retailer's activity once, by their own choice or that of Wind Tre, the commercial collaboration relationship ceases. In fact, Commitment 1 allows, should the retailer deem it useful, to have a longer period (+ 60 days compared to the current contractual forecasts) to reorganize, being able to rely on the continuation of the effects of the contract with Wind Tre and thus still being able to count on an incoming cash flow for a reasonable period of time, presumably adequate to start a different economic activity. In particular, the definitive Commitments attached and an integral part of this measure guarantee the retailer, for a reasonable period of time, the continuation of economic activity, without facing a sudden interruption in the use of premises, furnishings, IT equipment, and anything else. Above all, following the accessory modifications, Wind Tre commits to applying throughout the notice period the same conditions previously applied regarding the procurement of devices that constitute an essential input to allow the continuation of the retailer's economic activity even in this phase and thus guarantee an incoming cash flow.</w:t>
      </w:r>
    </w:p>
    <w:p>
      <w:r>
        <w:t>48. In this regard, TIM's observations regarding the possible disincentive, arising from this Commitment, to the mobility of retailers among different telephone operators are not deemed shareable. TIM's observations do not find, in fact, confirmation in the remarks of the retailers who, on the contrary, have highlighted that the less sudden the interruption of activity with the telephone operator, the greater the retailer's ability to reorganize in carrying out a different economic activity.</w:t>
      </w:r>
    </w:p>
    <w:p>
      <w:r>
        <w:t>49. Commitment 2 related to the reverse charge mechanism in combination with the assignment of credit aims to ensure a sustainable cash flow of income and expenses for the retailer. This Commitment is indeed aimed at guaranteeing, under normal market conditions, the retailer a clear timeline with maximum times for payments and financial management, so as to ensure that the retailer is always placed by Wind Tre in a position to fulfill both tax obligations and payments of debts to the telephone operator. In this regard, on one hand, the clarifications provided on the average holding times of phones in the retailer's warehouse and on the payment terms of invoices issued by the telephone operator, and, on the other hand, the obligations of this Commitment, made stricter in the context of accessory modifications, allow us to believe that the sequence of income and expenses provided in the Scheme subject to this Commitment is reasonable and that the critical issues subject to the initiation resolution are overcome. Furthermore, this assessment appears strengthened by the set of Commitments and, in particular, by the definitive overcoming of the pro rata reversal system referred to in Commitment 3, which constituted an element of strong financial imbalance.</w:t>
      </w:r>
    </w:p>
    <w:p>
      <w:r>
        <w:t>50. In order to facilitate the management of the contractual relationship also by the retailer, it is also commendable that Wind Tre has committed to ensuring, even after the termination of the relationship, full transparency on the status of active and passive accounts for three months and, if such accounts are not yet exhausted, also for a longer period of time.</w:t>
      </w:r>
    </w:p>
    <w:p>
      <w:r>
        <w:t>51. Commitment 3 primarily concerns the pro rata reversal mechanism as it was in place at the time of the relationships between Wind Tre and the Reporting Party, under which the commission paid to the retailer was reversed, pro rata, in cases where the end customer withdrew from the contract with Wind Tre before completing the payment of the installments articulated for the entire duration of the contract. This mechanism has produced an increasing debt exposure of retailers towards, first, the then H3G, and subsequently, towards Wind Tre. In this regard, Wind Tre stated, in the declaration attached to the commitments (Annex 3) and an integral part of this measure, that the pro rata reversal system applied for the entire duration of the contract was eliminated in 2017, except for a transitional period of gradual elimination of the amounts owed on this account by the retailers, and committed not to use this mechanism for the entire duration of the commitments. In this regard, all retailers coming from the then H3G network who participated in the market test focused on the harmfulness of the mechanism in question and, therefore, it appears functional to overcoming the critical issues outlined in the initiation resolution the guarantee that the network of retailers is not exposed in the future to the possibility of incurring the financial burden arising from this system.</w:t>
      </w:r>
    </w:p>
    <w:p>
      <w:r>
        <w:rPr>
          <w:b/>
        </w:rPr>
        <w:t>[Pages 16–18]</w:t>
      </w:r>
    </w:p>
    <w:p>
      <w:r>
        <w:t>18 BULLETIN NO. 32 OF 22 AUGUST 2022</w:t>
        <w:br/>
        <w:t xml:space="preserve">52. Currently, Wind Tre provides for the return of the commission collected from the retailer only in the event that the final customer's contract terminates within a much narrower timeframe than that provided for in the pre-existing mechanism. The causes that may determine this type of reversal are limited and illustrated by Wind Tre in the specific annex 4 to the final version of the Commitments, received on 11 July 2022 (for example, failure to activate, defaulting customer, and cases of fraud). Based on the clarifications provided and unlike the reversal mechanism mentioned above, the impact of this system does not appear to be suitable to create a significant imbalance in the retailer's incoming and outgoing flows and, in any case, Wind Tre has assumed precise obligations that contribute to considering the competitive issues contested in the resolution to initiate the procedure as overcome. In particular, Wind Tre has, based on the empirical evidence provided on the application of this system, reduced the reversal threshold from 7% to 4.2% of the total disbursed. Furthermore, in response to the observations raised during the market test, Wind Tre has strengthened transparency measures and has committed to addressing critical cases with the involvement of the Monitoring Trustee. </w:t>
        <w:br/>
        <w:t xml:space="preserve">53. Regarding Commitment 4, concerning contractual adjustments, Wind Tre intervenes on two fronts: one procedural and the other substantive. On the first aspect, Commitment 4 extends the period within which Wind Tre will adopt the announced modification to 30 days, as well as binding the operator to provide, in a perspective of greater transparency, clarifications on the underlying reasons. It should be noted that the retailer benefits, by virtue of Commitment 4, from a longer period to assess the impact of the proposed modification and potentially activate the option to withdraw from the contract with Wind Tre, and this option, considering the overall structure of the Commitments, is made easier by the content of Commitment 1 mentioned above, aimed at allowing the retailer a longer period to potentially organize a different economic activity. </w:t>
        <w:br/>
        <w:t xml:space="preserve">54. Additionally, in the context of ancillary modifications, Wind Tre has extended the scope of application of this Commitment to all adverse changes applied to retailers, including those related to payment terms that are expressly referenced in the observations raised during the market test. In this regard, and to guarantee the retailers, it must be noted that, as specified by Wind Tre, the application of the payment terms provided in Commitment 2 is nevertheless preserved, which are crystallized, in the modalities specified therein, for the entire duration of the Commitments. </w:t>
        <w:br/>
        <w:t xml:space="preserve">55. From a substantive point of view, Wind Tre commits that adverse changes in compensation to retailers do not have a "greater percentage reduction in retail consumer revenues for the same period and value of the offer," and this constraint limits the recourse to unilateral changes as well as contributes to providing greater certainty to the retailer regarding the forecasts of the flow of revenues and expenses, thus allowing the competitive issues expressed in the resolution to initiate the procedure to be overcome. </w:t>
        <w:br/>
        <w:t xml:space="preserve">56. Regarding Commitment 5, namely the appointment of the Monitoring Trustee, it is noted that the nature of the Commitments and the need to ensure constant dialogue with retailers during the implementation period of the Commitments allow for a positive appreciation of the recourse to this figure, in the cases provided for by the Commitment. Furthermore, the requirements of competence, impartiality, and independence indicated by Wind Tre are consistent with the Authority's practice. Therefore, in this specific case, the Monitoring Trustee can play an essential role in monitoring the effective implementation of the Commitments and serve as a point of reference for retailers in cases where critical issues arise in the application of certain aspects, such as, by way of example, the reversal threshold referred to in Commitment 3. </w:t>
        <w:br/>
        <w:t xml:space="preserve">57. Regarding implementation and duration, Wind Tre's final Commitments appear consistent with the Authority's practice. In particular, Commitments 2 and 3 have immediate implementation, while Commitments 1, 4, and 5 have a deadline for implementation of two months from the date of approval by the Authority of the commitments. This timing appears appropriate and reasonable, also considering the business pause during the summer. The overall duration of the Commitments, equal to three years from the approval of the Commitments by the Authority, also appears reasonable and proportionate in relation to the issues identified in the resolution to initiate the procedure. </w:t>
        <w:br/>
        <w:t xml:space="preserve">VIII. CONCLUSIONS </w:t>
        <w:br/>
        <w:t xml:space="preserve">58. Based on the above, it is believed that the commitments proposed by Wind Tre are overall suitable to remove the competitive concerns related to the profiles of economic dependence abuse hypothesized in the resolution to initiate, pursuant to article 9 of law no. 198/1992. In particular, it is believed that the final commitments transmitted by Wind Tre on 11 July 2022 and supplemented by ancillary modifications are capable of full and timely implementation, as well as easily verifiable and suitable to effectively remove the anticompetitive profiles identified in the initiation measure, ensuring, under normal market conditions, a sustainable flow of revenues and expenses for the retailer, both in relation to financial obligations of a fiscal nature and in relation to the payment of debts to the telecommunications operator. Furthermore, the final Commitments allow, in the event of termination of the contractual relationship with Wind Tre, the continuation of an incoming flow in order to allow the retailer to activate a different economic activity. </w:t>
        <w:br/>
        <w:t xml:space="preserve">CONSIDERING, therefore, that the commitments presented by Wind Tre are suitable to eliminate the critical profiles subject to the investigation; </w:t>
        <w:br/>
        <w:t xml:space="preserve">CONSIDERING to order the mandatory nature of the commitments presented by Wind Tre pursuant to article 14-ter, paragraph 1, of Law no. 287/90; </w:t>
        <w:br/>
        <w:t xml:space="preserve">all of the above having been stated and considered: </w:t>
        <w:br/>
        <w:t xml:space="preserve">RESOLVES </w:t>
        <w:br/>
        <w:t xml:space="preserve">a) to make the commitments presented mandatory for Wind Tre S.p.A. pursuant to article 14-ter, paragraph 1, of Law no. 287/90, in the terms described above and in the version attached to this measure, which forms an integral part thereof; </w:t>
        <w:br/>
        <w:t xml:space="preserve">b) to close the procedure without establishing the infringement of article 9 of Law 198/1992, pursuant to article 14-ter, paragraph 1, of Law no. 287/90; </w:t>
        <w:br/>
        <w:t xml:space="preserve">c) that Wind Tre S.p.A. presents to the Authority, within sixty days from the notification of this measure, a report on the status of implementation of the commitments undertaken. </w:t>
        <w:br/>
        <w:t xml:space="preserve">This measure will be notified to the interested parties and published in the Bulletin of the Italian Competition Authority. </w:t>
        <w:br/>
        <w:t xml:space="preserve">Against this measure, an appeal may be submitted to the TAR of Lazio, pursuant to article 135, paragraph 1, letter b), of the Code of Administrative Procedure (Legislative Decree 2 July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24 November 1971, no. 1199, within the term of one hundred and twenty days from the date of notification of the measure itself. </w:t>
        <w:br/>
        <w:t xml:space="preserve">THE SECRETARY GENERAL THE PRESIDENT f.f. </w:t>
        <w:br/>
        <w:t>Guido Stazi Michele Ainis</w:t>
      </w:r>
    </w:p>
    <w:p>
      <w:r>
        <w:rPr>
          <w:b/>
        </w:rPr>
        <w:t>[Pages 19–21]</w:t>
      </w:r>
    </w:p>
    <w:p>
      <w:r>
        <w:t>BULLETIN NO. 32 OF 22 AUGUST 2022 21</w:t>
        <w:br/>
        <w:t>I814 - INTERNATIONAL RIGHTS</w:t>
        <w:br/>
        <w:t>Measure no. 30284</w:t>
        <w:br/>
        <w:t>THE ITALIAN COMPETITION AUTHORITY</w:t>
        <w:br/>
        <w:t>IN ITS MEETING of 4 August 2022;</w:t>
        <w:br/>
        <w:t>HEARD the Rapporteur Professor Elisabetta Iossa;</w:t>
        <w:br/>
        <w:t>HAVING REGARD to the law of 10 October 1990, no. 287;</w:t>
        <w:br/>
        <w:t>HAVING REGARD to the decree of the President of the Republic of 30 June 1998, no. 217;</w:t>
        <w:br/>
        <w:t>HAVING REGARD to its resolution of 22 October 2014 by which the Guidelines on the methods of application of the criteria for quantifying administrative pecuniary sanctions imposed by the Authority pursuant to article 15, paragraph 1, of law no. 287/90 (hereinafter, in short, "Guidelines") were adopted;</w:t>
        <w:br/>
        <w:t>HAVING REGARD to its measure no. 27656 of 24 April 2019, adopted at the conclusion of proceeding no. I814 – International Rights, whereby the Authority established that the companies Media Partners &amp; Silva Limited, MP Silva S.r.l. in liquidation, MP &amp; Silva Holding S.A., IMG Media UK Limited, IMG Worldwide LLC, B4 Capital SA, B4 Italia S.r.l. and BE4 Sarl., engaged in a restrictive agreement of competition in violation of article 101 TFEU through conduct aimed at coordinating participation in tenders in the procedures called by the National League of Professional Football Serie A for the assignment of TV rights for viewing football competitions in territories other than Italy, sanctioning the aforementioned companies;</w:t>
        <w:br/>
        <w:t>HAVING REGARD that for the established violation, due to the seriousness and duration of the infringement, an administrative pecuniary sanction of 63,997,849.90 euros was imposed on the companies Media Partners &amp; Silva Limited, MP Silva S.r.l. in liquidation and MP &amp; Silva Holding S.A., and that the aforementioned companies were called to respond jointly for the imposed sanction;</w:t>
        <w:br/>
        <w:t>HAVING REGARD to the ruling of the Council of State, Section VI, no. 4696 of 9 June 2022, whereby the appeal filed by the companies Media Partners &amp; Silva Limited in liquidation and MP Silva S.r.l. in liquidation was partially accepted, and consequently, measure no. 27656 of 24 April 2019 was partially annulled in the part that imposes the pecuniary sanction on the aforementioned appellants;</w:t>
        <w:br/>
        <w:t>HAVING REGARD to the reasoning of the cited ruling, whereby the Council of State, in partial acceptance of the appeal filed, set the parameters for the concrete determination of the sanction to be imposed, referring the documents back to the Authority so that it quantifies, in concrete terms, the amount of the same in accordance with the indications provided in the aforementioned rulings;</w:t>
        <w:br/>
        <w:t>HAVING REGARD in particular to the quantification parameters for the recalculation of the amount of the imposed pecuniary sanction identified by the administrative judge in the reasoned part of the aforementioned ruling, having the Council of State accepted the criticism of Media Partners &amp; Silva Limited in liquidation and MP Silva S.r.l. in liquidation regarding the excessiveness of the imposed sanction in terms of the violation of the principle of proportionality, noting in this regard that “The determination of the sanction does not appear to have adequately taken into account the actual economic situation of the company, having taken as a reference the financial data of 2016, given that no further financial statements have been filed for the subsequent years” and that the provision of article 15, paragraph 1, of law no. 287/90 “on a literal level identifies as the calculation base the turnover of the 'last closed financial year' and not that resulting from the last filed financial statement as instead proposed by the Authority, so that this provision does not seem to preclude the possibility of determining the turnover of the last closed financial year, regardless of whether the relevant financial statement has been filed.” Therefore, the recalculation of the sanction must be carried out “based on the reconstruction of the turnover, which must refer to the last closed financial year (closest to the date of notification of the warning) in which the company operated, regardless of the filing of the relevant financial statement, through the most reliable determination of revenues, based on the available evidence and in any case – should, following a specific verification, the relevant data be those already used from 200[1]6 due to subsequent business inactivity - taking into account the state of crisis that affected the group in the period preceding the imposition of the sanction”;</w:t>
        <w:br/>
        <w:t>CONSIDERED that, as evidenced by the note produced on 8 July 2022 by the appellant companies, MP Silva Limited “generated in the period between 1 April 2018 and 22 May 2019 (i.e., in the financial year preceding the adoption of the Measure) Euro 4,240,201.00” and that “this amount is confirmed by the declaration of the liquidator of MP Silva Limited Shane McCarthy made on 6 July 2022, who also confirmed that “between 1 July 2018 and today the Company has not generated any revenue””;</w:t>
        <w:br/>
        <w:t>CONSIDERED that, from the same documentation produced by the appellants, it also emerges that, regarding the companies MP Silva Italia and MP Silva Holding SA, no revenue is attributable to the year preceding the adoption of the Measure, as the aforementioned companies are both closed following liquidation and bankruptcy procedures;</w:t>
        <w:br/>
        <w:t>CONSIDERED therefore that the total amount of global turnover for the application of the 10% threshold is therefore equal to Euro 4,240,201.00;</w:t>
        <w:br/>
        <w:t>CONSIDERED also that, in addition to the companies Media Partners &amp; Silva Limited and MP Silva S.r.l. in liquidation, the company MP &amp; Silva Holding S.A. was also deemed to belong to the same economic entity, in light of the assessments carried out in point II, paragraph a), letter i), of measure no. 27656 of 24 April 2019 and that, pursuant to point 32 of the Guidelines on Sanctions, the aforementioned three companies were called to respond jointly for the imposed sanction;</w:t>
        <w:br/>
        <w:t>CONSIDERED, therefore, to recalculate the sanction in the terms indicated above also against the company MP &amp; Silva Holding S.A, jointly bound to pay with the companies Media Partners &amp; Silva Limited and MP Silva S.r.l. in liquidation;</w:t>
        <w:br/>
        <w:t>CONSIDERED, therefore, to proceed, in compliance with the cited ruling of the Council of State no. 4696 of 9 June 2022, to the recalculation of the jointly imposed sanction, with measure no. 27656 of 24 April 2019, against the companies Media Partners &amp; Silva Limited, MP Silva S.r.l. in liquidation and MP &amp; Silva Holding S.A. in the amount of 424,020.10 euros;</w:t>
        <w:br/>
        <w:t>All of the above having been stated and considered;</w:t>
      </w:r>
    </w:p>
    <w:p>
      <w:r>
        <w:t>BULLETIN NO. 32 OF 22 AUGUST 2022 23</w:t>
        <w:br/>
        <w:t>RESOLVES</w:t>
        <w:br/>
        <w:t>that the administrative pecuniary sanction to be applied to the companies Media Partners &amp; Silva Limited, MP Silva S.r.l. in liquidation and MP &amp; Silva Holding S.A. for the violation attributed to them in the Authority's measure no. 27656 of 24 April 2019, is recalculated in the amount of 424,020.10 euros.</w:t>
        <w:br/>
        <w:t>Against this measure, an appeal may be filed with the TAR of Lazio, pursuant to article 135, paragraph 1, letter b), of the Code of Administrative Procedure (Legislative Decree 2 July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24 November 1971, no. 1199, within the term of one hundred and twenty days from the date of notification of the measure itself.</w:t>
        <w:br/>
        <w:t>This measure will be notified to the interested parties and published in the Bulletin of the Italian Competition Authority.</w:t>
        <w:br/>
        <w:t>THE SECRETARY GENERAL THE PRESIDENT f.f.</w:t>
        <w:br/>
        <w:t>Guido Stazi Michele Ainis</w:t>
      </w:r>
    </w:p>
    <w:p>
      <w:r>
        <w:rPr>
          <w:b/>
        </w:rPr>
        <w:t>[Pages 22–24]</w:t>
      </w:r>
    </w:p>
    <w:p>
      <w:r>
        <w:t>24 BULLETIN NO. 32 OF 22 AUGUST 2022</w:t>
        <w:br/>
        <w:t>CONCENTRATION OPERATIONS</w:t>
        <w:br/>
        <w:t>C12461 - ENEL PRODUZIONE/ERG POWER</w:t>
        <w:br/>
        <w:t>Measure no. 30277</w:t>
        <w:br/>
        <w:t>THE ITALIAN COMPETITION AUTHORITY</w:t>
        <w:br/>
        <w:t>IN ITS MEETING of 4 August 2022;</w:t>
        <w:br/>
        <w:t>HEARD the Rapporteur Professor Michele Ainis;</w:t>
        <w:br/>
        <w:t>HAVING REGARD to the law of 10 October 1990, no. 287 and, in particular, article 16, paragraph 8, which governs the extension of the deadline for the conclusion of the investigation initiated in relation to a concentration operation;</w:t>
        <w:br/>
        <w:t>HAVING REGARD to the D.P.R. of 30 April 1998, no. 217;</w:t>
        <w:br/>
        <w:t>HAVING REGARD to its resolution of 12 July 2022, by which an investigation was initiated, pursuant to article 16, paragraph 4, of law no. 287/1990, against ENEL Produzione S.p.A. and ERG Power S.r.l.;</w:t>
        <w:br/>
        <w:t>HAVING REGARD to the request sent on 27 July 2022, in which information necessary for the evaluation of the concentration operation was requested from ENEL Produzione S.p.A., pursuant to article 14, paragraph 2, of law no. 287/1990 and article 8, paragraph 1, of D.P.R. no. 217/1998, to be transmitted by 6 August 2022;</w:t>
        <w:br/>
        <w:t>HAVING REGARD to the communication from the aforementioned company, received on 29 July 2022, in which ENEL Produzione S.p.A. represented the need for a longer period of time to adequately gather and process the requested information and provide precise and comprehensive feedback in this regard, with a consequent request for an extension of at least 30 days for the provision of said information;</w:t>
        <w:br/>
        <w:t>CONSIDERING that the requested information, necessary for the evaluation of the case, cannot be acquired within the established deadlines and, therefore, fully evaluated by the current deadline for the conclusion of the procedure;</w:t>
        <w:br/>
        <w:t>THEREFORE, CONSIDERED necessary to extend the deadline for the conclusion of the procedure pursuant to article 16, paragraph 8, of law no. 287/1990;</w:t>
        <w:br/>
        <w:t>RESOLVES</w:t>
        <w:br/>
        <w:t>to extend the deadline for the conclusion of the procedure to 25 September 2022.</w:t>
        <w:br/>
        <w:t>This measure will be notified to the interested parties pursuant to article 16, paragraph 3, of D.P.R. no. 217/1998.</w:t>
      </w:r>
    </w:p>
    <w:p>
      <w:r>
        <w:t>BULLETIN NO. 32 OF 22 AUGUST 2022 25</w:t>
        <w:br/>
        <w:t>This measure will be published in the Bulletin of the Italian Competition Authority.</w:t>
        <w:br/>
        <w:t>THE SECRETARY GENERAL THE PRESIDENT f.f.</w:t>
        <w:br/>
        <w:t>Guido Stazi Michele Ainis</w:t>
      </w:r>
    </w:p>
    <w:p>
      <w:r>
        <w:t>26 BULLETIN NO. 32 OF 22 AUGUST 2022</w:t>
        <w:br/>
        <w:t>C12466 - ENGINEERING INGEGNERIA INFORMATICA/BE SHAPING THE FUTURE</w:t>
        <w:br/>
        <w:t>Measure no. 30278</w:t>
        <w:br/>
        <w:t>THE ITALIAN COMPETITION AUTHORITY</w:t>
        <w:br/>
        <w:t>IN ITS MEETING of 4 August 2022;</w:t>
        <w:br/>
        <w:t>HEARD the Rapporteur Professor Elisabetta Iossa;</w:t>
        <w:br/>
        <w:t>HAVING REGARD to the law of 10 October 1990, no. 287;</w:t>
        <w:br/>
        <w:t>HAVING REGARD to the D.P.R. of 30 April 1998, no. 217;</w:t>
        <w:br/>
        <w:t>HAVING REGARD to the communication from Engineering Ingegneria Informatica S.p.A., received on 8 July 2022;</w:t>
        <w:br/>
        <w:t>HAVING REGARD to the documentation on file;</w:t>
        <w:br/>
        <w:t>CONSIDERING the following:</w:t>
        <w:br/>
        <w:t>I. THE PARTIES</w:t>
        <w:br/>
        <w:t>1. Engineering Ingegneria Informatica S.p.A. (hereinafter Engineering) is an Italian company indirectly and jointly controlled by NB Group, LLC (hereinafter NB) and the Bain Group.</w:t>
        <w:br/>
        <w:t>2. Engineering is an Italian company active globally (present in over twenty countries) specialized in the development of software in the banking, utilities, and healthcare sectors. In particular, Engineering provides IT services primarily to medium-large clients (ministries and central state bodies, regions, municipalities, telecommunications companies, hospitals and healthcare facilities, banking groups, industrial and service companies, and the multi-utility network). The national turnover of the acquiring group, as stated in the notification, was approximately [4-5]* billion euros in 2020.</w:t>
        <w:br/>
        <w:t>3. The subject of acquisition is the company BE Shaping the Future S.p.A. (hereinafter also the "Target"), holding of the Be group, listed on the STAR segment of the Milan Stock Exchange. The Target is a company active in the IT financial services sector (Information Technology) primarily aimed at banking and financial operators. The Target operates both in Italy and abroad, particularly in Germany, Poland, and Great Britain, and, according to the notification, in 2020 the national turnover was approximately [100-517] million euros and in 2021 approximately [100-517] million euros.</w:t>
        <w:br/>
        <w:t>II. DESCRIPTION OF THE TRANSACTION</w:t>
        <w:br/>
        <w:t>4. The notified transaction consists of the acquisition, by Engineering, of exclusive control of the Target company through a newly established acquisition vehicle ("Newco") exclusively controlled by Engineering.</w:t>
        <w:br/>
        <w:t>* In this version, some data are omitted, as elements of confidentiality or secrecy of the information were deemed to exist.</w:t>
      </w:r>
    </w:p>
    <w:p>
      <w:r>
        <w:rPr>
          <w:b/>
        </w:rPr>
        <w:t>[Pages 25–27]</w:t>
      </w:r>
    </w:p>
    <w:p>
      <w:r>
        <w:t xml:space="preserve">BULLETIN NO. 32 OF 22 AUGUST 2022 27  </w:t>
        <w:br/>
        <w:t xml:space="preserve">III. QUALIFICATION OF THE TRANSACTION  </w:t>
        <w:br/>
        <w:t xml:space="preserve">5. The notified transaction, aimed at acquiring exclusive control over part of a company, constitutes a concentration pursuant to article 5, paragraph 1, letter b), of law no. 287/90. It falls within the scope of application of law no. 287/90 as the conditions set out in article 1 of Regulation EC 139/2004 are not met, and it is subject to the obligation of prior notification established by article 16, paragraph 1, of the same law as the total turnover achieved, in the last financial year at the national level, by the group of companies involved was over 517 million euros and the total turnover achieved, in the last financial year at the national level, by at least two of the companies involved was over 31 million euros.  </w:t>
        <w:br/>
        <w:t xml:space="preserve">IV. ASSESSMENT OF THE CONCENTRATION  </w:t>
        <w:br/>
        <w:t xml:space="preserve">6. The transaction in question concerns the market for Information Technology services (hereinafter also referred to as "IT Services").  </w:t>
        <w:br/>
        <w:t xml:space="preserve">The relevant market: Information Technology  </w:t>
        <w:br/>
        <w:t xml:space="preserve">7. IT Services can be segmented considering the type of services, as well as the characteristics of the sectors in which the customers operate.  </w:t>
        <w:br/>
        <w:t xml:space="preserve">8. As highlighted in numerous precedents of the Authority, the high rate of innovation and the rapid and constant technological evolution that characterize the IT sector make it not always easy to draw a clear demarcation between the different markets (and even more so between the segments) that this sector comprises.  </w:t>
        <w:br/>
        <w:t xml:space="preserve">9. The companies operating in this sector tend, in fact, to offer a multitude of services, adapting their offerings to the same technological evolution, demand, and customer needs.  </w:t>
        <w:br/>
        <w:t xml:space="preserve">10. More generally, within the overall market for IT services, the European Commission has identified seven segments that identify a plurality of IT services directed at businesses. These include: (i) IT management, for the use of specific skills to create and optimize business processes and information flows; (ii) transaction IT management, for transactions that require IT support; (iii) consulting for the analysis and improvement of technological strategies; (iv) software development, to develop and integrate solutions into existing infrastructures; (v) software maintenance, for the maintenance of products (operating systems, software applications, etc.) and technical support (also online or by phone); (vi) hardware maintenance, to optimize systems through installation, maintenance, and technical support of hardware components; (vii) education and training, for the transfer of knowledge outside of professional training.  </w:t>
        <w:br/>
        <w:t xml:space="preserve">11. These segments are further subdivisible into groups of services and are characterized by high fragmentation and substitutability from the supply side, also considering that IT service providers generally offer a more or less wide range of different services in packages that may involve all or some of the aforementioned segments. In this specific case, further segmentation of the market can be carried out based on the characteristics of the target sector, namely the banking, financial, and insurance sector.  </w:t>
        <w:br/>
        <w:t xml:space="preserve">12. Based on the information provided by the Parties, regarding the target sector, Engineering limits its commercial offering at the national level to three of the segments related to the general market for IT services, specifically to software development, software maintenance, and hardware maintenance. Target primarily conducts its activities in the markets related to software development and software maintenance, also at the national level.  </w:t>
        <w:br/>
        <w:t xml:space="preserve">13. From a geographical perspective, it is considered appropriate to leave the definition of the market open, particularly whether this market is national or broader, as even considering the narrower scope, namely national, in both configurations there would be no adverse effects on competition.  </w:t>
        <w:br/>
        <w:t xml:space="preserve">14. In fact, within the overall market for IT services, according to the information communicated and estimated by the Parties, the acquiring party registers an estimated market share of [5-10%] in 2021, while Target in the same year has an estimated market share of [less than 1%]. As for the relevant segments in which overlaps between the Parties occur, according to the communication, Engineering registers, in the software development segment in 2021, a share of approximately [10-15%] and in the software maintenance segment a share of approximately [5-10%], while Target holds in the same year in the software development segment a share of approximately [1-5%] and in the software maintenance segment a share of approximately [less than 1%].  </w:t>
        <w:br/>
        <w:t xml:space="preserve">15. Furthermore, if we further segment the relevant market based on services specifically directed at the IT financial services sector at the national level in 2021, according to the information communicated and estimated by the Parties, Engineering had an estimated share of [5-10%] while the Target Group in the same year registered an estimated market share of [1-5%].  </w:t>
        <w:br/>
        <w:t xml:space="preserve">Effects of the transaction  </w:t>
        <w:br/>
        <w:t xml:space="preserve">16. Based on the information produced during the notification, within the overall market for IT services in 2021, from estimates made by the Parties, at the national level the Acquiring Party registers a share of approximately [5-10%] while Target has a market share of [less than 1%]. Therefore, following the transaction, the share of the Acquiring Party will experience a marginal increase and will settle at a share of approximately [5-10%] and will not alter the market structures. As for the competitive context, it should be noted that, from the information provided by Engineering, numerous qualified competitors operate in the broader market for IT services with market shares higher than or comparable to the post-merger share reached following the transaction in question.  </w:t>
        <w:br/>
        <w:t xml:space="preserve">17. Also concerning the segments in which both Parties are active at the national level, namely those of software development and software maintenance, following the transaction, the post-merger shares will be, according to estimates made by the Parties, approximately [10-15%] and [5-10%], respectively, which will experience a modest increase in value, as the shares of Target are approximately [1-5%] and approximately [less than 1%]. Therefore, even in the aforementioned markets, where there is an overlap between the Parties, the transaction does not appear capable of altering the current market structures.  </w:t>
        <w:br/>
        <w:t xml:space="preserve">18. Similar considerations apply to the further sub-segment of IT financial services in which, it should be noted that at the national level, from estimates made by the Parties, Engineering registers in 2021 a share of [5-10%] while the Target Group registers in the same year at the national level a market share of approximately [1-5%] and, following the transaction, the entire share held by the latter will transfer to Engineering, resulting in a post-merger share of [5-10%]. Considering that, based on the information produced during the notification, in that market in 2021 there are qualified competitors whose shares are close in value to that held by Engineering following the notified transaction, the latter, while allowing Engineering to enter the relevant market with a non-marginal weight, does not appear capable of producing anti-competitive effects.  </w:t>
        <w:br/>
        <w:t xml:space="preserve">19. In conclusion, considering the market shares held by the Parties involved, the marginal overlap of the Parties' areas of activity, and the presence of significant competitors, the transaction in question does not appear likely to substantially alter the structure and competitive dynamics of the affected markets.  </w:t>
        <w:br/>
        <w:t xml:space="preserve">CONSIDERED, therefore, that the transaction in question does not entail, pursuant to article 6, paragraph 1, of law no. 287/90, the establishment or strengthening of a dominant position in the market for IT services, and its possible further delimitations,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measure will be published in the Bulletin of the Italian Competition Authority.  </w:t>
        <w:br/>
        <w:t xml:space="preserve">THE SECRETARY GENERAL THE PRESIDENT pro tempore  </w:t>
        <w:br/>
        <w:t>Guido Stazi Michele Ainis</w:t>
      </w:r>
    </w:p>
    <w:p>
      <w:r>
        <w:rPr>
          <w:b/>
        </w:rPr>
        <w:t>[Pages 28–30]</w:t>
      </w:r>
    </w:p>
    <w:p>
      <w:r>
        <w:t>30 BULLETIN NO. 32 OF 22 AUGUST 2022</w:t>
        <w:br/>
        <w:t>C12467 - DOLCETTO HOLDCO 2/DIOCLE TOPCO</w:t>
        <w:br/>
        <w:t>Measure no. 30279</w:t>
        <w:br/>
        <w:t>THE ITALIAN COMPETITION AUTHORITY</w:t>
        <w:br/>
        <w:t>IN ITS MEETING of 4 August 2022;</w:t>
        <w:br/>
        <w:t>HEARD the Rapporteur Professor Elisabetta Iossa;</w:t>
        <w:br/>
        <w:t>HAVING REGARD to the law of 10 October 1990, no. 287;</w:t>
        <w:br/>
        <w:t>HAVING REGARD to the D.P.R. of 30 April 1998, no. 217;</w:t>
        <w:br/>
        <w:t>HAVING REGARD to the communication made by the company Dolcetto HoldCo 2, S.à r.l. received on 12 July 2022;</w:t>
        <w:br/>
        <w:t>CONSIDERED the following:</w:t>
        <w:br/>
        <w:t>I. THE PARTIES</w:t>
        <w:br/>
        <w:t>I. The Parties</w:t>
        <w:br/>
        <w:t>1. Dolcetto HoldCo 2, S.à r.l. (hereinafter “TPG Lux”) is a company incorporated under Luxembourg law by entities controlled and/or assisted by TPG Inc. (hereinafter “TPG”). Currently, TPG Lux does not engage in any economic activity, neither in Europe nor elsewhere, and therefore does not record any turnover nor employs any employees. TPG Lux is ultimately controlled by TPG and is financed by entities associated with Fund VIII and TPG HC, both of which are in turn controlled by TPG. The latter is jointly controlled by the so-called “Control Group,” composed of its two founders, who are natural persons. TPG is an investment firm operating on a global scale, with assets under management amounting to approximately 120 billion dollars as of 31 March 2022 and a portfolio of over 280 companies headquartered in more than 30 countries. In the fiscal year 2020, TPG achieved a turnover in Italy of [100-517]* million euros.</w:t>
        <w:br/>
        <w:t>2. Diocle TopCo S.r.l. (hereinafter Diocle TopCo) is a company that does not engage in any economic activity, limited to controlling, through the three companies Diocle Holding S.pA., Diocle MidCo S.r.l. and Diocle S.p.A. - which are also inactive - the company DOC Generici S.r.l. (hereinafter DOC Generici). The present transaction therefore exclusively concerns the business of DOC Generici. The latter primarily markets and distributes generic drugs and, to a lesser extent, dietary supplements and medical devices in Italy. Most of the company's generic drugs belong to the therapeutic areas of cardiology, gastroenterology, and central nervous system, while other marketed drugs belong to the therapeutic areas of genitourinary, respiratory, ophthalmological, anti-infective, hematological, dermatological, hormonal preparations, and musculoskeletal.</w:t>
        <w:br/>
        <w:t>* In this version, some data are omitted, as elements of confidentiality or secrecy of the information were deemed to exist.</w:t>
      </w:r>
    </w:p>
    <w:p>
      <w:r>
        <w:t>BULLETIN NO. 32 OF 22 AUGUST 2022 31</w:t>
        <w:br/>
        <w:t>DOC Generici does not engage in research and development or production of medicines, outsourcing both activities through third-party suppliers or manufacturers. DOC Generici achieved a turnover in Italy of approximately [100-517] million euros in 2021.</w:t>
        <w:br/>
        <w:t>II. DESCRIPTION OF THE TRANSACTION</w:t>
        <w:br/>
        <w:t>3. The notified transaction consists of the acquisition, by TPG Lux, of the entire share capital of Diocle TopCo - a company that ultimately wholly owns DOC Generici - and, thereby, of the exclusive control of DOC Generici.</w:t>
        <w:br/>
        <w:t>4. The sellers have also entered into a non-solicitation agreement with the buyer for a duration of 18 months, consisting of the sellers' and their respective affiliates' commitment not to solicit, recruit, or hire employees who hold key roles in DOC Generici, with certain exceptions - related solely to the possibility of recruitment or hiring - detailed in the Sale Agreement.</w:t>
        <w:br/>
        <w:t>III. QUALIFICATION OF THE TRANSACTION</w:t>
        <w:br/>
        <w:t>5. The notified transaction, as it involves the acquisition of control of a company, constitutes a concentration pursuant to article 5, paragraph 1, letter b), of law no. 287/90. It falls within the scope of application of law no. 287/90, as the conditions set out in article 1 of Regulation EC no. 139/04 do not apply, and is subject to the obligation of prior notification provided for by article 16, paragraph 1, of the same law, as the total turnover achieved in the last financial year at the national level by the group of interested companies exceeded 517 million euros and the turnover achieved individually at the national level by at least two of the interested companies exceeded 31 million euros.</w:t>
        <w:br/>
        <w:t>6. The non-solicitation and non-hiring agreement of employees entered into by the parties and described in the previous paragraph can be considered directly connected and necessary for the realization of the concentration transaction in question, as it is functional to safeguarding the value of the acquired non-competition business and also considering its duration, which does not exceed two years1.</w:t>
        <w:br/>
        <w:t>IV. EVALUATION OF THE TRANSACTION</w:t>
        <w:br/>
        <w:t>7. DOC Generici operates in numerous markets related to the marketing of generic drugs, dietary supplements, and medical devices.</w:t>
        <w:br/>
        <w:t xml:space="preserve">8. According to the notifying party, TPG does not control, even indirectly, any company active in Italy in the same markets, nor in the downstream or upstream markets thereof. The transaction, therefore, does not produce any effect on the structure of the affected markets, resulting in the mere substitution of one operator with another. </w:t>
        <w:br/>
        <w:t>CONSIDERED, therefore, that the transaction in question does not result, pursuant to article 6, paragraph 1, of law no. 287/90, in the establishment or strengthening of a dominant position in the affected markets such as to eliminate or substantially and durably reduce competition;</w:t>
        <w:br/>
        <w:t>1 See “Communication from the Commission on restrictions directly related and necessary to concentrations” in O.J. C.E. 2005/C-56/03 of 5 March 2005.</w:t>
      </w:r>
    </w:p>
    <w:p>
      <w:r>
        <w:t>32 BULLETIN NO. 32 OF 22 AUGUST 2022</w:t>
        <w:br/>
        <w:t>CONSIDERED, also, that the non-solicitation agreement between the parties is accessory to the present transaction only to the limits indicated above and that the Authority reserves the right to evaluate the aforementioned agreement that occurs beyond the limits indicated therein;</w:t>
        <w:br/>
        <w:t>RESOLVES</w:t>
        <w:br/>
        <w:t>not to initiate the investigation referred to in article 16, paragraph 4, of law no. 287/90.</w:t>
        <w:br/>
        <w:t>The conclusions above will be communicated, pursuant to article 16, paragraph 4, of law no. 287/90, to the interested companies and to the Minister of Economic Development.</w:t>
        <w:br/>
        <w:t>This measure will be published in the Bulletin of the Italian Competition Authority.</w:t>
        <w:br/>
        <w:t>THE SECRETARY GENERAL THE PRESIDENT f.f.</w:t>
        <w:br/>
        <w:t>Guido Stazi Michele Ainis</w:t>
      </w:r>
    </w:p>
    <w:p>
      <w:r>
        <w:rPr>
          <w:b/>
        </w:rPr>
        <w:t>[Pages 31–33]</w:t>
      </w:r>
    </w:p>
    <w:p>
      <w:r>
        <w:t xml:space="preserve">BULLETIN NO. 32 OF 22 AUGUST 2022 33  </w:t>
        <w:br/>
        <w:t xml:space="preserve">C12469 - BC PARTNERS/LILAS 1  </w:t>
        <w:br/>
        <w:t xml:space="preserve">Measure no. 30280  </w:t>
        <w:br/>
        <w:t xml:space="preserve">THE ITALIAN COMPETITION AUTHORITY  </w:t>
        <w:br/>
        <w:t xml:space="preserve">IN ITS MEETING of 4 August 2022;  </w:t>
        <w:br/>
        <w:t xml:space="preserve">HEARD the Rapporteur Professor Michele Ainis;  </w:t>
        <w:br/>
        <w:t xml:space="preserve">HAVING REGARD to the law of 10 October 1990, no. 287;  </w:t>
        <w:br/>
        <w:t xml:space="preserve">HAVING REGARD to the D.P.R. of 30 April 1998, no. 217;  </w:t>
        <w:br/>
        <w:t xml:space="preserve">HAVING REGARD to the communication from BC Partners LLP, received on 20 July 2022;  </w:t>
        <w:br/>
        <w:t xml:space="preserve">CONSIDERING the following:  </w:t>
        <w:br/>
        <w:t xml:space="preserve">I. THE PARTIES  </w:t>
        <w:br/>
        <w:t xml:space="preserve">1. BC Partners LLP (hereinafter, BC Partners) is a company under English law engaged in asset management that primarily provides investment advisory services to numerous private equity funds, including BC Fund XI.  </w:t>
        <w:br/>
        <w:t xml:space="preserve">2. BC Partners is controlled by BC Partners Holdings Limited, whose share capital is distributed among multiple shareholders, none of whom holds more than 10% of the share capital or a controlling interest.  </w:t>
        <w:br/>
        <w:t xml:space="preserve">3. In 2021, BC Partners achieved a worldwide turnover of approximately [30-40]* billion euros, of which approximately [7-8] billion euros were from sales in the EEA and approximately [1-2] billion euros from sales in Italy.  </w:t>
        <w:br/>
        <w:t xml:space="preserve">4. Lilas 1 SAS (hereinafter, Lilas 1) is a French company at the head of the Havea Group, active in the supply of dietary supplements, hygiene products and cosmetics, teas and infusions, and medical devices for pharmacies, parapharmacies, and large-scale distribution.  </w:t>
        <w:br/>
        <w:t xml:space="preserve">5. The share capital of Lilas 1 is held by 3i PE 2016-19 A LP (31.44%), FCPI Sino French Fund (31.16%), 3i Group plc (20.96%), 3i Lilas S1 LP (16.12%), and PE 2016-19 Co-Invest LP (0.32%).  </w:t>
        <w:br/>
        <w:t xml:space="preserve">6. In 2021, Lilas 1 achieved a worldwide turnover of approximately 211.9 million euros, of which approximately [100-517] million euros were from sales in the EEA and approximately [31-100] million euros from sales in Italy.  </w:t>
        <w:br/>
        <w:t xml:space="preserve">II. DESCRIPTION OF THE TRANSACTION  </w:t>
        <w:br/>
        <w:t xml:space="preserve">7. The Transaction concerns the acquisition of the entire share capital of Lilas 1 and Lilas 2 SAS, respectively the holding and sub-holding of the Havea Group, by a company controlled by an affiliate of BC Partners.  </w:t>
        <w:br/>
        <w:t xml:space="preserve">8. According to the Parties' statements, the transaction does not involve ancillary restrictions.  </w:t>
        <w:br/>
        <w:t>* In this version, some data is omitted, as there are elements of confidentiality or secrecy of the information.</w:t>
      </w:r>
    </w:p>
    <w:p>
      <w:r>
        <w:t xml:space="preserve">34 BULLETIN NO. 32 OF 22 AUGUST 2022  </w:t>
        <w:br/>
        <w:t xml:space="preserve">III. QUALIFICATION OF THE TRANSACTION  </w:t>
        <w:br/>
        <w:t xml:space="preserve">9. The notified transaction, as it involves the acquisition of exclusive control over a company, constitutes a concentration pursuant to article 5, paragraph 1, letter b), of law no. 287/90.  </w:t>
        <w:br/>
        <w:t xml:space="preserve">10. It falls within the scope of application of law no. 287/90, as the conditions set out in article 1 of Regulation (EC) no. 139/04 do not apply, and it is subject to the obligation of prior notification provided for by article 16, paragraph 1, of the same law, as the total turnover achieved in the last financial year at the national level by the group of interested companies exceeded 517 million euros and the turnover achieved individually at the national level by at least two of the interested companies exceeded 31 million euros.  </w:t>
        <w:br/>
        <w:t xml:space="preserve">IV. ASSESSMENT OF THE CONCENTRATION  </w:t>
        <w:br/>
        <w:t xml:space="preserve">Relevant markets  </w:t>
        <w:br/>
        <w:t xml:space="preserve">11. Considering the activities of the Havea Group, the transaction concerns:  </w:t>
        <w:br/>
        <w:t xml:space="preserve">(i) the market for the production and supply of dietary supplements, with a national geographical dimension1;  </w:t>
        <w:br/>
        <w:t xml:space="preserve">(ii) the market for the production and supply of cosmetic products; in some cases, the Authority has defined the market based on the end use of the product, identifying as many markets as there are different products (e.g., deodorants, toothpastes, etc.)2; however, considering that Havea's turnover in this market is negligible and that there is no overlap between the Parties in this market, so that any sub-segmentation based on end use or distribution channels of this market does not seem necessary, it is possible to assess the Transaction based on a single product market that includes all cosmetic products; from a geographical point of view, the market size can be considered national;  </w:t>
        <w:br/>
        <w:t xml:space="preserve">(iii) the market for the production and supply of personal hygiene and care products, with a national geographical dimension3;  </w:t>
        <w:br/>
        <w:t xml:space="preserve">(iv) the market for the production and supply of medical devices for skin care, further subdivisible into commodity markets, with a national geographical dimension4;  </w:t>
        <w:br/>
        <w:t xml:space="preserve">(v) the market for the production and supply of teas and infusions, with a national geographical dimension5;  </w:t>
        <w:br/>
        <w:t xml:space="preserve">(vi) the market for the wholesale distribution of pharmaceutical, parapharmaceutical, and other products for pharmacies and parapharmacies, with a national or subnational geographical dimension6.  </w:t>
        <w:br/>
        <w:t xml:space="preserve">12. For the purposes of this transaction, it does not appear necessary to arrive at an exact definition of the geographical markets as the competitive assessment of the transaction would not change.  </w:t>
        <w:br/>
        <w:t xml:space="preserve">1 [See AGCM Measure no. 23779 of 25 July 2012, C11686 – NESTLE’/BRANCH OF PFIZER.]  </w:t>
        <w:br/>
        <w:t xml:space="preserve">2 [See AGCM Measure no. 27295 of 1 August 2018, C12180 – UNILEVER ITALY HOLDINGS/EQUILIBRA.]  </w:t>
        <w:br/>
        <w:t xml:space="preserve">3 [See AGCM Measure no. 21927 of 15 December 2010, C10833 – UNILEVER-ACE MERGER/ALBERTO CULVER COMPANY.]  </w:t>
        <w:br/>
        <w:t xml:space="preserve">4 [See AGCM Measure no. 22110 of 9 February 2011, C10921 – GALDERMA PHARMA/Q-MED.]  </w:t>
        <w:br/>
        <w:t xml:space="preserve">5 [See AGCM Measure no. 5577 of 18 December 1997, C2926 – UNILEVER ITALIA/DEL MONTE FOODS SUD EUROPA.]  </w:t>
        <w:br/>
        <w:t>6 [See AGCM Measure no. 28328 of 4 August 2020, C12304 – SO.FARMA MORRA/COROFAR-NEWCO.]</w:t>
      </w:r>
    </w:p>
    <w:p>
      <w:r>
        <w:t xml:space="preserve">BULLETIN NO. 32 OF 22 AUGUST 2022 35  </w:t>
        <w:br/>
        <w:t xml:space="preserve">Effects of the transaction  </w:t>
        <w:br/>
        <w:t xml:space="preserve">13. In the Italian markets under (i), (ii), (iii), (iv), (v), and (vi), the Havea Group holds shares of less than 1%, while BC Partners is not active.  </w:t>
        <w:br/>
        <w:t xml:space="preserve">14. In these markets, there are also numerous and qualified competitors7.  </w:t>
        <w:br/>
        <w:t xml:space="preserve">15. It is also noted that BC Partners is active in the markets for the supply of oral dosage forms, the production of machines and equipment for automatic packaging, and in laboratory analysis and certification services, with shares of less than [1-5%], less than [5-10%], and approximately [1-5%], respectively.  </w:t>
        <w:br/>
        <w:t xml:space="preserve">16. Therefore, even if one were to hypothesize vertical relationships between these upstream markets and the downstream markets under (i), (ii), (iii), (iv), (v), and (vi), it is noted that in light of BC Partners' limited position, the transaction does not appear likely to raise competitive concerns.  </w:t>
        <w:br/>
        <w:t xml:space="preserve">17. In light of the above considerations, it is believed that in the relevant markets the transaction will not have adverse effects on competition, not resulting in substantial changes in the competitive structure thereof.  </w:t>
        <w:br/>
        <w:t xml:space="preserve">CONSIDERING, therefore, that the transaction in question does not result, pursuant to article 6, paragraph 1, of law no. 287/90, in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Economic Development.  </w:t>
        <w:br/>
        <w:t xml:space="preserve">This measure will be published in the Bulletin of the Italian Competition Authority.  </w:t>
        <w:br/>
        <w:t xml:space="preserve">THE SECRETARY GENERAL THE PRESIDENT pro tempore  </w:t>
        <w:br/>
        <w:t xml:space="preserve">Guido Stazi Michele Ainis  </w:t>
        <w:br/>
        <w:t>7 For example, in market (i) Pfizer, Aboca, and Alfasigma; in market (ii) Voltaren, La Roche Posay, and Avene; in market (iii) Dove, Vichy, and Nivea; in market (iv) Avene, La Roche Posay, and Rilastil; and in market (v) Coswell, Star, and Pompadour.</w:t>
      </w:r>
    </w:p>
    <w:p>
      <w:r>
        <w:rPr>
          <w:b/>
        </w:rPr>
        <w:t>[Pages 34–36]</w:t>
      </w:r>
    </w:p>
    <w:p>
      <w:r>
        <w:t>36 BULLETIN NO. 32 OF 22 AUGUST 2022</w:t>
        <w:br/>
        <w:t>C12472 - BF-EMILIA ROMAGNA AGRICULTURAL CONSORTIUM- ADRIATIC AGRICULTURAL CONSORTIUM- TIRRENO AGRICULTURAL CONSORTIUM- CENTRAL SOUTH AGRICULTURAL CONSORTIUM- CONSORTIUM SOCIETY AGRICULTURAL CONSORTIA- NORD-EST AGRICULTURAL CONSORTIUM/AGRICULTURAL CONSORTIA OF ITALY</w:t>
        <w:br/>
        <w:t>Measure no. 30281</w:t>
        <w:br/>
        <w:t>THE ITALIAN COMPETITION AUTHORITY</w:t>
        <w:br/>
        <w:t>IN ITS MEETING of 4 August 2022;</w:t>
        <w:br/>
        <w:t>HEARD the Rapporteur Professor Elisabetta Iossa;</w:t>
        <w:br/>
        <w:t>HAVING REGARD to the law of 10 October 1990, no. 287;</w:t>
        <w:br/>
        <w:t>HAVING REGARD to the D.P.R. of 30 April 1998, no. 217;</w:t>
        <w:br/>
        <w:t>HAVING REGARD to the communication made by the companies BF S.p.A., Consortium Society Agricultural Consortia S.c.p.A., Emilia Agricultural Consortium Soc. Coop., Adriatic Agricultural Consortium Soc. Coop., Tirreno Agricultural Consortium Soc. Coop. S.p.A., Central South Agricultural Consortium Soc. Coop., Nordest Agricultural Consortium Soc. Coop., received on 26 July 2022;</w:t>
        <w:br/>
        <w:t>CONSIDERING the following:</w:t>
        <w:br/>
        <w:t>I. THE PARTIES</w:t>
        <w:br/>
        <w:t>I.1. The Agricultural Consortia</w:t>
        <w:br/>
        <w:t>1. The Agricultural Consortia (hereinafter also the Consortia) are cooperatives of farmers governed by articles 3511 et seq. of the civil code, whose share capital is distributed among thousands of members, none of whom exercises control over them. In 1999, also with the aim of overcoming the strong intertwining in the public and private management of the Consortia, law no. 410/1999 was issued to reorganize the system of Agricultural Consortia which, until then, had carried out their activities based on the regulatory framework represented by legislative decree no. 1235/1948. Law no. 410/1999, as supplemented and amended by d.l. no. 181/2006 and d.l. 91/2017, is still in force and regulates the activities of the consortia themselves.</w:t>
        <w:br/>
        <w:t>The main innovations of the reform introduced in 1999 concern the legal nature of the Consortia, the ownership of their supervision, the exercise of the right of pre-emption, the reimbursement of credits, the practicability of agricultural credit in kind, as well as the dissolution of Federconsorzi1.</w:t>
        <w:br/>
        <w:t>In particular, the legal nature of the Consortia, which previously was that of special cooperatives under decree no. 1235/48, has been changed to cooperatives with prevalent mutuality and limited liability (law no. 99/2009, art. 9), somewhat equating the Consortia with common agricultural cooperatives in the sector and diminishing their special character.</w:t>
        <w:br/>
        <w:t xml:space="preserve">Among the purposes for which they are established, there is primarily that, reiterated by article 2 of law no. 410/1999, of carrying out activities aimed at promoting innovation and improving agricultural production, also through the preparation and management of services useful to agriculture. </w:t>
        <w:br/>
        <w:t>1 All Agricultural Consortia, since 1892, have joined the Italian Federation of Agricultural Consortia (Federconsorzi), performing numerous functions, also of a public nature, to assist in the implementation of public agricultural policies, such as the management of stocks and credit to farmers. However, in 1991, Federconsorzi entered into an irreversible financial crisis and many Consortia were placed in compulsory administrative liquidation or admitted to provisional exercise. Federconsorzi was then dissolved in 1999.</w:t>
      </w:r>
    </w:p>
    <w:p>
      <w:r>
        <w:t>BULLETIN NO. 32 OF 22 AUGUST 2022 37</w:t>
        <w:br/>
        <w:t>The consortia have also been expressly authorized to exercise agricultural credit in kind, in exchange for the conferment of agricultural products to voluntary stockpiling, providing the possibility of covering the credit with the issuance of agricultural promissory notes, subject to reduced tax imposition.</w:t>
        <w:br/>
        <w:t>Finally, article 2, paragraph 3, of d.l. no. 91/2017, which further intervened to amend the law reorganizing the Consortia, provides that they may carry out the activities indicated in the aforementioned article 2 also by participating in capital companies, in which they hold the majority of votes exercisable in the ordinary assembly of members.</w:t>
        <w:br/>
        <w:t>As a result of a reorganization process characterized by numerous closures and mergers, the number of active Consortia in the market has drastically reduced, from the initial 72 to the current just over 20. They continue, however, to carry out activities in favor of agricultural companies, both members and third parties, including in particular: i) the widespread provision, throughout the national territory, of services for enhancing production, technical assistance, financial support, management of stocks, and consultancy; ii) the distribution, through a specialized network of sales points, of productive inputs and tools necessary for cultivation and breeding, such as feed, seeds, agricultural machinery, fertilizers, pesticides, and insurance products.</w:t>
        <w:br/>
        <w:t>Some Consortia are also active, through their subsidiaries, in the production of feed and seeds.</w:t>
        <w:br/>
        <w:t>2. The Emilia Romagna Agricultural Consortium cooperative society (hereinafter CAE) is primarily active in the provinces of Bologna, Modena, Reggio Emilia, Ferrara, Parma, and Ravenna. The share capital of CAE is held by approximately 4,300 members. At the end of 2020, CAE transferred the Business Branch constituted by the core business of its agricultural consortium activity to the company Consorzi Agrari d’Italia S.p.A. (hereinafter also CAI), of which it holds approximately 36.3% of the share capital. Net of the activities carried out through this company, the turnover achieved by CAE in 2021 was approximately 27.8 million euros2.</w:t>
        <w:br/>
        <w:t>3. The Adriatic Agricultural Consortium cooperative society (CAA) is active in the provinces of Forlì-Cesena, Rimini, Pesaro and Urbino, Ascoli Piceno, Fermo, Macerata. The share capital of CAA is held among more than 3,000 members. At the end of 2020, CAA transferred the Business Branch constituted by the core business of its agricultural consortium activity to CAI, of which it holds approximately 0.1% of the share capital. Net of the activities carried out through this company, the turnover achieved by CAA in 2021 was approximately 0.17 million euros.</w:t>
        <w:br/>
        <w:t>4. The Tirreno Agricultural Consortium cooperative society (CAT) is primarily active in the provinces of Grosseto, Livorno, Pisa, Lucca, Massa, Pistoia, and Viterbo. The share capital of CAT is held by approximately 1,000 members. At the end of 2020, CAT transferred the Business Branch constituted by the core business of its agricultural consortium activity to CAI, of which it holds approximately 18.3% of the share capital. In 2021, the company did not generate turnover.</w:t>
        <w:br/>
        <w:t>5. The Central South Agricultural Consortium cooperative society (CACS) is primarily active in the provinces of Chieti, Pescara, L’Aquila, Teramo, Campobasso, Isernia, and Foggia. The share capital of CACS is distributed among 284 members, none of whom exercises direct or indirect control. At the end of 2020, CACS transferred the Business Branch constituted by the core business of its agricultural consortium activity to CAI, of which it holds approximately 2.9% of the share capital. In 2021, the company did not generate turnover.</w:t>
        <w:br/>
        <w:t>6. Nordest Agricultural Consortium Soc. Coop. (CNE) is primarily active in Lombardy and Veneto, particularly in the provinces of Mantova, Brescia, Vicenza, Venezia, Verona, Rovigo, and Padova. The consortium operates primarily in the agri-food sector and services to farmers, carrying out, in particular, the following activities: consultancy for the development of the cultivation cycle and cultivation contracts, provision of technical and mechanical means, distribution of lubricants, management of the livestock cycle, feed production, and food processing. The turnover achieved by CNE in 2021 was approximately 474 million euros.</w:t>
        <w:br/>
        <w:t>7. Consortium Society Agricultural Consortia S.c.p.A. (hereinafter SCCA), established in 2009 pursuant to law no. 410/1999, is a consortium company whose share capital is held by 21 agricultural consortia currently active in the national territory, none of which individually holds a controlling stake. The 5 Consortia described above, parties to this operation, jointly hold approximately 60%. SCCA was established with the aim of enhancing the activities and products of the members (agricultural consortia), as well as procuring goods, services, activities, and benefits for the exercise of their economic activities. Among the initiatives undertaken, SCCA established, in 2019, the company CAI S.r.l., subsequently transformed into a joint-stock company, as part of a reorganization project of the Consortia system3.</w:t>
        <w:br/>
        <w:t>In 2020, SCAA also transferred the Business Branch constituted by the core business of its activity to CAI, of which it holds approximately 3.8% of the share capital. The turnover achieved by SCCA in 2021, substantially derived from consortium contributions, was approximately 1.45 million euros.</w:t>
        <w:br/>
        <w:t>I.2. BF S.p.A.</w:t>
        <w:br/>
        <w:t>8. BF S.p.A. (hereinafter BF) is a publicly traded company, holding company of the eponymous corporate group (“BF Group”), a primary national operator active, at an integrated level, in the agri-industrial sector, livestock, seeds, and the provision of technological services for operators in the agricultural sector. The share capital of BF is partly floating on the stock exchange (approximately 35%) and partly divided among national institutional and private investors - including Dompè Holding S.r.l. (20%), Fondazione Cariplo (19%); CDP Equity S.p.A. (6%) - none of whom exercises, individually or jointly, a decisive influence on BF's activities.</w:t>
        <w:br/>
        <w:t>9. BF operates primarily - through its subsidiaries Bonifiche Ferraresi S.p.A., BF Agricola S.r.l. Agricultural Company, and BF Agro-Industrial S.p.A. - in the cultivation, distribution, and wholesale marketing of agricultural and livestock products. In particular, Bonifiche Ferraresi S.p.A. represents the largest agricultural company in Italy, active in the sectors of cattle breeding and the cultivation of rice, corn, durum wheat and soft wheat, barley, sugar beets, alfalfa, soybeans, vegetables, medicinal plants, olive oil production, and fruit.</w:t>
        <w:br/>
        <w:t>3 The project was aimed - in implementation of paragraph 2 bis of art. 2 of law no. 410/1999, supplemented by the Mezzogiorno Decree, law no. 123/2017 - at the joint performance of activities provided for in the corporate purpose of the participating Agricultural Consortia, to be realized through participation in capital companies in which the Agricultural Consortia hold the majority of votes exercisable in the Ordinary Assembly.</w:t>
      </w:r>
    </w:p>
    <w:p>
      <w:r>
        <w:rPr>
          <w:b/>
        </w:rPr>
        <w:t>[Pages 37–39]</w:t>
      </w:r>
    </w:p>
    <w:p>
      <w:r>
        <w:t>BULLETIN NO. 32 OF 22 AUGUST 2022 39</w:t>
        <w:br/>
        <w:t>10. BF is also active in all phases of the seed cycle (establishment of new varieties, multiplication, processing, and marketing of seeds) through its subsidiary S.I.S. Società Italiana Sementi S.p.A. (hereinafter SIS), in which it directly holds approximately 42%4. SIS is the leading national seed company and is a leader in the wheat seed sector, primarily marketed through the distribution network of the Agricultural Consortia. It handles approximately 600 seeds and holds exclusive rights for 116 of them. In particular, SIS holds a license for the multiplication and marketing of a particularly valuable variety of durum wheat, known as Grano senatore Cappelli5.</w:t>
        <w:br/>
        <w:t>11. BF also operates in: the design and development of supply chain contracts, through the company Filiera Bovini Italia S.r.l., in which it holds a 51% stake and is jointly controlled with the company Filiera Agricola Italiana S.p.A.; and is active in the establishment and management of milling plants intended for the grinding of cereals (and, in particular, for the production of durum wheat semolina) through the subsidiary Milling Hub S.p.A.; in the sector of precision agricultural services, through the company I.B.F. Servizi S.p.A., established in partnership with ISMEA (Institute of Services for the Agricultural Food Market); in the distribution to the GDO of national food products such as pasta, rice, herbal teas, and legumes, marketed under the brand "Stagioni d’Italia." With reference to the pasta marketed under this brand, the pasta factory Ghigi 1870 S.p.A. operates as a contract producer for the BF group, in which SIS and BF collectively hold a stake of approximately 40%.</w:t>
        <w:br/>
        <w:t>12. Finally, BF acquired joint control of CAI in 2020, in which it holds approximately 38.6% of the share capital. In the financial year 2021, BF achieved a consolidated turnover in Italy of approximately [31-100]* million euros excluding the contribution of CAI's activities and approximately [100-517] million euros taking into account the turnover generated by CAI.</w:t>
        <w:br/>
        <w:t>I.3. Consorzi Agrari d’Italia S.p.A.</w:t>
        <w:br/>
        <w:t>13. Consorzi Agrari d’Italia S.p.A. (CAI) is a company established (initially as a limited liability company) in 2019 by SSCA. Based on its bylaws, it "aims to contribute to the innovation and improvement of agricultural production, as well as to the preparation and management of services useful to agriculture, operating in the general interest of agriculture in the areas where it conducts its activities. The company operates pursuant to art. 2, paragraph 3 of the Decree of the Mezzogiorno."</w:t>
        <w:br/>
        <w:t>4 BF acquired control of SIS in 2017, signing an agreement to purchase a 41.19% stake from 4 Agricultural Consortia (Consorzio Agrario dell’Emilia, Consorzio Agrario del Nordest, Consorzio Agrario dell’Adriatico, Consorzio Agrario del Centro Sud and Flaminia in liquidation, a company in turn controlled by an Agricultural Consortium). A shareholders' agreement was established between BF, on one side, and the transferring Consortia, on the other, for the governance of SIS, which granted BF de facto control over the seed company. Currently, the share capital of SIS is approximately 42% held by BF, approximately 37% by CAI, and 3.4% by CNE.</w:t>
        <w:br/>
        <w:t>5 See AL22 - MARKETING OF GRANO SENATORE CAPPELLI, measure no. 27991 of 12 November 2019.</w:t>
        <w:br/>
        <w:t>* In this version, some data are omitted, as elements of confidentiality or secrecy of the information were deemed to exist.</w:t>
      </w:r>
    </w:p>
    <w:p>
      <w:r>
        <w:t>40 BULLETIN NO. 32 OF 22 AUGUST 2022</w:t>
        <w:br/>
        <w:t>14. In 2020, the control of CAI (transformed into a joint-stock company) was jointly acquired by BF, on one side, and SSCA, CAE, CAA, CAT, and CACS (considered collectively) on the other side6. The share capital of CAI is currently distributed as follows: CAE approximately 36.3%; CAT approximately 18.3%; SCCA approximately 3.8%; CACS approximately 2.9%; CAA approximately 0.01%; BF approximately 38.6%.</w:t>
        <w:br/>
        <w:t>15. Concurrently with the acquisition of joint control of CAI, the consortia SCCA, CAE, CAA, CAT, and CACS contributed their respective Business Units consisting of the activities, both tangible and intangible, related to their core business into this company. CAI, therefore, took over the management of the main activities previously carried out by the Consortia, primarily aimed at farmers and agricultural enterprises, with particular reference to: (i) production and marketing of seeds; (ii) retail distribution of inputs and technical means for agriculture; (iii) distribution of petroleum products; (iv) retail distribution of insurance products.</w:t>
        <w:br/>
        <w:t>16. The aforementioned activities are also carried out through controlled or affiliated companies, through shareholdings previously held by the consortia that jointly control CAI. Among these, in particular: S.I.S. Società Italiana Sementi S.p.A. (approximately 37%), active in the seed sector; Ghigi 1870 S.p.A. (approximately 37%), active in the production of pasta and flour products; Eurocap Petroli S.p.A. (approximately 99%), active in the wholesale trade of petroleum products, lubricants for automotive use, and heating fuels; Assicai S.r.l. (100%), Cons. Ass. S.r.l. (100%), Consorzio Agrario Assicurazioni s.r.l. (100%) and Sicuragri – Tuscia S.r.l. (100%), active in the insurance sector; Italian Tractor s.r.l. (100%), active in the wholesale trade of agricultural machinery and tools; Emilcap Società Consortile a r.l. (approximately 58%), active in the production of feed for livestock.</w:t>
        <w:br/>
        <w:t>17. In 2021, CAI achieved a turnover of approximately 407 million euros.</w:t>
        <w:br/>
        <w:t>II. DESCRIPTION OF THE TRANSACTION</w:t>
        <w:br/>
        <w:t>II.1. Implementation Method</w:t>
        <w:br/>
        <w:t>18. The notified Transaction consists of CNE's entry into the share capital of CAI, which will continue to be subject - as a result of the transaction - to the joint control of BF, on one side, and the Agricultural Consortia, to which CNE will be added, on the other side.</w:t>
        <w:br/>
        <w:t>19. In particular, the agreement between the Parties governing this transaction provides as follows:</w:t>
        <w:br/>
        <w:t>i) CNE will segregate a business unit consisting of all activities, both tangible and intangible, related to the core business carried out by CNE, along with some instrumental real estate, plants and equipment, working capital, personnel and related liabilities, cash and part of the financial indebtedness (“CNE Business Unit”);</w:t>
        <w:br/>
        <w:t>ii) CAI will resolve to increase its capital, which will be subscribed by CNE, through the contribution of the CNE Business Unit, and by BF, through a cash contribution.</w:t>
        <w:br/>
        <w:t>20. As a result of this subscription, the share capital of CAI will be held as follows:</w:t>
        <w:br/>
        <w:t>- SCCA and the Agricultural Consortia currently shareholders of CAI will hold Category A Shares, totaling 40.53% of the share capital (CAA 0.06%; CCS 1.9%; CAE 23.95%; CAT 12.11%; SCCA 2.51%);</w:t>
        <w:br/>
        <w:t>6 See C12311 - B.F.-CONSORZIO AGRARIO DELL’EMILIA-CONSORZIO ADRIATICO-CONSORZIO AGRARIO DEL TIRRENO-CONSORZIO AGRARIO CENTRO SUD-SOCIETÀ CONSORTILE CONSORZI AGRARI/NEWCO, measure no. 28564 of 9 February 2021, in Bulletin no. 9/2021.</w:t>
      </w:r>
    </w:p>
    <w:p>
      <w:r>
        <w:t>BULLETIN NO. 32 OF 22 AUGUST 2022 41</w:t>
        <w:br/>
        <w:t>- BF will hold Category B Shares, representing a stake of 35.89% of the share capital;</w:t>
        <w:br/>
        <w:t>- CNE will hold Category C Shares, representing a stake of 23.58%.</w:t>
        <w:br/>
        <w:t>21. Concurrently, the Parties will sign a shareholders' agreement (CAI Shareholders' Agreement) regarding the regulation of the functioning and governance of CAI, whereby BF, on one side, and the Agricultural Consortia, on the other, to which CNE will be added, will continue to jointly control CAI. At the same time, all Agricultural Consortia (including CNE) will sign an additional shareholders' agreement (Consortia Shareholders' Agreement) whereby, inter alia, whenever a meeting of the shareholders of CAI is convened, they must meet in advance "in order to deliberate on the exercise of the voting right on the matters on the agenda." Any decision made in this context will then be binding for all the Consortia. Furthermore, with reference to the votes to be held within the Board of Directors, the shareholders' agreement among the Consortia commits its signatories to define, where possible, a common orientation.</w:t>
        <w:br/>
        <w:t>II.2. Governance Rules of CAI</w:t>
        <w:br/>
        <w:t>22. Based on the CAI Shareholders' Agreement, the Board of Directors of CAI will be composed of an odd number of directors ranging from 7 to 31. Of these, half minus one (including one or more with the functions of Managing Director) will be appointed by BF (Category B shareholder), 3 directors will be designated by CNE (Category C shareholder), and the remaining will be appointed by the Agricultural Consortia and SCCA (Category A shareholders). The director with the functions of Chairman will be indicated by the Category A Shareholders and the Category C Shareholders.</w:t>
        <w:br/>
        <w:t>23. The adoption of the so-called "Relevant Board Matters," which include the approval, amendment, update, and/or modification of the business plan, can only occur with the favorable vote of the majority of the directors present at the meeting and the majority of those appointed by BF.</w:t>
        <w:br/>
        <w:t>24. The CAI Shareholders' Agreement also provides that, in the event of a Decision Stalemate, the Parties are obliged to ensure that the Chairman (representing the Category A and C shareholders) and the Managing Director or the Managing Directors (representing the Category B shareholder) meet without delay in order to seek in good faith, and in the best interest of the Company, a solution to the Stalemate. If, within a predetermined time frame, the Chairman and the Managing Director do not reach an agreement to resolve the Stalemate, the Category B Shareholder will have the right to adhere to the position of the Category A shareholders and/or the Category C shareholder regarding the matter subject to the Decision Stalemate. If this is not resolved, even through resubmission for board review, the proposal for resolution will be deemed definitively not adopted.</w:t>
        <w:br/>
        <w:t>II.3 Conclusions on the new control structure of CAI and its subsidiaries</w:t>
        <w:br/>
        <w:t>25. Based on what has been presented regarding the governance rules of CAI, it can be concluded that this company, as a result of the present operation, will be jointly controlled by BF, on one side, and SCCA and the 5 Consortia, on the other. This is because both BF, a minority shareholder, and SCCA and the 5 consortia, collectively majority shareholders, are recognized the ability to block the approval of resolutions on Relevant Board Matters, for which both the majority of votes from BF and the overall majority of votes from the directors are required.</w:t>
      </w:r>
    </w:p>
    <w:p>
      <w:r>
        <w:rPr>
          <w:b/>
        </w:rPr>
        <w:t>[Pages 40–42]</w:t>
      </w:r>
    </w:p>
    <w:p>
      <w:r>
        <w:t>42 BULLETIN NO. 32 OF 22 AUGUST 2022</w:t>
        <w:br/>
        <w:t>26. In particular, with reference to the joint control acquired over CAI by the group of 6 consortia (SCCA and the 5 agricultural consortia), identified as a unified "block" of shareholders, the existence of the following circumstances and common interests should be highlighted, which suggest that these parties have a stable agreement to define a common orientation: i) the 5 agricultural consortia and SCCA have signed a specific and distinct shareholders' agreement that commits them, where possible, to define a common orientation; ii) the resolution of the Decision-Making Stalemate phase, which can typically arise when there is joint control, is entrusted to the equal mediation of two parties, each representing a distinct "block" of shareholders (BF, on one side, and the Consortia/SCCA, on the other), making it necessary for the consortium shareholders - represented by a single and same entity - to agree on a common line.</w:t>
      </w:r>
    </w:p>
    <w:p>
      <w:r>
        <w:t>III. QUALIFICATION OF THE TRANSACTION</w:t>
        <w:br/>
        <w:t>27. The notified transaction, as it involves a change in the control of a company, constitutes a concentration pursuant to article 5, paragraph 1, letter b), of law no. 287/90. It falls within the scope of application of law no. 287/90, as the conditions set out in article 1 of Regulation (EC) no. 139/04 do not apply, and it is subject to the obligation of prior notification provided for by article 16, paragraph 1, of the same law, as the total turnover achieved in the last financial year at the national level by the group of companies involved exceeded 517 million euros and the turnover achieved individually at the national level by at least two of the companies involved exceeded 31 million euros.</w:t>
      </w:r>
    </w:p>
    <w:p>
      <w:r>
        <w:t>IV. EVALUATION OF THE TRANSACTION</w:t>
        <w:br/>
        <w:t>IV.1 The relevant markets</w:t>
        <w:br/>
        <w:t>28. According to the Authority's practice, the "horizontally affected markets" by a concentration transaction are those in which two or more parties operate simultaneously and will hold after the transaction a market share of no less than 15% (horizontally affected markets). The "vertically affected markets," on the other hand, are those in which one party will hold after the transaction a market share of no less than 25%, when at least one other party operates in a market upstream or downstream of the aforementioned market (vertically affected markets).</w:t>
      </w:r>
    </w:p>
    <w:p>
      <w:r>
        <w:t>29. Following this approach, and based on the market shares provided by the Parties, the markets described below can be considered affected by this transaction.</w:t>
      </w:r>
    </w:p>
    <w:p>
      <w:r>
        <w:t>IV.1.1 The markets related to the production and marketing of seeds</w:t>
        <w:br/>
        <w:t>30. According to a consolidated community and national orientation, the sector related to the development, production, and marketing of seeds should be divided into distinct relevant markets based on the specific types of products for which the seeds are intended (barley, corn, wheat, durum wheat, soft wheat, rice, oats, etc.) due to the low substitutability for the final user between seeds intended for different products.</w:t>
      </w:r>
    </w:p>
    <w:p>
      <w:r>
        <w:t>31. The activity of producing and marketing seeds is articulated in different phases, vertically connected, each of which can also be carried out separately by operators who are not vertically integrated. In particular, it involves: a) the production of genetic material, called "germplasm," which in turn implies conducting basic scientific research aimed at creating the material necessary for the establishment of new seed varieties; b) the development of commercial varieties, which requires identifying, starting from the basic genetic material, the varieties that best meet commercial needs (development activity or "applied research"); c) the production, by the variety creator or its assignee, of multiplication materials (including the so-called "technical seed"), produced according to selection standards that ensure the purity of the varieties. These seed products must be officially controlled and certified; d) the actual production activity (production of the so-called "commercial seed"), consisting of the multiplication of the basic seed (an activity that is often outsourced by seed producers through specific "multiplication contracts" with farmers), as well as cleaning, treatment, packaging, and certification of the seed; e) the marketing, consisting of the distribution and sale of the final product to the first buyers, who do not necessarily correspond to the final users but can be simple distributors, such as agricultural consortia.</w:t>
      </w:r>
    </w:p>
    <w:p>
      <w:r>
        <w:t>32. Although, in some earlier precedents, the Commission has included all phases of seed production in a single relevant market, in several other cases - and in all the more recent ones - these different activities have been included at least in two distinct relevant markets, even if vertically connected: i) an upstream market, represented by the activities of establishing and marketing genetic material and licenses related to different seed varieties; ii) a downstream market, related to the production and sale of seed. This downstream market, however, as seen, includes at least three types of vertically connected activities: i) the production of technical seed, ii) the multiplication activity, carried out internally by seed companies or outsourced to agricultural companies (multiplying companies) based on multiplication contracts; iii) the marketing, that is, the sale of commercial seed to agricultural companies that grow the finished products (wheat, barley, etc.).</w:t>
      </w:r>
    </w:p>
    <w:p>
      <w:r>
        <w:t>33. From a geographical perspective, community precedents allow attributing a supranational dimension, at least equal to the territory of the European Union, to the upstream markets of the exchange and marketing of genetic material aimed at varietal selection and a national dimension to the downstream markets related to the last phases of production and marketing. In this regard, it has indeed been emphasized, on one hand, the uniformity of the competitive conditions existing in the national territory and, on the other hand, the specificity of the characteristics of demand and prices observable in each country; moreover, individual seed varieties are selected and adapted to meet the needs of each country, where there is indeed a National Variety Register.</w:t>
      </w:r>
    </w:p>
    <w:p>
      <w:r>
        <w:t>34. For the purposes of this evaluation, since the connections and overlaps between the activities of the Parties are relevant only in the downstream phases of the production and marketing of seeds, the markets affected by this transaction are those, of national dimension, of the production and sale to first buyers of seeds related to the different types of crops.</w:t>
      </w:r>
    </w:p>
    <w:p>
      <w:r>
        <w:t>IV.1.2 The markets related to the final distribution of inputs and technical means for agriculture</w:t>
        <w:br/>
        <w:t>35. Based on the Authority's precedents, the retail distribution of products, tools, and technical means for agriculture can be divided into the following relevant markets: seeds, fertilizers, animal feed, plant protection products, agricultural machinery, and equipment. These markets have been deemed to be of local dimension, coinciding with the provincial scope, as growers and small agricultural businesses tend to source within a limited territorial area close to where their production activity is located.</w:t>
      </w:r>
    </w:p>
    <w:p>
      <w:r>
        <w:t>IV.2 The effects of the transaction</w:t>
        <w:br/>
        <w:t>IV.2.1 The horizontal effects</w:t>
        <w:br/>
        <w:t>36. From a horizontal perspective, the most significant overlaps between the activities of BF and those of the Consortia are found in the markets for the production and sale of seeds, where BF, CAI, and CNE operate. Based on the data provided by the Parties, these operators hold, in the relevant markets related to the different types of seeds, the shares indicated in table no. 1.</w:t>
      </w:r>
    </w:p>
    <w:p>
      <w:r>
        <w:rPr>
          <w:b/>
        </w:rPr>
        <w:t>[Pages 43–45]</w:t>
      </w:r>
    </w:p>
    <w:p>
      <w:r>
        <w:t>BULLETIN NO. 32 OF 22 AUGUST 2022 45</w:t>
        <w:br/>
        <w:t>Tab. n. 1 – Shares in the seed markets – 2020</w:t>
        <w:br/>
        <w:t>BF - CAI of which of which of which</w:t>
        <w:br/>
        <w:t>CNE Total post</w:t>
        <w:br/>
        <w:t>brand brand brand</w:t>
        <w:br/>
        <w:t>20.3 merger</w:t>
        <w:br/>
        <w:t>own own own</w:t>
        <w:br/>
        <w:t>Durum wheat [25-30]% [10-15]% [1-5]% [1-5]% [25-30]% [15-20]%</w:t>
        <w:br/>
        <w:t>Soft wheat [30-35]% [15-20]% [1-5]% [1-5]% [35-40]% [20-25]%</w:t>
        <w:br/>
        <w:t>Barley [10-15]% [5-10]% [1-5]% [1-5]% [15-20]% [10-15]%</w:t>
        <w:br/>
        <w:t>Source: elaborations based on data provided by the Parties.</w:t>
        <w:br/>
        <w:t>37. Based on what was stated by the Parties during the notification phase, the shares would appear to be overestimated as, in the absence of official data on certified seed sales in Italy, the total volume of sales at the national level has been approximated from the data on the quantities of certified seeds from CREA16, from which sales of imported seeds, which are not certified by CREA, and sales of non-certified seeds17 are excluded. This would result in an estimate of the overall market being approximately 30% lower than its actual size, which would lead the value of the parties' shares to be, in all cases, below 30%.</w:t>
        <w:br/>
        <w:t>38. It should also be specified that, in table n.1, the overall market shares held by the Parties and those held solely with the commercially marketed own brand have been indicated separately. The difference between these values represents the production carried out by the Parties on behalf of third parties and, therefore, marketed by other seed companies, competitors of both BF and CAI and the Consortia, under their brand. These third-party seed companies are able to exert a certain degree of competitive pressure on the product marketed by the Parties under their own brand.</w:t>
        <w:br/>
        <w:t>39. As can be seen, the overlaps resulting from the operation are not particularly significant. In the two markets related to durum wheat and soft wheat, the new operator, with only sales under its own brand, would still acquire a share of less than 25%.</w:t>
        <w:br/>
        <w:t>40. In any case, even if one were to include in the market shares the quantities of seed processed on behalf of third parties, it is noted that, in the entire sector of seed production and sales, there are numerous and qualified competitors. In particular, in the two markets related to wheat seeds (durum and soft), there are other important operators, some of which belong to large international groups, including: Syngenta ([10-15]%), Limagrain Italia ([10-15]%), APSOV/Conase ([10-15]%) and R.A.G.T. Semences ([10-15]%).</w:t>
        <w:br/>
        <w:t>41. With reference to the markets for the final distribution of inputs and technical means for agriculture, the impact of the operation appears to be of little relevance, due to the substantial geographical complementarity between the activities of CAI - and therefore of the individual Consortia that currently jointly control it - and of CNE, inherent in the organization and functioning of the agricultural consortia system.</w:t>
        <w:br/>
        <w:t>16 Council for Agricultural Research and Agricultural Economics Analysis.</w:t>
        <w:br/>
        <w:t>17 Such sales, however, should be excluded from the market as they are illegal.</w:t>
      </w:r>
    </w:p>
    <w:p>
      <w:r>
        <w:t>46 BULLETIN NO. 32 OF 22 AUGUST 2022</w:t>
        <w:br/>
        <w:t>42. In these markets, moreover, there are also multinational companies that hold very strong positions worldwide and operate in Italy through their own subsidiaries and/or sales agents. Among these, for example, are the Italian subsidiaries of the Syngenta group - among the main operators worldwide in the development and production of seeds - and the Limagrain group - the fourth operator worldwide and the leader in Europe. Furthermore, all products and technical means for agriculture, including seeds, can also be purchased through wholesalers, online channels, or directly from the producing companies.</w:t>
        <w:br/>
        <w:t>43. In light of the above, it is believed that the operation is not suitable to create or strengthen a dominant position in the relevant markets.</w:t>
        <w:br/>
        <w:t>IV.2.2 The vertical effects</w:t>
        <w:br/>
        <w:t>44. The concentration operation carried out in 2020, which determined the current control structure of CAI, had already led to the establishment of a vertically integrated operator, as it is active both in the retail distribution phase of products and services for agriculture - through the activities carried out by Consortia - and in the upstream and downstream markets of seeds and agricultural products, in which BF and its subsidiaries operate. On that occasion, the Authority had excluded that the operation could produce a significant vertical restriction effect, represented by the possible foreclosure of access to competitors in the input procurement phase (upstream phase) and/or in the placement phase of products in their respective outlets (downstream phase)18.</w:t>
        <w:br/>
        <w:t>45. In particular, the Authority had considered that: i) CAI was not able to foreclose access to the distribution channels to its competitors in seed production also due to the presence of distribution channels other than "physical" sales points, such as direct distribution through its own agents, distribution through traders/intermediaries, or even through the online channel; ii) CAI had no possibility of preventing BF farmers from procuring inputs and means of production (such as seeds, feed, fertilizers, etc.) for a completely analogous reason, namely the possibility for farmers to procure such products also from the sales agents of various producers, from wholesalers, or through the online channel. Furthermore, the Authority emphasized that even the consulting, assistance, storage, and processing services provided by the Consortia for farmers are also offered by other economic entities, in addition to the agricultural organizations themselves, including, with specific reference to storage services, large marketing companies.</w:t>
        <w:br/>
        <w:t>46. Such considerations also appear to apply with reference to the present operation, all the more so as it produces, from a vertical perspective, a limited incremental impact, substantially attributable to the integration of CNE's distribution network into that of CAI, resulting in an expansion of the latter's network to some provinces where it was not previously present.</w:t>
        <w:br/>
        <w:t>47. In conclusion, it is not believed that the operation is suitable to determine significant vertical effects of restriction of competition in the relevant markets.</w:t>
        <w:br/>
        <w:t>IT IS THEREFORE CONSIDERED that the operation in question does not result, pursuant to article 6, paragraph 1, of law no. 287/90, in the establishment or strengthening of a dominant position in the relevant markets such as to eliminate or substantially and durably reduce competition;</w:t>
        <w:br/>
        <w:t>18 See C12311, cited.</w:t>
      </w:r>
    </w:p>
    <w:p>
      <w:r>
        <w:t>BULLETIN NO. 32 OF 22 AUGUST 2022 47</w:t>
        <w:br/>
        <w:t>RESOLUTION</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measure will be published in the Bulletin of the Italian Competition Authority.</w:t>
        <w:br/>
        <w:t>THE SECRETARY GENERAL THE PRESIDENT f.f.</w:t>
        <w:br/>
        <w:t>Guido Stazi Michele Ainis</w:t>
      </w:r>
    </w:p>
    <w:p>
      <w:r>
        <w:rPr>
          <w:b/>
        </w:rPr>
        <w:t>[Pages 46–48]</w:t>
      </w:r>
    </w:p>
    <w:p>
      <w:r>
        <w:t>48 BULLETIN NO. 32 OF 22 AUGUST 2022</w:t>
        <w:br/>
        <w:t>C12473 - TITAGARH GROUP - NATIONAL AGENCY FOR INVESTMENT ATTRACTION AND BUSINESS DEVELOPMENT / TITAGARH FIREMA</w:t>
        <w:br/>
        <w:t>Measure no. 30282</w:t>
        <w:br/>
        <w:t>THE ITALIAN COMPETITION AUTHORITY</w:t>
        <w:br/>
        <w:t>IN ITS MEETING of 4 August 2022;</w:t>
        <w:br/>
        <w:t>HEARD the Rapporteur Professor Michele Ainis;</w:t>
        <w:br/>
        <w:t>HAVING REGARD to the law of 10 October 1990, no. 287;</w:t>
        <w:br/>
        <w:t>HAVING REGARD to the D.P.R. of 30 April 1998, no. 217;</w:t>
        <w:br/>
        <w:t>HAVING REGARD to the communication from the National Agency for Investment Attraction and Business Development S.p.A. and from Titagarh Bridges &amp; International Private Limited, Titagarh Wagons Limited, and Shivaliks Mercantile Private Limited, received on 27 July 2022;</w:t>
        <w:br/>
        <w:t>CONSIDERING the following:</w:t>
        <w:br/>
        <w:t>I. THE PARTIES</w:t>
        <w:br/>
        <w:t>1. The National Agency for Investment Attraction and Business Development S.p.A. (Invitalia) is a government agency under Italian law, acting on behalf of the national government to enhance the competitiveness of the country and to support its strategic sectors for development, particularly engaging in financial activities aimed at the development of the Italian production system and its territorial projects. Invitalia is a company with total public participation, whose capital is entirely held by the Ministry of Economy and Finance. In 2021, Invitalia achieved a consolidated worldwide turnover of approximately [700-1,000]* million euros, entirely realized in Italy.</w:t>
        <w:br/>
        <w:t>2. The companies Titagarh Bridges &amp; International Private Limited (TBIPL), Shivaliks Mercantile Private Limited (SM), and Titagarh Wagons Limited (TWL) are part of the Titagarh group (hereinafter referred to as the Titagarh group), which is active in India in the production of rolling stock, including trains and subways, as well as in the design and manufacture of freight wagons. The Titagarh Group operates in Italy (and in Europe) exclusively through the activities of Titagarh Firema S.p.A., of which it holds 100% of the share capital. In 2021, the Titagarh group achieved a worldwide turnover of approximately [100-511] million euros, of which approximately [31-100] million euros were in the European Union, entirely realized in Italy through Firema.</w:t>
        <w:br/>
        <w:t>3. The company over which joint control will be acquired, Titagarh Firema S.p.A. (hereinafter Firema), primarily operates in the Italian market and in the segment of trains for regional service with fixed formation electric trains, fixed formation electric multiple units for Commuter services, and light and heavy subways. Firema also engages in maintenance activities, understood as a set of activities aimed at keeping rolling stock in an optimal operating state, which represents an ancillary activity to the contracts for the design and production of rolling stock. Firema also carries out re-engineering and/or refurbishment of existing rolling stock, aimed at improving the quality and/or extending the useful life of trains; however, these activities do not constitute its core business. The share capital of Target is currently owned by the Titagarh group directly (87.65%) and indirectly through the company Shivaliks Mercantile Private Limited (12.35%), which is nevertheless attributable to the same Chowdhary family that controls the Titagarh group. In 2021, Firema achieved a worldwide turnover of approximately [31-100] million euros, of which approximately [31-100] million euros were from sales in the European Union, entirely realized in Italy.</w:t>
        <w:br/>
        <w:t>II. DESCRIPTION OF THE TRANSACTION</w:t>
        <w:br/>
        <w:t>4. The notified transaction concerns the acquisition of joint control over Firema by Invitalia and the Titagarh Group. In particular, given that Firema is currently exclusively controlled by the Titagarh Group, the Transaction will involve, for the Titagarh Group, the transition from exclusive control to a situation of joint control over Firema, together with Invitalia.</w:t>
        <w:br/>
        <w:t>5. On 20 July 2022, TBIPL, SM, TWL, Invitalia, Firema, and Hawk – Eye DMCC (“Hawk”) signed an investment agreement (“Agreement”) concerning the investment by TWL, Invitalia, and Hawk in the share capital of Firema. In summary, the Transaction will be structured in two successive capital increases, the first to be subscribed by TWL, while the second will be subscribed by Invitalia and Hawk. As a result of these operations, the share capital of Firema will be divided into class A, B, C, and D shares and will be held 56.06% by the Titagarh group (TBIPL 45.15% class A shares, SM 6.36% class D shares, and TWL 4.55% class A shares), 30.3% by Invitalia (class B shares), and the remaining 13.64% by Hawk (class C shares).</w:t>
        <w:br/>
        <w:t>6. The post-transaction governance will be regulated by the Agreement and the new company bylaws, which provide for a board of directors composed of 7 members, of which 4 are appointed by the Titagarh group, 2 by Invitalia, and 1 by Hawk. Concurrently, veto rights are granted to Invitalia regarding:</w:t>
        <w:br/>
        <w:t>- any changes or additions to the business plan and the annual budget of Firema in force from time to time,</w:t>
        <w:br/>
        <w:t>- investments not expressly contemplated in the annual budget that exceed certain thresholds of relevance;</w:t>
        <w:br/>
        <w:t>- hiring personnel in managerial positions or higher with a gross annual salary exceeding a certain threshold of relevance;</w:t>
        <w:br/>
        <w:t>- entering into strategic joint venture agreements, establishing companies, or other similar operations aimed at realizing strategic entrepreneurial initiatives with third parties.</w:t>
        <w:br/>
        <w:t>7. Regarding the assembly, it is provided that it will deliberate according to the legal majorities, except for resolutions concerning certain reserved matters (including the appointment of statutory auditors and approvals of extraordinary transactions) which can only be carried out with the favorable vote of Invitalia.</w:t>
        <w:br/>
        <w:t>8. The Agreement also grants important prerogatives to Invitalia, including the appointment of significant managerial figures of Firema, which must occur in consultation with the Titagarh group, and the appointment of the Chief Restructuring Officer of Firema, who will have significant powers of participation in the governing bodies of Firema as well as control over its activities.</w:t>
        <w:br/>
        <w:t>9. From the above, it emerges that, on the one hand, the Titagarh Group (including SM) will be the main shareholder of Firema and will have the majority in the governing bodies of the company. On the other hand, Invitalia will have veto rights over the strategic decisions of Firema (e.g., changes to the budget and business plan, as well as the appointment of senior management), ensuring it joint control over Firema.</w:t>
        <w:br/>
        <w:t>III. QUALIFICATION OF THE TRANSACTION</w:t>
        <w:br/>
        <w:t>10. The notified transaction, as it involves the acquisition of joint control of a company, constitutes a concentration pursuant to article 5, paragraph 1, letter b), of law no. 287/90.</w:t>
        <w:br/>
        <w:t>11. It falls within the scope of application of law no. 287/90, as the conditions of article 1 of Regulation (EC) no. 139/04 do not apply, and is subject to the obligation of prior notification provided for by article 16, paragraph 1, of the same law, as the total turnover achieved in the last financial year at the national level by the group of interested companies was over 517 million euros and the turnover achieved individually at the national level by at least two of the interested companies was over 31 million euros.</w:t>
        <w:br/>
        <w:t>IV. ASSESSMENT OF THE CONCENTRATION</w:t>
        <w:br/>
        <w:t>The relevant market</w:t>
        <w:br/>
        <w:t>12. From a product perspective, considering the activity of the Target, the transaction concerns the markets i) for the supply of railway, tram, and trolleybus rolling stock and ii) for the maintenance services of rolling stock. Based on the Authority's precedents1, with reference to the market for the supply of railway and trolleybus rolling stock, it should be considered that in line with recent community decisions in this area2, the design and marketing of regional and intercity trains (so-called mainline rolling stock) as well as rolling stock for urban lines (metro, tram, and light rail) constitutes a distinct market compared to that of the design and marketing of high-speed trains (ranging from 250 to 299 km/h) and very high-speed trains (equal to or greater than 300 km/h). In this case, however, the exact definition of the product market can be left open as, considering the absence of overlaps with Invitalia, the assessment of the effects of the transaction would not change.</w:t>
        <w:br/>
        <w:t>13. The geographical dimension of the market for the production and marketing of rolling stock other than high-speed and very high-speed (mainline), based on the Commission's precedents3, has been deemed likely to be national in scope, while, with reference to urban lines, it has been deemed to be of supranational scope.</w:t>
        <w:br/>
        <w:t>1 Decision of the Authority of 15 March 2022, C12433 - HITACHI RAIL STS / ALSTOM BUSINESS BRANCH, in Bull. 12/2022.</w:t>
        <w:br/>
        <w:t>2 Decision of the European Commission M9779 Alstom/Bombardier Transportation.</w:t>
        <w:br/>
        <w:t>3 Decision of the European Commission M9779 Alstom/Bombardier Transportation.</w:t>
      </w:r>
    </w:p>
    <w:p>
      <w:r>
        <w:rPr>
          <w:b/>
        </w:rPr>
        <w:t>[Pages 49–51]</w:t>
      </w:r>
    </w:p>
    <w:p>
      <w:r>
        <w:t>BULLETIN NO. 32 OF 22 AUGUST 2022 51</w:t>
        <w:br/>
        <w:t>The definition of the geographic market can also be left open since, even considering the narrower definition (in this case relating to the national territory), the assessment of the effects of the transaction would not change.</w:t>
      </w:r>
    </w:p>
    <w:p>
      <w:r>
        <w:t>14. With reference to the maintenance services of rolling stock, it identifies the set of activities aimed at keeping the rolling stock in an optimal operating state, including the activities of repairing and replacing components and spare parts of trains and maintenance activities that involve an improvement in the quality and/or lifecycle of the trains. Railway transport operators can purchase maintenance services from the manufacturer of the rolling stock (so-called Original Equipment Manufacturer or OEM), perform maintenance services independently, or turn to third-party non-OEM operators. The maintenance services market could be segmented based on the type and degree of complexity of the maintenance activity (light, heavy, and improvement). In the case at hand, however, it is not necessary to arrive at an exact definition of the relevant product market, considering that the assessment of the effects of the transaction would not be influenced in any case.</w:t>
      </w:r>
    </w:p>
    <w:p>
      <w:r>
        <w:t>15. The geographic dimension of the rolling stock maintenance services market is generally national or at most coinciding with the European territory (European Economic Area, Switzerland, and the United Kingdom). The exact geographic definition of the market can, however, also in this case, be left open as it is not suitable to affect the competitive assessment of the transaction.</w:t>
      </w:r>
    </w:p>
    <w:p>
      <w:r>
        <w:t>Effects of the transaction</w:t>
        <w:br/>
        <w:t>16. In the aforementioned markets, Target holds, in both, a share not exceeding [1-5%], while Invitalia is not active either directly or indirectly in said markets nor in upstream or downstream markets. The Titagarh group, already the exclusive controller of Firema, is active only in India except for the activities of Firema.</w:t>
      </w:r>
    </w:p>
    <w:p>
      <w:r>
        <w:t>17. In light of the above, it is believed that in the reference markets, the transaction will not have adverse effects on competition, not resulting in substantial changes in the competitive structure thereof.</w:t>
      </w:r>
    </w:p>
    <w:p>
      <w:r>
        <w:t>IT IS THEREFORE CONSIDERED that the transaction in question does not result, pursuant to article 6, paragraph 1, of law no. 287/90, in the establishment or strengthening of a dominant position in the relevant market, such as to eliminate or substantially and durably reduce competition;</w:t>
      </w:r>
    </w:p>
    <w:p>
      <w:r>
        <w:t>RESOLVES</w:t>
        <w:b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52 BULLETIN NO. 32 OF 22 AUGUST 2022</w:t>
        <w:br/>
        <w:t>This measure will be published in the Bulletin of the Italian Competition Authority.</w:t>
      </w:r>
    </w:p>
    <w:p>
      <w:r>
        <w:t>THE SECRETARY GENERAL THE PRESIDENT pro tempore</w:t>
        <w:br/>
        <w:t>Guido Stazi Michele Ainis</w:t>
      </w:r>
    </w:p>
    <w:p>
      <w:r>
        <w:t>BULLETIN NO. 32 OF 22 AUGUST 2022 53</w:t>
        <w:br/>
        <w:t>C12474 - ARDIAN FRANCE-ITALIAN RENEWABLE RESOURCES/ICQ HOLDING</w:t>
        <w:br/>
        <w:t>Measure no. 30283</w:t>
        <w:br/>
        <w:t>THE ITALIAN COMPETITION AUTHORITY</w:t>
        <w:br/>
        <w:t>IN ITS MEETING of 4 August 2022;</w:t>
        <w:br/>
        <w:t>HEARD the Rapporteur Professor Elisabetta Iossa;</w:t>
        <w:br/>
        <w:t>HAVING REGARD to the law of 10 October 1990, no. 287;</w:t>
        <w:br/>
        <w:t>HAVING REGARD to the D.P.R. of 30 April 1998, no. 217;</w:t>
        <w:br/>
        <w:t>HAVING REGARD to the communication from Ardian France S.A. received on 28 July 2022;</w:t>
        <w:br/>
        <w:t>HAVING REGARD to the documentation on file;</w:t>
        <w:br/>
        <w:t>CONSIDERED the following:</w:t>
      </w:r>
    </w:p>
    <w:p>
      <w:r>
        <w:t>I. THE PARTIES</w:t>
        <w:br/>
        <w:t>1. Ardian France S.A. (“Ardian”) is a French private equity fund management company, 95.79% owned by Ardian Holding S.A.S., also established under French law. The capital of Ardian Holding S.A.S. is distributed among several shareholders, none of whom holds, individually or together with others, exclusive or joint control of the company. The Ardian Group engages in investment activities in Europe, North America, and Asia. In Italy, it is active in numerous markets, including the production of electricity from renewable sources, gas distribution, transport (air and road), health (with stakes in hospital facilities, software development companies for health services, and pharmaceutical industries), IT (with stakes in companies that develop software for industrial distribution and human resources services), and real estate. In 2021, the Ardian Group achieved a worldwide turnover of over [20-30]* billion euros, of which approximately [4-5] in Italy.</w:t>
      </w:r>
    </w:p>
    <w:p>
      <w:r>
        <w:t>2. Italian Renewable Resources S.p.A. (“IRR”) is an investment company established and managed by L&amp;B Capital S.r.l. that operates, through its controlled companies of the IRR Group, mainly in the renewable energy and energy efficiency sector. The investment strategy of IRR, primarily focused on the Italian territory, is based both on the acquisition of already operational wind and photovoltaic parks and on the development and realization of green-field photovoltaic and wind projects. The shareholding of IRR consists of 129 shareholders, none of whom has a shareholding in the share capital exceeding 12.73%. In 2021, the turnover of the IRR group was [less than one million] euros.</w:t>
      </w:r>
    </w:p>
    <w:p>
      <w:r>
        <w:t>3. ICQ Holding S.p.A. (“ICQ”) is a company active both directly and through the companies it controls, in the production of energy from wind, hydroelectric, and biogas sources in Italy. Currently, ICQ is subject to bankruptcy proceedings and is therefore the subject of a recovery plan.</w:t>
      </w:r>
    </w:p>
    <w:p>
      <w:r>
        <w:t>* In this version, some data are omitted, as elements of confidentiality or secrecy of the information were deemed to exist.</w:t>
      </w:r>
    </w:p>
    <w:p>
      <w:r>
        <w:rPr>
          <w:b/>
        </w:rPr>
        <w:t>[Pages 52–54]</w:t>
      </w:r>
    </w:p>
    <w:p>
      <w:r>
        <w:t>54 BULLETIN NO. 32 OF 22 AUGUST 2022</w:t>
        <w:br/>
        <w:t>The share capital of ICQ is held, directly and indirectly, by IRR and by a natural person. In 2021, the turnover of the ICQ Group was [31-100] million euros.</w:t>
      </w:r>
    </w:p>
    <w:p>
      <w:r>
        <w:t>II. DESCRIPTION OF THE TRANSACTION</w:t>
        <w:br/>
        <w:t>4. The communication in question concerns the acquisition of joint control over ICQ by IRR and Ardian, through the reallocation of shares already held directly or indirectly by IRR and by a natural person (who, with the transaction, exits the shareholding of ICQ). As a result of the transaction, the shares of ICQ will be held in the proportions of 42.11% and 57.89% by two vehicle companies, Gretel S.r.l. (“Gretel”) wholly owned by IRR and Grimm S.r.l. (“Grimm”) held 40% by IRR (through Gretel) and 60% by Ardian. The Board of Directors of Grimm, the company that will hold the majority of the voting rights in ICQ, will consist of three members, two appointed by Ardian (including the CEO) and one appointed by Gretel (i.e., IRR); that of ICQ will consist of five members, three appointed by Ardian (including the CEO) and two appointed by IRR (again through Gretel). Pursuant to the shareholders' agreement entered into between the Parties (JV Agreement), both Boards of Directors of Grimm and ICQ will deliberate by simple majority, but for certain matters of strategic importance (including the approval, revision and/or modification of budgets and industrial plans, extraordinary operations, hiring of executives, purchase and/or disposal of assets and/or business units and/or shareholdings, relations with related parties, incurring debt beyond a certain threshold) a veto right will be granted to IRR (through Gretel), as the relevant resolution can only be validly adopted with the favorable vote of one of the directors designated by Gretel, namely by IRR. Therefore, both on the vehicle company Grimm and, ultimately, on ICQ, the Parties Ardian and IRR will hold joint control.</w:t>
      </w:r>
    </w:p>
    <w:p>
      <w:r>
        <w:t>III. QUALIFICATION OF THE TRANSACTION</w:t>
        <w:br/>
        <w:t>5. The notified transaction, as it involves the acquisition of joint control over a company, constitutes a concentration pursuant to article 5, paragraph 1 letter b), of law no. 287/90. It falls within the scope of application of law no. 287/90 as the conditions set out in article 1 of Regulation EC 139/04 do not apply, and it is subject to the obligation of prior notification provided for by article 16, paragraph 1, of the same law as the total turnover achieved, in the last financial year at the national level, by the group of companies involved was over 517 million euros and the total turnover achieved individually, in the last financial year at the national level, by at least two of the companies involved was over 31 million euros.</w:t>
      </w:r>
    </w:p>
    <w:p>
      <w:r>
        <w:t>IV. ASSESSMENT OF THE CONCENTRATION</w:t>
        <w:br/>
        <w:t>The relevant markets and the effects of the Transaction</w:t>
        <w:br/>
        <w:t>6. Due to the activities of the companies involved, the markets affected by the Transaction are: i) the market for the production and wholesale supply of electricity; ii) the market for the production and marketing of guarantees of origin.</w:t>
      </w:r>
    </w:p>
    <w:p>
      <w:r>
        <w:t>BULLETIN NO. 32 OF 22 AUGUST 2022 55</w:t>
        <w:br/>
        <w:t>i. The market for the production and wholesale supply of electricity</w:t>
        <w:br/>
        <w:t>7. According to the Authority's decision-making practice, this market includes both the production and wholesale supply of electricity, regardless of the source of production. The market for the production and wholesale supply of electricity includes both forward transactions and spot transactions (so-called “day-ahead market - MGP” and “intraday market - MI”) concluded through the platforms managed by the Energy Market Operator S.p.A. (“GME”), as well as bilateral contracts (so-called “over-the-counter”, “OTC”).</w:t>
      </w:r>
    </w:p>
    <w:p>
      <w:r>
        <w:t>8. As for the geographical dimension of this market, in the Authority's practice, it is considered supra-regional. More specifically, due to the macro-network constraints that, under certain circumstances, can lead to the separation of the market into different zones, characterized by different equilibrium prices on the MGP, the Authority in its practice identifies four macro-areas constituting four distinct geographical markets: macro-area North, macro-area South, macro-area Sicily, and macro-area Sardinia. In light of the location of the plants belonging to the Target Company, the latter is predominantly active in this market in the macro-area South, outside of which it holds only one plant (in the macro-area North). The companies that will hold joint control over the target are also predominantly active in the macro-area South, with the exception for Ardian of a single plant in the macro-area Sicily and one in the macro-area Sardinia, and for IRR of a single plant in the macro-area North and one in the macro-area Sardinia.</w:t>
      </w:r>
    </w:p>
    <w:p>
      <w:r>
        <w:t>9. The transaction therefore concerns the market for the production and wholesale supply of electricity in the macro-area South. Based on what has been communicated, the total activities of the Parties in this market in 2021 do not reach [1-5%] of the total in terms of volumes sold. The transaction therefore is not likely to have significant effects on the market in question, on which numerous other qualified operators are active.</w:t>
      </w:r>
    </w:p>
    <w:p>
      <w:r>
        <w:t>ii. The market for the production and marketing of guarantees of origin</w:t>
        <w:br/>
        <w:t>10. The Guarantee of Origin (GO) is a certification that certifies the origin from renewable sources of the energy produced by plants qualified as “guarantee of origin plants” (IGO). The quantity of GOs that an operator can hold is proportional to the amount of renewable energy it has injected into the market. The certificates are issued monthly and expire one year after the production of the electricity to which they refer. They serve to prove to the final consumer that a certain amount of the energy purchased has been produced from renewable sources.</w:t>
      </w:r>
    </w:p>
    <w:p>
      <w:r>
        <w:t>11. GOs are certificates that can be transferred separately from the energy for which they were issued. They can therefore be traded in the venues provided by the GSE or be subject to free negotiation. As for the geographical breadth of this market, in a previous measure, the European Commission did not exclude a euro-unitary dimension. The Authority, for its part, in a previous decision has left open the definition of a market of euro-unitary or national breadth. Even in this case, the definition can be left open, as this element does not change the outcome of the assessment. In particular, even limiting the analysis to the national scope alone, the Transaction does not appear likely to establish or strengthen a dominant position, as the sales of the Parties represent a completely negligible share of the total market value.</w:t>
      </w:r>
    </w:p>
    <w:p>
      <w:r>
        <w:t>12. In light of all the considerations that precede, the concentration in question does not appear likely to establish or strengthen a dominant position or to significantly alter the conditions of competition in the relevant markets.</w:t>
      </w:r>
    </w:p>
    <w:p>
      <w:r>
        <w:t>THEREFORE, IT IS CONSIDERED that the transaction in question does not entail, pursuant to article 6, paragraph 1, of law no. 287/90, the establishment or strengthening of a dominant position in the relevant markets, such as to eliminate or substantially and durably reduce competition;</w:t>
      </w:r>
    </w:p>
    <w:p>
      <w:r>
        <w:t>RESOLVES</w:t>
        <w:b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measure will be published in the Bulletin of the Italian Competition Authority.</w:t>
      </w:r>
    </w:p>
    <w:p>
      <w:r>
        <w:t>THE SECRETARY GENERAL THE PRESIDENT pro tempore</w:t>
        <w:br/>
        <w:t>Guido Stazi Michele Ainis</w:t>
      </w:r>
    </w:p>
    <w:p>
      <w:r>
        <w:rPr>
          <w:b/>
        </w:rPr>
        <w:t>[Pages 55–57]</w:t>
      </w:r>
    </w:p>
    <w:p>
      <w:r>
        <w:t>BULLETIN NO. 32 OF 22 AUGUST 2022 57</w:t>
        <w:br/>
        <w:t>REPORTING AND CONSULTATIVE ACTIVITIES</w:t>
        <w:br/>
        <w:t>AS1850 – CITY OF FLORENCE - ABSENCE OF PUBLIC EVIDENCE PROCEDURES FOR URBAN TRANSPORT SERVICES FOR TOURISM PURPOSES</w:t>
        <w:br/>
        <w:t>Rome, 5 August 2022</w:t>
        <w:br/>
        <w:t>City of Florence</w:t>
        <w:br/>
        <w:t>The Italian Competition Authority received, on 22 March 2022, a report concerning alleged distortions of competition attributable to a denial by this Administration to issue a new authorization for the provision of a public tourist transport service concerning the historic center of the city, on the grounds of the incompatibility of said authorization with the provisions of Municipal Resolution no. 2009/C/00049, concerning "Local public transport service issuance of authorizations pursuant to article 14 of LR 42/98 and subsequent amendments."</w:t>
      </w:r>
    </w:p>
    <w:p>
      <w:r>
        <w:t>In this regard, at its meeting on 4 August 2022, the Authority decided to formulate some observations, pursuant to article 21 of law no. 287/90, specifically regarding the competition issues arising from the lack of provision and adoption of public evidence procedures for the assignment of authorizations for the provision of urban transport services for tourism purposes. The considerations set forth below, in particular, aim to reiterate and supplement what has already been expressed by the Authority on the same topic in its report of 2013 AS10761, in light of the continued validity of the aforementioned regulatory provisions and the consequent aggravation of the competitive issues connected to them.</w:t>
      </w:r>
    </w:p>
    <w:p>
      <w:r>
        <w:t>Municipal Resolution no. 49/2009 adopted by the City of Florence, still in force, aims to regulate the issuance of authorizations for the provision of urban transport services for tourism purposes and to determine their related number. It specifically provides for the need to "limit the number of authorized lines within the historic center of the city to a maximum of three lines with a minimum interval of passages less than or equal to 90 minutes and three lines with a minimum interval greater than 90 minutes," and has stipulated that the issuance of these authorizations must occur "in the chronological order of receipt" of the requests, mandating the Mobility Directorate of the City to proceed with the issuance of the same until the above-mentioned limit is reached.</w:t>
      </w:r>
    </w:p>
    <w:p>
      <w:r>
        <w:t>The resolution also provided, pending the approval of the regulation referred to in article 14 of LR 42/98, that the duration of the new authorizations issued would be four years, extendable for one year "at the indisputable judgment of the A.C."</w:t>
      </w:r>
    </w:p>
    <w:p>
      <w:r>
        <w:t>In this regard, it should be noted, first of all, that the very need to limit the number of operators authorized to provide the service, albeit for public interest reasons related to the safeguarding of the environment and the artistic-cultural heritage, makes a prior and periodic comparative discussion among all interested operators necessary, which can only be guaranteed by the provision of transparent and non-discriminatory procedures for the assignment of the authorizations themselves and by a limited duration of the same.</w:t>
      </w:r>
    </w:p>
    <w:p>
      <w:r>
        <w:t>In particular, as already emphasized in the 2013 report, the sole chronological criterion in the assignment of authorizations, provided for by the aforementioned resolution, does not allow for any weighting and comparison of the characteristics of the subjects interested in offering the service - in terms of efficiency, environmental impact of the activity performed, consumer satisfaction, etc. - suitable for selecting the operators who are better able to carry out such activity.</w:t>
      </w:r>
    </w:p>
    <w:p>
      <w:r>
        <w:t>Moreover, since the resolution intervened to establish a maximum number of authorizations that can be issued, which, in fact, is exactly equal to the number already issued, it has not allowed any new interested operators to compete for the assignment, even based on the selection criterion chosen by the Administration - namely the chronological one - which is nonetheless inadequate for making a comparison.</w:t>
      </w:r>
    </w:p>
    <w:p>
      <w:r>
        <w:t>Secondly, the fact that the subjects currently providing the "city tour" service in the City of Florence were authorized before the 2009 resolution effectively renders the provision of that resolution limiting the duration of new authorizations to 4 years ineffective. In fact, it appears that the authorizations issued before the enactment of that resolution had an unlimited duration, without the need to be renewed annually.</w:t>
      </w:r>
    </w:p>
    <w:p>
      <w:r>
        <w:t>The combined provisions of the regulations introduced by Resolution no. 49/09 have resulted in the market structure of the transport sector being crystallized over the last 13 years, in terms of the number and identity of the operators present, without any possibility for other interested companies to compete in any way in the market or for access to the market itself.</w:t>
      </w:r>
    </w:p>
    <w:p>
      <w:r>
        <w:t>This appears to be in open contrast to all the principles underlying the regulations concerning local public transport - which also includes the "authorized transport" provided for by Tuscan Regional Law no. 42/1998 - which aim to ensure maximum use of competitive procedures and logic in the awarding and management of transport services. In particular, where, for reasons related to the characteristics of the service, full competition "in the market" cannot be ensured, the current regulations - the cornerstones of which are Legislative Decree no. 422/1997 and Regulation (EC) no. 1370/2007 - provide for the adoption of a management model based on competition "for the market" realized through the tool of competitive procedure.</w:t>
      </w:r>
    </w:p>
    <w:p>
      <w:r>
        <w:t>On this point, it should also be noted that, at the moment when "authorized services" - operated by companies active in the free market - become subject to limitation, the distinction between this category of services and that of "scheduled services," for which the regulation provides for a awarding regime through competitive or economic procedures, becomes less clear. In such circumstances, in fact, the authorization procedure - which, by its nature, should consist of a mere technical verification of the existence of the requirements required of the entrepreneur for the exercise of the activity - essentially acquires the significance of a selective procedure for the awarding of the few available authorizations. This procedure, therefore, should also be based on criteria of publicity, non-discrimination, and transparency.</w:t>
      </w:r>
    </w:p>
    <w:p>
      <w:r>
        <w:t>In reference to what has been stated, it is worth emphasizing that Directive 2006/123/EC (the so-called Bolkestein Directive), transposed in Italy by Legislative Decree no. 59/2010, although not directly concerning services in the transport sector, provides clear indications regarding the necessity, in the presence of a maximum limit of authorizations that can be issued, to favor public evidence procedures for selecting the operators to whom the provision of the service should be allowed. In particular, this directive establishes that "In cases where the number of available authorizations for a particular service activity is limited for reasons related to the scarcity of natural resources or available technical capacities, the competent authorities apply a selection procedure among potential candidates and ensure the pre-determination and publication, in the forms provided for by their regulations, of the criteria and methods aimed at ensuring impartiality, to which they must adhere […] In cases referred to in paragraph 1, the authorization is issued for a limited duration and cannot be automatically renewed, nor can advantages be granted to the outgoing provider or to other persons, even if justified by particular ties with the former."</w:t>
      </w:r>
    </w:p>
    <w:p>
      <w:r>
        <w:t>The Authority therefore invites the addressed Administration to carry out a review of the entire system regulating the management of authorized transport services, particularly that of the "city tour," reassessing the actual necessity and adequacy of the current limitation in force and providing, in any case, for a maximum duration of the authorizations that can be issued, as well as their periodic reallocation through open competitive procedures and public evidence, allowing for a comparative and non-discriminatory comparison among all subjects interested in providing such services.</w:t>
      </w:r>
    </w:p>
    <w:p>
      <w:r>
        <w:t>The Authority invites this Municipality to communicate, within 30 days from the receipt of this report, the initiatives taken to remove the aforementioned competition violations.</w:t>
      </w:r>
    </w:p>
    <w:p>
      <w:r>
        <w:t>This report will be published in the Bulletin of the Italian Competition Authority.</w:t>
        <w:br/>
        <w:t>THE PRESIDENT f.f.</w:t>
        <w:br/>
        <w:t>Michele Ainis</w:t>
        <w:br/>
        <w:t>2 See article 16, paragraphs 1 and 4 of Legislative Decree no. 59/2010.</w:t>
      </w:r>
    </w:p>
    <w:p>
      <w:r>
        <w:rPr>
          <w:b/>
        </w:rPr>
        <w:t>[Pages 58–60]</w:t>
      </w:r>
    </w:p>
    <w:p>
      <w:r>
        <w:t>60 BULLETIN NO. 32 OF 22 AUGUST 2022</w:t>
        <w:br/>
        <w:t>AS1851 - MUNICIPALITY OF COSENZA - CALL FOR TENDER FOR THE ASSIGNMENT OF</w:t>
        <w:br/>
        <w:t>NOTIFICATION SERVICES OF JUDICIAL ACTS AND LOCAL POLICE ACTS</w:t>
        <w:br/>
        <w:t>Rome, 8 August 2022</w:t>
        <w:br/>
        <w:t>Municipality of Cosenza</w:t>
        <w:br/>
        <w:t>The Italian Competition Authority, in its meeting of 4 August 2022, resolved to transmit a report, pursuant to Article 21 of Law 10 October 1990, no. 287, regarding the call for tender issued by the Municipality of Cosenza for the contract of the “postal notification service of judicial acts – pursuant to Law no. 890/1982 and subsequent amendments – and related communications of violations of the highway code – pursuant to Article 201 of Legislative Decree no. 285/1992 – of violations of municipal regulations and ordinances and of laws and regulations under the jurisdiction of the local police,” published in the Official Gazette on 27 May 2022.</w:t>
      </w:r>
    </w:p>
    <w:p>
      <w:r>
        <w:t>In particular, the act in question, with which the contracting authority has defined the methods and conditions for participation in the tender procedure in question as well as the applicable evaluation criteria, seems to present some aspects that could potentially conflict with the principles of free competition, equal treatment, and non-discrimination among economic operators.</w:t>
      </w:r>
    </w:p>
    <w:p>
      <w:r>
        <w:t>First of all, the provision of a single territorial lot, which is also national, appears contrary to the favor of the European and Italian legislator for the division of the contract into lots, given the need, from a competition protection perspective, to facilitate access to the market for small and medium-sized enterprises, also through a reduction in the value of contracts aimed at encouraging participation in tender procedures by smaller operators. In particular, Article 51, paragraph 1, of Legislative Decree no. 50/2016, which provides for a general obligation of separation into lots for contracting authorities, constitutes a specific declination of the principles of competition, non-discrimination, equal treatment, publicity, and transparency that inform the community and national legislation on public procurement and, as such, represents a further expression of the favor participationis, which cannot be unjustifiably limited.</w:t>
      </w:r>
    </w:p>
    <w:p>
      <w:r>
        <w:t>If the provision of a single lot for an assignment covering the entire national territory already appears particularly problematic in itself, the potential harm to competition is further reinforced in this case, considering the long duration of the assignment, equal to 5 years, also considering that this is a tender for the assignment of services; such duration does not appear, in essence, sufficiently congruous or in line with the good practices observed in procedures related to the assignment of postal services.</w:t>
      </w:r>
    </w:p>
    <w:p>
      <w:r>
        <w:t>Moreover, the provision of a single national lot has also led to the requirement by this contracting authority for the possession of a special individual license of type A1, which enables national notifications, instead of an A2 license valid for the territory of the Calabria Region.</w:t>
      </w:r>
    </w:p>
    <w:p>
      <w:r>
        <w:t>In this regard, the Authority also believes that the requirement for possession of a special individual license of type A, requested as part of the eligibility requirements necessary to participate in the tender, as provided for by Article 7.7 of the Tender Regulations, is excessive and constitutes a breach of the favor participationis due to the fact that the acts subject to postal notification do not constitute judicial acts in the strict sense or acts that are actually attributable/assimilable to them, as they pertain to administrative procedures, which can be classified in some cases as administrative impositions, that do not originate from civil, criminal, and administrative judicial authorities. From a competition protection perspective, it would therefore be preferable for the requirement of possession of a special individual license of type A to be requested exclusively by contracting authorities only for those acts that are expressly qualifying as judicial acts in the strict sense or acts attributable/assimilable to judicial acts. It follows that with respect to the acts subject to the tender in question, both types of special individual licenses (type A and B) should be provided as necessary eligibility requirements for participation in the tender, in order to guarantee the maximum possible degree of favor participationis.</w:t>
      </w:r>
    </w:p>
    <w:p>
      <w:r>
        <w:t>As can be seen from the list available on the MISE website (data updated as of 15 June 2022), there are currently several operators with a special individual license for local areas of type A2 - judicial acts and violations or of type B2 - violations, and specifically for Calabria, there are 2 operators that possess an A2 license: Fulmine and Integraa S.r.l. There are also operators who already hold a special individual license for national areas of type:</w:t>
        <w:br/>
        <w:t>- A1, such as Nexive Network S.r.l., now acquired by Poste Italiane S.p.A. and Citypost S.p.A., in addition to Poste Italiane S.p.A., in its capacity as a universal service provider, and</w:t>
        <w:br/>
        <w:t>- B1, such as Fulmine and Post &amp; Service Group Rete Soggetto.</w:t>
      </w:r>
    </w:p>
    <w:p>
      <w:r>
        <w:t>Therefore, a division into lots and the provision for the possession of a type B individual license for the acts to be notified would have allowed the participation of other postal operators with special individual licenses of type A2 and type B1 and B2. More precisely, it would have been appropriate for the tender design to provide for the following territorial division of the lots: a Lot 1, which would concern the Calabria Region and a Lot 2, which would concern the remaining Regions, providing as eligibility requirements:</w:t>
        <w:br/>
        <w:t>a. for Lot 1: possession of a special individual license of type A2 or B2, valid in the Calabria Region, or possession of a special individual license of type A1 or B1, with national validity, or alternatively possession of the qualification of “universal service provider”;</w:t>
        <w:br/>
        <w:t>b. for Lot 2: possession of a special individual license of type A1 or B1, with national validity, or possession of the qualification of “universal service provider”.</w:t>
      </w:r>
    </w:p>
    <w:p>
      <w:r>
        <w:t>With this territorial division of the lots and this identification of the eligibility requirements requested for them, the participation of Fulmine and Integraa S.r.l., with respect to Lot 1, which possess the special individual license of type A2, valid in the Calabria Region, and the participation of Fulmine and Post &amp; Service Group Rete Soggetto, which possess the special individual license of type B1, with national validity, with respect to both the aforementioned lots: Lot 1 and Lot 2, would therefore have been guaranteed.</w:t>
      </w:r>
    </w:p>
    <w:p>
      <w:r>
        <w:t>Furthermore, it should be noted that, since this is a single lot tender extended to the entire national territory, the provisions regarding geographical coverage, contained in Article 7.7 of the Tender Regulations, referring to a coverage of 70% over the entire national territory, favor operators who can boast a widespread territorial coverage, thus causing further harm to the proper unfolding of competitive dynamics in the conduct of the tender procedure by not allowing the widest participation. This is because only very few economic operators, specifically those particularly structured like the Universal Service Provider, can guarantee a widespread territorial coverage.</w:t>
      </w:r>
    </w:p>
    <w:p>
      <w:r>
        <w:t>Moreover, the provision contained in Article 7.6, letter b), of the Tender Regulations, regarding participation, of requirements for economic and financial capacity of uncommon possession, is contestable, as a specific average annual turnover in the notification service sector is required for the last three financial years when, in fact, the process of liberalization of the postal notification market has just recently completed its course.</w:t>
      </w:r>
    </w:p>
    <w:p>
      <w:r>
        <w:t>In fact, only in 2020/2021 did the process of liberalization in question conclude, with the following occurring: i) the issuance to various postal operators of special individual licenses that allow the performance of postal notifications of judicial acts and violations of the Highway Code both at the national and regional levels and ii) the qualification, in accordance with the Guidelines for training courses for personnel involved in postal notifications of judicial acts and violations of the Highway Code from the Ministry of Justice, of the personnel of these postal operators.</w:t>
      </w:r>
    </w:p>
    <w:p>
      <w:r>
        <w:t>Therefore, requiring in 2022 a specific average annual turnover in the notification service sector for the last three financial years does not allow participation in the tender since in 2019 there were no alternative postal operators to Poste Italiane S.p.A., holders of a special individual license, who had qualified personnel following the completion and passing of the relevant training courses and who could therefore carry out postal notifications of judicial acts and violations of the Highway Code in the national territory or in regional territories.</w:t>
      </w:r>
    </w:p>
    <w:p>
      <w:r>
        <w:t>Finally, in the Authority's opinion, the valuation of the points of retention in addition to those provided for in Annex 4 of Resolution no. 77/18/CONS, among the criteria for the allocation of technical scores, appears harmful to competition and the favor participationis, without providing for a valuation of alternative delivery methods compared to the points of retention in question.</w:t>
      </w:r>
    </w:p>
    <w:p>
      <w:r>
        <w:t>In fact, such valuation can determine a disproportionate competitive advantage in favor of Poste Italiane, benefiting it, as the incumbent operator, in a manner that cannot be replicated by competitors. The widespread nature of Poste Italiane's network, attributable both to historical reasons and to its nature as a Universal Service Provider, is indeed unmatched, particularly with regard to the points of retention of undelivered mail.</w:t>
      </w:r>
    </w:p>
    <w:p>
      <w:r>
        <w:t>Moreover, it should be emphasized that the points of retention are not a quality element of the service but an indicator of poor efficiency in the delivery phase to the recipient that has not been successful and necessitates the existence of a backup network constituted by the points of retention. Therefore, the choice of this contracting authority to give importance only to this request, which, as already noted above, appears suitable instead to favor the dominant operator to the detriment of its competitors, appears questionable.</w:t>
      </w:r>
    </w:p>
    <w:p>
      <w:r>
        <w:rPr>
          <w:b/>
        </w:rPr>
        <w:t>[Pages 61–63]</w:t>
      </w:r>
    </w:p>
    <w:p>
      <w:r>
        <w:t>BULLETIN NO. 32 OF 22 AUGUST 2022 63</w:t>
        <w:br/>
        <w:t>Furthermore, regarding the use of only the points of rest, it is highlighted that this Contracting Authority could have foreseen the possibility for economic operators to request access to the points of rest of the Universal Service Provider, distributed uniformly across the territory, as per measure no. 6 of provision no. 28497 of 22 December 2020 of the Authority, also in light of subsequent amendments and integrations by AGCOM with Resolution no. 171/22/CONS of 30 May 2022.</w:t>
      </w:r>
    </w:p>
    <w:p>
      <w:r>
        <w:t>Moreover, this Contracting Authority should have requested, in addition to the points of rest, alternative delivery methods as expressly indicated in Article 9 of the new ANAC-AGCOM Guidelines for the awarding of public contracts for postal services1, e.g. multiple deliveries, delivery by appointment, agreements with commercial establishments, attributing equal importance to the points of rest and the alternative delivery methods in question.</w:t>
      </w:r>
    </w:p>
    <w:p>
      <w:r>
        <w:t>Overall, the Authority therefore believes that the provisions of the lex specialis, particularly regarding the set of elements highlighted above, insofar as they significantly and unjustifiably hinder broader participation in the procedure, are likely to conflict with the principles of free competition, equal treatment, and non-discrimination among economic operators, contrary to the competitive principles set forth in Article 41 of the Constitution and Articles 49 and 56 of the TFEU, as well as with the European principles regarding public procurement established by Article 30 and Article 51 of Legislative Decree no. 50/2016.</w:t>
      </w:r>
    </w:p>
    <w:p>
      <w:r>
        <w:t>In conclusion, in light of the above considerations, the Authority hopes that this Contracting Authority will adopt corrective measures suitable for restoring the correct competitive dynamics regarding the awarding of the contract for the "notification service by post of judicial acts – pursuant to law no. 890/1982 and subsequent amendments – and related communications, of violations of the highway code – pursuant to Article 201 of Legislative Decree no. 285/1992 – of violations of municipal regulations and ordinances and of the laws and regulations under the jurisdiction of the local police."</w:t>
      </w:r>
    </w:p>
    <w:p>
      <w:r>
        <w:t>The Authority also invites this Contracting Authority to communicate, within thirty days from the receipt of this report, the initiatives taken regarding what has been highlighted therein.</w:t>
      </w:r>
    </w:p>
    <w:p>
      <w:r>
        <w:t>This report will be published in the Bulletin of the Italian Competition Authority.</w:t>
      </w:r>
    </w:p>
    <w:p>
      <w:r>
        <w:t>THE PRESIDENT pro tempore</w:t>
        <w:br/>
        <w:t>Michele Ainis</w:t>
        <w:br/>
        <w:t>1 Guidelines number 16 ANAC-AGCOM for the awarding of public contracts for postal services, approved with ANAC Resolution no. 185 of 13/4/2022 and AGCOM Resolution no. 116/22/CONS of 13/4/2022.</w:t>
      </w:r>
    </w:p>
    <w:p>
      <w:r>
        <w:t>64 BULLETIN NO. 32 OF 22 AUGUST 2022</w:t>
        <w:br/>
        <w:t>AS1852 – VARIOUS ITALIAN MUNICIPALITIES - PUBLIC NOTICES FOR SCOOTER SHARING SERVICES</w:t>
        <w:br/>
        <w:t>Rome, 8 August 2022</w:t>
        <w:br/>
        <w:t>Municipality of Turin</w:t>
        <w:br/>
        <w:t>Municipality of Milan</w:t>
        <w:br/>
        <w:t>Municipality of Florence</w:t>
        <w:br/>
        <w:t>Municipality of Lecce</w:t>
        <w:br/>
        <w:t>Municipality of Genoa</w:t>
        <w:br/>
        <w:t>Municipality of Bari</w:t>
        <w:br/>
        <w:t>Municipality of Parma</w:t>
        <w:br/>
        <w:t>Metropolitan City of Turin</w:t>
        <w:br/>
        <w:t>National Association of Italian Municipalities</w:t>
        <w:br/>
        <w:t>(ANCI)</w:t>
      </w:r>
    </w:p>
    <w:p>
      <w:r>
        <w:t>The Italian Competition Authority, in its meeting of 4 August 2022, deemed it appropriate to make some considerations, pursuant to Article 21 of Law 10 October 1990, no. 287 regarding the competitive criticalities arising from the public notices for the identification of operators interested in providing free-flowing shared mobility services, with particular reference to services with electric scooters, prepared by the Municipalities of Milan in 20191, Turin in 2019 (modified in 2021)2, Florence and Lecce in 20203, as well as by the Metropolitan City of Turin4 and, more recently, by the Municipalities of Genoa5, Bari6, and Parma7. This report is also transmitted to ANCI for dissemination to its members.</w:t>
      </w:r>
    </w:p>
    <w:p>
      <w:r>
        <w:t>The aforementioned Notices contain provisions that, at present, do not allow economic operators offering three-wheeled L2e category scooters, exempt by law from the obligation of wearing a protective helmet, to submit an expression of interest for the provision of scooter sharing services in their respective municipal territories.</w:t>
      </w:r>
    </w:p>
    <w:p>
      <w:r>
        <w:t>In fact, these Notices prescribe in almost identical terms that: "scooter sharing services must be provided with a fleet of vehicles powered exclusively by electricity consisting of means of transport designated for the transport of persons, with two or three wheels classified as: mopeds (cat. L1Be), motorcycles (cat. L3e-a1 and L3e-a2), tricycles (cat. L5eA) and excluding tricycles with bodywork and non-tilting)." Similarly, among the minimum service standards, they prescribe that: "all vehicles must contain within them a courtesy helmet for the driver."</w:t>
      </w:r>
    </w:p>
    <w:p>
      <w:r>
        <w:t>The Authority observes that sharing services (car, bike, scooter, etc.) have evolved with the emergence of multiple overlapping fleets within a municipal territory and can therefore be operated simultaneously by multiple authorized companies in a free market regime, and cannot therefore be subjected to unjustified or discriminatory limitations.</w:t>
      </w:r>
    </w:p>
    <w:p>
      <w:r>
        <w:t>The provisions subject to this report appear to restrict competition as they implement a reduction of the offer in the market through unjustified discrimination against operators who have opted for this technological solution (L2e category scooters)8, causing harm to users in terms of limiting access to innovative mobility services.</w:t>
      </w:r>
    </w:p>
    <w:p>
      <w:r>
        <w:t>The competitive prejudice for operators who have L2e type vehicles in their fleet is particularly significant also considering the duration of the notices. In fact, it has emerged that the Notices from the municipalities consulted by the Authority have a duration of no less than 4 years (Municipality of Florence), up to a maximum of 8 years (Municipality of Milan).</w:t>
      </w:r>
    </w:p>
    <w:p>
      <w:r>
        <w:t>Nor does the resulting restriction appear to be justified by reasons of regulatory, technical, or safety order. In fact, on the one hand, as clarified by the Decree of the Ministry of Infrastructure and Transport of 31 January 20039, three-wheeled vehicles (category L2e) are classifiable, like vehicles of category (L1e), as mopeds, a classification also confirmed in the aforementioned</w:t>
      </w:r>
    </w:p>
    <w:p>
      <w:r>
        <w:t>5 See "PUBLIC NOTICE FOR THE IDENTIFICATION OF OPERATORS INTERESTED IN PROVIDING SHARED SCOOTER SERVICES (SCOOTER SHARING) POWERED BY ELECTRICITY IN THE TERRITORY OF THE MUNICIPALITY OF GENOA," of 17.06.2022.</w:t>
        <w:br/>
        <w:t>6 See "PUBLIC NOTICE FOR THE EXPRESSION OF INTEREST AIMED AT IDENTIFYING SUBJECTS INTERESTED IN PROVIDING CAR AND SCOOTER SHARING SERVICES," May 2022.</w:t>
        <w:br/>
        <w:t>7 See "PUBLIC NOTICE FOR THE IDENTIFICATION OF OPERATORS INTERESTED IN PROVIDING THE EXPERIMENTAL SERVICE OF ELECTRIC SCOOTER RENTAL (MOPEDS) PROVIDED THEY ARE HOMOLOGATED, IN FREE FLOATING SHARING MODE IN THE MUNICIPAL TERRITORY" of 15.04.2022.</w:t>
        <w:br/>
        <w:t>8 See Article 47, paragraph 2, letter a), second line, of Legislative Decree 285/1992 (new Highway Code), or L2e-p according to the indication of EU Regulation 168/2013 of the European Parliament and of the Council of 15 January 2013 concerning the approval and market surveillance of two or three-wheeled motor vehicles and quadricycles.</w:t>
        <w:br/>
        <w:t>9 "Implementation of Directive 2002/24/EC of the European Parliament and of the Council of 18 March 2002, concerning the approval of two or three-wheeled motor vehicles and repealing Directive 92/61/EEC of the Council. (Text relevant for the purposes of the European Economic Area)."</w:t>
      </w:r>
    </w:p>
    <w:p>
      <w:r>
        <w:rPr>
          <w:b/>
        </w:rPr>
        <w:t>[Pages 64–66]</w:t>
      </w:r>
    </w:p>
    <w:p>
      <w:r>
        <w:t>66 BULLETIN NO. 32 OF 22 AUGUST 2022</w:t>
        <w:br/>
        <w:t>EU Regulation 168/201310. On the other hand, the provision that imposes the obligation to wear a helmet does not duly consider that, pursuant to Article 171, paragraph 1-bis, Legislative Decree 285/1992, drivers and passengers of mopeds "equipped with a crash-proof safety cell, as well as with restraint systems and devices designed to ensure the use of the vehicle in safety conditions, according to the provisions of the regulation"11 are exempt from the obligation to wear a helmet.</w:t>
      </w:r>
    </w:p>
    <w:p>
      <w:r>
        <w:t>In no case, moreover, have the municipal administrations - in responding to this Authority's request for information - demonstrated, with reference to the category of vehicles in question, the existence of any peculiarities and, therefore, the reasons that would prevent their circulation and, thus, their use by users.</w:t>
      </w:r>
    </w:p>
    <w:p>
      <w:r>
        <w:t>On the contrary, the Municipality of Milan - which is one of the administrations that first initiated this type of service and to which other municipalities have also referred in drafting their Notices, through the almost identical adoption of clauses relating to "permitted vehicles" - in including in its Notice, during the Clarifications, the vehicles falling within category L2e, has recognized the absence of a real rationale and/or public interest need regarding the clauses under discussion.</w:t>
      </w:r>
    </w:p>
    <w:p>
      <w:r>
        <w:t>Lastly, it should be noted that in the territory of the Municipality of Rome, these vehicles are regularly used for the provision of sharing services.</w:t>
      </w:r>
    </w:p>
    <w:p>
      <w:r>
        <w:t>In order to allow the correct conduct of competitive dynamics in the offering of scooter sharing services, the Authority - also in light of the availability demonstrated by the consulted municipalities - invites the addressed administrations to carry out a timely review/correction of their respective Notices, in particular: a) allowing the possibility of authorizing fleets of vehicles of category L2e; b) not requiring the necessity of a courtesy helmet for this type of vehicle, for which the conditions of Article 171, paragraph 1-bis, Legislative Decree 285/1992 apply.</w:t>
      </w:r>
    </w:p>
    <w:p>
      <w:r>
        <w:t>The Authority invites the addressed administrations to communicate, within 30 days from the receipt of this notification, the initiatives taken to remove the aforementioned competition violations.</w:t>
      </w:r>
    </w:p>
    <w:p>
      <w:r>
        <w:t>This notification will be published in the Bulletin of the Italian Competition Authority.</w:t>
      </w:r>
    </w:p>
    <w:p>
      <w:r>
        <w:t>THE PRESIDENT pro tempore</w:t>
        <w:br/>
        <w:t>Michele Ainis</w:t>
      </w:r>
    </w:p>
    <w:p>
      <w:r>
        <w:t>10 Moreover, all the notices analyzed admit the category of tricycles (L5eA), highlighting a disparity of treatment even within the commercial segment of three-wheeled vehicles, as it is allowed to propose fleets composed of tricycles but not of three-wheeled mopeds.</w:t>
      </w:r>
    </w:p>
    <w:p>
      <w:r>
        <w:t>11 L2e vehicles have stability characteristics, having three wheels with two located at the front, are usually single-seater, and fully enclose the driver with protections and do not move in the absence of a fastened seatbelt.</w:t>
      </w:r>
    </w:p>
    <w:p>
      <w:r>
        <w:t>BULLETIN NO. 32 OF 22 AUGUST 2022 67</w:t>
        <w:br/>
        <w:t>UNFAIR COMMERCIAL PRACTICES</w:t>
        <w:br/>
        <w:t>PS11936 - POSTEMOBILE - EXPIRATION OF DATA OFFER WITHDRAWAL</w:t>
        <w:br/>
        <w:t>Measure no. 30286</w:t>
        <w:br/>
        <w:t>THE ITALIAN COMPETITION AUTHORITY</w:t>
        <w:br/>
        <w:t>IN ITS MEETING of 4 August 2022;</w:t>
        <w:br/>
        <w:t>HEARD the Rapporteur Professor Michele Ainis;</w:t>
        <w:br/>
        <w:t>HAVING REGARD to Part II, Title III, of Legislative Decree 6 September 2005, no. 206,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 no. 25411;</w:t>
        <w:br/>
        <w:t>HAVING REGARD to its resolution of 1 March 2022, with which, pursuant to Article 7, paragraph 3 of the Regulation, the deadline for concluding the procedure was extended, considering the need to evaluate the commitments presented by the Professional;</w:t>
        <w:br/>
        <w:t>HAVING REGARD to its resolution of 27 April 2022, with which, pursuant to Article 7, paragraph 3 of the Regulation, the deadline for concluding the procedure was extended, considering the need to examine the findings in the records for the purpose of evaluating the case subject to the procedure;</w:t>
        <w:br/>
        <w:t>HAVING REGARD to its resolution of 5 July 2022, with which, pursuant to Article 7, paragraph 3 of the Regulation, the deadline for concluding the procedure was extended, considering the extension granted to the Party for the submission of final statements;</w:t>
        <w:br/>
        <w:t>HAVING REGARD to the documents of the procedure;</w:t>
      </w:r>
    </w:p>
    <w:p>
      <w:r>
        <w:t>I. THE PARTIES</w:t>
        <w:br/>
        <w:t>1. PostePay S.p.A. (hereinafter PostePay), with its registered office in Rome, as a professional, pursuant to Article 18, letter b), of the Consumer Code. The Company is active, both nationally and internationally, in the provision of electronic communication networks and services, in the issuance of electronic money, and in the provision of payment services.</w:t>
        <w:br/>
        <w:t>2. The financial statements of PostePay closed on 31 December 2021 show a total value of sales and service revenues of 1,196,748,371 euros1 and for the year 2020 a turnover related to the provision of electronic communication networks and services of euro [200,000,000-400,000,000]2*.</w:t>
      </w:r>
    </w:p>
    <w:p>
      <w:r>
        <w:t>1 See Postepay, Financial Statements of Postepay as of 31 December 2021.</w:t>
        <w:br/>
        <w:t>2 See Doc. no. 40</w:t>
        <w:br/>
        <w:t>* In this version, some data are omitted, as it was deemed that there were elements of confidentiality or secrecy of the information.</w:t>
      </w:r>
    </w:p>
    <w:p>
      <w:r>
        <w:t>68 BULLETIN NO. 32 OF 22 AUGUST 2022</w:t>
        <w:br/>
        <w:t>II. THE CONDUCT SUBJECT TO THE PROCEDURE</w:t>
        <w:br/>
        <w:t>3. The procedure concerns conduct carried out by PostePay in the context of the provision of the mobile telephony service "Poste mobile", consisting of allowing the continuation of outgoing traffic (voice, SMS, and data) in case of insufficient credit on the SIM card at the time of renewal of the periodic offer (monthly, quarterly, or semi-annual) for the plan subscribed by the consumer3, through the automatic activation of a pay-per-use tariff component that the consumer did not request. This is a more expensive tariff than that of the ordinary flat plan.</w:t>
      </w:r>
    </w:p>
    <w:p>
      <w:r>
        <w:t>III. THE FINDINGS OF THE PROCEDURE</w:t>
        <w:br/>
        <w:t>1. The course of the procedure</w:t>
        <w:br/>
        <w:t>4. In relation to the conduct described above, on 14 October 2021, the investigative procedure PS11936 was initiated against PostePay for alleged violation of Articles 20 and 26, paragraph 1, letter f), of the Consumer Code4.</w:t>
        <w:br/>
        <w:t>5. On 18 October 2021, a request for access to documents was received from the company. Access to documents took place on 20 October 20215.</w:t>
        <w:br/>
        <w:t>6. On 19 November 20216, a communication was received from the Party, containing the information requested in the initiation of the procedure.</w:t>
        <w:br/>
        <w:t>7. On 29 November 20217, pursuant to Article 27, paragraph 7 of the Consumer Code, PostePay presented commitments aimed at removing the unfairness profiles of the contested conduct, supplemented on 10 January and 17 February 20228.</w:t>
        <w:br/>
        <w:t>8. In order to acquire necessary elements for the evaluation of the commercial practice, the Company was summoned for a hearing, which took place on 13 December 20219.</w:t>
        <w:br/>
        <w:t>9. On 2 March 202210, the Party was informed of the extension of the deadline for concluding the procedure by sixty days.</w:t>
        <w:br/>
        <w:t>10. In the Authority's meeting of 15 March 2022, the commitments presented were evaluated and deemed inadequate to remove the unfairness profiles of the contested practice11.</w:t>
        <w:br/>
        <w:t>11. On 1 April 2022, PostePay submitted a request for reconsideration of the proposed commitments made by it and rejected by the Authority, further supplementing it12.</w:t>
      </w:r>
    </w:p>
    <w:p>
      <w:r>
        <w:t>3 See Doc. no. 12, Response to request for information from Poste, annex 4.</w:t>
        <w:br/>
        <w:t>4 See Doc. no. 9.</w:t>
        <w:br/>
        <w:t>5 See Docs. nos. 10 and 11.</w:t>
        <w:br/>
        <w:t>6 See Doc. no. 15.</w:t>
        <w:br/>
        <w:t>7 See Doc. no. 17.</w:t>
        <w:br/>
        <w:t>8 See Docs. nos. 24 and 26.</w:t>
        <w:br/>
        <w:t>9 See Docs. nos. 19 and 22.</w:t>
        <w:br/>
        <w:t>10 See Doc. no. 27.</w:t>
        <w:br/>
        <w:t>11 See Doc. no. 28.</w:t>
        <w:br/>
        <w:t>12 See Doc. no. 21.</w:t>
      </w:r>
    </w:p>
    <w:p>
      <w:r>
        <w:rPr>
          <w:b/>
        </w:rPr>
        <w:t>[Pages 67–69]</w:t>
      </w:r>
    </w:p>
    <w:p>
      <w:r>
        <w:t>BULLETIN NO. 32 OF 22 AUGUST 2022 69</w:t>
        <w:br/>
        <w:t>12. On 27 April 2022, the Party was informed of the extension of the deadline for the conclusion of the proceeding by sixty days.</w:t>
        <w:br/>
        <w:t>13. On 28 April 2022, PostePay was informed of the non-acceptance of the request for review in the absence of new elements, both factual and legal, that would allow for a reconsideration of the Authority's determinations, and regarding the new commitments proposed due to the impossibility of examining them as they were submitted late.</w:t>
        <w:br/>
        <w:t>14. On 13 May 2022, the Party was sent a communication regarding the conclusion of the investigation phase, pursuant to Article 16, paragraph 1, of the Regulation.</w:t>
        <w:br/>
        <w:t>15. On 21 June 2022, a request for an opinion was forwarded to the Authority for Communications Guarantees pursuant to Article 27, paragraphs 1-bis and 6, of the Consumer Code, an opinion which was received on 20 July 2022.</w:t>
        <w:br/>
        <w:t>16. On 6 July 2022, the Party was informed of the extension of the deadline for the conclusion of the proceeding by thirty days.</w:t>
        <w:br/>
        <w:t>2. The evidence acquired</w:t>
        <w:br/>
        <w:t>17. From the reports received by the Authority from some consumers, the reviews of other consumers identified on the Trustpilot site and Altroconsumo, the complaints received by the Company, the sheets relating to mobile phone offers on the professional's website, in addition to the general contract conditions, it emerged that PostePay's mobile phone offers provide for the automatic activation of a pay-per-use rate that ensures the continuity of use of the voice line and data traffic in case of insufficient credit for the renewal of the user's tariff plan.</w:t>
        <w:br/>
        <w:t>18. The tariff plans affected by this conduct from April 2020 to May 2022 are as follows: Creami Extra WOW 100, Creami Relax 100, Creami Relax 20, Creami Relax 20 special, Creami Extra WOW 10 GB, PosteMobile Connect 12, PosteMobile Connect Back 1, PosteMobile Connect Back 12, PosteMobile Super Ricarica, Il tuo Mondo wow 15 GB, Creami revolution 1, Creami revolution 3, Creami Revolution 6, Creami Next 1, Creami Next 3, Creami Next 6, Creami Giga 1, Creami Giga 3, Creami Giga 5, PM Ufficio Infinito 50 GB, PosteMobile connect, PosteMobile Connect 6, Creami WOW 10GB, Creami WOW 10GB Limited Edition, Creami WOW 30GB, Creami WOW 50 Giga, Creami WOW 60, Creami Style, Creami, Creami extra WOW 50, Creami extra WOW 50GB – exclusive business edition, Creami extra WOW 150, Creami WeBack.</w:t>
        <w:br/>
        <w:t>19. The Professional specified that, despite the variety of offers available to users, the majority of customers are on the plans of the Creami Extra WOW 100, Creami Relax 100, Creami Relax 20, PosteMobile Connect, and (to a lesser extent) PosteMobile Super Ricarica.</w:t>
        <w:br/>
        <w:t>20. The costs of this pay-per-use offer are applied until the actual charge of the fee for the renewal of the subscribed plan, following the integration of the SIM credit, and are represented by specific pay-per-use amounts for calls and SMS (18 or 25 cents/min for calls and 12 or 25 cents/min for SMS depending on the subscribed plan) and by the base rate of 3.5 euros per day for 400 MB of internet traffic on smartphones and tablets, charged at the first daily use. The actual charge occurs on the remaining credit or on the credit replenished following subsequent top-ups, should the remaining credit be insufficient; in fact, if for example the credit is not sufficient to cover the daily rate of 3.50 euros for internet browsing, the charge will occur against the credit as soon as it is topped up.</w:t>
        <w:br/>
        <w:t>21. Consumers are aware of the activation of this pay-per-use tariff that ensures the continuity of service only after the charges resulting from its activation, as shown by the statements of some consumers:</w:t>
        <w:br/>
        <w:t>“The most serious thing is that PosteMobile has found a real money-eating mechanism in recharging. It works like this. An SMS signals the need for insufficient remaining credit to renew one's offer with a vague deadline. For example, on 29 August an SMS at 1 PM warns: offer expiring in three days (30-31-1 September at 1 PM therefore). But on 31 August at 7 AM an SMS warns: the offer will be renewed within 24 hours. However, the offer is suspended already from 00:00 on 31 August pending credit. The more cautious customer puts the phone in airplane mode or disables data to avoid spending even 1 additional cent automatically from 23:59. And indeed an SMS upon restarting the phone warns: now you call at 18 cents per minute and browse with 400MB per day at 3.5€. But the trick is around the corner… When you recharge the credit, and thus try to reactivate the data line, the PosteMobile system first charges an OFFER NEVER REQUESTED OF 3.5€ for 400MB of data and only after your monthly offer! An offer that, among other things, ensures for a month with 5GB of data and unlimited calls for the same price or a little more: 4.99€!!! So how is it possible that temporary browsing, perhaps in an emergency, costs 3.5€? For the operator 160 in assistance, such Carmine, it is all normal: "It's written in the contract." Upon reporting via social media, a kind lady calls back, and refunds the amount of the offer never requested, and unused, warning about the priority activation of the data offer. "You must wait for a notice that signals the reactivation of your offer" and saying that it has always been this way.”</w:t>
        <w:br/>
        <w:t>“[…] they can easily take from your credit without you knowing and you have to be careful that the data connection is always active to take away all the remaining credit so without warning they deduct €3.50 every day and if you delay 3 days without recharging it’s €10.50 […].</w:t>
        <w:br/>
        <w:t>22. It is highlighted that in the General Conditions of prepaid mobile services and conditions of use of the PosteMobile SIM card of PostePay at point 7.2 relating to the Use of SMCE (Traditional Mobile Electronic Communication Services) there is no reference to the existence of this tariff profile, also because it is clearly stated that “In the absence of remaining prepaid traffic on the Customer's SIM Card, it will not be possible to access the SMCE.” Instead, in the terms and conditions of the offers reported on the professional's website and in the information sheets of the subscribable plans, there is a mere reference to such rates, without, however, any highlighting of them.</w:t>
        <w:br/>
        <w:t>23. In fact, there is no clear and immediate reference – “at the first connection” – to the pay-per-use rate that activates to ensure the “continuity” of the service on the PostePay web pages of each offer. The automatic activation mode results in costly and even unaware charges, represented by the cost of calls and SMS made by mistake and the daily cost of 3.5 euros for data traffic, which kicks in regardless of the conscious use of the service, for example due to the automatic connection of installed Apps on the smartphone.</w:t>
        <w:br/>
        <w:t>24. The amount of 3.5 euros for data traffic can therefore be deducted for each day until the date of reactivation of the subscription offer. A few days of delay in the reactivation of the plan can thus result in, for consumers, unaware costs for significant amounts, with the need to also replenish the remaining credit for their amount.</w:t>
        <w:br/>
        <w:t>25. The consumer, unaware of the application of the pay-per-use rate, even if replenishing the credit for an amount equal to the fee of the plan, may not be able to cover both the charges.</w:t>
      </w:r>
    </w:p>
    <w:p>
      <w:r>
        <w:rPr>
          <w:b/>
        </w:rPr>
        <w:t>[Pages 70–72]</w:t>
      </w:r>
    </w:p>
    <w:p>
      <w:r>
        <w:t>72 BULLETIN NO. 32 OF 22 AUGUST 2022</w:t>
        <w:br/>
        <w:t>of this tariff, applied primarily to the top-up, is the reactivation of the subscribed plan, resulting in the failure to renew the plan and continuing to incur pay-per-use costs.</w:t>
      </w:r>
    </w:p>
    <w:p>
      <w:r>
        <w:t>26. A situation of double billing to the detriment of the consumer can also be determined on the day when the credit top-up is made. The consumer is charged, in fact, on the same day both for pay-per-use costs for voice and SMS services and/or data traffic, as well as the subscription cost following the top-up of the remaining credit and the renewal of the tariff plan. In particular, this circumstance may occur for the internet browsing service, considering the unintentional activation of the connection that may have occurred at a cost of 3.5 euros on the day when the credit is topped up on the SIM for the renewal of the subscription offer29.</w:t>
      </w:r>
    </w:p>
    <w:p>
      <w:r>
        <w:t>27. Furthermore, unintentional charges may occur due to technical alignment issues of the company's IT systems, whereby the consumer who has topped up the credit with an amount sufficient for the renewal of the subscription, mistakenly believing they have immediately obtained the reactivation of the flat offer, may incur additional pay-per-use charges. However, regarding this aspect, and the necessity before using the service in flat mode to wait for the SMS confirmation of the renewal of the offer sent by PostePay, the consumer is not provided with specific information either beforehand or in the immediate phase following the credit top-up30.</w:t>
      </w:r>
    </w:p>
    <w:p>
      <w:r>
        <w:t>28. With the top-up of sufficient credit to ensure the renewal of the plan, the application of pay-per-use billing automatically ceases, restoring the subscribed flat rate.</w:t>
      </w:r>
    </w:p>
    <w:p>
      <w:r>
        <w:t>29. It is noteworthy that, following the aforementioned lack of information, the activation of the pay-per-use rate for the continuation of the service does not appear to be requested by the consumer, as they have not expressed any prior and informed consent. Nor at the time of signing the contract is the consumer asked to clearly and specifically express their intention to activate it in case of insufficient credit for the renewal of the subscription plan, nor at the time of the individual case of non-renewal of the flat offer31.</w:t>
      </w:r>
    </w:p>
    <w:p>
      <w:r>
        <w:t>30. In fact, PostePay sends the customer warning SMS messages informing them of insufficient credit, starting from 7 days before the expiration of the subscription offer, but they do not provide any information regarding the activation of a pay-per-use service in case of failure to top up the credit. The consumer becomes aware of the pay-per-use amounts only after the activation of such a tariff through an SMS communication of the suspension of the plan and the pay-per-use costs that are consequently applied32.</w:t>
      </w:r>
    </w:p>
    <w:p>
      <w:r>
        <w:t>31. For this service, the Professional does not provide, as mentioned, clear and complete information during the promotional phase of "first contact." In fact, on the professional's website, this service is not adequately highlighted within the presentation of the individual package offer, so that the consumer can be immediately made aware of its existence, activation methods, and consequent costs.</w:t>
      </w:r>
    </w:p>
    <w:p>
      <w:r>
        <w:t>32. By way of example, screenshots of the presentation of the Creami WOW 10GB offer are provided:</w:t>
        <w:br/>
        <w:t>29 See Doc. no. 7 annex 1, Doc. no. 15 pp. 18-19, and Doc. no. 30 annex 1.</w:t>
        <w:br/>
        <w:t>30 See Doc. no. 15, p. 18.</w:t>
        <w:br/>
        <w:t>31 See Docs. nos. 7, 8, 30, and 36.</w:t>
        <w:br/>
        <w:t>32 See Doc. no. 15, pp. 14-17.</w:t>
      </w:r>
    </w:p>
    <w:p>
      <w:r>
        <w:t>BULLETIN NO. 32 OF 22 AUGUST 2022 73</w:t>
      </w:r>
    </w:p>
    <w:p>
      <w:r>
        <w:t>74 BULLETIN NO. 32 OF 22 AUGUST 2022</w:t>
        <w:br/>
        <w:t>33. Only by scrolling through the page dedicated to the offer and clicking on "Terms and Conditions" can the consumer, by carefully viewing and reading the text of the contractual conditions of the offer in question, become aware that the pay-per-use rate is activated automatically in case of insufficient credit and is applied in place of the subscription plan subscribed by the consumer. In the text of the "Terms and Conditions," in fact, the following phrase is reported: "The failure to renew the plan due to insufficient credit results in the application of the rate of 18 cents/min for calls, 12 cents/min for SMS, and the daily base rate of 3.5 euros/day for 400 MB of internet traffic on smartphones and tablets"33.</w:t>
      </w:r>
    </w:p>
    <w:p>
      <w:r>
        <w:t>34. Finally, according to what was stated by the Professional, the number of contracts signed in the period from April to October 2021, which include the automatic activation of this pay-per-use rate, was [500,000-1,500,000], while the number of customers who made voice traffic, SMS, or both during the period from May to October 2021 charged at pay-per-use due to the failure to renew the periodic subscription was [500,000-2,100,000] for a total expenditure of [1,500,000-3,200,000] euros (of which [500,000-2,100,000] euros only for unlimited voice and SMS plans). Instead, in the same period from May to October 2021, the users who had the daily Internet rate activated due to the failure to renew the periodic subscription plan were [300,000-1,000,000] for a total expenditure of [1,500,000-3,300,000] euros34.</w:t>
        <w:br/>
        <w:t>33 See Doc. no. 30</w:t>
        <w:br/>
        <w:t>34 See Doc. no. 15.</w:t>
      </w:r>
    </w:p>
    <w:p>
      <w:r>
        <w:rPr>
          <w:b/>
        </w:rPr>
        <w:t>[Pages 73–75]</w:t>
      </w:r>
    </w:p>
    <w:p>
      <w:r>
        <w:t>BULLETIN NO. 32 OF 22 AUGUST 2022 75</w:t>
        <w:br/>
        <w:t>3. The Defense Arguments of the Professional</w:t>
        <w:br/>
        <w:t>35. In the final memorandum, the Professional argues that the factual reconstruction of the conduct by the Authority is based on erroneous assumptions, both factual and legal.</w:t>
        <w:br/>
        <w:t>36. First of all, and in general, in this case, there would be no configuration of any "additional offer" that would be automatically activated by PostePay without the prior consent of the consumer, as "the subscribed offer is unitary, pertains to the same services, and consists of a single tariff plan that, necessarily, allows the customer to use the mobile telephony service in the presence of residual credit." Furthermore, there would be no informational deficit, as the consumer would be adequately informed (both at the initial contact stage and close to the renewal of the fixed periodic fee) regarding the functioning of the subscribed tariff plan, the methods of using it, and the associated costs35.</w:t>
        <w:br/>
        <w:t>A. On the Lack of Acquisition of Specific, Prior, and Informed Consent for the Activation of an "Additional Offer" Compared to That Subscribed by the Consumer</w:t>
        <w:br/>
        <w:t>37. In the "General Conditions of the SIM card," PostePay's prepaid offers provide for a single tariff plan, which consists of:</w:t>
        <w:br/>
        <w:t>- a fixed fee tariff profile, with periodic charges (monthly, quarterly, or semi-annually) of a predetermined amount to be able to use the bundle provided by the flat package;</w:t>
        <w:br/>
        <w:t>- a basic pay-per-use tariff profile, which is an integral part of the same offer and provides for the application of a pay-per-use rate in case of use of voice/SMS/data services during the suspension period of the flat package, due to insufficient credit for the periodic renewal of the fixed fee profile, provided that there is residual telephone credit on the SIM36.</w:t>
        <w:br/>
        <w:t>38. Such offers "cannot be classified either in the category of totally bundled plans or in that of pure pay-per-use plans: the customer subscribes to a single offer that includes both a certain amount of telephony services included in a fixed monthly amount (flat charge) and pay-for-use traffic (pay-per-use charge), applicable in case of use of voice/SMS/data services during the suspension period of the flat offer due to insufficient credit for renewal," provided that there is residual credit on the SIM card, of an amount sufficient to cover the cost provided by the basic tariff profile for the pay-per-use charge of the service requested from time to time.</w:t>
        <w:br/>
        <w:t>39. Therefore, in the presence of insufficient credit for renewal, the tariff plan subscribed by the customer will allow them to continue using voice, SMS, and data services, provided they have sufficient prepaid residual traffic for this purpose; otherwise, it will not be possible to access electronic communication mobile services37.</w:t>
        <w:br/>
        <w:t>40. This structure of the tariff plan is perfectly summarized in the contractual set made available to the consumer, and in particular:</w:t>
        <w:br/>
        <w:t>- in the General Conditions of prepaid mobile services and use of the SIM card;</w:t>
        <w:br/>
        <w:t>- in the Information Prospectus of each offer;</w:t>
        <w:br/>
        <w:t>35 Cf. Doc. n. 40 pp. 5 and 6.</w:t>
        <w:br/>
        <w:t>36 Ibidem, p. 6.</w:t>
        <w:br/>
        <w:t>37 Ibidem, p. 7.</w:t>
      </w:r>
    </w:p>
    <w:p>
      <w:r>
        <w:t>76 BULLETIN NO. 32 OF 22 AUGUST 2022</w:t>
        <w:br/>
        <w:t>- in the Economic Attachments to the General Conditions, provided for each offer38.</w:t>
        <w:br/>
        <w:t>41. Furthermore, "the specific conditions of the individual tariff offer requested and subscribed by the customer are then expressly accepted by them in the service activation forms of PosteMobile, through handwritten signature in the case of signing the paper form, or through simple electronic signature in the case of signing the form via the web channel"39. According to the professional, there are no elements of coercion or undue conditioning of the consumer's will in this case40.</w:t>
        <w:br/>
        <w:t>B. Inadequate Information on the Existence, Activation Methods, and Associated Costs of Pay-Per-Use Billing</w:t>
        <w:br/>
        <w:t>42. The Professional contests the Authority's reconstruction according to which PostePay would have charged consumers the costs provided by pay-per-use billing without providing clear and complete information, both in the promotional phase of "initial contact" and within the contractual documentation, as well as close to the periodic renewal of the offer.</w:t>
        <w:br/>
        <w:t>43. According to the professional, the noted informational omissions at the "first contact" stage "with the consumer would be pretextual as the information on costs and the functioning of the billing plan would be included on the company's website within each page dedicated to the individual offers, in a specific section, a unique feature compared to other information, called "TERMS and CONDITIONS" for immediate consultation for consumers interested in exploring the details of the offer, for which characters of equal size and prominence have been used compared to the texts reported in other sections of the same page and in which there is a link to view the "Information Prospectus"41.</w:t>
        <w:br/>
        <w:t>44. Even in the case of the information provided by PostePay during the activation process of the individual offers, both physical points of sale and the online channel, as well as the telephone operator would provide documents and information that describe the entire tariff structure, including both the flat component and the pay-per-use component42.</w:t>
        <w:br/>
        <w:t>45. Even at the time of renewal of the offer, the professional argues that adequate information is provided through the SMS sent to the customer:</w:t>
        <w:br/>
        <w:t>- 7 days before the date of renewal of the flat fee, in which "subject to the space limitations of the tool used, the customer is reminded of the exact date of renewal, with an invitation to verify that they have sufficient credit for this purpose";</w:t>
        <w:br/>
        <w:t>- 3 days before the renewal of the flat fee with indication of the date of renewal and an invitation to verify that they have sufficient credit for the renewal of the flat tariff profile;</w:t>
        <w:br/>
        <w:t>- 24 hours before the renewal of the flat fee, with notice that the customer does not have sufficient credit for the renewal of the flat fee and the cost of the latter;</w:t>
        <w:br/>
        <w:t>38 Ibidem, pp. 7-8.</w:t>
        <w:br/>
        <w:t>39 Ibidem, p. 8.</w:t>
        <w:br/>
        <w:t>40 Ibidem, p. 13.</w:t>
        <w:br/>
        <w:t>41 Idibem, pp. 14-16.</w:t>
        <w:br/>
        <w:t>42 Ibidem, pp. 17-18.</w:t>
      </w:r>
    </w:p>
    <w:p>
      <w:r>
        <w:t>BULLETIN NO. 32 OF 22 AUGUST 2022 77</w:t>
        <w:br/>
        <w:t>- concurrently with the non-renewal of the flat fee due to insufficient credit, whereby the customer is informed of the suspension of the flat tariff profile and the consequent application, in the event of use of the voice/SMS and data service, of the pay-per-use rates provided by their offer, with the respective amounts being reminded.</w:t>
        <w:br/>
        <w:t>46. According to PostePay, since the consumer is perfectly informed and aware of not having sufficient credit for the renewal of the offer, should they use the service, they would do so entirely voluntarily43.</w:t>
        <w:br/>
        <w:t>C. Regarding Cases of Double Billing and Unintentional Charges Due to Technical Alignment Issues</w:t>
        <w:br/>
        <w:t>47. Regarding situations of double billing that would occur in the case of charging, on the same day, of the pay-per-use rate and the flat rate, the Professional argues that these would be two distinct charges, determined by two different events:</w:t>
        <w:br/>
        <w:t>- "in one case (pay-per-use charge), the charge is determined by the normal application of the contractual conditions provided by the offer subscribed by the consumer (specified in all the contractual documentation, in the information provided before the subscription to the consumer at the initial contact stage, and in the proximity SMS), as a direct consequence of the fact that the customer – despite repeated reminders via SMS – has not replenished their credit, thus not allowing the renewal of the flat tariff profile and has nonetheless and knowingly used the voice/SMS/data service on a pay-per-use basis, which is therefore correctly and economically valued;</w:t>
        <w:br/>
        <w:t>- in the other case (flat charge on the same day the consumer used the pay-per-use billing), the charge is a consequence of the recharging made to allow the renewal of the flat tariff profile and thus the reactivation of the latter, which had been suspended until that moment.</w:t>
        <w:br/>
        <w:t>Therefore, in one case, the charge would be linked to the consumer's conscious choice to use the voice/SMS/data service during the suspension period of the flat tariff profile, while in the other to the normal reactivation of the flat package, which takes effect from the moment the recharge is made to cover the cost provided for the renewal."</w:t>
        <w:br/>
        <w:t>48. With regard, instead, to the alleged unintentional charges due to misalignment of IT systems following the recharge made for the renewal of the flat tariff profile, according to the professional, "the charge of the pay-per-use rate immediately after the recharge made for the renewal would be attributable to the customers themselves, who would not have waited for the confirmation SMS of the renewal of the flat tariff profile until that moment suspended, making at least one traffic event."</w:t>
        <w:br/>
        <w:t>49. During the suspension period of the flat tariff profile, IT systems may sometimes require a few moments to allow for data alignment and the sending of the SMS confirming the renewal of the flat profile. Such charges, according to the Professional, would therefore not be due to negligent conduct on the part of PostePay44.</w:t>
        <w:br/>
        <w:t>43 Ibidem, pp. 18-20.</w:t>
        <w:br/>
        <w:t>44 Ibidem, pp. 20-23.</w:t>
      </w:r>
    </w:p>
    <w:p>
      <w:r>
        <w:rPr>
          <w:b/>
        </w:rPr>
        <w:t>[Pages 76–78]</w:t>
      </w:r>
    </w:p>
    <w:p>
      <w:r>
        <w:t>78 BULLETIN NO. 32 OF 22 AUGUST 2022</w:t>
        <w:br/>
        <w:t>D. Spontaneous implementation of certain measures provided as commitments</w:t>
        <w:br/>
        <w:t>50. The Company has finally declared that it has voluntarily implemented certain measures that were presented to the Authority during the proceeding in order to remove the issues highlighted in the communication initiating the proceeding.</w:t>
        <w:br/>
        <w:t>51. PostePay, in fact, has taken steps since the second half of July 2022 to:</w:t>
        <w:br/>
        <w:t>- strengthen the information provided on the company website www.postemobile.it, by integrating the pages dedicated to the description of individual fixed periodic recharge offers;</w:t>
        <w:br/>
        <w:t>- similarly strengthen the information contained in the Economic Attachments related to the individual offers;</w:t>
        <w:br/>
        <w:t>- ensure more effective and complete customer assistance and information through the staff of the PostePay physical network and call center operators via an internal operational circular intended for sales personnel at all physical points and a specific internal operational support procedure for call center staff;</w:t>
        <w:br/>
        <w:t>- revise the texts of the informational SMS sent to users close to the periodic renewal of the flat fee, so that they are even clearer and more transparent regarding the consequences in case of non-renewal of the flat tariff profile;</w:t>
        <w:br/>
        <w:t>- implement changes to its IT systems necessary to allow the application of the so-called "real-time" solution in order to anticipate at the time of recharging the effects of the renewal of the offer, without the customer having to wait for the SMS confirming the renewal;</w:t>
        <w:br/>
        <w:t>- prepare all modifications to its billing systems in order to avoid charging customers who on the same day register pay-per-use data traffic events and the renewal of the flat profile.</w:t>
        <w:br/>
        <w:t>IV. OPINION OF THE AUTHORITY FOR GUARANTEES IN COMMUNICATIONS</w:t>
        <w:br/>
        <w:t>52. On 21 June 202245, a request for an opinion was submitted to the Authority for Guarantees in Communications, pursuant to Article 27, paragraphs 1-bis and 6, of the Consumer Code.</w:t>
        <w:br/>
        <w:t>53. With an opinion issued on 19 July 2022 and transmitted on 21 July 2022, the Authority for Guarantees in Communications, considering it appropriate, also in light of the amended Article 27, paragraph 1-bis, of the Consumer Code, that the opinion on the specific case be rendered pursuant to Article 27, paragraph 6, of the same Code, noted that tariff transparency, both in the description of the offer on websites and in contractual terms, assumes the utmost importance in all sectors and, in particular, in the electronic communications sector, as it allows the customer, thanks to the clarity of the economic conditions, to make informed choices when purchasing goods and services and to properly consider the activation methods of specific services and any discounts. Measures regarding tariff transparency help to avoid or, at least, mitigate the phenomenon of charging for additional services to the basic electronic communication service that were not requested by the consumer.</w:t>
        <w:br/>
        <w:t>45 See docs. nos. 42-43.</w:t>
      </w:r>
    </w:p>
    <w:p>
      <w:r>
        <w:t>BULLETIN NO. 32 OF 22 AUGUST 2022 79</w:t>
        <w:br/>
        <w:t>54. That said, Agcom argues that “the practice in question, based on the documentation, refers to communications carried out by the Professional via the Internet” and has considered that “with reference to the specific case, the means of communication used, in relation to the service offered by the Professional, is suitable to develop a significant impact on consumers who, based on the information read on the Professional's website, could be induced to make a commercial decision that they would not have otherwise made, thus concretely developing the full promotional potential of the aforementioned communications.” Consequently, the Authority for Guarantees in Communications has deemed that “based on the documentation in the records, in this case, the Internet is a suitable tool to significantly influence the realization of the commercial practice for which an opinion is requested from this Authority”46.</w:t>
        <w:br/>
        <w:t>V. CONCLUDING ASSESSMENTS</w:t>
        <w:br/>
        <w:t>55. The proceeding concerns conduct carried out by PostePay related to the charging of pay-per-use costs for voice/SMS and mobile data services, despite the consumer having subscribed to a flat offer. This circumstance occurs when the consumer, at the time of the renewal of the offer (monthly, quarterly, or semi-annually), does not have sufficient credit on the SIM card to ensure the renewal of the flat offer.</w:t>
        <w:br/>
        <w:t>56. The pay-per-use rate is activated automatically without the consumer having requested it. This is a more expensive rate than that of the ordinary flat plan, which remains in effect until the credit is recharged with an amount sufficient to reactivate the subscribed flat offer. A few days of delay in reactivating the plan can therefore result in significant unintended costs for consumers.</w:t>
        <w:br/>
        <w:t>57. The provision of pay-per-use traffic occurs without the consumer having requested it, as they have not received adequate information regarding it.</w:t>
        <w:br/>
        <w:t>58. In fact, there is no clear and immediate reference to this pay-per-use rate on the PostePay web pages of each offer that provides for it. The information regarding the insufficient credit situation provided in the general contractual conditions of mobile services and in the terms and conditions of each offer listed on the PostePay website is also ambiguous and incomplete, as is any information about the pay-per-use rate in the SMS that notify the consumer of insufficient credit.</w:t>
        <w:br/>
        <w:t>59. This situation places the consumer in a position where they do not clearly understand the existence of this rate, nor its automatic activation method, leading them to incur burdensome charges that could occur even inadvertently.</w:t>
        <w:br/>
        <w:t>60. In fact, following the aforementioned lack of information, the pay-per-use rate does not appear to be the subject of an explicit request by the user either at the time of subscribing to the offer or at the time of the suspension of the tariff plan.</w:t>
        <w:br/>
        <w:t>61. With reference to the moment of the renewal of the offer, the various messages sent to the customer, starting from 7 days before the renewal date, to remind them of the upcoming expiration of the plan and the need to check whether the remaining credit on the SIM is sufficient to guarantee its renewal, do not warn them of the application of the pay-per-use rate and the related costs in case of insufficient remaining credit on the SIM. Only upon the suspension of the flat fee is the consumer informed by the professional about the application of the pay-per-use tariff profile and the related amounts.</w:t>
        <w:br/>
        <w:t>62. The Professional argues that the application of the pay-per-use tariff is an integral part of a single tariff plan subscribed by the consumer. It consists, according to the professional's statements, of a fixed-rate tariff profile with periodic charges of a predetermined amount to benefit from the bundle provided by the flat package and a pay-per-use tariff profile, which provides for the application of this rate in case of use of voice/SMS/data services during the suspension of the flat package due to insufficient credit for its periodic renewal.</w:t>
        <w:br/>
        <w:t>63. Therefore, the automatic activation of this pay-per-use tariff would not be configured as an additional service or offer compared to that subscribed by the consumer, but rather as a component of the same, applicable upon the occurrence of a specific circumstance, namely the presence, on the SIM, of insufficient remaining credit for the renewal of the flat offer.</w:t>
        <w:br/>
        <w:t>64. It is appropriate to preface that the manner in which each professional intends to structure the pricing of their services is not the subject of this measure. What is relevant is instead the manner in which the professional applies the related charges, not allowing the consumer to request, in the absence of sufficient credit on the SIM, the activation of the pay-per-use rate.</w:t>
        <w:br/>
        <w:t>65. It is evident that a consumer who subscribes to a flat offer intends to adhere to a fixed-rate tariff profile in order to benefit from the advantages of the bundle provided by the package offered by the professional, not considering it convenient to adhere to a pay-per-use tariff profile.</w:t>
        <w:br/>
        <w:t>66. Therefore, the professional, who intends to structure their offer by articulating it into two radically different tariff profiles, flat and pay-per-use, the differing activation and deactivation of which is connected to the occurrence of certain circumstances, is required to ensure the consumer a maximum level of transparency regarding the existence of the pay-per-use rate and the situations in which it can be activated, and to allow them to choose in advance whether to use the services that determine its application.</w:t>
        <w:br/>
        <w:t>67. In the specific case, the information does not immediately highlight the particular structure of the pricing of these offers. Even though there is a reference to the existence of the pay-per-use pricing of such offers in the presentation of the offers on the web, as well as in the tariff brochures, a collateral indication cannot be considered sufficient to allow the consumer to request the activation of the pay-per-use rate.</w:t>
        <w:br/>
        <w:t>68. For this reason, the consent expressed for the flat offer cannot be considered extended to the activation of the pay-per-use rate applicable in case of insufficient credit on the SIM for the renewal of the offer, which is not adequately highlighted. Furthermore, the circumstance that determines the activation of the pay-per-use rate is counterintuitive for a consumer who has chosen the flat offer, who cannot reasonably believe that, in the presence of insufficient credit for the renewal of such an offer – a circumstance that could also arise from a conscious choice aimed at suspending its renewal – they would be charged a rate that is even more burdensome than the ordinary one they selected.</w:t>
        <w:br/>
        <w:t>69. As highlighted by the investigative findings, PostePay's pricing system can result in both pay-per-use costs for voice and SMS services and/or data traffic being charged on the same day.</w:t>
      </w:r>
    </w:p>
    <w:p>
      <w:r>
        <w:rPr>
          <w:b/>
        </w:rPr>
        <w:t>[Pages 79–81]</w:t>
      </w:r>
    </w:p>
    <w:p>
      <w:r>
        <w:t>BULLETIN NO. 32 OF 22 AUGUST 2022 81</w:t>
        <w:br/>
        <w:t>data, both the pay-per-use costs for voice and SMS services and/or data traffic, as well as the subscription cost following the integration of the remaining credit and the renewal of the tariff plan. There could also be instances of pay-per-use charges occurring after the integration of the remaining credit on the SIM aimed at renewing the flat plan, which the professional justified as an effect caused by the misalignment of the IT systems used, and by the behavior of the consumer who did not wait for the confirmation SMS before considering the flat fee reactivated and therefore freely using the SMS/voice/data services.</w:t>
      </w:r>
    </w:p>
    <w:p>
      <w:r>
        <w:t>70. There is no doubt that the Professional cannot attribute to the consumer, who did not wait for the confirmation SMS, the responsibility of having to pay twice for the same service used during the misalignment phase. PostePay, having structured the tariffs in such a way as to foresee a change in billing in the event of non-renewal of the fee due to insufficient credit, should have implemented procedures that ensured the immediate return to flat billing once the replenished credit allowed it.</w:t>
      </w:r>
    </w:p>
    <w:p>
      <w:r>
        <w:t>71. PostePay communicated that it spontaneously implemented, in July 2022, some corrective measures proposed during the investigative process.</w:t>
      </w:r>
    </w:p>
    <w:p>
      <w:r>
        <w:t>72. These interventions, while being improvements, are still insufficient to remedy the contested conduct, as they do not provide for the possibility of request by the consumer to proceed with the application of the pay-per-use voice/SMS/data tariff, in order to continue using the service even in the event of non-renewal of the flat offer due to insufficient credit on the SIM.</w:t>
      </w:r>
    </w:p>
    <w:p>
      <w:r>
        <w:t>73. In conclusion, the Professional charged for mobile telephony offers, subscribed to a flat fee, a pay-per-use billing in the event of the impossibility of periodic renewal of the offer due to insufficient credit on the SIM in order to ensure the continuity of the service, even though it was not explicitly and knowingly requested by the consumer, thus adopting conduct in violation of article 26, paragraph 1, letter f) of the Consumer Code.</w:t>
      </w:r>
    </w:p>
    <w:p>
      <w:r>
        <w:t>74. PostePay has activated, in a manner unrequested and unbeknownst to the user, a pay-per-use billing that is more burdensome than the ordinary one without providing adequate information either during the promotional phase of the mobile telephony offers or through its informational SMS messages in the 7 days preceding the renewal of the offer. This conduct results in unexpected charges to the detriment of consumers who subscribe to mobile telephony offers with PostePay.</w:t>
      </w:r>
    </w:p>
    <w:p>
      <w:r>
        <w:t>VI. QUANTIFICATION OF THE SANCTION</w:t>
      </w:r>
    </w:p>
    <w:p>
      <w:r>
        <w:t>75. Pursuant to art. 27, paragraph 9, with the measure that prohibits the practices carried out in violation of articles 20 et seq. of the Consumer Code, the Authority orders the application of an administrative pecuniary sanction from €5,000 to €5,000,000, taking into account the severity and duration of the violation.</w:t>
      </w:r>
    </w:p>
    <w:p>
      <w:r>
        <w:t>76. Regarding the quantification of the sanction, account must be taken, as applicable, of the criteria identified by art. 11 of law no. 689/81, by virtue of the reference provided for in art. 27, paragraph 13, of the Consumer Code: in particular, the severity of the violation, the efforts made by the company to eliminate or mitigate the infringement, the personality of the agent, as well as the economic conditions of the company itself.</w:t>
      </w:r>
    </w:p>
    <w:p>
      <w:r>
        <w:t>82 BULLETIN NO. 32 OF 22 AUGUST 2022</w:t>
      </w:r>
    </w:p>
    <w:p>
      <w:r>
        <w:t>77. With regard to the severity of the violation, account is taken, in the case at hand, of the aggressive profile that characterized the conduct of the Professional, based on the automatic activation of the pay-per-use billing not requested by the customer in the event of insufficient credit on the SIM for the renewal of the flat offer.</w:t>
      </w:r>
    </w:p>
    <w:p>
      <w:r>
        <w:t>78. Furthermore, account is taken of the economic size of the Professional, which achieved a specific turnover for the year 2020 related to the provision of networks and electronic communication services amounting to [200,000,000-400,000,000] euros, and of the level of notoriety of the Company at the national level. Also relevant is the widespread nature of the practice, which affected all consumers who activated flat mobile telephony offers47.</w:t>
      </w:r>
    </w:p>
    <w:p>
      <w:r>
        <w:t>79. As for the duration of the violation, from the elements acquired in the records, it appears that the conduct has been in place at least since April 202048 and is still ongoing49.</w:t>
      </w:r>
    </w:p>
    <w:p>
      <w:r>
        <w:t>80. Based on these elements, it is deemed appropriate to determine the base amount of the applicable administrative pecuniary sanction at €1,800,000 (one million eight hundred thousand euros).</w:t>
      </w:r>
    </w:p>
    <w:p>
      <w:r>
        <w:t>81. Considering that there is, in this case, a mitigating circumstance related to some measures taken by the professional to remove the conduct50, it is deemed appropriate to set the amount of the sanction at €1,500,000 (one million five hundred thousand euros).</w:t>
      </w:r>
    </w:p>
    <w:p>
      <w:r>
        <w:t>THEREFORE, it is deemed, in accordance with the opinion of the Authority for Guarantees in Communications and based on and within the limits of the considerations set forth above, that the conduct described in paragraph II constitutes a violation of art. 26, paragraph 1, letter f) of the Consumer Code for the automatic activation, by the professional, of a pay-per-use tariff not requested by consumers to ensure the continuation of mobile telephony service in the event of insufficient credit on the SIM at the renewal of the subscribed flat offer;</w:t>
      </w:r>
    </w:p>
    <w:p>
      <w:r>
        <w:t>RESOLVES</w:t>
      </w:r>
    </w:p>
    <w:p>
      <w:r>
        <w:t>a) that the conduct described in paragraph II of this measure, carried out by PostePay S.p.A., constitutes, for the reasons and within the limits set forth in the motivation, a violation of article 26, paragraph 1, letter f) of the Consumer Code, and prohibits its dissemination or repetition;</w:t>
      </w:r>
    </w:p>
    <w:p>
      <w:r>
        <w:t>b) to impose on PostePay S.p.A. with reference to the conduct described in point a) an administrative pecuniary sanction of €1,500,000 (one million five hundred thousand euros);</w:t>
      </w:r>
    </w:p>
    <w:p>
      <w:r>
        <w:t>c) that the professional communicates to the Authority, within ninety days from the notification of this measure, the initiatives taken in compliance with the injunction referred to in point a).</w:t>
      </w:r>
    </w:p>
    <w:p>
      <w:r>
        <w:t>47 See Doc. no. 47.</w:t>
        <w:br/>
        <w:t>48 See Doc. no. 15, pp. 14-17.</w:t>
        <w:br/>
        <w:t>49 See Doc. no. 36.</w:t>
        <w:br/>
        <w:t>50 See Doc. no. 40.</w:t>
      </w:r>
    </w:p>
    <w:p>
      <w:r>
        <w:t>BULLETIN NO. 32 OF 22 AUGUST 2022 83</w:t>
      </w:r>
    </w:p>
    <w:p>
      <w:r>
        <w:t>The administrative sanction imposed must be paid within thirty days from the notification of this measure, using the tax codes indicated in the attached F24 model with identifying elements, pursuant to Legislative Decree no. 241/1997.</w:t>
      </w:r>
    </w:p>
    <w:p>
      <w:r>
        <w:t>Payment must be made electronically with a debit to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payment interest accrued in the same period.</w:t>
      </w:r>
    </w:p>
    <w:p>
      <w:r>
        <w:t>Immediate communication of the payment must be given to the Authority by sending the documentation certifying the payment made.</w:t>
      </w:r>
    </w:p>
    <w:p>
      <w:r>
        <w:t>This measure will be notified to the interested parties and published in the Bulletin of the Italian Competition Authority.</w:t>
      </w:r>
    </w:p>
    <w:p>
      <w:r>
        <w:t>Pursuant to art.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r>
    </w:p>
    <w:p>
      <w:r>
        <w:t>Against this measure, an appeal may be submitted to the TAR of Lazio, pursuant to art. 135, paragraph 1, letter b), of the Code of Administrative Procedure (Legislative Decree 2 July 2010, no. 104), within sixty days from the date of notification of the measure itself, without prejudice to the longer terms referred to in art. 41, paragraph 5, of the Code of Administrative Procedure, or an extraordinary appeal may be proposed to the President of the Republic, pursuant to art. 8 of the Decree of the President of the Republic 24 November 1971, no. 1199, within one hundred and twenty days from the date of notification of the measure itself.</w:t>
      </w:r>
    </w:p>
    <w:p>
      <w:r>
        <w:t>THE SECRETARY GENERAL THE PRESIDENT f.f.</w:t>
        <w:br/>
        <w:t>Guido Stazi Michele Ainis</w:t>
      </w:r>
    </w:p>
    <w:p>
      <w:r>
        <w:rPr>
          <w:b/>
        </w:rPr>
        <w:t>[Pages 82–84]</w:t>
      </w:r>
    </w:p>
    <w:p>
      <w:r>
        <w:t>84 BULLETIN NO. 32 OF 22 AUGUST 2022</w:t>
        <w:br/>
        <w:t>PS12192 - BNL-SUPERBONUS BUILDING-TRANSFER OF CREDIT</w:t>
        <w:br/>
        <w:t>Measure no. 30287</w:t>
        <w:br/>
        <w:t>THE ITALIAN COMPETITION AUTHORITY</w:t>
        <w:br/>
        <w:t>IN ITS MEETING of 4 August 2022;</w:t>
        <w:br/>
        <w:t>HEARD the Rapporteur Professor Michele Ainis;</w:t>
        <w:br/>
        <w:t>HAVING REGARD to Part II, Title III, of Legislative Decree 6 September 2005, no. 206,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w:t>
        <w:br/>
        <w:t>HAVING REGARD to its resolutions of 13 April 2022 and 31 May 2022, with which, pursuant to article 7, paragraph 3, of the Regulation, two extensions of the deadline for concluding the procedure were ordered, pursuant to article 27, paragraph 7, of the Consumer Code and article 9 of the Regulation;</w:t>
        <w:br/>
        <w:t>HAVING REGARD to the communication received on 14 January 2022, whereby Banca Nazionale del Lavoro S.p.A. submitted, pursuant to article 27, paragraph 7, of the Consumer Code and article 9 of the Regulation, a proposal for commitments, subsequently integrated into the definitive and consolidated version on 4 May 2022;</w:t>
        <w:br/>
        <w:t>HAVING REGARD to the documents of the proceeding;</w:t>
        <w:br/>
        <w:t>I. THE PARTIES</w:t>
        <w:br/>
        <w:t>1. Banca Nazionale del Lavoro S.p.A. (hereinafter BNL or bank, credit institution or also professional), in its capacity as a professional, pursuant to article 18, letter b), of the Consumer Code, BNL is a company active in the banking and credit sectors, particularly in the markets of collection and lending.</w:t>
        <w:br/>
        <w:t>II. THE COMMERCIAL PRACTICE</w:t>
        <w:br/>
        <w:t>2. The proceeding concerns a commercial practice related to the methods and procedures adopted by the Professional to allow consumers and micro-enterprises to access the transfer of the 110% tax credit, known as the Superbonus, provided for by decree-law 19 May 2020, no. 34 (hereinafter, "Decree Rilancio", converted with amendments by Law 17 July 2020, no. 77).</w:t>
        <w:br/>
        <w:t>3. Specifically, the institution would have conditioned the conclusion of the contracts for the transfer of the tax credit entered into with consumers and/or micro-enterprises on the obligation to use the engineering company Protos Engineering s.r.l (hereinafter Protos), for the issuance of the technical certification, and the law and tax firm Ernst &amp; Young (hereinafter EY) for the tax and administrative activities aimed at obtaining the compliance visa, with an increase in the overall service costs borne by the consumer/micro-enterprise.</w:t>
      </w:r>
    </w:p>
    <w:p>
      <w:r>
        <w:t>BULLETIN NO. 32 OF 22 AUGUST 2022 85</w:t>
        <w:br/>
        <w:t>III. THE OUTCOMES OF THE PROCEEDING</w:t>
        <w:br/>
        <w:t>1) The course of the proceeding</w:t>
        <w:br/>
        <w:t>4. Based on the findings acquired ex officio, on 25 November 2021, the Professional was notified of the initiation of the investigative proceeding PS12192. In this context, it was hypothesized that BNL's conduct could constitute a violation of articles 20, paragraph 2, 24, and 25 of the Consumer Code for the undue conditioning of consumers and micro-enterprises to accept the services of the technical engineering company Protos and the tax consultancy services offered by EY, in order to obtain the tax credit transfer, and/or articles 20, paragraph 2 and 26, letter f), of the Consumer Code for the provision for payment of services not requested by consumers and/or micro-enterprises directly included in the contracts for the transfer of credit.</w:t>
        <w:br/>
        <w:t>5. On 30 November 2021, inspection activities were carried out at the headquarters of Ernst &amp; Young S.p.A. and at the headquarters of BNL1.</w:t>
        <w:br/>
        <w:t>6. By communication of 13 December 2021, the Bank requested an extension of the procedural deadline to produce the information and documents requested at the start of the investigation, which was accepted with the communication of 14 December 20212.</w:t>
        <w:br/>
        <w:t>7. By communication of 14 January 2022, the Bank responded to the request for information3 and presented its defensive memoranda, as well as a first version of the Commitment Form4.</w:t>
        <w:br/>
        <w:t>8. On 13 April 2022, the party was notified of the extension of the deadline for concluding the proceeding5 and, on the same date, a communication was sent to the Party setting a deadline for the integration of the commitments6.</w:t>
        <w:br/>
        <w:t>9. On 4 May 2022, the Bank transmitted an integrated and consolidated version of the commitment form7.</w:t>
        <w:br/>
        <w:t>10. On 31 May 2022, the Bank was notified of the extension of the deadline for concluding the proceeding8.</w:t>
        <w:br/>
        <w:t>11. On 1 June 2022, BNL was notified of the conclusion date of the investigative phase pursuant to article 16, paragraph 1, of the Regulation9.</w:t>
        <w:br/>
        <w:t>12. On 8 June 2022, BNL submitted its final memoranda10.</w:t>
        <w:br/>
        <w:t>13. On 15 June 2022, the opinion was requested from the Bank of Italy, pursuant to article 27, paragraph 1-bis, of the Consumer Code11.</w:t>
        <w:br/>
        <w:t>1 Doc. 6, inspection report at EY and Doc. 7 inspection report at the BNL headquarters</w:t>
        <w:br/>
        <w:t>2 Doc. 8, request for extension from BNL and Doc. 9, acceptance of the extension of procedural deadlines.</w:t>
        <w:br/>
        <w:t>3 Doc. 13 and 13bis: response to the request for information and defensive memorandum.</w:t>
        <w:br/>
        <w:t>4 Doc. 13ter: first version of the commitment form.</w:t>
        <w:br/>
        <w:t>5 Doc. 15: extension of the deadline for concluding the proceeding.</w:t>
        <w:br/>
        <w:t>6 Doc. 16.</w:t>
        <w:br/>
        <w:t>7 Doc. 17: consolidated version of the commitment form.</w:t>
        <w:br/>
        <w:t>8 Doc. 18: communication of the extension of the deadline for concluding the proceeding.</w:t>
        <w:br/>
        <w:t>9 Doc. 20: Communications of the conclusion date of the investigative phase.</w:t>
        <w:br/>
        <w:t>10 Doc. 21: final memoranda of BNL.</w:t>
        <w:br/>
        <w:t>11 Doc. 22 and 22bis: request for Opinion to the Bank of Italy.</w:t>
      </w:r>
    </w:p>
    <w:p>
      <w:r>
        <w:t>86 BULLETIN NO. 32 OF 22 AUGUST 2022</w:t>
        <w:br/>
        <w:t>14. On 14 July 2022, the opinion of the Bank of Italy was received12.</w:t>
        <w:br/>
        <w:t>2) The elements acquired</w:t>
        <w:br/>
        <w:t>15. The regulations on the Superbonus provide that, among the requirements necessary for the regularity of the procedure, the taxpayer must appoint a qualified professional technician both for the issuance of the technical certification (which concerns the verification of the existence of the technical requirements underlying the project and the actual construction and urban planning of the property to be renovated, as well as the appropriateness of the construction expenses incurred), and for the compliance visa of the documentation produced to access the tax deduction.</w:t>
        <w:br/>
        <w:t>16. The compliance visa is specifically issued by independent professionals such as accountants or also commercial experts, as listed in article 3, paragraph 3, letters a) and b), of the Decree of the President of the Republic of 22/07/1998 no. 322, or also by a Tax Assistance Center. The relevant regulations, therefore, leave the client-taxpayer with broad discretion to choose to use professionals active in the market for the issuance of technical certification and in that of independent professionals for the compliance visa.</w:t>
        <w:br/>
        <w:t>17. From the documents and processes acquired during the inspection, it appears that the Bank indicates to clients the option to use the services of the affiliated companies Protos and EY in order to obtain respectively the technical certification and the compliance visa, without informing them of the possibility of turning to third-party professionals experienced in the construction and tax sector. In this regard, it is noted that this option is not even explicitly stated in the information sheets, as the Bank merely communicates generically that for "this purpose BNL has activated collaborations with some partners that the client will use to manage the financial operations related to the aforementioned tax benefits [...]"13.</w:t>
        <w:br/>
        <w:t>18. Regarding the technical and tax consultancy services, there are two types of adherence to the services offered by the aforementioned companies Protos and EY: the 'Business Model A' which concerns the case of the transfer of the tax credit by the retail client who directly uses the consultancy services provided by EY and Protos to obtain the legal certifications, as confirmed by the statements resulting in the documents from the Bank in the inspection report14; the 'Business Model B', used in cases where the private client uses their own certifiers/certifiers, which nevertheless provides that "even in cases where the visa is not affixed by EY, it is still EY that provides legal and tax assistance in relation to the individual transfers of tax credits as well as other tax credits, through a formal verification of the documentation against the regulatory requirements regarding the credits subject to purchase." In both the Business Model 'A' and the Business Model 'B', it is EY, through its professionals, that provides support in the management and monitoring, through the IT platform GTP, of the correct completion of the purchase operation of the credits15.</w:t>
        <w:br/>
        <w:t>12 Doc. 23: arrival of the opinion from the Bank of Italy.</w:t>
        <w:br/>
        <w:t>13 Doc. 7, annex no. 3, inspection document at BNL: Information sheets, which specify regarding the affiliated companies that "The Bank, based on the activated collaborations, does not receive any compensation from the partner companies regarding the sums possibly paid by clients for the certification services (compliance visa)/technical certification offered by them."</w:t>
        <w:br/>
        <w:t>14 Doc. 7: inspection report at BNL of 30-11-2021.</w:t>
        <w:br/>
        <w:t>15 Doc. 7, annex 7, inspection document at BNL: agreement EY and Protos, p. 6.</w:t>
      </w:r>
    </w:p>
    <w:p>
      <w:r>
        <w:rPr>
          <w:b/>
        </w:rPr>
        <w:t>[Pages 85–87]</w:t>
      </w:r>
    </w:p>
    <w:p>
      <w:r>
        <w:t>BULLETIN NO. 32 OF 22 AUGUST 2022 87</w:t>
        <w:br/>
        <w:t>19. The internal process at the Bank includes certain procedures with predetermined times and methods with commercial partners. In consideration of the complex process for activating the superbonus 110%, the Bank advises to “direct individual customers for the invoice discount to the company executing the works, which in turn may transfer the certified tax credit to our credit institution”16. With reference to the relationships with partners (Protos/EY), moreover, BNL provides mere support for customers regarding the uploading of the required documentation on the EY platform, which occurs based on two different optional processes: i) the End to End process (corresponding to the aforementioned business model A), according to which the partners will carry out all activities of any feasibility assessment, technical certification, communication to Enea, and tax compliance certification; ii) the process with Due Diligence (corresponding to the aforementioned business model B): the two companies carry out an additional documentary verification of the work of the technicians/consultants of the transferor (currently activatable only in the presence of a transferor company). The purchase of the tax credit follows two different modalities: 1) at the end of the works; 2) in the various phases of the Work Progress Status – (so-called SAL with a maximum of 3 tranches and the first with SAL not less than 30%).</w:t>
        <w:br/>
        <w:t>20. The documentation required by the Bank and the affiliated companies pertains to building and urban planning documents, as well as tax documents, such as: the cadastral documentation and related surveys of the real estate unit, the titles enabling ownership and those for carrying out construction works (SCIA/building permit, communication to the competent ASL, etc.).</w:t>
        <w:br/>
        <w:t>21. For the collection activities of the tax credit, the Transferor will recognize to the assignee bank BNL a commission equal to Euro [200-1,000]*. The aforementioned amount will be charged to the Current Account no later than five working days following the date on which the tax credit is visible within the tax drawer of the assignee bank. Furthermore, the Transferor will bear all expenses, taxes, and charges related to the completion of the contract17.</w:t>
        <w:br/>
        <w:t>22. With reference to costs, it appears that only after obtaining the certifications, BNL will purchase the tax credit at a price equal to 90.91% of the expected tax credit. The customer will incur the related cost for the issuance of technical and tax certifications, settling the amounts directly with the partners as occurs in the case of payment for appraisals in mortgages. The costs related to technical and tax certifications, within the end-to-end process, fall within the amounts that benefit from the tax advantage, albeit within the limits set for the latter by the decree; this means that such amounts may be added to what was spent for the execution of the works and deducted. The retail customer must pay the fees for professional services provided by Protos, regarding the technical consultancy provided, even in the case of only providing due diligence18. From the agreements between the Bank and the affiliated EY company, it appears that the customer pays different fees depending on whether the private individual intends to use EY's services (business model ‘A’) which also issues the compliance certification, or in cases where the customer uses their own certifiers/certifiers (business model ‘B’), in which case the cost of the due diligence performed by EY is borne by the bank19. Information on the costs of consulting companies, in the various solutions available to the customer, is not provided by the bank, for example in the information sheet.</w:t>
        <w:br/>
        <w:t>23. From the documents on training activities, the bank's interest in directing customers towards the transfer of the tax credit through the certification services provided by the affiliated companies emerges. In this sense, the Bank, in order to encourage the use of affiliated consultants, in the internal training activity represents all the advantages that the staff must present to the customer, as ‘added value’ derived from the services provided by the two ‘important’ affiliated partners (Protos and EY), such as risk mapping and mitigation, the possibility of accessing credit, as well as insurance and reinsurance, as well as the fact that “BNL will take care of all the necessary documentation.” In the Presentation activity and in the operational instructions given to its operators, the Bank represents regarding the Partners that “The enjoyment of the Superbonus 110% requires a series of technical and administrative obligations by qualified professional subjects. BNL, in order to offer an advisory and consultancy service, in addition to financial support, will use the support of Protos Spa for technical and project obligations while EY will support for tax and administrative activities”20. However, from the documentation on training acquired during the inspection, there is no indication that the network must convey to the customer the optional nature of the technical support of the two companies affiliated with BNL, nor is information provided about the existence of the alternative between the models of entrusting the certification activities to the two affiliated companies (Business model ‘A’), and turning to third parties for the attestations required by law (Business model ‘B’).</w:t>
        <w:br/>
        <w:t>3) BNL's Arguments</w:t>
        <w:br/>
        <w:t>24. BNL has argued21 that during the first contact with the customer, the informational documentation regarding the Superbonus is made available (Information Sheet, Privacy Notice, the documentary checklist, etc.), with the notice that the customer is required to obtain at their own expense the technical certification and the compliance certification in order to transfer the tax credit. Furthermore, they are informed from the outset that for such verifications BNL has activated agreements with partner consultants (i.e. EY and Protos) and that the related costs are all tax-deductible falling within the amounts transferable to the financial intermediary in the context of the transfer of the tax credit.</w:t>
        <w:br/>
        <w:t>19 Doc. 7, annex 7: inspection documents at BNL relating to the agreement between BNL and EY, whose annex ‘A’ lists the different fees requested from the customer: if the customer directly uses EY's services for the compliance certification, the fee requested by contract is € [150-450] for activities related to the study of eligibility for the bonus (to be paid only in case of negative outcome), € [150-450] for the issuance of the compliance certification (absorbs the previous in case of positive outcome), plus [0.5%-2%] of the costs of the works incurred for each real estate unit. Instead, if the customer uses their own certifiers/certifiers, EY performs the Due Diligence verifying the documentation already issued by the customer's certifiers/certifiers and issues a Due Diligence Report, whose fee for Ordinary Due Diligence is Euro [100-400] including VAT and CPA for each credit subject to purchase by the Bank; for Due Diligence for GOLD Clients [0.1%-0.7%] of the value of the tax credit subject to individual transfer - Minimum euro [100€-200€]; for Due Diligence in the presence of Compliance Certification E&amp;Y [0.01%-1.5%] of the value of the tax credit subject to individual transfer. To the above-mentioned costs, VAT (22%) and social security charges at 4% must always be added.</w:t>
        <w:br/>
        <w:t>20 Doc. 7, annex 9: inspection document at BNL, on operational instructions for the sales network, p. 3.</w:t>
        <w:br/>
        <w:t>21 Doc. 13 and related attachments: notes and responses to requests for information from BNL.</w:t>
      </w:r>
    </w:p>
    <w:p>
      <w:r>
        <w:t>BULLETIN NO. 32 OF 22 AUGUST 2022 89</w:t>
        <w:br/>
        <w:t>25. The customer must choose whether to entrust the execution of the compliance certification and technical certification to the experts affiliated with the Bank, namely EY for the issuance of the compliance certification and Protos for the execution of technical certifications, or decide to use professionals freely identified by them even for just one of the two activities of technical certification and compliance certification.</w:t>
        <w:br/>
        <w:t>26. Regardless of the procedure, no fee is perceived by the bank from EY and Protos, while the bank is instead required to pay a fee for the preparation of EY's due diligence and for the provision by EY of the cloud-based telematic platform through which the entire process of transferring the credit is managed, unless EY manages the compliance certification for at least 1,500 BNL customer positions (for the total of building tax bonuses, not just the Superbonus), in which case no fee is paid.</w:t>
        <w:br/>
        <w:t>27. BNL customers are completely free to use professionals of their trust, different from EY and Protos, to obtain the compliance certification and technical certification. In this regard, it has been stated that of the [50-90] consumers/micro-enterprises that as of 30 November 2021 had opened a Superbonus 110% practice with BNL, for a value of the transferred credits of approximately [20-60] million Euros, only [25-30] (about [10%-50%]) chose EY to obtain the compliance certifications and only [4-8] (just [3%-9%]) chose Protos for the technical certification operations22. All others have used third-party professionals, freely chosen by them. Furthermore, of the [150-350] Superbonus 110% practices activated by the [50-90] consumers/micro-enterprises as of 30 November 2021, only in [25-65] (just [10%-30%]) was the compliance certification issued by EY and only in [5-10] (less than [1%-5%]) was the technical certification performed by Protos.</w:t>
        <w:br/>
        <w:t>IV. BNL'S COMMITMENTS</w:t>
        <w:br/>
        <w:t>28. With notes dated 14 January 202223 and 4 May 202224, the professional submitted a proposal for commitments, pursuant to art. 27, paragraph 7, of the Consumer Code and art. 9 of the Regulation.</w:t>
        <w:br/>
        <w:t>29. The commitments – which in their final version are attached to this measure and constitute an integral part thereof – provide for:</w:t>
        <w:br/>
        <w:t>➢ Commitment 1 - strengthening information in pre-contractual documentation</w:t>
        <w:br/>
        <w:t>The Bank intends to further clarify in the pre-contractual and contractual documentation (i) that the customer is absolutely free to rely on their own experts to obtain the technical certification and the compliance certification and (ii) what the engagement methods of BNL's affiliated consultants are. In particular, in the Information Sheet:</w:t>
        <w:br/>
        <w:t>- it will be further specified that the customer may not use BNL's affiliated consultants for obtaining the technical certification and the compliance certification, and this without any consequences on the conditions under which they may transfer their tax credit from Superbonus 110% to BNL;</w:t>
      </w:r>
    </w:p>
    <w:p>
      <w:r>
        <w:rPr>
          <w:b/>
        </w:rPr>
        <w:t>[Pages 88–90]</w:t>
      </w:r>
    </w:p>
    <w:p>
      <w:r>
        <w:t>90 BULLETIN NO. 32 OF 22 AUGUST 2022</w:t>
        <w:br/>
        <w:t>- it will be explained in more detail what the roles of the affiliated consultants are (i) in the event that the customer chooses to use them to obtain the certification and the conformity visa and (ii) in the event that the customer prefers to use third-party experts to obtain such certifications. In this latter case, in order to make the reason for the involvement of the affiliated consultants as clear as possible, the Information Sheet will specify what (and what happens to) the due diligence activities that will be carried out by the affiliated consultants are;</w:t>
        <w:br/>
        <w:t>- the costs expected by BNL's affiliated companies for the technical certification and the issuance of the conformity visa will be specified, and – in any case, in the event that the customer turns to their trusted consultants – the maximum amounts and/or calculation criteria provided by the applicable regulations or any guidelines issued by professional orders for the performance of such activities will be indicated.</w:t>
      </w:r>
    </w:p>
    <w:p>
      <w:r>
        <w:t>The Information Sheet will be made available to customers at the branch and through all other communication channels used by the Bank to provide information to customers regarding the transfer of the tax credit from Superbonus 110% (such as, for example, the Bank's website).</w:t>
      </w:r>
    </w:p>
    <w:p>
      <w:r>
        <w:t>Furthermore, BNL commits to making available to the customer immediately (i.e., simultaneously with the Information Sheet) the drafts of the contracts for adherence to the EY and Protos Agreements.</w:t>
      </w:r>
    </w:p>
    <w:p>
      <w:r>
        <w:t>Finally, BNL will also specify in the contractual documentation that the customer has the option to choose whether to directly use the partner professionals affiliated with the Bank for the issuance of the conformity visa and for the technical certifications, or to decide to use professionals freely identified by them for either of the two activities of technical certification and conformity visa.</w:t>
      </w:r>
    </w:p>
    <w:p>
      <w:r>
        <w:t>➢ Commitment No. 2 – Assumption of due diligence costs and elimination of the 'Tax Credit Collection Fee'</w:t>
        <w:br/>
        <w:t>In the event that the customer decides to use their own consultants to obtain the technical certification and the conformity visa necessary to transfer the tax credit from Superbonus 110%, BNL will directly bear the costs for the due diligence activities without additional charges to its retail customers/microenterprises.</w:t>
      </w:r>
    </w:p>
    <w:p>
      <w:r>
        <w:t>Accordingly, the Bank will eliminate the “Tax Credit Collection Fee” that compensates for the Bank's operational costs, including those related to the payment of the tax due diligence.</w:t>
      </w:r>
    </w:p>
    <w:p>
      <w:r>
        <w:t>➢ Commitment No. 3 – Review of agreements with EY and elimination of any link between the costs of EY's online platform and its use by the bank</w:t>
        <w:br/>
        <w:t>The Bank commits to reviewing its agreements with EY to ensure that the online platform for managing the credit transfer processes is made available to the Bank free of charge, thus eliminating any link between the platform costs and the number of customer cases for which EY issues the conformity visa.</w:t>
      </w:r>
    </w:p>
    <w:p>
      <w:r>
        <w:t>➢ Commitment No. 4 – Training activities for the sales network</w:t>
        <w:br/>
        <w:t>The Bank commits to adopting appropriate initiatives aimed at explaining even more clearly to its sales network:</w:t>
        <w:br/>
        <w:t>- that the customer, for obtaining the conformity visa and the technical certification, has the option to turn to both BNL's affiliated consultants and their own trusted consultants;</w:t>
        <w:br/>
        <w:t>- what the costs expected by BNL's affiliated companies are for the technical certification and the issuance of the conformity visa and – in any case, in the event that the customer turns to their trusted consultants – the maximum amounts and/or calculation criteria provided by the applicable regulations or any guidelines issued by professional orders for the performance of such activities;</w:t>
        <w:br/>
        <w:t>- that, if the customer decides to use their own trusted consultant for the issuance of the conformity visa and the technical certifications, this will have no consequences on the conditions for transferring their tax credit from Superbonus 110% to BNL.</w:t>
      </w:r>
    </w:p>
    <w:p>
      <w:r>
        <w:t>➢ Commitment No. 5 – Refund of amounts paid for due diligence activities</w:t>
        <w:br/>
        <w:t>The Bank commits to refunding all amounts that have been paid to it for due diligence activities by retail customers (consumers and microenterprises) for whom it has disbursed the tax credit from Superbonus 110%.</w:t>
      </w:r>
    </w:p>
    <w:p>
      <w:r>
        <w:t>30. Regarding the timing of the implementation of the proposed measures, concerning Commitments 1, 2, 3, and 4, the Bank commits to implementing them within thirty days from the notification of the acceptance of the commitments, while regarding Commitment 5, the Bank commits to initiating the refund activity within sixty days from the notification of the acceptance of the commitments.</w:t>
      </w:r>
    </w:p>
    <w:p>
      <w:r>
        <w:t>V. OPINION OF THE BANK OF ITALY</w:t>
        <w:br/>
        <w:t>31. Since the commercial practice subject to this measure concerned the credit sector, on 15 June 2022, an opinion was requested from the Bank of Italy, pursuant to art. 27, paragraph 1-bis, of the Consumer Code.</w:t>
      </w:r>
    </w:p>
    <w:p>
      <w:r>
        <w:t>32. In an opinion received on 14 July 2022, the aforementioned Authority expressed its opinion that since “the commitments proposed by the intermediary do not present inconsistencies with the provisions of transparency and fairness regulations, it is noted that there are no observations regarding the assessments within the Authority's competence.”</w:t>
      </w:r>
    </w:p>
    <w:p>
      <w:r>
        <w:t>VI. EVALUATIONS OF THE COMMITMENTS</w:t>
        <w:br/>
        <w:t>33. The Authority believes that the commitments proposed by the Professional are suitable to remedy the possible profiles of unfairness, pursuant to the provisions of the Consumer Code, of the commercial practice contested in the initiation communication of the proceeding of 25 November 2021. In particular, it is noted that the proposed measures are characterized by features that give them concreteness and effectiveness in terms of consumer and microenterprise protection. The described measures, in fact, appear suitable to eliminate potential behaviors that could distort the choices of consumers and microenterprises regarding the contested profile, concerning the possible conditioning to the acceptance of the services of the technical engineering company Protos and the tax consultancy services offered by EY, in order to obtain the transfer of the tax credit, and therefore the payment for services not requested by consumers and/or microenterprises directly included in the credit transfer contracts.</w:t>
      </w:r>
    </w:p>
    <w:p>
      <w:r>
        <w:t>34. The proposed measures, considered as a whole, are suitable to effectively resolve the critical issues concerning the service delivery process to customers, as they improve the awareness of these customers regarding the possibility of resorting or not to the consultancy services proposed by the bank to obtain the credit transfer.</w:t>
      </w:r>
    </w:p>
    <w:p>
      <w:r>
        <w:t>35. In fact, the bank will implement certain measures that will affect the informational aspects of the services provided by the affiliated consultants (commitments no. 1 and 4), alongside measures that touch on some of their economic aspects (commitments no. 2 and 5).</w:t>
      </w:r>
    </w:p>
    <w:p>
      <w:r>
        <w:t>92 BULLETIN NO. 32 OF 22 AUGUST 2022</w:t>
        <w:br/>
        <w:t>36. In this context, regarding the informational measures presented by BNL, it is observed that the bank broadly and exhaustively presents, through commitment no. 1, the possibility of also using non-affiliated subjects with the bank, through pre-contractual informational documentation (such as information sheets) and contractual documentation (draft contracts made available at the branch before signing or also through the bank's website), with adequate and clear explanations regarding the roles assumed by the affiliated consultants, with the specification of the due diligence activities that will be carried out by the affiliated consultants, along with the related costs to be incurred. It is also emphasized that an additional informational element aimed at eliminating any profile of uncertainty is represented by the inclusion in the contractual documentation of the notice stating that “the customer has the option to choose whether to directly use the partner professionals affiliated with the Bank for the issuance of the conformity visa and for the performance of the technical certifications, or to decide to use professionals freely identified by them for either of the two activities of technical certification and conformity visa.”</w:t>
      </w:r>
    </w:p>
    <w:p>
      <w:r>
        <w:t>37. Furthermore, the completeness and transparency of the information is strengthened by the additional measure proposed through commitment no. 4 regarding the initiatives taken on the training activities of the sales network, in order to provide the customer with the necessary indications on the option that taxpayers (both individuals and microenterprises) have to turn to both the consultants affiliated with the bank and to third-party professionals operating in the field of technical design and in the market of tax consultancy (accountants and/or CAAF).</w:t>
      </w:r>
    </w:p>
    <w:p>
      <w:r>
        <w:t>38. With reference to the economic aspects of the services necessary to access the 110% tax credit, the fact that the bank assumes the management costs of the due diligence activities carried out by the affiliated subjects with the elimination of the 'Tax Credit Collection Fee' (commitment no. 2), appears to be a measure aimed at providing an economic benefit in terms of cost savings for the transfer for customers (consumers and/or microenterprises) who in the future wish to avail themselves of the professionalism of the affiliated subjects. Regarding the measure that provides for the revision of the agreements between BNL and EY (commitment no. 3), in order to introduce the free use of EY's platform, with the effect of eliminating any existing link between the management costs of the online platform borne by the Bank and the number of customer cases for which the Bank requests EY for the conformity visa, it appears useful to eliminate a source of incentive for BNL to condition customers to use EY's services for the conformity visa itself.</w:t>
      </w:r>
    </w:p>
    <w:p>
      <w:r>
        <w:t>39. Finally, regarding the refund measure (commitment no. 5) of all amounts already paid for the due diligence activities by retail customers (consumers and/or microenterprises), for whom the bank has already disbursed the tax credit from Superbonus 110%, it is considered to be a suitable remedy to compensate the group of taxpayers who have incurred such costs.</w:t>
      </w:r>
    </w:p>
    <w:p>
      <w:r>
        <w:t>40. Based on the considerations presented, therefore, the commitments presented by BNL can be considered suitable to remedy the possible profiles of unfairness of the commercial practice contested in the initiation communication of the proceeding and to meet the requirements set forth in article 27, paragraph 7, of the Consumer Code.</w:t>
      </w:r>
    </w:p>
    <w:p>
      <w:r>
        <w:rPr>
          <w:b/>
        </w:rPr>
        <w:t>[Pages 91–93]</w:t>
      </w:r>
    </w:p>
    <w:p>
      <w:r>
        <w:t>BULLETIN NO. 32 OF 22 AUGUST 2022 93</w:t>
        <w:br/>
        <w:t>CONSIDERED, therefore, that the commitments presented by Banca Nazionale del Lavoro S.p.A., in the terms outlined above, are suitable to eliminate the possible profiles of unfairness of the commercial practice subject to investigation;</w:t>
        <w:br/>
        <w:t>CONSIDERED to impose the obligation of the aforementioned commitments on Banca Nazionale del Lavoro S.p.A.;</w:t>
        <w:br/>
        <w:t>CONSIDERED, therefore, that it is possible to close the proceeding without establishing the infringement;</w:t>
        <w:br/>
        <w:t>RESOLVES</w:t>
        <w:br/>
        <w:t>a) to make mandatory, towards Banca Nazionale del Lavoro S.p.A., pursuant to art. 27, paragraph 7, of the Consumer Code and art. 9, paragraph 2, letter a), of the Regulation, the commitments proposed by the same company in the consolidated version dated 4 May 2022, as described in the Form attached to this measure, which constitutes an integral part thereof;</w:t>
        <w:br/>
        <w:t>b) to close the proceeding without establishing the infringements, pursuant to art. 27, paragraph 7, of the Consumer Code and art. 9, paragraph 2, letter a), of the Regulation;</w:t>
        <w:br/>
        <w:t>c) that Banca Nazionale del Lavoro S.p.A., within ninety days from the date of notification of this resolution, informs the Authority of the implementation of the commitments.</w:t>
        <w:br/>
        <w:t>Pursuant to art. 9, paragraph 3, of the Regulation, the proceeding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br/>
        <w:t>Pursuant to art.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br/>
        <w:t>This measure will be notified to the interested parties and published in the Bulletin of the Italian Competition Authority.</w:t>
        <w:br/>
        <w:t>THE SECRETARY GENERAL THE PRESIDENT pro tempore</w:t>
        <w:br/>
        <w:t>Guido Stazi Michele Ainis</w:t>
      </w:r>
    </w:p>
    <w:p>
      <w:r>
        <w:t>94 BULLETIN NO. 32 OF 22 AUGUST 2022</w:t>
        <w:br/>
        <w:t>PS12193 - DEUTSCHE BANK - BUILDING SUPERBONUS - ASSIGNMENT OF CREDIT</w:t>
        <w:br/>
        <w:t>Measure no. 30288</w:t>
        <w:br/>
        <w:t>THE ITALIAN COMPETITION AUTHORITY</w:t>
        <w:br/>
        <w:t>IN ITS MEETING of 4 August 2022;</w:t>
        <w:br/>
        <w:t>HEARD the Rapporteur Professor Michele Ainis;</w:t>
        <w:br/>
        <w:t>HAVING REGARD to Part II, Title III, of Legislative Decree 6 September 2005, no. 206,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w:t>
        <w:br/>
        <w:t>HAVING REGARD to its resolutions of 13 April 2022 and 31 May 2022, with which, pursuant to art. 7, paragraph 3, of the Regulation, two extensions of the deadline for concluding the proceeding were ordered, pursuant to art. 27, paragraph 7, of the Consumer Code and art. 9 of the Regulation;</w:t>
        <w:br/>
        <w:t>HAVING REGARD to the communication received on 6 May 2022, whereby Deutsche Bank S.p.A. submitted, pursuant to article 27, paragraph 7, of the Consumer Code and article 9 of the Regulation, a proposal for commitments, subsequently supplemented in the definitive and consolidated version dated 24 May 2022;</w:t>
        <w:br/>
        <w:t>HAVING REGARD to the acts of the proceeding;</w:t>
        <w:br/>
        <w:t>I. THE PARTIES</w:t>
        <w:br/>
        <w:t>1. Deutsche Bank S.p.A. (hereinafter DB or also Bank, credit institution, or Professional), as a professional, pursuant to art. 18, lett. b), of the Consumer Code, is a company active in the banking and credit sectors, particularly in the markets of collection and lending.</w:t>
        <w:br/>
        <w:t>2. Deloitte Tax and Corporate Advisory Firm S.r.l. (hereinafter Deloitte or also DLT), as an intervenor.</w:t>
        <w:br/>
        <w:t>II. THE COMMERCIAL PRACTICE</w:t>
        <w:br/>
        <w:t>3. The proceeding concerns a commercial practice related to the methods and procedures adopted by the Professional to allow consumers and micro-enterprises to access the assignment of the 110% tax credit, known as the building Superbonus, provided for by the decree-law of 19 May 2020, no. 34 (so-called "Relaunch Decree," converted with amendments by Law 17 July 2020, no. 77).</w:t>
        <w:br/>
        <w:t>4. Specifically, the commercial practice that would have been adopted by DB would consist of conditioning the conclusion of the contracts for the assignment of the tax credit entered into with consumers and/or micro-enterprises on the obligation, for the customer, to use, in order to obtain the required compliance certification, a consulting firm affiliated with the Bank itself and, in particular, the consulting firm Deloitte, with an increase in the overall costs of the service borne by the consumer/micro-enterprise.</w:t>
      </w:r>
    </w:p>
    <w:p>
      <w:r>
        <w:t>BULLETIN NO. 32 OF 22 AUGUST 2022 95</w:t>
        <w:br/>
        <w:t>III. THE OUTCOMES OF THE PROCEEDING</w:t>
        <w:br/>
        <w:t>1) The course of the proceeding</w:t>
        <w:br/>
        <w:t>5. Based on the results acquired ex officio, on 25 November 2021, the initiation of the investigative proceeding PS12193 was communicated to the Professional. In this context, it was hypothesized that Deutsche Bank's conduct could constitute a violation of articles 20, paragraph 2, 24, and 25 of the Consumer Code for the undue conditioning of consumers and micro-enterprises to accept the tax consulting services offered by Deloitte, in order to obtain the assignment of the tax credit, and/or articles 20, paragraph 2, and 26, lett. f), of the Consumer Code for the provision of paid services not requested by consumers and/or micro-enterprises directly included in the contracts for the assignment of credit.</w:t>
        <w:br/>
        <w:t>6. On 30 November 2021, inspection activities were carried out at the headquarters of DB bank and at the headquarters of the affiliated company Deloitte1.</w:t>
        <w:br/>
        <w:t>7. By communication of 6 December 2021, the Bank requested an extension of the procedural deadline to produce the information and documents requested at the initiation of the investigation, which was accepted by communication of 7 December 20212.</w:t>
        <w:br/>
        <w:t>8. By communication of 7 December 2021 and subsequent communications of 7 and 12 January 2022, the Bank responded to the information requests made during the inspection and in the initiation communication3.</w:t>
        <w:br/>
        <w:t>9. On 2 February 2022, Deloitte requested participation in the proceeding4; the acceptance of which was communicated to the Parties by notes of 8 February 20225.</w:t>
        <w:br/>
        <w:t>10. On 13 April 2022, the parties were informed of the extension of the deadline for concluding the proceeding6.</w:t>
        <w:br/>
        <w:t>11. On 6 May 2022, the Bank transmitted a declaration of commitments, supplemented on 24 May 20227.</w:t>
        <w:br/>
        <w:t>12. On 31 May 2022, the Bank was informed of the extension of the deadline for concluding the proceeding8.</w:t>
        <w:br/>
        <w:t>13. On 1 June 2022, the date of conclusion of the investigative phase was communicated to Bank DB and DLT pursuant to art. 16, paragraph 1, of the Regulation9.</w:t>
        <w:br/>
        <w:t>14. On 15 June 2022, a request for opinion was made to the Bank of Italy, pursuant to art. 27, paragraph 1-bis, of the Consumer Code10.</w:t>
        <w:br/>
        <w:t>1 Doc. 5, inspection report at DLT and Doc. 6 inspection report at the headquarters of DB bank</w:t>
        <w:br/>
        <w:t>2 Doc. 7, request for extension and Doc. 10, acceptance of the extension of procedural deadlines.</w:t>
        <w:br/>
        <w:t>3 Doc. 8: response to the information requested during the inspection; Doc. 13 and Doc. 14, information requested with the initiation communication.</w:t>
        <w:br/>
        <w:t>4 Doc. 19: request for participation in the investigative proceeding by DLT.</w:t>
        <w:br/>
        <w:t>5 Doc. 20 and Doc. 21: Acceptance of the request for participation by DLT.</w:t>
        <w:br/>
        <w:t>6 Doc. 28 and Doc. 29: extension of the deadline for concluding the proceeding communicated to the Parties.</w:t>
        <w:br/>
        <w:t>7 Docc. 30 and 31: declarations of commitments submitted by the bank.</w:t>
        <w:br/>
        <w:t>8 Doc. 32 and 33: communications to the Parties of the extension of the deadline for concluding the proceeding.</w:t>
        <w:br/>
        <w:t>9 Docc. 36 and 37: Communications of the conclusion of the investigative phase sent to the Parties.</w:t>
        <w:br/>
        <w:t>10 Doc. 41: request for Opinion to the Bank of Italy.</w:t>
      </w:r>
    </w:p>
    <w:p>
      <w:r>
        <w:rPr>
          <w:b/>
        </w:rPr>
        <w:t>[Pages 94–96]</w:t>
      </w:r>
    </w:p>
    <w:p>
      <w:r>
        <w:t>96 BULLETIN NO. 32 OF 22 AUGUST 2022</w:t>
        <w:br/>
        <w:t>15. On 14 July 2022, the opinion of the Bank of Italy11 was received.</w:t>
        <w:br/>
        <w:t>2) The elements acquired</w:t>
        <w:br/>
        <w:t>16. The legislation on the building Superbonus provides, among the requirements for the regularity of the procedure, that the taxpayer must appoint a qualified professional technician for the issuance of the conformity visa for the documentation produced to access the tax deduction. The conformity visa is issued by independent professionals such as accountants or also commercial experts, accountants, as listed in Article 3, paragraph 3, letters a) and b), of the Decree of the President of the Republic of 22/07/1998 no. 322, or also by a Tax Assistance Center. The legislation in question, therefore, leaves the client-taxpayer with wide discretion to choose to use independent professionals for the conformity visa.</w:t>
        <w:br/>
        <w:t>17. From the documents and processes acquired during the inspection, it appears that the collaboration between the bank and the tax consulting company DLT dates back to January 202112, after a period in which the bank considered the opportunity to purchase tax credits, contacting some potential partners for assistance13, while then the choice focused on Deloitte14. The partner company from that period made its platform available to the credit institution to upload the useful and necessary documentation for the transfer of credit by retail customers. The Bank offers customers a voucher with which the transferor proceeds to register in the DLT tool and upload the documentation independently. The Bank does not have access to this tool15.</w:t>
        <w:br/>
        <w:t>18. Deloitte offers the client two distinct services with costs fully borne by the client: 1) the Full service, which includes: i) collection and verification of documentation via a dedicated platform; ii) help desk and tutoring16; iii) issuance of the conformity visa; iv) Transfer of credit from the transferor's tax drawer to that of the bank; v) Dedicated support also for future audits by the Revenue Agency; 2) Basic Service for the sole collection and verification of documentation via a dedicated platform.</w:t>
        <w:br/>
        <w:t>19. Regarding the costs to be paid to DLT, the agreement with the aforementioned tax consulting company for the Basic service provides for the payment of a fee that the client must pay to the DLT Studio “equal to the greater amount between Euro 80.00 (eighty/00) and 0.49% (zero point forty-nine percent) of the nominal amount of the transferred tax credit (the “Fee Due”), plus VAT and mandatory social security contribution at 4%, or a different rate required by law. The Fee Due must be paid by the Client, by bank transfer to the coordinates indicated by the Studio, at the time of uploading to the Platform of the last document required for the Document Verification”17. For the Full service, the cost is “equal to the greater amount between Euro 200.00 (two hundred/00) and 2.3% (two point three percent) of the accrued credit”18. According to the bank's statements, these values were determined based on the rates suggested by the order of accountants19. The contract between DB and Deloitte does not provide for any compensation to be borne by the bank20.</w:t>
        <w:br/>
        <w:t>20. In the initial contract phase with the client (Onboarding), the Deloitte Service is illustrated: “The Manager describes to the Client the services offered by Deloitte providing information on the service and together with the Client fills out the recognition voucher containing the access link to the tool.” Regarding marketing activity, the acquired documentation encourages the client to take advantage of “our offer. The Relaunch Decree introduced further tax benefits confirming and expanding those already provided for the Ecobonus, and increasing the IRPEF/IRES deduction rate up to 110%,” and the advantages of turning to the bank's credit transfer services are also presented to private clients: “because, by transferring it, you quickly [emphasis added] turn your tax credit into liquidity, without waiting to deduct it from your tax return in 5 or 10 years; because you do not have to worry about having sufficient gross tax to recover the annual share; because you can obtain financing for the start or completion of the interventions. Deutsche Bank and Deloitte, together to simplify the transfer of your credit. Deutsche Bank has thought of a collaboration with Deloitte precisely to support you in all phases of the process. By signing an agreement with you, our partner will thus become your consultant and can help you present and check all the documentation necessary to benefit from the “Ecobonus/Superbonus” incentives and obtain the conformity visa”21. Regarding the price of the credit transfer, the acquired informational brochures state: “What does it cost to transfer the tax credit to Deutsche Bank? Deutsche Bank offers you a fixed price for the entire duration of the contract: for the Superbonus 110%, the amount paid will be equal to 102 euros for every 110 euros of tax credit purchased; for other building bonuses with compensation in 5 years, the amount paid will be equal to 90 euros for every 100 euros of tax credit purchased; for other building bonuses with compensation in 10 years, the amount paid will be equal to 80 euros for every 100 euros of tax credit purchased. After completing all the required formalities, you will receive what is due within 5 working days from the date your credit appears in our tax drawer. Knowing from the outset what amount you will obtain, you can choose more serenely how to set up the efficiency/restructuring works”22.</w:t>
        <w:br/>
        <w:t>17 Doc. 13, annex 4bis, “Offer of professional services in the field of incentives Relaunch Decree reserved for individuals BASIC,” whose Article 4, titled ‘Fees and costs’, establishes the compensation that the client is required to pay to Deloitte.</w:t>
        <w:br/>
        <w:t>18 Doc. 13, annexes 5 and 5bis: Offer of FULL professional services for condominiums and individuals.</w:t>
        <w:br/>
        <w:t>19 Doc. 14, annex 9: integration of the bank's response to the information request, regarding the “2021 rates suggested by the order of accountants”.</w:t>
        <w:br/>
        <w:t>20 Doc. 6, annex 4_PM 2: contract DB Deloitte _signed by DLT, Article 3 (fees and costs), documentation acquired during the inspection.</w:t>
        <w:br/>
        <w:t>21 Doc. 6, annex 4_PM2, marketing material/final materials uploaded to NPA and 210115_EcoSuperBonus_Leaflet13x18_Privati_BN_v2.</w:t>
        <w:br/>
        <w:t>22 Doc. 6, annex 4_PM2, marketing material/final materials uploaded to NPA: brochure 210125_EcoSuperBonus_LandingPage_Privati_BN_DEF.</w:t>
      </w:r>
    </w:p>
    <w:p>
      <w:r>
        <w:t>98 BULLETIN NO. 32 OF 22 AUGUST 2022</w:t>
        <w:br/>
        <w:t>21. The information sheet distributed by the bank and valid until 30/6/2022, on the service of purchasing tax credits, does not indicate the services provided by Deloitte23, nor the possibility of turning to third-party professionals not affiliated with the bank.</w:t>
        <w:br/>
        <w:t>22. Regarding the number of applications uploaded and the average processing times employed by the bank as of 7 January 2022 in managing the 110% tax credit transfer applications, the documentation provided by the bank shows that the total applications uploaded to the platform (individuals, condominiums, and companies) were [120-270]*, of which for individuals and condominiums [70-100], and [110-160] for corporate applications. Of the applications related to retail customers, only one was accepted, with a processing time of [50-90] days, calculated from the upload on the DLT portal to the purchase of the credit24.</w:t>
        <w:br/>
        <w:t>23. From the inspection documentation acquired at Deloitte on 30-11-2021, there are [105-195] total applications both concluded [10-20] and in progress, of which [45-75] opened with the Basic service and [105-205] with the Full service, for a total value of the transferred credits of approximately [99-139] million euros25.</w:t>
        <w:br/>
        <w:t>3) The arguments of DEUTSCHE BANK</w:t>
        <w:br/>
        <w:t>24. The bank DB provided the following arguments26:</w:t>
        <w:br/>
        <w:t>➢ The use of DLT services would be optional, and in the documentation provided to the client, there would be no trace of an obligation for the client to obtain the so-called “conformity visa” exclusively from Deloitte, as evidenced by the documentation produced27, including the document checklist for private clients”28.</w:t>
        <w:br/>
        <w:t>➢ In the voucher delivered to the client with the credentials to access the DLT platform, it states that the issuance of the ‘conformity visa’ occurs from DLT “where provided”29.</w:t>
        <w:br/>
        <w:t>➢ There would be full freedom on the part of the bank on how to organize the service and to choose external partners to meet operational and protection needs; the partner's intervention and its services would be clearly explained to the client already in the pre-contractual phase and reiterated in point 2.2. and letter g) of the contract's preamble.</w:t>
        <w:br/>
        <w:t>➢ The costs requested by Deloitte from clients are in line with the rates suggested by the orders of accountants.</w:t>
        <w:br/>
        <w:t>23 Doc. 6_ann. 4_PM2_client contracts credit transfer/FI Ecobonus apr21: information sheet regarding the Ecobonus, valid until 30/06/2022.</w:t>
        <w:br/>
        <w:t>* In this version, some data is omitted, as there were deemed to be elements of confidentiality or secrecy of the information.</w:t>
        <w:br/>
        <w:t>24 Doc. 13, annex n. 3, response to information requests at the start: Table including the applications processed by the bank since 5 July 2021 (the date from which the product was marketed).</w:t>
        <w:br/>
        <w:t>25 Doc. 5, annex 2: internal processing produced by Deloitte, attached to the inspection report.</w:t>
        <w:br/>
        <w:t>26 Doc. 13.</w:t>
        <w:br/>
        <w:t>27 Doc. 13, annex n. 6, regarding the informational document on the services offered by DLT: (‘SUPERBONUS – ECOBONUS/SISMABONUS – SUPPORT SERVICE The ancillary service of the Deloitte Network”), cited.</w:t>
        <w:br/>
        <w:t>28 Doc. 13, annex n. 7, titled “Superbonus, Ecobonus and other tax bonuses “building” on the documents to be delivered for the Credit Transfer by Private Clients”: in some tables reported therein (nos. 2 and 3-partially reserved), some documents to be procured are indicated “Only if the Client independently obtains the Conformity Visa”.</w:t>
        <w:br/>
        <w:t>29 Doc. 14, annex n. 8</w:t>
      </w:r>
    </w:p>
    <w:p>
      <w:r>
        <w:rPr>
          <w:b/>
        </w:rPr>
        <w:t>[Pages 97–99]</w:t>
      </w:r>
    </w:p>
    <w:p>
      <w:r>
        <w:t xml:space="preserve">BULLETIN NO. 32 OF 22 AUGUST 2022 99  </w:t>
        <w:br/>
        <w:t xml:space="preserve">IV. DB'S COMMITMENTS  </w:t>
        <w:br/>
        <w:t xml:space="preserve">25. In the communication of 6 May 2022 and the subsequent integration of 24 May 2022, Deutsche Bank preliminarily represented that having “the Bank already reached the ceiling to be used in compensation of its tax credits, it has consequently suspended the marketing of the Product.”  </w:t>
        <w:br/>
        <w:t xml:space="preserve">26. However, in view of a possible resumption of the marketing of the product called “Superbonus Edilizio,” the bank declared its commitment with the following measures:  </w:t>
        <w:br/>
        <w:t xml:space="preserve">➢ Commitment 1: strengthening the indications contained in the advertising material (such as the flyers published also on the Bank's website) and in the pre-contractual informational documentation (such as the Information Sheets), consisting of the introduction of the following indication: “you can count on the support of Deloitte*, which, as your consultant, will take care of verifying and ensuring compliance with the access requirements for the “Ecobonus/Superbonus” incentives, thanks to a dedicated online platform and a team of qualified experts. *In order to benefit from the transfer of the tax credit, the customer must enter into a contract with Deloitte (the company to which the Bank has entrusted the verification of the existence of the prerequisites and requirements that entitle them to the tax deduction) in the so-called “basic” version, bearing the related costs indicated in the Information Sheet available at the Bank's branches and agencies. If the customer intends to request Deloitte also for the issuance of the so-called “compliance visa” – instead of independently turning to other professionals (e.g., accountants or CAF) also authorized to issue such a visa – they may sign a contract with Deloitte itself in the so-called “full” version, bearing the costs indicated in the aforementioned Information Sheet.”  </w:t>
        <w:br/>
        <w:t xml:space="preserve">➢ Commitment 2: inclusion of the Economic Conditions of the service provided by Deloitte in the pre-contractual informational documentation (information sheets and flyers), indicating the cost items for:  </w:t>
        <w:br/>
        <w:t xml:space="preserve">- the so-called “basic” service (without the issuance of the ‘compliance visa’), at a cost of 0.49% of the nominal value of the credit with a minimum of €200 (increased by VAT and mandatory social security contribution of 4%, or a different amount due by law);  </w:t>
        <w:br/>
        <w:t xml:space="preserve">- the so-called “full” service (with the issuance of the ‘compliance visa’), at a cost of 2.3% of the nominal value of the credit with a minimum of €80 (increased by VAT and mandatory social security contribution of 4%, or a different amount due by law).  </w:t>
        <w:br/>
        <w:t xml:space="preserve">V. OPINION OF BANK OF ITALY  </w:t>
        <w:br/>
        <w:t xml:space="preserve">27. Since the commercial practice subject to this measure concerned the credit sector, on 15 June 2022, an opinion was requested from the Bank of Italy, pursuant to art. 27, paragraph 1-bis, of the Consumer Code.  </w:t>
        <w:br/>
        <w:t>28. In the opinion received on 14 July 2022, the aforementioned Authority expressed its opinion that since “the commitments proposed by the intermediary do not present inconsistencies with the provisions of transparency and fairness regulations, it is noted that there are no observations regarding the assessments within the Authority's competence.”</w:t>
      </w:r>
    </w:p>
    <w:p>
      <w:r>
        <w:t xml:space="preserve">100 BULLETIN NO. 32 OF 22 AUGUST 2022  </w:t>
        <w:br/>
        <w:t xml:space="preserve">VI. EVALUATION OF THE COMMITMENTS  </w:t>
        <w:br/>
        <w:t xml:space="preserve">29. The Authority believes that the commitments proposed by the Professional are suitable to remedy the possible profiles of unfairness, pursuant to the Consumer Code, of the commercial practice contested in the initiation communication of the proceeding of 25 November 2021. In particular, it is noted that the proposed measures are characterized by features that give them concreteness and effectiveness in terms of consumer and micro-enterprise protection. The described measures, in fact, appear capable of eliminating potential unfair behaviors that could distort the choices of consumers and micro-enterprises regarding the contested aspect, concerning the possible conditioning to the acceptance of the services offered by DLT, in order to obtain the transfer of the tax credit, and therefore the payment for services not requested by consumers and/or micro-enterprises directly included in the contracts for the transfer of the credit.  </w:t>
        <w:br/>
        <w:t xml:space="preserve">30. The proposed measures, considered as a whole, are suitable to effectively resolve the critical issues concerning the process of providing the service to customers, as they improve the awareness of these customers regarding the possibility of resorting or not to the consulting services proposed by the bank to obtain the transfer of the credit.  </w:t>
        <w:br/>
        <w:t xml:space="preserve">31. In fact, the bank will implement certain measures that will affect the informational aspects of the services provided by DLT, should the service for purchasing tax credits, currently suspended, resume.  </w:t>
        <w:br/>
        <w:t xml:space="preserve">32. Firstly, the measure regarding the information provided in the flyer (commitment no. 1) is commendable, as it puts the taxpayer in a position to know that, in addition to the services offered by the affiliated company, there is the possibility of turning to third parties using only the so-called ‘basic’ service of Deloitte. In fact, the distinction between the two types of service (with and without the compliance visa), accompanied by the clarification that “If the customer intends to request Deloitte also for the issuance of the so-called ‘compliance visa’ – instead of independently turning to other professionals (e.g., accountants or CAF) also authorized to issue such a visa – they may sign a contract with Deloitte itself in the so-called ‘full’ version, bearing the costs indicated in the aforementioned Information Sheet,” appears to be a useful indication to clarify to taxpayers that there is also the possibility of turning to, in addition to the entity affiliated with the bank, different professionals authorized to issue the compliance visa.  </w:t>
        <w:br/>
        <w:t xml:space="preserve">33. From the perspective of the economic conditions applied, it is worth highlighting that the indication of the costs to be incurred (commitment no. 2), included in the section dedicated to the ‘Economic Conditions of the service’30 of the Information Sheet, also referenced in the flyer, is an adequate measure to clarify that there are different costs depending on the service chosen by the consumer-taxpayer, for obtaining the compliance visa: (i) that provided without the issuance of the compliance visa, being able to turn to professionals not affiliated with the bank (so-called ‘basic’), as well as (ii) that which includes the ‘compliance visa’ (so-called Full), provided by Deloitte.  </w:t>
        <w:br/>
        <w:t>30 “The following costs will be paid by the customer directly to Deloitte Cost for the so-called ‘basic’ service provided by Deloitte (without the issuance of the so-called compliance visa) 0.49% of the nominal value of the credit; with a minimum of €200 (increased by VAT and mandatory social security contribution of 4%, or a different amount due by law); Cost for the so-called ‘full’ service provided by Deloitte (with the issuance of the so-called compliance visa) 2.3% of the nominal value of the credit with a minimum of €80 (increased by VAT and mandatory social security contribution of 4%, or a different amount due by law).”</w:t>
      </w:r>
    </w:p>
    <w:p>
      <w:r>
        <w:t xml:space="preserve">BULLETIN NO. 32 OF 22 AUGUST 2022 101  </w:t>
        <w:br/>
        <w:t xml:space="preserve">34. In light of the above considerations, therefore, the commitments presented by DB can be considered suitable to remedy the possible profiles of unfairness of the contested commercial practice in the initiation communication of the proceeding and to meet the requirements set forth in article 27, paragraph 7, of the Consumer Code.  </w:t>
        <w:br/>
        <w:t xml:space="preserve">THEREFORE CONSIDERED, that the commitments presented by Deutsche Bank S.p.A., in the terms outlined above, are suitable to eliminate the possible profiles of unfairness of the commercial practice subject to investigation;  </w:t>
        <w:br/>
        <w:t xml:space="preserve">CONSIDERED to impose the obligation of the aforementioned commitments on Deutsche Bank S.p.A.;  </w:t>
        <w:br/>
        <w:t xml:space="preserve">CONSIDERED, therefore, to be able to close the proceeding without establishing the infringement;  </w:t>
        <w:br/>
        <w:t xml:space="preserve">RESOLVES  </w:t>
        <w:br/>
        <w:t xml:space="preserve">a) to make mandatory, towards Deutsche Bank S.p.A., pursuant to art. 27, paragraph 7, of the Consumer Code and art. 9, paragraph 2, letter a), of the Regulation, the commitments proposed by the same company in the communications of 6 and 24 May 2022, as described in the declaration attached to this measure, which constitutes an integral part thereof;  </w:t>
        <w:br/>
        <w:t xml:space="preserve">b) to close the proceeding without establishing the infringement, pursuant to art. 27, paragraph 7, of the Consumer Code and art. 9, paragraph 2, letter a), of the Regulation;  </w:t>
        <w:br/>
        <w:t xml:space="preserve">c) that Deutsche Bank S.p.A., within ninety days from the date of notification of this resolution, informs the Authority of the implementation of the commitments.  </w:t>
        <w:br/>
        <w:t xml:space="preserve">Pursuant to article 9, paragraph 3, of the Regulation, the proceeding may be reopened ex officio, where:  </w:t>
        <w:br/>
        <w:t xml:space="preserve">a) the professional does not implement the commitments;  </w:t>
        <w:br/>
        <w:t xml:space="preserve">b) the factual situation changes regarding one or more elements on which the decision is based;  </w:t>
        <w:br/>
        <w:t xml:space="preserve">c) the decision to accept commitments is based on information provided by the Parties that is incomplete, inaccurate, or misleading.  </w:t>
        <w:br/>
        <w:t xml:space="preserve">Pursuant to art.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  </w:t>
        <w:br/>
        <w:t xml:space="preserve">This measure will be notified to the interested parties and published in the Bulletin of the Italian Competition Authority.  </w:t>
        <w:br/>
        <w:t xml:space="preserve">THE SECRETARY GENERAL THE PRESIDENT f.f.  </w:t>
        <w:br/>
        <w:t xml:space="preserve">Guido Stazi Michele Ainis  </w:t>
        <w:br/>
        <w:t>____________________________________________________________________</w:t>
      </w:r>
    </w:p>
    <w:p>
      <w:r>
        <w:rPr>
          <w:b/>
        </w:rPr>
        <w:t>[Pages 100–102]</w:t>
      </w:r>
    </w:p>
    <w:p>
      <w:r>
        <w:t>102 BULLETIN NO. 32 OF 22 AUGUST 2022</w:t>
        <w:br/>
        <w:t>PS12193 - DEUTSCHE BANK - BUILDING SUPERBONUS - ASSIGNMENT OF CREDIT</w:t>
        <w:br/>
        <w:t>Annex to measure no. 30288</w:t>
        <w:br/>
        <w:t>STATEMENT OF COMMITMENTS</w:t>
        <w:br/>
        <w:t>In the context of proceeding no. PS12193 – DEUTSCHE BANK BUILDING SUPERBONUS, initiated by the Italian Competition Authority on 25 November 2021 and concerning the commercial conduct of Deutsche Bank S.p.A., in relation to an alleged unfair commercial practice consisting of conditioning the conclusion of contracts for the assignment of the tax credit falling under the Superbonus 110%, entered into with consumers and/or micro-enterprises, on the obligation for the customer to use, in order to obtain the compliance certification required by law, a consulting company affiliated with the Bank, with an increase in the overall costs of the service borne by the consumer/micro-enterprise, Deutsche Bank S.p.A., pursuant to and for the purposes of Article 27, paragraph 7, of the "Consumer Code" (Legislative Decree 6 September 2005, no. 206 and subsequent amendments) commits, starting from the date of communication of the Authority's measure, to implement the following measures in the manner and within the timeframes indicated below:</w:t>
        <w:br/>
        <w:t>➢ Commitment 1: strengthening the indications contained in the advertising material (such as the flyers published also on the Bank's website) and in the pre-contractual information documentation (such as the Information Sheets), consisting of the introduction of the following indication: “you can count on the support of Deloitte*, which, as your consultant, will take care of verifying and ensuring compliance with the access requirements for the “Ecobonus/Superbonus” incentives, thanks to a dedicated online platform and a team of qualified experts. *In order to benefit from the assignment of the tax credit, the customer must enter into a contract with Deloitte (the company to which the Bank has entrusted the verification of the existence of the prerequisites and requirements that entitle them to the tax deduction) in the so-called “basic” version, bearing the related costs set out in the Information Sheet available at the Bank's branches and agencies. If the customer wishes to request Deloitte also for the issuance of the so-called “compliance certification” – instead of independently turning to other professionals (e.g., accountants or CAF) also authorized to issue such certification – they may sign a contract with Deloitte in the so-called “full” version, bearing the costs set out in the aforementioned Information Sheet.”</w:t>
        <w:br/>
        <w:t>➢ Commitment 2: inclusion of the Economic Conditions of the service provided by Deloitte in the pre-contractual information documentation (information sheets and flyers), indicating the cost items for:</w:t>
        <w:br/>
        <w:t>- the so-called “basic” service provided by Deloitte (without the issuance of the ‘compliance certification’), at a cost of 0.49% of the nominal value of the credit with a minimum of €200 (increased by VAT and mandatory social security contribution of 4%, or a different rate required by law);</w:t>
        <w:br/>
        <w:t>- the so-called “full” service provided by Deloitte (with the issuance of the ‘compliance certification’), at a cost of 2.3% of the nominal value of the credit with a minimum of €80 (increased by VAT and mandatory social security contribution of 4%, or a different rate required by law).</w:t>
      </w:r>
    </w:p>
    <w:p>
      <w:r>
        <w:t>BULLETIN NO. 32 OF 22 AUGUST 2022 103</w:t>
        <w:br/>
        <w:t>PS12239 - AGM GROUP - SUPERBONUS ADVERTISING</w:t>
        <w:br/>
        <w:t>Measure no. 30289</w:t>
        <w:br/>
        <w:t>THE ITALIAN COMPETITION AUTHORITY</w:t>
        <w:br/>
        <w:t>IN ITS MEETING of 4 August 2022;</w:t>
        <w:br/>
        <w:t>HEARD the Rapporteur Professor Michele Ainis;</w:t>
        <w:br/>
        <w:t>HAVING REGARD to Part II, Title III of Legislative Decree 6 September 2005, no. 206,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w:t>
        <w:br/>
        <w:t>HAVING REGARD to its resolution of 7 June 2022, with which, pursuant to Article 7, paragraph 3, of the Regulation, the deadline for concluding the proceeding was extended, considering the need to examine the findings in the records for the purpose of evaluating the case subject to the proceeding;</w:t>
        <w:br/>
        <w:t>HAVING REGARD to the documents of the proceeding;</w:t>
        <w:br/>
        <w:t>I. THE PARTIES</w:t>
        <w:br/>
        <w:t>1. AGM Group S.r.l. (hereinafter AGM Group), with registered office in Conegliano (TV), as a professional, pursuant to Article 18, letter b), of the Consumer Code. The company is active in the retail trade through demonstrators of products related, in particular, to renewable energies, boilers, heat pumps, photovoltaics. The company's balance sheet as of 31 December 2020 shows revenues of €377,774.</w:t>
        <w:br/>
        <w:t>2. The Association CODICI and 70 consumers, as complainants and/or interveners.</w:t>
        <w:br/>
        <w:t>II. THE COMMERCIAL PRACTICE</w:t>
        <w:br/>
        <w:t>3. The proceeding concerns the behaviors carried out by the professional, in relation to advertising messages disseminated through its website, social media profiles, and advertising flyers, to promote the services offered in relation to the so-called “Building Superbonus 110%” (the tax incentive regulated by Article 119 of Decree-Law no. 34/2020 - Relaunch Decree), and consisting of:</w:t>
        <w:br/>
        <w:t>A) presenting itself as a company that handles the entire process of building renovation works falling under the Building Superbonus 110%, including the execution of the works and the assignment of the related tax credit, although the professional then limits itself to issuing to consumers a report for the feasibility study of the works – and in some cases does not even carry out this activity – after numerous reminders from the consumers themselves and without signing the same, thus considering its assignment completed, therefore without actually providing the promoted services necessary for carrying out the entire process of the Building Superbonus.</w:t>
      </w:r>
    </w:p>
    <w:p>
      <w:r>
        <w:t>104 BULLETIN NO. 32 OF 22 AUGUST 2022</w:t>
        <w:br/>
        <w:t>Furthermore, AGM Group has used the following claim in its advertising flyers: “We are the only company that guarantees you all the benefits of the superbonus,” which emphasizes the services provided by the company, “guaranteeing” the successful completion of the practices related to the Building Superbonus 110%, while there can be no guarantees for the consumer regarding the enjoyment of the tax benefits provided by the aforementioned Relaunch Decree, since such benefits are exclusively related to the existence, in each individual case, of the conditions expressly provided for by the Decree;</w:t>
        <w:br/>
        <w:t>B) having emphasized the assignment of the tax credit accrued in relation to the execution of building renovation works as “the only form of payment” for the services offered by the company, to be incurred at the end of the works, omitting to inform consumers that, in reality, the professional requires them to make an immediate payment of a sum of money, which would only be refunded at the end of the works.</w:t>
        <w:br/>
        <w:t>III. THE FINDINGS OF THE PROCEEDING</w:t>
        <w:br/>
        <w:t>1) The course of the proceeding</w:t>
        <w:br/>
        <w:t>4. In relation to the aforementioned conduct, on 14 January 2022, the professional was notified of the initiation of investigative proceeding no. PS12239 for possible violation of Articles 20, paragraph 2, 21, and 22 of the Consumer Code.</w:t>
        <w:br/>
        <w:t>5. On 1 February 2022, a response was received from AGM Group to the request for information made in the communication initiating the proceeding.</w:t>
        <w:br/>
        <w:t>6. On 8 April 2022, the professional was informed of the acceptance of the participation requests in the proceeding submitted by the Association Codici and 70 consumers, accepted with communications of 21 March 2022 and 6, 7, and 8 April 2022.</w:t>
        <w:br/>
        <w:t>7. On 11 May 2022, the date of conclusion of the investigative phase was communicated to the Parties pursuant to Article 16, paragraph 1, of the Regulation.</w:t>
        <w:br/>
        <w:t>8. On 8 June 2022, the Parties were informed of the extension of the deadline for concluding the proceeding, decided by the Authority on 7 June 2022.</w:t>
        <w:br/>
        <w:t>9. From 27 May 2022 to 13 June 2022, the Parties submitted their final submissions.</w:t>
        <w:br/>
        <w:t>10. On 16 June 2022, pursuant to and for the purposes of Article 27, paragraph 6, of the Consumer Code, a request for an opinion was sent to the Authority for Communications Guarantees. The opinion of the Authority was received on 13 July 2022.</w:t>
      </w:r>
    </w:p>
    <w:p>
      <w:r>
        <w:rPr>
          <w:b/>
        </w:rPr>
        <w:t>[Pages 103–105]</w:t>
      </w:r>
    </w:p>
    <w:p>
      <w:r>
        <w:t>BULLETIN NO. 32 OF 22 AUGUST 2022 105</w:t>
        <w:br/>
        <w:t>2) The evidence acquired</w:t>
        <w:br/>
        <w:t>The requests for intervention received</w:t>
        <w:br/>
        <w:t>11. In relation to the conduct subject to contestation, starting from October 2021, over one hundred reports have been received from consumers, from which it emerged that the agreements they concluded with AGM Group concerned the entire restructuring process with the Superbonus 110% (“The agreement provided that they would handle all the paperwork and the complete realization of the project”9; “Offered a turnkey package for the 110% superbonus process”10; “Saw an advertisement on Facebook for consulting clients to take advantage of the 'Turnkey' package for obtaining the Ecobonus 110%, I made an appointment with AGM GROUP to entrust the practice”11; “I was verbally assured that the entire process would be followed by AGM Group srl, including the total bureaucratic fulfillment related to finding the companies that would carry out the work, no cash exposure”12; “(...) In particular, they said they would take care of all the necessary paperwork to obtain this benefit and all the energy efficiency work”13).</w:t>
        <w:br/>
        <w:t>12. From the numerous reports received by the Authority, it is also possible to deduce that, even in cases where AGM Group delivered to the customer the feasibility study with a positive outcome or with indications of necessary interventions to remedy building irregularities, which were subsequently carried out, the company never initiated the building renovation work indicated in the feasibility study, despite repeated requests from the customers themselves. In particular, some consumers reported that the company responded to requests for continuation of the activities planned for the Superbonus process with continuous generic justifications, without ever starting the work14, or, in other cases, consumers complain that they have not received any further news from the company regarding the initiated practice and have not been able to contact it again15. More recently, the company would have claimed to reserve the choice in each individual case whether or not to carry out the work due to the high number of acquired clients, despite representing to consumers in its commercial communications and at the time of signing the contract that it would take care of managing the entire practice related to the Superbonus 110% (“After over a year and after obtaining both the feasibility study and the Metric Calculation, in the last meeting held on 29/11/2021, one of their employees... stated that AGM Group Srl reserved the right to carry out the work having a significant number of clients (perhaps 2,000), for which it (AGM SRL) would choose only those construction sites that were more profitable for them. After that date, they stopped contacting us”16).</w:t>
        <w:br/>
        <w:t>9 Doc. 8.</w:t>
        <w:br/>
        <w:t>10 Doc. 11.</w:t>
        <w:br/>
        <w:t>11 Doc. 15.</w:t>
        <w:br/>
        <w:t>12 Doc. 216.</w:t>
        <w:br/>
        <w:t>13 Doc. 235.</w:t>
        <w:br/>
        <w:t>14 Doc. 1, Doc. 20, Doc. 216.</w:t>
        <w:br/>
        <w:t>15 Doc. 57.</w:t>
        <w:br/>
        <w:t>16 Doc. 220.</w:t>
      </w:r>
    </w:p>
    <w:p>
      <w:r>
        <w:t>106 BULLETIN NO. 32 OF 22 AUGUST 2022</w:t>
        <w:br/>
        <w:t>13. Moreover, in many cases, the reporting consumers complain that the feasibility study delivered by AGM Group is unsigned.</w:t>
        <w:br/>
        <w:t>14. Furthermore, it appears from the reports received that almost all consumers paid significant sums of money (also exceeding 500-1500 euros), according to the requests made by the professional, in order to proceed with the practices to obtain the feasibility studies and thus to initiate the activities to be conducted until the completion of the building works benefiting from the Superbonus 110%. Following the payment of such sums, consumers appear to have received no useful service to proceed with the works with the Superbonus (“Since then, I have repeatedly called AGM Group offices (see attached example 7) to know the status of the practice but I have always received vague responses, such as: the dossier is under study, the metric calculation is not finished”; “To date, despite numerous phone reminders, I find myself empty-handed. The company justifies itself by saying that they are overwhelmed with work and struggling to find materials, but after eight months from the payment, I have still not received the APE, the feasibility study, the metric calculation, so I find myself having paid for a service that was never provided to me”; “After eleven months, I find that they have only drafted these sheets which, moreover, have no legal value as they have neither a stamp nor a signature from a qualified technician. After countless reminders explaining that time is running out and I cannot lose this opportunity, they hide behind the continuous changes in the ecobonus law”17).</w:t>
        <w:br/>
        <w:t>The evidence collected on the conduct subject to the proceeding</w:t>
        <w:br/>
        <w:t>i) Conduct sub A)</w:t>
        <w:br/>
        <w:t>15. From the evidence acquired in the records, it appears that AGM Group positions itself in the market as a company capable of fully managing the building renovation works provided for by the Superbonus 110%, through advertising communications present: 1) on its website (https://www.agmgroup.it/), where claims such as: “Are you looking for a company to guide you through the entire ECOBONUS 110% process? AGM Group provides a TURNKEY package for individual homes and condominiums (...)”, “AGM Group follows the customer step by step 360° for the Superbonus 110% practice”18; 2) on its Facebook channel, using phrases such as: “All interventions from masonry, insulation to energy savings with credit transfer”19; 3) in advertising flyers, which state the following phrases: “Superbonus 110% Sismabonus 110% Turnkey for houses and condominiums”, “(...) we will follow you step by step at the bureaucratic and construction level”20.</w:t>
        <w:br/>
        <w:t>16. AGM Group itself, in response to the request for information contained in the communication initiating the proceeding, states that the services offered to its clients take place in three phases: “Phase 1”, aimed at drafting the feasibility study; “Phase 2”, subject to the successful outcome of the feasibility study, aimed at drafting a metric calculation with the calculation of the value of the works; “Phase 3”, for the definition of the timeline, in which the client can choose to entrust the execution of the works to AGM Group. Therefore, the professional states that, where the conditions provided by law exist and the client decides to entrust the assignment to AGM Group, “the procedure is fully managed and completed by us”21.</w:t>
        <w:br/>
        <w:t>17. However, it has emerged that despite AGM Group having signed approximately [1,000-2,000]* contracts between 2020 and 2021, in none of these cases did the company then initiate the building renovation works22, limiting itself in some cases to issuing the feasibility study and, in some cases, also the metric calculation of the works. Moreover, the feasibility study delivered by AGM Group appears to be unsigned and in this regard, the company states that “The actual signature of a qualified Technician is affixed at a later stage on the Energy Performance Certificates uploaded to the ENEA portal”23.</w:t>
        <w:br/>
        <w:t>18. From the documentation in the records, it also appears that AGM Group has used advertising flyers containing the claim: “We are the only company that guarantees you all the benefits of the superbonus”, thus offering its clients the “guarantee” of obtaining the tax benefit.</w:t>
        <w:br/>
        <w:t>ii) Conduct sub B)</w:t>
        <w:br/>
        <w:t>19. With reference to conduct B), it has emerged that the same advertising flyers mentioned above also contain the following phrase: “The only form of payment will be the credit transfer, without Banks and financing!!!”.</w:t>
        <w:br/>
        <w:t>20. In reality, AGM Group has requested its clients immediate payment of a sum of money, as compensation for the feasibility verification of the intervention and the simultaneous drafting of the technical report24, the return of which was only foreseen at the end of the works. The contract titled “INTERVENTION SHEET ECOBONUS 110%”25, in fact, expressly states that “The agreed amount pertains exclusively to the reference costs [sic] for the assignment to the professional responsible for the feasibility verification of the intervention and simultaneous drafting of the technical report. In this sense, the amount paid cannot be repeated and it is specifically excluded, in the event of exercising the right of withdrawal from the assignment by the principal, the repetition of the sum paid here. In the event that the principal, having received the report with the feasibility judgment of the intervention, assigns AGM GROUP srl or whoever on its behalf to proceed with the energy renovation works as indicated in the report, at the conclusion of the same AGM GROUP undertakes to return upon simple request, by sending registered mail to the legal headquarters or via certified email, the sum paid for the cost of the report”.</w:t>
        <w:br/>
        <w:t>21. Moreover, since AGM Group has not carried out any building renovation work, none of its clients have been able to obtain the return of the sums they paid in the hope of being reimbursed at the end of the works.</w:t>
        <w:br/>
        <w:t>21 Doc. 60.</w:t>
        <w:br/>
        <w:t>* In this version, some data is omitted, as elements of confidentiality or secrecy of the information were deemed to exist.</w:t>
        <w:br/>
        <w:t>22 Ibidem.</w:t>
        <w:br/>
        <w:t>23 Doc. 60, p. 2.</w:t>
        <w:br/>
        <w:t>24 Doc. 313, p. 10.</w:t>
        <w:br/>
        <w:t>25 Doc. 1, Attachment 3.</w:t>
      </w:r>
    </w:p>
    <w:p>
      <w:r>
        <w:rPr>
          <w:b/>
        </w:rPr>
        <w:t>[Pages 106–108]</w:t>
      </w:r>
    </w:p>
    <w:p>
      <w:r>
        <w:t>Superbonus edilizio 110%, creando così false aspettative nei consumatori.</w:t>
      </w:r>
    </w:p>
    <w:p>
      <w:r>
        <w:t>ii) Condotta sub B)</w:t>
        <w:br/>
        <w:t>39. La documentazione in atti dimostra che AGM Group ha pubblicizzato la gratuità dei servizi offerti, ma in realtà i consumatori sono stati informati del corrispettivo da versare per la redazione dello studio di fattibilità, il che contraddice le affermazioni fatte nei messaggi pubblicitari.</w:t>
      </w:r>
    </w:p>
    <w:p>
      <w:r>
        <w:t>40. Inoltre, i consumatori hanno confermato che, nonostante la pubblicità, sono stati richiesti pagamenti immediati, il che non è stato chiaramente comunicato, creando confusione e malintesi riguardo ai costi reali dei servizi.</w:t>
      </w:r>
    </w:p>
    <w:p>
      <w:r>
        <w:t>41. Pertanto, le condotte di AGM Group sono da considerarsi ingannevoli e in violazione del Codice del Consumo, in quanto hanno indotto i consumatori a prendere decisioni commerciali basate su informazioni fuorvianti.</w:t>
      </w:r>
    </w:p>
    <w:p>
      <w:r>
        <w:t>V. DISPOSIZIONI FINALI</w:t>
        <w:br/>
        <w:t>42. In considerazione di quanto sopra esposto, si dispone che AGM Group cessi immediatamente le pratiche commerciali ingannevoli e adotti misure correttive per garantire la trasparenza e la correttezza delle informazioni fornite ai consumatori.</w:t>
      </w:r>
    </w:p>
    <w:p>
      <w:r>
        <w:t>43. Si invita AGM Group a rivedere le proprie strategie di marketing e comunicazione per conformarsi alle disposizioni del Codice del Consumo e garantire che i consumatori siano adeguatamente informati riguardo ai servizi offerti e ai relativi costi.</w:t>
      </w:r>
    </w:p>
    <w:p>
      <w:r>
        <w:rPr>
          <w:b/>
        </w:rPr>
        <w:t>[Pages 109–111]</w:t>
      </w:r>
    </w:p>
    <w:p>
      <w:r>
        <w:t>BULLETIN NO. 32 OF 22 AUGUST 2022 111</w:t>
        <w:br/>
        <w:t>the aforementioned Superbonus building 110%, while it cannot offer guarantees to the consumer regarding the enjoyment of such tax benefit as the successful completion of the procedure depends on the existence, in each individual case, of the legal conditions.</w:t>
      </w:r>
    </w:p>
    <w:p>
      <w:r>
        <w:t>39. In this regard, the professional claims that such flyers were produced by former commercial consultants who had already been warned not to use the name of the company. However, the professional does not provide suitable evidence to support this argument since the document produced by the company (dated 24/03/2021 and addressed to a company with which it had concluded an agency contract29), with which it warns the recipient and withdraws from the agency contract, does not contain any reference to the use of unauthorized flyers by the warned company. There is therefore no evidence that the flyers were produced by "former consultants," as they could have been distributed during the period of validity of the agency relationship.</w:t>
      </w:r>
    </w:p>
    <w:p>
      <w:r>
        <w:t>40. In this regard, it is highlighted that AGM Group is to be considered responsible for the activities carried out by its agents/promoters as it has not demonstrated, even through the warning document in question, that it has implemented an effective and preventive control system over the content of the promotional initiatives carried out by them.</w:t>
      </w:r>
    </w:p>
    <w:p>
      <w:r>
        <w:t>41. In conclusion, conduct A) is misleading, as the information provided by AGM Group regarding the content and characteristics of the services offered by it is not true and, therefore, relevant information that the average consumer needs to make an informed commercial decision is misleadingly formulated, leading them to make a commercial decision that they would not have otherwise made. In fact, the consumer relied on AGM Group's management of the entire process related to the works falling under the Superbonus building 110%, with a guaranteed positive outcome, as represented and proposed by the same company.</w:t>
      </w:r>
    </w:p>
    <w:p>
      <w:r>
        <w:t>ii) Conduct B)</w:t>
        <w:br/>
        <w:t>42. The claim contained in the advertising flyers used by AGM Group to promote the services offered by the company (“The only form of payment will be the transfer of credit, without Banks and financing!!!”) clearly implies that the customer is not required to initially pay any sum of money for the execution of the works falling under the Superbonus 110% pathway. In reality, AGM Group has requested its customers to make an immediate payment of a sum, as compensation for the feasibility verification of the intervention and the simultaneous drafting of the technical report, which would only be refundable at the end of the works.</w:t>
      </w:r>
    </w:p>
    <w:p>
      <w:r>
        <w:t>43. For the purposes of assessing the misleading nature of the advertising message in question, the exception raised by the professional regarding the express provision of such compensation in the contract titled “ecobonus 110% practice intervention” appears to lack merit, as the commercial communication must be clear and complete from the very first commercial contact. Instead, in the case at hand, the advertising message does not provide the consumer with an essential element for a prompt perception of the convenience of the advertised offer, which is the immediate burden on the consumer of a cost for entrusting the advertised services to the professional.</w:t>
      </w:r>
    </w:p>
    <w:p>
      <w:r>
        <w:t>44. In conclusion, conduct B) constitutes a misleading omission, as AGM Group represented in its commercial communications the transfer of the tax credit as the only form of payment for the works falling under the Superbonus building 110%, failing to inform consumers, from the very first commercial contact, of the request for immediate payment of the compensation for the feasibility verification of the intervention and the simultaneous drafting of the technical report, refundable only at the end of the works. The advertising message in question is therefore capable of generating specific expectations in the consumer from the very first contact regarding the extent of the benefits derived from adherence to the offer, without the circumstance being relevant that, at a later time, the same consumer may obtain further information. Relevant information has therefore been omitted, which the average consumer needs to make an informed commercial decision, leading them to make a commercial decision that they would not have otherwise made.</w:t>
      </w:r>
    </w:p>
    <w:p>
      <w:r>
        <w:t>iii) Conclusions</w:t>
        <w:br/>
        <w:t>45. In light of the considerations expressed above, the described conducts constitute an unfair commercial practice in violation of Articles 21, regarding conduct A), and 22, regarding conduct B), of the Consumer Code. This practice is capable, through a misleading representation of the content and characteristics of the services offered by the professional and the omission of essential information regarding the related economic conditions, of appreciably distorting the economic behavior of the average consumer in relation to such services.</w:t>
      </w:r>
    </w:p>
    <w:p>
      <w:r>
        <w:t>VII. QUANTIFICATION OF THE SANCTION</w:t>
        <w:br/>
        <w:t>46. Pursuant to Article 27, paragraph 9, of the Consumer Code, with the measure that prohibits the unfair commercial practice, the Authority orders the application of an administrative pecuniary sanction from 5,000 to 5,000,000 euros, taking into account the severity and duration of the violation.</w:t>
      </w:r>
    </w:p>
    <w:p>
      <w:r>
        <w:t>47. Regarding the quantification of the sanction, account must be taken, where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48. With regard to the severity of the violation, consideration is given in the case at hand to the economic size of the professional, who achieved revenues of 377,774 euros in 2020, the misleading profile that characterized the promotional activity of AGM Group, based on misleading indications and the omission of relevant information regarding the content and characteristics, including economic, of the services offered, the widespread nature of the practice, carried out through channels such as the operator's website and social media profiles, capable of reaching a large number of recipients and significantly influencing the realization of the practice itself, as well as the effects of the conduct, taking into account the volume of contracts concluded amounting to approximately [1,000-2,000].</w:t>
      </w:r>
    </w:p>
    <w:p>
      <w:r>
        <w:t>BULLETIN NO. 32 OF 22 AUGUST 2022 113</w:t>
        <w:br/>
        <w:t>49. As for the duration of the violation, from the available elements in the records, it appears that the commercial practice has been carried out since at least October 2020, and it is still ongoing30.</w:t>
      </w:r>
    </w:p>
    <w:p>
      <w:r>
        <w:t>50. Based on these elements, it is deemed appropriate to determine the base amount of the administrative pecuniary sanction applicable to AGM Group S.r.l. at the amount of 30,000 (thirty thousand) euros.</w:t>
      </w:r>
    </w:p>
    <w:p>
      <w:r>
        <w:t>51. Considering the economic situation of the professional, which presents unfavorable economic conditions with a loss-making balance sheet, it is deemed appropriate to determine the amount of the administrative pecuniary sanction applicable to AGM Group S.r.l. at the amount of 25,000 (twenty-five thousand) euros.</w:t>
      </w:r>
    </w:p>
    <w:p>
      <w:r>
        <w:t>THEREFORE, in accordance with the opinion of the Authority for Communications Guarantees, based on the considerations set forth above, it is determined that the commercial practice in question is unfair pursuant to Articles 21 and 22 of the Consumer Code as it is capable, through a deceptive representation of the content and characteristics, including economic, of the services offered by the professional, of appreciably distorting the economic behavior of the average consumer in relation to such services;</w:t>
      </w:r>
    </w:p>
    <w:p>
      <w:r>
        <w:t>RESOLVES</w:t>
        <w:br/>
        <w:t>a) that the commercial practice described in point II letters A) and B) of this measure, carried out by AGM Group S.r.l., constitutes, for the reasons and within the limits set forth in the motivation, an unfair commercial practice pursuant to Articles 21 and 22 of the Consumer Code, and prohibits its dissemination or continuation;</w:t>
      </w:r>
    </w:p>
    <w:p>
      <w:r>
        <w:t>b) to impose on AGM Group S.r.l. an administrative pecuniary sanction of 25,000 (twenty-five thousand) euros;</w:t>
      </w:r>
    </w:p>
    <w:p>
      <w:r>
        <w:t>c) that the professional shall communicate to the Authority, within 60 days from the notification of this measure, the initiatives taken in compliance with the warning referred to in point a).</w:t>
      </w:r>
    </w:p>
    <w:p>
      <w:r>
        <w:t>The administrative sanction imposed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w:t>
      </w:r>
    </w:p>
    <w:p>
      <w:r>
        <w:rPr>
          <w:b/>
        </w:rPr>
        <w:t>[Pages 112–114]</w:t>
      </w:r>
    </w:p>
    <w:p>
      <w:r>
        <w:t>114 BULLETIN NO. 32 OF 22 AUGUST 2022</w:t>
        <w:br/>
        <w:t>the imposed penalty is increased by one-tenth for each semester starting from the day following the expiration of the payment deadline and until the date on which the role is transmitted to the concessionaire for collection; in this case, the increase absorbs the late payment interest accrued during the same period.</w:t>
      </w:r>
    </w:p>
    <w:p>
      <w:r>
        <w:t>Immediate notification of the payment must be given to the Authority by sending the documentation certifying the payment made.</w:t>
      </w:r>
    </w:p>
    <w:p>
      <w:r>
        <w:t>This measure will be notified to the interested parties and published in the Bulletin of the Italian Competition Authority.</w:t>
      </w:r>
    </w:p>
    <w:p>
      <w:r>
        <w:t>Pursuant to Article 27, paragraph 12, of the Consumer Code, in case of non-compliance with the measure, the Authority applies an administrative pecuniary sanction from 10,000 to 5,000,000 euros. In cases of repeated non-compliance, the Authority may order the suspension of business activity for a period not exceeding thirty days.</w:t>
      </w:r>
    </w:p>
    <w:p>
      <w:r>
        <w:t>Against this measure, an appeal may be filed with the TAR of Lazio, pursuant to Article 135, paragraph 1, letter b), of the Code of Administrative Procedure (Legislative Decree 2 July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24 November 1971, no. 1199 within the term of one hundred and twenty days from the date of notification of the measure itself.</w:t>
      </w:r>
    </w:p>
    <w:p>
      <w:r>
        <w:t>THE SECRETARY GENERAL THE PRESIDENT f.f.</w:t>
        <w:br/>
        <w:t>Guido Stazi Michele Ainis</w:t>
      </w:r>
    </w:p>
    <w:p>
      <w:r>
        <w:t>BULLETIN NO. 32 OF 22 AUGUST 2022 115</w:t>
        <w:br/>
        <w:t>PS12320 - ACTIVATION REGISTER - ASSIGNED TO COLLECTION</w:t>
        <w:br/>
        <w:t>Measure no. 30290</w:t>
        <w:br/>
        <w:t>THE ITALIAN COMPETITION AUTHORITY</w:t>
        <w:br/>
        <w:t>IN ITS MEETING of 4 August 2022;</w:t>
        <w:br/>
        <w:t>HEARD the Rapporteur Professor Michele Ainis;</w:t>
        <w:br/>
        <w:t>HAVING REGARD to Part II, Title III, of Legislative Decree 6 September 2005, no. 206, containing the “Consumer Code” and subsequent amendments (hereinafter, Consumer Code);</w:t>
        <w:br/>
        <w:t>HAVING REGARD to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1 April 2015;</w:t>
        <w:br/>
        <w:t>HAVING REGARD to the acts of the proceeding;</w:t>
      </w:r>
    </w:p>
    <w:p>
      <w:r>
        <w:t>I. THE PARTY</w:t>
        <w:br/>
        <w:t>1. REGISTRO ATTIVAZIONI S.r.l.s. (hereinafter also REGISTRO ATTIVAZIONI) as a professional, pursuant to Article 18, paragraph 1, letter b), of the Consumer Code. The company has as its corporate purpose the activity of IT consulting and processing of accounting data.</w:t>
      </w:r>
    </w:p>
    <w:p>
      <w:r>
        <w:t>II. THE COMMERCIAL PRACTICE</w:t>
        <w:br/>
        <w:t>2. The commercial practice carried out by REGISTRO ATTIVAZIONI consists of:</w:t>
        <w:br/>
        <w:t>(i) sending to newly established micro-enterprises a communication containing a payment request, formulated by the professional as a self-styled “assigned to collection” of a CCIAA; this communication implies that the request concerns obligations required by the Chamber of Commerce in relation to the recent registration in the Business Register and is therefore a payment due; in reality, the aim is to induce the unaware adhesion of the recipient companies to a paid IT service, represented by the entry of certain business data into the platform called “REGISTRO.ATTIVAZIONI.IT”, which is still “under development”;</w:t>
        <w:br/>
        <w:t>(ii) opposing obstacles to the exercise of contractual rights.</w:t>
      </w:r>
    </w:p>
    <w:p>
      <w:r>
        <w:t>III. THE OUTCOMES OF THE PROCEEDING</w:t>
        <w:br/>
        <w:t>1) The course of the proceeding</w:t>
        <w:br/>
        <w:t>3. Following the receipt of reports received since February 2022 from the Chambers of Commerce of Florence1, Padua2, Parma3, Monte Rosa Laghi Alto Piemonte4 and some newly established micro-enterprises located in various provinces of the national territory, on 26 April 2022, REGISTRO ATTIVAZIONI was notified of the initiation of the investigation procedure for possible violation of Articles 20, 24, 25, paragraph 1, letter d) and 26, paragraph 1, letter f), of the Consumer Code.</w:t>
      </w:r>
    </w:p>
    <w:p>
      <w:r>
        <w:t>In this context, it was hypothesized that the commercial conduct of REGISTRO ATTIVAZIONI was likely to exert undue pressure on the recipient companies, leading them to believe that the payment requested as a self-styled “assigned to collection” of a CCIAA derived from obligations resulting from the recent registration in the Business Register and hindering their withdrawal.</w:t>
      </w:r>
    </w:p>
    <w:p>
      <w:r>
        <w:t>4. Concurrently with the communication of the initiation of the proceeding, a request for information was also sent pursuant to Article 12, paragraph 1, of the Regulation, to which the Party did not respond.</w:t>
      </w:r>
    </w:p>
    <w:p>
      <w:r>
        <w:t>5. On 27 June 2022, the Party was notified of the conclusion date of the investigation phase, pursuant to Article 16, paragraph 1, of the Regulation5.</w:t>
      </w:r>
    </w:p>
    <w:p>
      <w:r>
        <w:t>6. The professional did not submit any defense memorandum.</w:t>
      </w:r>
    </w:p>
    <w:p>
      <w:r>
        <w:t>2) The evidence acquired</w:t>
        <w:br/>
        <w:t>7. From the reports received, it emerges that REGISTRO ATTIVAZIONI sent by ordinary mail a communication containing a payment request via IBAN, in an amount between 385.19 euros and 413.01 euros, in favor of “REGISTRO ATTIVAZIONI SRLS assigned to collection for the registered members of the C.C.I.A.A. of [Chamber of Commerce where the recipient of the communication is registered]”.</w:t>
      </w:r>
    </w:p>
    <w:p>
      <w:r>
        <w:t>8. This communication bears the heading “PAYMENT REQUEST: IST.NR-….”, [legal form] “REGISTERED WITH THE CHAMBER OF COMMERCE, INDUSTRY, AGRICULTURE AND CRAFTS (C.C.I.A.A.) of [denomination of the CCIAA of registration of the recipient]”. Below the heading, there are two sections that report the recipient's data, defined as “payer”, and the business data (company name, address, tax code/VAT number, R.E.A. number, legal form).</w:t>
      </w:r>
    </w:p>
    <w:p>
      <w:r>
        <w:t>It is followed by a section “OPERATION DETAILS”, where the month and year of registration/change, the details of the requested amount, the total amount, and a “due date” are indicated.</w:t>
      </w:r>
    </w:p>
    <w:p>
      <w:r>
        <w:t>9. The final part of the communication contains a section titled “BANK TRANSFER INSTRUCTION” where it is indicated, as the beneficiary, “REGISTRO ATTIVAZIONI SRLS ASSIGNED TO COLLECTION FOR THE REGISTERED MEMBERS OF THE C.C.I.A.A. of [denomination of the CCIAA of registration of the recipient]”; followed by the “REASON” (“PAYMENT REQUEST: IST. NR-…”), the requested amount, and an IBAN code on which to make the payment of the requested sum. In some cases6 it is indicated, as the beneficiary, “IEVOLI VINCENZO assigned to collection for the registered members of the C.C.I.A.A. of [Chamber of Commerce where the recipient of the communication is registered]”. Mr. Ievoli Vincenzo is the sole administrator of REGISTRO ATTIVAZIONI S.r.l.s..</w:t>
      </w:r>
    </w:p>
    <w:p>
      <w:r>
        <w:rPr>
          <w:b/>
        </w:rPr>
        <w:t>[Pages 115–117]</w:t>
      </w:r>
    </w:p>
    <w:p>
      <w:r>
        <w:t>BULLETIN NO. 32 OF 22 AUGUST 2022 117</w:t>
        <w:br/>
        <w:t>10. Further down, under the section "BANK TRANSFER INSTRUCTION," in small, difficult-to-read characters, it states: “NOTIFICATION OF PAYMENT REQUEST: (IST.NR- …) ADDRESSED TO [name of the recipient company] FOR REGISTRATION ON THE PLATFORM REGISTRO.ATTIVAZIONI.IT AS SENDER OF THIS ADVERTISING LETTER COMPOSED OF SHEETS ONE FORMAT A4, FRONT/BACK. THE INDICATED PLATFORM IS UNDER DEVELOPMENT, WE RESERVE ITS ONLINE LAUNCH AT TIMES WE DEEM APPROPRIATE FOLLOWING PAYMENT […] PAGE TWO OF TWO CONTAINS THE GENERAL TERMS AND CONDITIONS OF CONTRACT. PAYMENT CAN BE MADE BY BANK TRANSFER TO THE IBAN COORDINATES …SWIFT…. INDICATING MANDATORILY IN THE REASON YOUR PAYMENT CODE (IST. NR-…”) AND/OR VAT NUMBER (….)”.</w:t>
        <w:br/>
        <w:t>11. On the back of the communication, in a merely optional consultation document, the general terms and conditions of contract provided by the professional are contained, presented with significantly smaller graphic emphasis. In these conditions, it is established that, with the payment of the requested amount, the same GTC are deemed automatically accepted (Articles 1, 12, and 19). In particular, Article 1 expressly states that “the contractor is obliged to read these general terms and conditions of contract which are deemed generally and unequivocally accepted at the time of payment.” Article 12 provides that “the contractor fully and unreservedly accepts the above-mentioned general terms and conditions of contract in all their parts and declares […] to have fully understood the content and decided to adhere to the offer.” A similar provision is contained in Article 19, which establishes that “the contractor declares upon payment” to have read, understood, and accepted all the contractual data and articles.</w:t>
        <w:br/>
        <w:t>12. According to Article 1 of the GTC, the payment request concerns the entry of the recipient company's data “within a public web page” and “this communication is to be considered solely a commercial proposal.” Article 3 specifies that this communication constitutes a commercial proposal “not requested by the contractor.” The same article also states that adherence to this proposal is optional and “does not replace in any way obligations imposed by the Italian State and/or by the Public Administration.” Article 5 states that the sender of the communication has no relationship with the Chambers of Commerce (C.C.I.A.A.) nor with the Public Administration.</w:t>
        <w:br/>
        <w:t>13. Article 7 regulates the right of withdrawal, establishing that it must be exercised “within fourteen calendar days from the expression of will, which is to be understood as corresponding to the day of payment” of the requested amount. It is also provided that the requesting party must send the refund request within the aforementioned term via certified email (PEC), indicating their identifying tax data and IBAN, as well as documenting the payment of the amount indicated on the bulletin. The “sender” of the communication will refund only the amount paid indicated in the communication by crediting the IBAN communicated by the latter and after verifying compliance with the deadline for exercising the right of withdrawal.</w:t>
      </w:r>
    </w:p>
    <w:p>
      <w:r>
        <w:t>118 BULLETIN NO. 32 OF 22 AUGUST 2022</w:t>
        <w:br/>
        <w:t>IV. CONCLUDING ASSESSMENTS</w:t>
        <w:br/>
        <w:t>14. Preliminary observations indicate that from the examination of the documentation on file, it appears that the conduct in question has also involved companies that meet the characteristics referred to in Article 18, paragraph 1, letter d-bis) of the Consumer Code, prejudicing their economic behavior.</w:t>
        <w:br/>
        <w:t>15. The commercial practice carried out by REGISTRO ATTIVAZIONI consists of: (i) sending to newly established microenterprises a communication containing a payment request via IBAN formulated by the professional as a so-called “collection agent” of a C.C.I.A.A.; this communication implies that the request concerns obligations required by the Chamber of Commerce in relation to the recent registration in the Business Register and is therefore a payment due; in reality, the aim is to induce the unaware adherence of the recipient companies to a paid IT service represented by the entry of certain business data into the platform called “REGISTRO.ATTIVAZIONI.IT,” which is still “under development”; (ii) opposing obstacles to the exercise of contractual rights.</w:t>
        <w:br/>
        <w:t>16. The commercial proposal of the professional, which has never been requested or solicited by the recipients (as explicitly stated by the professional in the GTC), appears to suggest, due to the specific qualification of “Collection Agent for C.C.I.A.A. registrants” that the professional boasts, as well as for its overall presentation, that it comes from a Chamber of Commerce and is related to the payment due of chamber fees or other administrative obligations. In reality, the actual purpose of the communication consists of offering a commercial service represented by the purchase of “an online web page” on a platform called “REGISTRO.ATTIVAZIONI.IT,” which is not yet operational as declared by the professional to be “still under development.” The commercial purpose emerges in a paragraph located at the end of the payment request, presented in tiny graphic characters, almost illegible, significantly smaller than all other indications contained in the communication itself. It is then repeated in the GTC, a merely optional consultation document placed on the back of the communication and written in tiny characters.</w:t>
        <w:br/>
        <w:t>17. This communication, in its overall setup, is therefore suitable to unduly condition the decision-making process of the recipient microenterprises which, believing that the payment request comes from a Chamber of Commerce, are led to think that it is a payment due for fulfilling specific legally imposed obligations from which they cannot exempt themselves; this is also due to their recent registration in the Business Register. The conduct, being aimed at exploiting the good faith of newly established microenterprises in relation to the obligations connected to chamber registration, is therefore to be considered in violation of Articles 20 and 24 of the Consumer Code.</w:t>
        <w:br/>
        <w:t>18. The communication also includes a request for payment of a predetermined amount by a peremptory deadline related to an unsolicited service and thus constitutes an aggressive practice per se under Article 26, paragraph 1, letter f), of the Consumer Code.</w:t>
        <w:br/>
        <w:t>19. The aggressive nature of the practice is also found in the obstacle it poses to the exercise of the right of withdrawal contractually granted to microenterprises, in violation of Article 25, paragraph 1, letter d), of the Consumer Code.</w:t>
      </w:r>
    </w:p>
    <w:p>
      <w:r>
        <w:t>BULLETIN NO. 32 OF 22 AUGUST 2022 119</w:t>
        <w:br/>
        <w:t>In this regard, it is noted that on the front page of the communication, the professional does not mention in any way the right of withdrawal, which is cited exclusively in the General Terms and Conditions of Contract, a document placed on the back of the communication and for merely optional consultation. Finally, the provision contained in Articles 12 and 19 of the same General Terms and Conditions of Contract, according to which payment would constitute acceptance of the general terms and conditions of contract and proof of conscious adherence to the offer, drafted in tiny characters and placed on the back of the communication, is suitable to constitute a form of undue conditioning aimed at obtaining the adherence of the recipients who, in the absence of clear, timely, and relevant information regarding the nature and characteristics of the commercial proposal, are led not to exercise their rights believing the deception suffered to be irreparable.</w:t>
        <w:br/>
        <w:t>20. In conclusion, in light of the above, the conduct of REGISTRO ATTIVAZIONI constitutes an aggressive commercial practice pursuant to Articles 20, 24, 25, paragraph 1, letter d), and 26, paragraph 1, letter f), of the Consumer Code. The conduct of the professional involves the use of a ruse aimed at unduly conditioning the decision-making process of the recipient companies, leading them to make a rapid commercial decision that they would not have otherwise made regarding the payment for an unsolicited service.</w:t>
        <w:br/>
        <w:t>IV. QUANTIFICATION OF THE SANCTION</w:t>
        <w:br/>
        <w:t xml:space="preserve">21. Pursuant to Article 27, paragraph 9, of the Consumer Code, with the measure that prohibits an unfair commercial practice, the Authority orders the application of an administrative pecuniary sanction from 5,000 to 5,000,000 euros, taking into account the severity and duration of the violation. </w:t>
        <w:br/>
        <w:t xml:space="preserve">22. Regarding the quantification of the sanction, account must be taken, where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 </w:t>
        <w:br/>
        <w:t>23. With regard to the severity of the violation, consideration is given in the case at hand to the dissemination of the commercial practice across the national territory, as the professional has sent their communications to microenterprises located in various Italian regions. The severity of the practice is also appreciated when considering the type of means used to contact the companies, consisting of a postal communication capable of directly and personally reaching the recipients; the insidious methods adopted to induce newly established microenterprises to pay the requested sums by exploiting their good faith, including in particular the asserted qualification of “collection agent” of a C.C.I.A.A.; the significant economic harm caused to recipients who show reduced economic-financial dimensions and have just started their business activity. Finally, it must be considered that the service offered could be nonexistent as it is qualified by the professional as “still under development.”</w:t>
      </w:r>
    </w:p>
    <w:p>
      <w:r>
        <w:rPr>
          <w:b/>
        </w:rPr>
        <w:t>[Pages 118–120]</w:t>
      </w:r>
    </w:p>
    <w:p>
      <w:r>
        <w:t>120 BULLETIN NO. 32 OF 22 AUGUST 2022</w:t>
        <w:br/>
        <w:t>23. Regarding the duration of the violation, it is noted that from the elements acquired in the records, it appears that the commercial practice carried out by REGISTRO ATTIVAZIONI has been in effect since February 2022 and at least until the end of May 2022.</w:t>
        <w:br/>
        <w:t>24. With regard to the economic conditions of the professional, it is highlighted that REGISTRO ATTIVAZIONI is a simplified limited liability company established in September 2021, which did not participate in the investigation and did not provide any accounting data related to its activity.</w:t>
      </w:r>
    </w:p>
    <w:p>
      <w:r>
        <w:t>Based on these elements, given the predominantly deterrent effect attributed to the administrative pecuniary sanction, it is deemed appropriate to set the amount at €40,000 (forty thousand euros).</w:t>
      </w:r>
    </w:p>
    <w:p>
      <w:r>
        <w:t>THEREFORE, based on the considerations outlined above, it is believed that the commercial practice in question is incorrect under Articles 20, 24, 25, paragraph 1, letter d) and 26, paragraph 1, letter f) of the Consumer Code, as it is contrary to professional diligence and capable of unduly influencing the economic behavior of the recipient businesses, through the unsolicited sending of a commercial communication containing a payment request via IBAN in the amount ranging from €385.19 to €413.01 in favor of “REGISTRO ATTIVAZIONI SRLS appointed for collection for the registered members of the C.C.I.A.A. of [Chamber of Commerce where the recipient of the communication is registered]”;</w:t>
      </w:r>
    </w:p>
    <w:p>
      <w:r>
        <w:t>RESOLVES</w:t>
        <w:br/>
        <w:t>a) that the commercial practice described in point II of this measure, carried out by REGISTRO ATTIVAZIONI S.r.l.s., constitutes, for the reasons and limits stated in the motivation, an unfair commercial practice pursuant to Articles 20, 24, 25, paragraph 1, letter d) and 26, paragraph 1, letter f) of the Consumer Code, and prohibits its dissemination or continuation;</w:t>
        <w:br/>
        <w:t>b) to impose on REGISTRO ATTIVAZIONI S.r.l.s. an administrative pecuniary sanction of €40,000 (forty thousand euros);</w:t>
        <w:br/>
        <w:t>c) that the professional shall communicate to the Authority, within sixty days from the notification of this measure, the initiatives taken in compliance with the warning referred to in point a).</w:t>
      </w:r>
    </w:p>
    <w:p>
      <w:r>
        <w:t>The administrative sanctions imposed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 xml:space="preserve">7 See notification from the Chamber of Commerce of Florence dated 11 February 2022 prot. 19331. </w:t>
        <w:br/>
        <w:t>8 See notification received on 23 May 2022 prot. 42823.</w:t>
      </w:r>
    </w:p>
    <w:p>
      <w:r>
        <w:t>BULLETIN NO. 32 OF 22 AUGUST 2022 121</w:t>
        <w:b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interest accrued during the same period.</w:t>
      </w:r>
    </w:p>
    <w:p>
      <w:r>
        <w:t>Notification of the payment must be immediately communicated to the Authority by sending the documentation certifying the payment made.</w:t>
      </w:r>
    </w:p>
    <w:p>
      <w:r>
        <w:t>This measure will be notified to the interested parties and published in the Bulletin of the Italian Competition Authority.</w:t>
      </w:r>
    </w:p>
    <w:p>
      <w:r>
        <w:t>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r>
    </w:p>
    <w:p>
      <w:r>
        <w:t>Against this measure, an appeal may be filed with the TAR of Lazio, pursuant to Article 135, paragraph 1, letter b), of the Administrative Procedure Code (Legislative Decree 2 July 2010, no. 104), within sixty days from the date of notification of the measure itself, without prejudice to the longer terms provided for in Article 41, paragraph 5, of the Administrative Procedure Code, or an extraordinary appeal may be proposed to the President of the Republic, pursuant to Article 8, of the Decree of the President of the Republic 24 November 1971, no. 1199, within one hundred and twenty days from the date of notification of the measure itself.</w:t>
      </w:r>
    </w:p>
    <w:p>
      <w:r>
        <w:t xml:space="preserve">THE SECRETARY GENERAL THE PRESIDENT f.f. </w:t>
        <w:br/>
        <w:t>Guido Stazi Michele Ainis</w:t>
      </w:r>
    </w:p>
    <w:p>
      <w:r>
        <w:t xml:space="preserve">Italian Competition Authority Weekly Bulletin </w:t>
        <w:br/>
        <w:t xml:space="preserve">of Competition and Market Year XXXII - No. 32 - 2022 </w:t>
        <w:br/>
        <w:t xml:space="preserve">Editorial Coordination Giulia Antenucci </w:t>
        <w:br/>
        <w:t xml:space="preserve">Editorial Team Valerio Ruocco, Simonetta Schettini, Manuela Villani </w:t>
        <w:br/>
        <w:t xml:space="preserve">Italian Competition Authority </w:t>
        <w:br/>
        <w:t xml:space="preserve">Statistics and IT Applications Office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