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https://www.agcm.it/dotcmsdoc/bollettini/2023/32-23.pdf</w:t>
      </w:r>
    </w:p>
    <w:p>
      <w:r>
        <w:t>Pages translated : 27</w:t>
      </w:r>
    </w:p>
    <w:p/>
    <w:p>
      <w:r>
        <w:rPr>
          <w:b/>
        </w:rPr>
        <w:t>[Pages 1–3]</w:t>
      </w:r>
    </w:p>
    <w:p>
      <w:r>
        <w:t xml:space="preserve">Bulletin  </w:t>
        <w:br/>
        <w:t xml:space="preserve">Weekly  </w:t>
        <w:br/>
        <w:t xml:space="preserve">Year XXXIII - No. 32  </w:t>
        <w:br/>
        <w:t xml:space="preserve">Published on the website www.agcm.it  </w:t>
        <w:br/>
        <w:t>21 August 2023</w:t>
      </w:r>
    </w:p>
    <w:p>
      <w:r>
        <w:t xml:space="preserve">SUMMARY  </w:t>
        <w:br/>
        <w:t xml:space="preserve">CONCENTRATION OPERATIONS 5  </w:t>
        <w:br/>
        <w:t xml:space="preserve">C12544 - IMPRECIM/BUSINESS BRANCHES OF CONDOTTE-CON.COR.SU  </w:t>
        <w:br/>
        <w:t xml:space="preserve">Measure No. 30755 5  </w:t>
        <w:br/>
        <w:t xml:space="preserve">C12551 – CSMI ITALIA GATE/TERMINAL DARSENA TOSCANA  </w:t>
        <w:br/>
        <w:t xml:space="preserve">Measure No. 30756 7  </w:t>
        <w:br/>
        <w:t xml:space="preserve">C12552 - ICCREA BANCA/BCC VITA-BCC ASSICURAZIONI  </w:t>
        <w:br/>
        <w:t xml:space="preserve">Measure No. 30757 8  </w:t>
        <w:br/>
        <w:t xml:space="preserve">C12555 - PENNY MARKET/BUSINESS BRANCHES OF DICO  </w:t>
        <w:br/>
        <w:t xml:space="preserve">Measure No. 30758 12  </w:t>
        <w:br/>
        <w:t xml:space="preserve">C12556 - IFIS NPL INVESTING/REVALEA  </w:t>
        <w:br/>
        <w:t xml:space="preserve">Measure No. 30759 17  </w:t>
        <w:br/>
        <w:t xml:space="preserve">C12557 - DEA CAPITAL ALTERNATIVE FUNDS SGR-DUCA HOLDING/TECNOPLAST  </w:t>
        <w:br/>
        <w:t xml:space="preserve">Measure No. 30760 21  </w:t>
        <w:br/>
        <w:t xml:space="preserve">ACTIVITIES OF REPORTING AND CONSULTATION 25  </w:t>
        <w:br/>
        <w:t xml:space="preserve">AS1908 – TERRITORIAL AGENCY OF THE PUGLIA REGION FOR WASTE MANAGEMENT SERVICE  </w:t>
        <w:br/>
        <w:t>ACQUISITION OF SHARE CAPITAL IN ASECO 25</w:t>
      </w:r>
    </w:p>
    <w:p>
      <w:r>
        <w:t xml:space="preserve">BULLETIN NO. 32 OF 21 AUGUST 2023 5  </w:t>
        <w:br/>
        <w:t xml:space="preserve">CONCENTRATION OPERATIONS  </w:t>
        <w:br/>
        <w:t xml:space="preserve">C12544 - IMPRECIM/BUSINESS BRANCHES OF CONDOTTE-CON.COR.SU  </w:t>
        <w:br/>
        <w:t xml:space="preserve">Measure No. 30755  </w:t>
        <w:br/>
        <w:t xml:space="preserve">THE COMPETITION AND MARKET AUTHORITY  </w:t>
        <w:br/>
        <w:t xml:space="preserve">IN ITS MEETING of 1 August 2023;  </w:t>
        <w:br/>
        <w:t xml:space="preserve">HEARD the Rapporteur, Professor Elisabetta Iossa;  </w:t>
        <w:br/>
        <w:t xml:space="preserve">HAVING REGARD to Regulation (EC) No. 139/2004 of the Council, of 20 January 2004, concerning the control of concentrations between undertakings;  </w:t>
        <w:br/>
        <w:t xml:space="preserve">HAVING REGARD to Law No. 287 of 10 October 1990;  </w:t>
        <w:br/>
        <w:t xml:space="preserve">HAVING REGARD to the communication from the company Imprecim S.r.l. received on 16 May 2023;  </w:t>
        <w:br/>
        <w:t xml:space="preserve">HAVING REGARD to the request for information, sent on 31 May 2023, with consequent interruption of the deadlines pursuant to Article 5, paragraph 3, of Presidential Decree No. 217 of 30 April 1998;  </w:t>
        <w:br/>
        <w:t xml:space="preserve">HAVING REGARD to the additional information received from the company Imprecim S.r.l., on 17 and 25 July 2023;  </w:t>
        <w:br/>
        <w:t xml:space="preserve">CONSIDERING the following:  </w:t>
        <w:br/>
        <w:t xml:space="preserve">I. THE PARTIES  </w:t>
        <w:br/>
        <w:t xml:space="preserve">1. Imprecim S.r.l. (hereinafter, “Imprecim”), operational since 2021, is a company active in the design, construction, and maintenance of buildings, infrastructures, and constructions of various kinds. Imprecim is 100% controlled by the company Tiberiade Holding S.p.A. (hereinafter, “Tiberiade”), which develops its activities in the sectors of large works, energy, restoration, real estate, and publishing, through specific companies for which it performs the functions of direction, strategic and financial control. The total revenue generated worldwide by Tiberiade in the financial year 2022 amounts to [1-10]* million euros.  </w:t>
        <w:br/>
        <w:t xml:space="preserve">2. Società Italiana per Condotte d’Acqua S.p.A. (hereinafter, “Condotte”), is an Italian company operating in the public works construction market. Since 2018, it has faced a severe financial crisis and is currently undergoing an extraordinary administration procedure. The revenue of Condotte generated in Italy in 2022 amounts to [10-32] million euros.  </w:t>
        <w:br/>
        <w:t xml:space="preserve">3. Con.Cor.Su S.C.R.L. (hereinafter, “Con.Cor.Su.”) is an Italian company that operates in the construction sector and, in particular, “in the execution of works awarded jointly to companies.  </w:t>
        <w:br/>
        <w:t>* In this version, some data are omitted, as it was deemed that there are elements of confidentiality or secrecy of the information.</w:t>
      </w:r>
    </w:p>
    <w:p>
      <w:r>
        <w:rPr>
          <w:b/>
        </w:rPr>
        <w:t>[Pages 4–6]</w:t>
      </w:r>
    </w:p>
    <w:p>
      <w:r>
        <w:t xml:space="preserve">6 BULLETIN NO. 32 OF 21 AUGUST 2023  </w:t>
        <w:br/>
        <w:t xml:space="preserve">The company, currently, is in extraordinary administration. The revenue of Con.Cor.Su achieved in Italy in 2022 amounts to [10-32] million euros.  </w:t>
        <w:br/>
        <w:t xml:space="preserve">II. DESCRIPTION OF THE TRANSACTION  </w:t>
        <w:br/>
        <w:t xml:space="preserve">4. The notified Transaction consists of the acquisition, by Imprecim, of two Business Branches, respectively attributable to Condotte and Con.Cor.Su., consisting of a complex of assets and relationships, related to concessions, contracts, and agreements for the realization of infrastructural works, defined in the acts of the extraordinary administration procedure.  </w:t>
        <w:br/>
        <w:t xml:space="preserve">III. QUALIFICATION OF THE TRANSACTION  </w:t>
        <w:br/>
        <w:t xml:space="preserve">5. The communicated transaction, as it involves the acquisition of control of business branches, constitutes a concentration pursuant to Article 5, paragraph 1, letter b), of Law No. 287/1990. It falls within the scope of application of Law No. 287/1990, as the conditions set out in Article 1 of Regulation (EC) No. 139/2004 do not apply.  </w:t>
        <w:br/>
        <w:t xml:space="preserve">6. This concentration, however, is not subject to the obligation of prior notification provided for by Article 16, paragraphs 1 and 2, of the law, as the total revenue achieved in the last financial year at the national level by the group of companies involved was less than 532 million euros. Furthermore, the revenue of both Target companies is below 32 million euros.  </w:t>
        <w:br/>
        <w:t xml:space="preserve">CONSIDERED, therefore, that the transaction is not subject to the obligation of prior notification pursuant to Article 16, paragraph 1, of Law No. 287/1990;  </w:t>
        <w:br/>
        <w:t xml:space="preserve">RESOLVES  </w:t>
        <w:br/>
        <w:t xml:space="preserve">that there is no need to take action.  </w:t>
        <w:br/>
        <w:t xml:space="preserve">The above conclusions will be communicated, pursuant to Article 16, paragraph 4, of Law No. 287/1990, to the companies involved and to the Minister of Enterprises and Made in Italy.  </w:t>
        <w:br/>
        <w:t xml:space="preserve">This measure will be published in the Bulletin of the Competition and Market Authority.  </w:t>
        <w:br/>
        <w:t xml:space="preserve">THE SECRETARY GENERAL THE PRESIDENT  </w:t>
        <w:br/>
        <w:t>Guido Stazi Roberto Rustichelli</w:t>
      </w:r>
    </w:p>
    <w:p>
      <w:r>
        <w:rPr>
          <w:b/>
        </w:rPr>
        <w:t>[Pages 7–9]</w:t>
      </w:r>
    </w:p>
    <w:p>
      <w:r>
        <w:t xml:space="preserve">BULLETIN NO. 32 OF 21 AUGUST 2023 9  </w:t>
        <w:br/>
        <w:t xml:space="preserve">subsequently, "Cattolica," through a shareholding in the share capital equal, in both cases, to 30% and 70%.  </w:t>
        <w:br/>
        <w:t xml:space="preserve">BCCA and BCCV, in 2022, achieved a total revenue, entirely in Italy, of [32-100] and [532-700] million euros, respectively, entirely in Italy.  </w:t>
        <w:br/>
        <w:t xml:space="preserve">II. DESCRIPTION OF THE TRANSACTION  </w:t>
        <w:br/>
        <w:t xml:space="preserve">3. The notified transaction (hereinafter "the Transaction") concerns the acquisition, by ICCREA and, therefore, the BCC-ICCREA group, of the exclusive control of BCCA and BCCV, in particular through the purchase, from Cattolica, of the share of capital and the related voting rights of both companies not yet in its possession (equal, as mentioned, to 70%), thus reaching full ownership of the target companies and consequently transitioning from a situation of joint control to one of exclusive control over the same targets.  </w:t>
        <w:br/>
        <w:t xml:space="preserve">4. The Transaction follows the decision of ICCREA and Cattolica not to renew the strategic partnership of so-called bancassurance which, starting from the year 2009, had given rise to BCCA and BCCV and, according to the communication, is functional to the search and selection, by ICCREA, of a potential new partner or new partners to replace Cattolica (partner to whom the aforementioned 70% share of capital will subsequently be transferred, in order to propose the currently existing partnership model again).  </w:t>
        <w:br/>
        <w:t xml:space="preserve">III. QUALIFICATION OF THE TRANSACTION  </w:t>
        <w:br/>
        <w:t xml:space="preserve">5. The notified transaction, as it involves the acquisition of control over multiple companies, constitutes a concentration pursuant to Article 5, paragraph 1 letter b), of Law No. 287/1990. It falls within the scope of application of Law No. 287/1990, as the conditions set out in Article 1 of Regulation (EC) No. 139/2004 do not apply, and is subject to the obligation of prior notification provided for by Article 16, paragraph 1, of the same law, as the total revenue achieved, in the last financial year at the national level, by the group of companies involved was over 532 million euros and the total revenue achieved, in the last financial year at the national level, individually by at least two of the companies involved was over 32 million euros.  </w:t>
        <w:br/>
        <w:t xml:space="preserve">IV. THE OPINION OF IVASS  </w:t>
        <w:br/>
        <w:t>6. In an opinion received on 26 July 2023, the Institute for the Supervision of Insurance (hereinafter, "IVASS") deemed it unnecessary to highlight in the Transaction under examination the existence of elements capable of determining prejudicial competitive effects, considering in particular that the transaction is not able to alter the competitive balance of the markets for the production and distribution of life and non-life insurance products.</w:t>
      </w:r>
    </w:p>
    <w:p>
      <w:r>
        <w:t xml:space="preserve">10 BULLETIN NO. 32 OF 21 AUGUST 2023  </w:t>
        <w:br/>
        <w:t xml:space="preserve">V. ASSESSMENT OF THE CONCENTRATION  </w:t>
        <w:br/>
        <w:t xml:space="preserve">The product and geographical markets  </w:t>
        <w:br/>
        <w:t xml:space="preserve">7. From a commodity perspective, the sectors affected by the transaction in question are the insurance sectors in which the companies BCCA and BCCV operate, namely the production and distribution of insurance products.  </w:t>
        <w:br/>
        <w:t xml:space="preserve">8. As per the established orientation of the Authority, in fact, the non-life and life insurance markets are distinct, each between the production phase, which has a national geographical dimension, and the distribution phase, which is characterized instead by its local dimension, considered in the first approximation provincial according to the Authority's practice.  </w:t>
        <w:br/>
        <w:t xml:space="preserve">9. Furthermore, according to the Authority's orientation, with particular reference to the production phase (national), each branch of the life and non-life insurance sectors represents a distinct market. This distinction regarding the individual insurance branches is mainly based on the object of the service provided, the risks assumed, and the insurance coverage objective expressed by the demand of each individual branch. Conversely, the degree of competitive pressure at the distribution level (provincial) appears assessable by considering, distinctly, on the one hand the non-life branches and on the other hand the life branches; this is due to the fact that in the placement phase the networks differ, in terms of the type of active subjects and modes of action, based on the two areas (non-life or life) of covered risks. Therefore, the provincial distribution markets appear distinguishable, on the one hand, for the set of life branches and, on the other hand, for the set of non-life branches.  </w:t>
        <w:br/>
        <w:t xml:space="preserve">10. In this specific case, however, given the reduced percentage weight of the Parties and, in any case, the fact that the transaction in question essentially consists of the acquisition of (exclusive) control by a subject (ICCREA) that already held (joint) control over the target companies, it does not seem necessary to arrive at a more precise definition of the relevant commodity and geographical markets.  </w:t>
        <w:br/>
        <w:t xml:space="preserve">Effects of the transaction  </w:t>
        <w:br/>
        <w:t xml:space="preserve">11. As for the national markets for the production of insurance products (distinct, as mentioned, in the various branches of the non-life and life sectors in which BCCA and BCCV are active), there are no overlaps between the activities of the Parties, as only the target companies are active therein; moreover, the shares attributed to them do not exceed [1-5%] when analyzing the overall branches involved.  </w:t>
        <w:br/>
        <w:t xml:space="preserve">12. Overlaps do occur, however, in the provincial distribution activity, distinguished as mentioned for the entire non-life sector and for the entire life sector. In this case, however, the aggregate shares of the Parties (i.e., obtained by combining the data on the distribution of products from BCCA and BCCV with those on the distribution of insurance products from third-party companies by the BCC of the BCC-ICCREA group) yield values of limited magnitude that, in the last available year (2022), do not exceed [1-5%] in the province of Gorizia for the non-life sector, and exceed [5-10%] and [5-10%] respectively in the provinces of Pistoia and Pesaro-Urbino for the life sector.  </w:t>
        <w:br/>
        <w:t xml:space="preserve">13. It should also be noted that numerous and qualified competitors operate in the relevant markets such as, for the non-life sector, Unipol, Generali, Allianz, Axa, etc., and, for the life sector, Generali, Intesa San Paolo, Postevita, Mediolanum, etc.  </w:t>
        <w:br/>
        <w:t xml:space="preserve">14. In light of the above considerations, therefore, the concentration in question does not appear capable of significantly hindering effective competition in the relevant markets and of determining the establishment or strengthening of a dominant position.  </w:t>
        <w:br/>
        <w:t xml:space="preserve">CONSIDERING, therefore, that the transaction in question does not significantly hinder, pursuant to Article 6, paragraph 1, of Law No. 287/1990, effective competition in the relevant markets and does not entail the establishment or strengthening of a dominant position;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companies involved and to the Minister of Enterprises and Made in Italy.  </w:t>
        <w:br/>
        <w:t xml:space="preserve">The measure will be published in the Bulletin of the Competition and Market Authority.  </w:t>
        <w:br/>
        <w:t xml:space="preserve">THE SECRETARY GENERAL THE PRESIDENT  </w:t>
        <w:br/>
        <w:t>Guido Stazi Roberto Rustichelli</w:t>
      </w:r>
    </w:p>
    <w:p>
      <w:r>
        <w:rPr>
          <w:b/>
        </w:rPr>
        <w:t>[Pages 10–12]</w:t>
      </w:r>
    </w:p>
    <w:p>
      <w:r>
        <w:t xml:space="preserve">12 BULLETIN NO. 32 OF 21 AUGUST 2023  </w:t>
        <w:br/>
        <w:t xml:space="preserve">C12555 - PENNY MARKET/BUSINESS BRANCHES OF DICO  </w:t>
        <w:br/>
        <w:t xml:space="preserve">Measure no. 30758  </w:t>
        <w:br/>
        <w:t xml:space="preserve">THE COMPETITION AND MARKET AUTHORITY  </w:t>
        <w:br/>
        <w:t xml:space="preserve">IN ITS MEETING of 1 August 2023;  </w:t>
        <w:br/>
        <w:t xml:space="preserve">HEARD the Rapporteur, Saverio Valentino;  </w:t>
        <w:br/>
        <w:t xml:space="preserve">HAVING REGARD to Regulation (EC) No. 139/2004;  </w:t>
        <w:br/>
        <w:t xml:space="preserve">HAVING REGARD to Law No. 287 of 10 October 1990;  </w:t>
        <w:br/>
        <w:t xml:space="preserve">HAVING REGARD to Presidential Decree No. 217 of 30 April 1998;  </w:t>
        <w:br/>
        <w:t xml:space="preserve">HAVING REGARD to the communication made by the company Penny Market S.r.l., received on 12 July 2023;  </w:t>
        <w:br/>
        <w:t xml:space="preserve">HAVING REGARD to the documentation on file;  </w:t>
        <w:br/>
        <w:t xml:space="preserve">CONSIDERING the following:  </w:t>
        <w:br/>
        <w:t xml:space="preserve">I. THE PARTIES  </w:t>
        <w:br/>
        <w:t xml:space="preserve">1. Penny Market S.r.l. (hereinafter, “Penny Market”), based in Cernusco sul Naviglio (MI), is a company active in the Italian market for the retail sale of food and non-food products, through the management of discount stores under the “Penny” brand. The company currently operates 438 stores in Italy.  </w:t>
        <w:br/>
        <w:t xml:space="preserve">2. Penny Market is part of the REWE Group, headquartered in Germany (Cologne), which is engaged in large-scale retail trade and also offers tour operator services. In Italy, the REWE Group is active in the markets for the sale and procurement of fast-moving consumer goods exclusively through Penny Market (including controlled companies). Furthermore, none of the companies belonging to the REWE Group is active in vertically related markets.  </w:t>
        <w:br/>
        <w:t xml:space="preserve">3. In the financial year 2022, the revenue of the REWE Group amounted to approximately [70-80]* billion euros, of which approximately [70-80] billion euros were generated in Europe and approximately [1-2] billion euros in Italy.  </w:t>
        <w:br/>
        <w:t xml:space="preserve">4. The Target consists of the business branches related to 3 stores managed by Dico S.p.A. (hereinafter, “Dico” or “the Seller”) under the “Tuodì” brand in Lazio. Specifically, the Target includes: a) 1 supermarket (with an area between 400 and 2,499 sqm) and b) 2 convenience stores (with an area between 100 and 399 sqm) located in the Municipality of Rome belonging to the discount type.  </w:t>
        <w:br/>
        <w:t xml:space="preserve">5. The latest certified financial data of the Target refers to the financial year 2022, in which it generated a total revenue of approximately [1-10] million euros, entirely in Italy. This figure includes revenue generated by third parties (the Partners) to whom Dico has entrusted the management of certain departments in the sales points (e.g., butcher, bakery, delicatessen, etc.).  </w:t>
        <w:br/>
        <w:t>* In this version, some data are omitted, as elements of confidentiality or secrecy of the information were deemed to exist.</w:t>
      </w:r>
    </w:p>
    <w:p>
      <w:r>
        <w:t xml:space="preserve">BULLETIN NO. 32 OF 21 AUGUST 2023 13  </w:t>
        <w:br/>
        <w:t xml:space="preserve">II. DESCRIPTION OF THE TRANSACTION  </w:t>
        <w:br/>
        <w:t xml:space="preserve">6. The transaction concerns the acquisition by Penny Market of the business branches related to three stores located in the Lazio region, currently managed by the company Dico. The Transaction will be implemented through the completion of an asset purchase agreement entered into by the parties on 30 June 2023.  </w:t>
        <w:br/>
        <w:t xml:space="preserve">7. An integral part of the Transaction is a non-compete agreement, directly linked and necessary to the same, under which Dico and its affiliates commit, for a period limited to three years, to refrain from engaging, directly or indirectly, in retail sales and the management of hypermarkets, supermarkets, and convenience stores and any further type of large-scale distribution of food products in the province of Rome, where the transferred stores operate.  </w:t>
        <w:br/>
        <w:t xml:space="preserve">III. QUALIFICATION OF THE TRANSACTION  </w:t>
        <w:br/>
        <w:t xml:space="preserve">8. It should be noted preliminarily that the Transaction in question, although governed by distinct agreements entered into non-simultaneously, should be considered as a single concentration together with the transaction communicated by the company Penny Market S.r.l. on 17 April 2023 and authorized by the Authority on 9 May 20231, as the two transactions take place between the same companies within a period of two years2.  </w:t>
        <w:br/>
        <w:t xml:space="preserve">9. The communicated transaction constitutes a concentration pursuant to Article 5, paragraph 1, letter b), of Law No. 287/1990, as it involves the acquisition of control of parts of a business.  </w:t>
        <w:br/>
        <w:t xml:space="preserve">10. It falls within the scope of application of Law No. 287/1990, as the conditions set out in Article 1 of Regulation (EC) No. 139/2004 do not apply, and it is subject to the obligation of prior notification provided for by Article 16, paragraph 1, of the same law, as the total revenue achieved, in the last financial year at the national level, by the group of interested companies exceeded 532 million euros and the total revenue achieved, in the last financial year at the national level, individually by at least two of the interested companies exceeded 32 million euros. In fact, the calculation of the relevant revenue must be made with reference to both the Parties of this transaction and those of the aforementioned transaction already occurred in the current year between the same subjects, communicated by Penny Market on 17 April 2023 and assessed by the Authority on 9 May 20233. This is due to the necessity to consider the two transactions as a whole, resulting in the aggregation of the revenue values of the Target Business Branches of the transactions themselves and exceeding the thresholds indicated in the national legislative provision4.  </w:t>
        <w:br/>
        <w:t xml:space="preserve">1 See measure no. 30631 of 9 May 2023, C12539 - Penny Market/Business Branches of Dico, in Bulletin no. 20/2023.  </w:t>
        <w:br/>
        <w:t xml:space="preserve">2 See Consolidated Communication of the Commission on the criteria for jurisdictional competence pursuant to Regulation (EC) No. 139/2004 of the Council concerning the control of concentrations between undertakings, in particular §49-50, as well as AGCM, Concentration Form (Methods for notifying a concentration operation between undertakings), 2017, p. 7.  </w:t>
        <w:br/>
        <w:t xml:space="preserve">3 See measure no. 30631 of 9 May 2023, C12539 - Penny Market/Business Branches of Dico, cited...  </w:t>
        <w:br/>
        <w:t xml:space="preserve">4 The necessity to aggregate the two transactions arises from the community provision of Article 5, paragraph 2, second sentence of Regulation (EC) No. 139/2004, according to which: “[...] two or more transactions of the type contemplated by the first paragraph, concluded between the same persons or undertakings within a period of two years, shall be considered a single concentration realized on the day of the last transaction.” This principle has been reiterated and clarified by the European Commission in its Consolidated Communication on the criteria for jurisdictional competence pursuant to Regulation (EC) No. 139/2004 of the Council concerning the control of concentrations between undertakings §§ 49-50. In particular, paragraph 50 provides that: “If two or more transactions (each of which results in an acquisition of control) take place between the same persons or undertakings within a period of two years, they shall be considered as a single concentration, regardless of whether they concern the same sector or parts of the same activity.” Furthermore, the subsequent paragraph 137 clarifies that “[...] previous concentrations (within a period of two years) between the same parties are subject to the obligation of (re)notification together with the most recent transaction, provided that this constitutes a concentration, if the thresholds are reached for one or more transactions, considered separately or as a whole. In this case, the interested undertakings are the buyer(s) and the different acquired parts of the undertaking subject to the acquisition.”  </w:t>
        <w:br/>
        <w:t xml:space="preserve">5 See Communication from the Commission on restrictions directly connected and necessary to concentration operations (2005/C 56/03) published in the Official Journal of the European Communities on 5 March 2005]  </w:t>
        <w:br/>
        <w:t xml:space="preserve">6 See measure no. 30631 of 9 May 2023, C12539 - Penny Market/Business Branches of Dico, cited.  </w:t>
        <w:br/>
        <w:t xml:space="preserve">14 BULLETIN NO. 32 OF 21 AUGUST 2023  </w:t>
        <w:br/>
        <w:t xml:space="preserve">11. The non-compete agreement signed by the parties and described in the previous paragraph can be considered directly connected and necessary to the realization of the concentration transaction in question, as it is functional to safeguarding the value of the acquired business parts, provided that it is limited in terms of products to those subject to the acquired business parts, geographically to the area of activity of the acquired business parts, and temporally to a period of two years, and does not prevent the Seller from acquiring or holding shares solely for financial investment purposes5.  </w:t>
        <w:br/>
        <w:t xml:space="preserve">IV. ASSESSMENT OF THE TRANSACTION  </w:t>
        <w:br/>
        <w:t xml:space="preserve">Premise  </w:t>
        <w:br/>
        <w:t xml:space="preserve">12. As mentioned, the Authority has already assessed the acquisition by Penny Market of fifteen other Business Branches managed by the company Dico6. These were constituted by fifteen sales points, respectively located in the Municipality of Rome (thirteen sales points), in the province of Rimini (one sales point), and in the province of Frosinone (one sales point). The present transaction concerns three local geographic markets constituted by isochrones centered on the three target sales points located in the Municipality of Rome. In these geographic markets, there are some sales points that are the subject of the previous concentration C12539 - Penny Market/Business Branches of Dico, which must therefore be assessed in conjunction with the present concentration.  </w:t>
        <w:br/>
        <w:t xml:space="preserve">13. Furthermore, in two isochrones of the previous concentration C12539 - corresponding to two sales points - fall two sales points among those subject to the present measure. A new assessment is also necessary for these local markets to take into account the unitary nature of the concentration transaction.  </w:t>
        <w:br/>
        <w:t xml:space="preserve">The affected markets  </w:t>
        <w:br/>
        <w:t>14. The present transaction concerns the markets for the retail sale of food and non-food products of mass consumption through sales points of Large-Scale Distribution (hereinafter, “GDO”). In this sector, multiple operators operate at the national level, with varied sizes and organizational formulas. This sector is usually divided into: Large Distribution, which includes large organized distribution chains structured as a company or group of companies, and Organized Distribution, which includes chains constituted by entities that, while being legally distinct, operate in the market under the same brands and/or identifying traits, by virtue of common adherence to associative formulas such as consortia, voluntary unions, service companies, consumer cooperatives or retailers, etc.</w:t>
      </w:r>
    </w:p>
    <w:p>
      <w:r>
        <w:rPr>
          <w:b/>
        </w:rPr>
        <w:t>[Pages 13–15]</w:t>
      </w:r>
    </w:p>
    <w:p>
      <w:r>
        <w:t xml:space="preserve">BULLETIN NO. 32 OF 21 AUGUST 2023 15  </w:t>
        <w:br/>
        <w:t xml:space="preserve">15. According to the established practice of the Authority, the following types of retail outlets are also distinguished within the GDO, differentiated based on a series of characteristics (size, positioning, range of products offered, presence of fresh counters, etc.) that contribute to determining their quality and the level of services offered: hypermarkets, supermarkets, convenience stores, and discount stores.  </w:t>
        <w:br/>
        <w:t xml:space="preserve">16. As a result of the most recent investigative deepening carried out within the framework of proceedings for the assessment of concentration operations in the GDO sector, the Authority has updated the definition of the relevant product markets for hypermarkets, supermarkets, and convenience stores, identifying them as follows:  </w:t>
        <w:br/>
        <w:t xml:space="preserve">i) the market for convenience stores (100-399 sqm), which includes convenience stores and supermarkets (i.e., all retail outlets between 100 and 2,499 sqm);  </w:t>
        <w:br/>
        <w:t xml:space="preserve">ii) the market for supermarkets (400-2,499 sqm), composed of supermarkets, convenience stores, and hypermarkets (i.e., all retail outlets from 100 sqm upwards);  </w:t>
        <w:br/>
        <w:t xml:space="preserve">iii) the market for hypermarkets (from 2,500 sqm upwards), which includes hypermarkets and supermarkets (i.e., all retail outlets from 400 sqm upwards).  </w:t>
        <w:br/>
        <w:t xml:space="preserve">17. In the same precedents, the Authority has deemed that retail outlets operated under the discount format should be included in the relevant GDO markets of corresponding size (hypermarkets, supermarkets, and convenience stores), as they are considered by consumers to be a substitutable purchasing option for such types of retail outlets.  </w:t>
        <w:br/>
        <w:t xml:space="preserve">18. From a geographical perspective, local markets have been defined consisting of isochrone curves centered on the target retail outlets, with a width of 10 minutes of driving for the convenience store market and 15 minutes of driving for the supermarket and hypermarket markets.  </w:t>
        <w:br/>
        <w:t xml:space="preserve">19. In the case at hand, one retail outlet belongs to the supermarket market and two outlets belong to the convenience store market.  </w:t>
        <w:br/>
        <w:t xml:space="preserve">The effects of the transaction  </w:t>
        <w:br/>
        <w:t xml:space="preserve">20. From a horizontal perspective, the transaction does not result in appreciable effects on the relevant markets constituted by the three isochrones built around the Target retail outlets. In fact, the activities of the Parties overlap in the three local markets, where the market share of the Parties post-transaction remains below 5%. Moreover, there are numerous and qualified competitors in the affected local markets. Furthermore, this transaction does not alter the conclusions regarding two local markets of concentration C12539, in which the same retail outlets subject to this measure are geographically included.  </w:t>
        <w:br/>
        <w:t xml:space="preserve">21. Even from a vertical perspective, the transaction does not seem to present critical issues, since the companies controlled by Penny Market provide only procurement and logistics services to Penny Market itself (in Italy) and to other companies of the REWE Group (abroad), and considering that none of the companies of the REWE Group is active in any vertically related market in Italy.  </w:t>
        <w:br/>
        <w:t xml:space="preserve">22. In light of the above considerations, the concentration under examination does not appear to significantly impede effective competition in the relevant markets and does not lead to the establishment or strengthening of a dominant position.  </w:t>
        <w:br/>
        <w:t xml:space="preserve">THEREFORE, it is deemed that the transaction under examination does not significantly impede effective competition in the relevant markets pursuant to Article 6, paragraph 1, of Law No. 287/1990 and does not entail the establishment or strengthening of a dominant position;  </w:t>
        <w:br/>
        <w:t xml:space="preserve">IT IS FURTHER DEEMED that the non-compete obligations between the parties are ancillary to this transaction only to the extent described above and that the Authority reserves the right to evaluate the aforementioned agreements that are realized beyond the indicated limits;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interested companies and to the Minister of Enterprises and Made in Italy.  </w:t>
        <w:br/>
        <w:t xml:space="preserve">This measure will be published in the Bulletin of the Competition and Market Authority.  </w:t>
        <w:br/>
        <w:t xml:space="preserve">THE SECRETARY GENERAL THE PRESIDENT  </w:t>
        <w:br/>
        <w:t>Guido Stazi Roberto Rustichelli</w:t>
      </w:r>
    </w:p>
    <w:p>
      <w:r>
        <w:t xml:space="preserve">BULLETIN NO. 32 OF 21 AUGUST 2023 17  </w:t>
        <w:br/>
        <w:t xml:space="preserve">C12556 - IFIS NPL INVESTING/REVALEA  </w:t>
        <w:br/>
        <w:t xml:space="preserve">Measure no. 30759  </w:t>
        <w:br/>
        <w:t xml:space="preserve">THE COMPETITION AND MARKET AUTHORITY  </w:t>
        <w:br/>
        <w:t xml:space="preserve">IN ITS MEETING of 1 August 2023;  </w:t>
        <w:br/>
        <w:t xml:space="preserve">HEARD the Rapporteur, Saverio Valentino;  </w:t>
        <w:br/>
        <w:t xml:space="preserve">HAVING REGARD to Regulation (EC) No. 139/2004;  </w:t>
        <w:br/>
        <w:t xml:space="preserve">HAVING REGARD to Law No. 287 of 10 October 1990;  </w:t>
        <w:br/>
        <w:t xml:space="preserve">HAVING REGARD to Presidential Decree No. 217 of 30 April 1998;  </w:t>
        <w:br/>
        <w:t xml:space="preserve">HAVING REGARD to the communication from the company Ifis Npl Investing S.p.A., received on 24 July 2023;  </w:t>
        <w:br/>
        <w:t xml:space="preserve">CONSIDERING the following:  </w:t>
        <w:br/>
        <w:t xml:space="preserve">I. THE PARTIES  </w:t>
        <w:br/>
        <w:t xml:space="preserve">1. Ifis Npl Investing S.p.A. (hereinafter, “Ifis Npl”) is an Italian company active in the sector of distressed credits (so-called non-performing loans, hereinafter “Npl”), purchasing and investing in Npl portfolios mainly originated from banks and other financial institutions. Ifis Npl is part of the Ifis group which, in particular, provides, mainly in Italy, banking services and credit solutions to small and medium-sized enterprises.  </w:t>
        <w:br/>
        <w:t xml:space="preserve">The share capital of Ifis Npl is entirely held by Banca Ifis S.p.A., the parent company of the aforementioned banking group.  </w:t>
        <w:br/>
        <w:t xml:space="preserve">During 2022, the Ifis group achieved, almost entirely in Italy, a total revenue of [700-1,000] million euros*.  </w:t>
        <w:br/>
        <w:t xml:space="preserve">2. Revalea S.p.A. (hereinafter, “Revalea”) is an Italian company belonging to the Mediobanca group, established at the end of 2022 through the spin-off of the Npl branch of another company in the group (MB Credit Solutions S.p.A., hereinafter MBCS); in particular, through this operation, the business branch related to the purchase and management of Npl portfolios was transferred to Revalea, while the collection of the transferred credits and related services (servicing activities) remained with MBCS.  </w:t>
        <w:br/>
        <w:t xml:space="preserve">Revalea, which does not control any company, is wholly controlled by Compass Banca S.p.A., which in turn is wholly owned by Mediobanca Banca di Credito Finanziario S.p.A., the holding company of the Mediobanca group.  </w:t>
        <w:br/>
        <w:t xml:space="preserve">Revalea (i.e., the business branch previously included in MBCS), in 2022, achieved, entirely in Italy, a total revenue of [32-100] million euros.  </w:t>
        <w:br/>
        <w:t xml:space="preserve">II. DESCRIPTION OF THE TRANSACTION  </w:t>
        <w:br/>
        <w:t xml:space="preserve">3. The notified transaction (hereinafter “the Transaction”) concerns the acquisition, by Ifis Npl and, therefore, the Ifis group, of exclusive control of Revalea, in particular through the purchase of the entire share capital of the latter.  </w:t>
        <w:br/>
        <w:t>* In this version, some data are omitted, as elements of confidentiality or secrecy of the information were deemed to exist.</w:t>
      </w:r>
    </w:p>
    <w:p>
      <w:r>
        <w:rPr>
          <w:b/>
        </w:rPr>
        <w:t>[Pages 16–18]</w:t>
      </w:r>
    </w:p>
    <w:p>
      <w:r>
        <w:t xml:space="preserve">18 BULLETIN NO. 32 OF 21 AUGUST 2023  </w:t>
        <w:br/>
        <w:t xml:space="preserve">4. According to the agreements reached, the Npl credit portfolio of Revalea thus comes under the control of the Ifis group, while - through a specific servicing contract - for these initial credits (i.e., those concluded as of 31 December 2022, which constitute the portfolio subject to acquisition) the related management, recovery, and collection activities are entrusted by Revalea to MBCS.  </w:t>
        <w:br/>
        <w:t xml:space="preserve">III. QUALIFICATION OF THE TRANSACTION  </w:t>
        <w:br/>
        <w:t xml:space="preserve">5. The notified transaction constitutes a concentration pursuant to Article 5, paragraph 1, letter b), of Law No. 287/1990, as it involves the acquisition of control of an undertaking. It falls within the scope of application of Law No. 287/1990, as the conditions set out in Article 1 of Regulation (EC) No. 139/2004 do not apply, and it is subject to the obligation of prior notification provided for by Article 16, paragraph 1, of the same law, as the total revenue achieved, in the last financial year at the national level, by the group of undertakings involved was over 532 million euros and the total revenue achieved, in the last financial year at the national level, individually by at least two of the undertakings involved was over 32 million euros.  </w:t>
        <w:br/>
        <w:t xml:space="preserve">IV. ASSESSMENT OF THE CONCENTRATION  </w:t>
        <w:br/>
        <w:t xml:space="preserve">Product and geographical markets  </w:t>
        <w:br/>
        <w:t xml:space="preserve">6. From a product perspective, the sectors affected by the transaction in question are those in which the company Revalea operates, namely the purchase of credits (secured and unsecured) which, in this case, are of the non-performing type; furthermore, the downstream activity of managing, administering, and enhancing Npl portfolios is relevant. In the first case, there is a horizontal overlap between the Parties (as both Ifis Npl and Revalea are active therein), while in the second case, there is a vertical relationship, as the Ifis group (through the company Ifis Npl Servicing S.p.A.) is present in the downstream management activities.  </w:t>
        <w:br/>
        <w:t xml:space="preserve">7. The purchase of credits refers to the activity through which the ownership of a credit is transferred; in most cases, the credit is recovered by the purchaser itself, either directly or through a third party that offers credit recovery services. In this context, it is possible to distinguish between secured and unsecured credit, due to the fact that the skills necessary to purchase the former are significantly more specialized. Furthermore, a further distinction can be made between non-performing and performing credit; however, in this case, since the Parties are only active in the Npl sector and the assessment is conducted with the narrowest possible segmentation (purchase of secured non-performing credits and purchase of unsecured non-performing credits), it is not necessary to arrive at a precise product delimitation of the affected market.  </w:t>
        <w:br/>
        <w:t xml:space="preserve">8. As for the geographical dimension, it can be indicated as national, particularly considering that the sector regulation and market conditions differ significantly between different countries; the revenue data of the Parties reported above (amounts achieved entirely or almost entirely in Italy) confirm this hypothesis.  </w:t>
        <w:br/>
        <w:t xml:space="preserve">9. With reference to the downstream market of administration, management, and enhancement of portfolios composed of Npl credits (i.e., problematic, non-performing, or distressed credits), the related activity is aimed at the recovery of credits of third-party holders of Npl portfolios in case of non-payment of the debt. This activity includes all the operations necessary for the collection of the credit, from phone collection (telephone reminder) to the exercise of legal action, to home visits and the drafting and sending of the notice letter. The activities in question can also be carried out in favor of distressed credits that are subject to securitization.  </w:t>
        <w:br/>
        <w:t xml:space="preserve">10. The geographical dimension of the aforementioned market, in relation to the characteristics of demand and supply, as well as to the national regulation of securitization operations, can be considered as national.  </w:t>
        <w:br/>
        <w:t xml:space="preserve">Effects of the transaction  </w:t>
        <w:br/>
        <w:t xml:space="preserve">11. With regard to the national markets for the purchase of non-performing credits, in the division between secured and unsecured, in both cases the share attributable to Revalea is modest (approximately [1-5%]); the joint share with the Ifis group remains slightly higher in the first case (secured non-performing credits), while it does not exceed [10-15%] in the second case (unsecured non-performing credits).  </w:t>
        <w:br/>
        <w:t xml:space="preserve">12. As for possible vertical effects, the prerequisites for foreclosure phenomena (upstream or downstream) do not emerge in this case, given the aforementioned shares in the upstream markets, the Ifis group's share in the downstream market for the recovery of Npl credits (estimated at [5-10%]), as well as the fact that the current credit portfolio of Revalea will be entrusted for management to a third party outside the acquiring Ifis group (i.e., as seen, to the seller Mediobanca through MBCS).  </w:t>
        <w:br/>
        <w:t xml:space="preserve">13. Furthermore, both upstream and downstream, there are numerous and qualified competitors, such as in the first case (purchase of credits) Intrum, Amco, Hoist, etc., and in the second case (management and recovery of credits) the same Intrum, DoValue, Cerved Credit Management, etc. (this latter market is also characterized by the presence of a large number of small credit recovery companies located throughout the national territory).  </w:t>
        <w:br/>
        <w:t xml:space="preserve">14. In light of the above considerations, therefore, the concentration in question does not appear to significantly impede effective competition in the affected markets or to result in the establishment or strengthening of a dominant position.  </w:t>
        <w:br/>
        <w:t xml:space="preserve">CONSIDERING, therefore, that the transaction in question does not significantly impede effective competition in the affected markets pursuant to Article 6, paragraph 1, of Law No. 287/1990 and does not result in the establishment or strengthening of a dominant position;  </w:t>
        <w:br/>
        <w:t xml:space="preserve">3 In this case, the services provided are configured as special services, consisting, among other things, of managing credit recovery procedures, both judicial and extrajudicial, coordinating and supervising the activities of external consultants, preparing recovery strategies, managing collections and costs related to each claim.  </w:t>
        <w:br/>
        <w:t>4 See measure No. 23345 of 22 February 2012, C11489 - Fortezza/Italfondiario and C10139 - First Atlantic Re Holding/Npl Management Team, in Bulletin No. 8/2012.</w:t>
      </w:r>
    </w:p>
    <w:p>
      <w:r>
        <w:t xml:space="preserve">20 BULLETIN NO. 32 OF 21 AUGUST 2023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interested companies and to the Minister of Enterprises and Made in Italy.  </w:t>
        <w:br/>
        <w:t xml:space="preserve">The measure will be published in the Bulletin of the Competition and Market Authority.  </w:t>
        <w:br/>
        <w:t xml:space="preserve">THE SECRETARY GENERAL THE PRESIDENT  </w:t>
        <w:br/>
        <w:t>Guido Stazi Roberto Rustichelli</w:t>
      </w:r>
    </w:p>
    <w:p>
      <w:r>
        <w:rPr>
          <w:b/>
        </w:rPr>
        <w:t>[Pages 19–21]</w:t>
      </w:r>
    </w:p>
    <w:p>
      <w:r>
        <w:t xml:space="preserve">BULLETIN NO. 32 OF 21 AUGUST 2023 21  </w:t>
        <w:br/>
        <w:t xml:space="preserve">C12557 - DEA CAPITAL ALTERNATIVE FUNDS SGR-DUCA HOLDING/TECNOPLAST  </w:t>
        <w:br/>
        <w:t xml:space="preserve">Measure no. 30760  </w:t>
        <w:br/>
        <w:t xml:space="preserve">THE COMPETITION AND MARKET AUTHORITY  </w:t>
        <w:br/>
        <w:t xml:space="preserve">IN ITS MEETING of 1 August 2023;  </w:t>
        <w:br/>
        <w:t xml:space="preserve">HEARD the Rapporteur, Professor Elisabetta Iossa;  </w:t>
        <w:br/>
        <w:t xml:space="preserve">HAVING REGARD to Regulation (EC) No. 139/2004;  </w:t>
        <w:br/>
        <w:t xml:space="preserve">HAVING REGARD to Law No. 287 of 10 October 1990;  </w:t>
        <w:br/>
        <w:t xml:space="preserve">HAVING REGARD to Presidential Decree No. 217 of 30 April 1998;  </w:t>
        <w:br/>
        <w:t xml:space="preserve">HAVING REGARD to the communication made by DeA Capital Alternative Funds SGR S.p.A. received on 31 July 2023;  </w:t>
        <w:br/>
        <w:t xml:space="preserve">HAVING REGARD to the documentation on file;  </w:t>
        <w:br/>
        <w:t xml:space="preserve">CONSIDERED the following:  </w:t>
        <w:br/>
        <w:t xml:space="preserve">I. THE PARTIES  </w:t>
        <w:br/>
        <w:t xml:space="preserve">1. DeA Capital Alternative Funds SGR S.p.A. (hereinafter, “DeA Capital AF”) is a company active in collective asset management and in providing advisory services in financial investments. DeA Capital AF manages, among other things, the Sustainable Development fund (hereinafter, “Fund”), specialized in investments in Italian SMEs with a focus on ESG issues.  </w:t>
        <w:br/>
        <w:t xml:space="preserve">The share capital of DeA Capital AF is 100% owned by DeA Capital S.p.A. (hereinafter, “DeA”), a company active in the private equity and alternative asset management sector. DeA is controlled by De Agostini S.p.A., the parent company of the homonymous group (hereinafter, “De Agostini”). In turn, De Agostini is 59.8% controlled by B&amp;D Holding S.p.A., owned by individual shareholders belonging to the Boroli and Drago families.  </w:t>
        <w:br/>
        <w:t xml:space="preserve">In 2022, the De Agostini Group achieved a consolidated revenue of approximately [4-5]* billion euros worldwide, of which [1-2] billion euros from sales in the European Union and [1-2] billion euros from sales made in Italy.  </w:t>
        <w:br/>
        <w:t xml:space="preserve">2. Tecnoplast S.r.l. (hereinafter “Tecnoplast” or “Target”) is a company specialized in the production and marketing of fixtures and, in particular, windows, French doors, shutters, gates, and sliding doors, both in PVC and aluminum, for which it also provides the related finishes. Tecnoplast was founded by Mr. [E.M.], who holds 30% of the share capital, while the remaining 70% is currently held by Duca Holding S.r.l. (hereinafter “Duca Holding”), a holding company linked to Mr. [E.M.] and Ms. [M.S.], each holding 50% (hereinafter also “the Sellers”).  </w:t>
        <w:br/>
        <w:t xml:space="preserve">The revenue generated by Tecnoplast in the financial year 2022 amounted to [50-100] million euros, entirely realized in Italy.  </w:t>
        <w:br/>
        <w:t>* In this version, some data are omitted, as elements of confidentiality or secrecy of the information were deemed to exist.</w:t>
      </w:r>
    </w:p>
    <w:p>
      <w:r>
        <w:t xml:space="preserve">22 BULLETIN NO. 32 OF 21 AUGUST 2023  </w:t>
        <w:br/>
        <w:t xml:space="preserve">II. DESCRIPTION OF THE TRANSACTION  </w:t>
        <w:br/>
        <w:t xml:space="preserve">3. The notified transaction (hereinafter “the Transaction”) consists of the acquisition, by DeA Capital AF, through the Sustainable Development mutual fund, of a majority stake in the share capital of a NewCo, which will in turn hold 100% of the share capital of Tecnoplast.  </w:t>
        <w:br/>
        <w:t xml:space="preserve">4. In particular, NewCo will be 65% owned by DeA Capital AF and, for the remaining 35%, by Duca Holding, as well as by the current CEO of Tecnoplast (Dr. [L.S.]) and the top management of the Target. To Duca Holding, pursuant to the agreements signed, veto powers are attributed concerning specific matters subject to deliberation by the board of directors or the assembly of NewCo. In certain matters (including the approval and modification of the budget and business plan and the hiring and dismissal of certain categories of employees), the relevant resolutions can only be adopted with the favorable vote of Duca Holding. Therefore, by virtue of these agreements, DeA Capital AF and Duca Holding will jointly control the Target company.  </w:t>
        <w:br/>
        <w:t xml:space="preserve">The Transaction includes a non-compete obligation on the part of the Sellers and Ms. [M.S.] for a period of three years from the date of closing.  </w:t>
        <w:br/>
        <w:t xml:space="preserve">III. QUALIFICATION OF THE TRANSACTION  </w:t>
        <w:br/>
        <w:t xml:space="preserve">5. The Transaction constitutes a concentration pursuant to Article 5, paragraph 1, letter b), of Law No. 287/1990, as it aims to acquire joint control of an undertaking. It falls within the scope of application of Law No. 287/1990, as the conditions set out in Article 1 of Regulation (EC) No. 139/2004 do not apply, and is subject to the obligation of prior notification provided for by Article 16, paragraph 1, of the same law, as the total revenue achieved, in the last financial year at the national level, by the group of undertakings involved was over 532 million euros and the total revenue achieved, in the last financial year at the national level, by at least two of the undertakings involved was over 32 million euros.  </w:t>
        <w:br/>
        <w:t xml:space="preserve">6. The non-compete agreement signed by the parties and described in the previous paragraph can be considered directly connected and necessary for the realization of the concentration transaction in question - as it is functional to safeguarding the value of the acquired business shares and limited both in terms of products and geographically to the products and area of activity of the acquired company and for a period of three years - provided that it does not prevent the Sellers from acquiring or holding shares solely for financial investment purposes.  </w:t>
        <w:br/>
        <w:t xml:space="preserve">IV. EVALUATION OF THE TRANSACTION  </w:t>
        <w:br/>
        <w:t xml:space="preserve">The product market  </w:t>
        <w:br/>
        <w:t xml:space="preserve">7. From a product perspective, due to the activities of the company being acquired, the sectors concerned by the Transaction are those of the production and marketing of closure solutions for residential properties.1 Given the specific characteristics of these products, it can be considered that closure solutions for residential properties and those for commercial and industrial premises constitute distinct product markets. On the demand side, in fact, the market for the production and sale of closures for residential environments differs from that for the production and sale of solutions for industrial environments, as the latter are used for applications in industry or in commercial buildings (warehouses, distribution centers, supermarkets, etc.), in order to facilitate the transit of goods or vehicles. Closure solutions for residential environments, on the other hand, serve the different function of dividing and optimizing internal spaces. Also on the supply side, the market for the production and marketing of interior solutions for residential environments represents a sector of its own, with specialized producers developing technologies and designs different from those characterizing the industrial solutions sector. Regarding closure solutions for commercial and industrial premises, moreover, the Authority has defined two distinct product markets: the market for the production of industrial doors and that for passive security systems (such as cylinder locks for construction, interior locks and high-security locks, door closers, etc.).2  </w:t>
        <w:br/>
        <w:t xml:space="preserve">8. In any case, for the purposes of evaluating the Transaction, it is not necessary to precisely define the relevant product markets, as, from a horizontal perspective, the De Agostini Group is not present in the market in which the Target operates; while regarding the vertical perspective, considering the stakes held by DeA Capital AF through the funds it manages, it is necessary to consider the controlling stake held in Calvi Holding S.p.A., which is active in the upstream market of the production and marketing of special profiles in steel or other metal alloys designed by the customer.3  </w:t>
        <w:br/>
        <w:t xml:space="preserve">The geographic market  </w:t>
        <w:br/>
        <w:t xml:space="preserve">9. Based on the Authority's precedents and those of the Commission relating to similar or adjacent markets to those involved in the Transaction in question, it is believed that the markets for the production and marketing of frames for sliding doors, armored doors, and interior doors for residential environments and accessories for fixtures have a national geographic dimension. This assessment is also confirmed by the technical specificities and selling prices of such products, which vary significantly depending on the country of distribution. Lastly, imports from abroad are limited compared to a more significant volume of exports. As for the market for the production and marketing of special profiles in steel or other metal alloys designed by the customer, as per the Authority's precedents, it can be defined as having at least a European dimension.4  </w:t>
        <w:br/>
        <w:t xml:space="preserve">Effects of the transaction  </w:t>
        <w:br/>
        <w:t xml:space="preserve">10. The notified transaction does not raise competitive concerns. This is primarily due to the absence of horizontal overlaps between the acquirer and the Target. Regarding the profiles...  </w:t>
        <w:br/>
        <w:t xml:space="preserve">2 See measure no. 13861 of 16 December 2004, C6809 - Ingersoll-Rand Italiana/Cisa, in Bulletin no. 51/2004; measure no. 10291 of 10 January 2002, C4984 - Ingersoll Rand-Financiere Errani-New Team/Cisa, in Bulletin no. 1-2/2002.  </w:t>
        <w:br/>
        <w:t xml:space="preserve">3 See measure no. 27511 of 23 January 2019, C12214 - Dea Capital Funds SGR-Calfin/Calvi Holding, in Bulletin 6/2019.  </w:t>
        <w:br/>
        <w:t>4 See measure no. 30042 of 22 February 2022 C12430 - Dea Capital Alternative Funds SGR/Calvi Holding, in Bulletin no. 9/2022- and measure no. 27511 of 23 January 2019 C12214 - Dea Capital Funds SGR-Calfin/Calvi Holding, cit.</w:t>
      </w:r>
    </w:p>
    <w:p>
      <w:r>
        <w:rPr>
          <w:b/>
        </w:rPr>
        <w:t>[Pages 22–24]</w:t>
      </w:r>
    </w:p>
    <w:p>
      <w:r>
        <w:t xml:space="preserve">24 BULLETIN NO. 32 OF 21 AUGUST 2023  </w:t>
        <w:br/>
        <w:t xml:space="preserve">vertical, the transaction does not raise competitive concerns, due to the very limited market share of the Target in the downstream market, amounting to approximately [1-5%], and the presence of numerous and qualified competitors in the upstream market.  </w:t>
        <w:br/>
        <w:t xml:space="preserve">11. In light of the above considerations, the concentration under examination does not appear to be capable of hindering competition in the relevant markets or of creating or strengthening a dominant position.  </w:t>
        <w:br/>
        <w:t xml:space="preserve">CONSIDERED, therefore, that the transaction under examination does not significantly hinder effective competition in the relevant market, pursuant to Article 6, paragraph 1, of Law No. 287/1990, and does not result in the creation or strengthening of a dominant position;  </w:t>
        <w:br/>
        <w:t xml:space="preserve">ALSO CONSIDERED, that the non-compete obligations between the parties are ancillary to the present transaction only to the limits described above and that the Authority reserves the right to evaluate the aforementioned agreements that are realized beyond the indicated limits;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interested companies and to the Minister of Enterprises and Made in Italy.  </w:t>
        <w:br/>
        <w:t xml:space="preserve">This measure will be published in the Bulletin of the Competition and Market Authority.  </w:t>
        <w:br/>
        <w:t xml:space="preserve">THE SECRETARY GENERAL THE PRESIDENT  </w:t>
        <w:br/>
        <w:t>Guido Stazi Roberto Rustichelli</w:t>
      </w:r>
    </w:p>
    <w:p>
      <w:r>
        <w:t xml:space="preserve">BULLETIN NO. 32 OF 21 AUGUST 2023 25  </w:t>
        <w:br/>
        <w:t xml:space="preserve">REPORTING AND CONSULTATIVE ACTIVITIES  </w:t>
        <w:br/>
        <w:t xml:space="preserve">AS1908 – TERRITORIAL AGENCY OF THE PUGLIA REGION FOR WASTE MANAGEMENT SERVICE / ACQUISITION OF SHARE CAPITAL OF ASECO  </w:t>
        <w:br/>
        <w:t xml:space="preserve">Rome, 5 May 2023  </w:t>
        <w:br/>
        <w:t xml:space="preserve">AGER Puglia  </w:t>
        <w:br/>
        <w:t xml:space="preserve">Puglia Region  </w:t>
        <w:br/>
        <w:t xml:space="preserve">The Competition and Market Authority, in its meeting of 2 May 2023, deemed it appropriate to make the following observations, pursuant to Article 21 bis, Law No. 287/1990, regarding the competitive distortions attributable to Resolutions No. 1 of 3 March 2023 and No. 4 of 29 March 2023 of the Delegates Committee of AGER Puglia (hereinafter AGER) and No. 78 of 29 March 2023 of the General Director of AGER.  </w:t>
        <w:br/>
        <w:t xml:space="preserve">With the resolutions of the Delegates Committee, AGER approved the operation to purchase 40% of the share capital of Aseco S.p.A. (“ASECO”) from Acquedotto Pugliese S.p.A. (“Acquedotto Pugliese” or “AQP”) (hereinafter, the “Transaction”). With the determination of the General Director of 29 March last, the assignment of the activities for the realization and management of plants for the treatment of the organic waste produced by the municipalities of Puglia to ASECO was then ordered.  </w:t>
        <w:br/>
        <w:t xml:space="preserve">The resolutions adopted on 29 March 2023 took into account the observations raised in the opinion issued by the Regional Control Section of the Court of Auditors for Puglia on 22 March 2023, in which the analytical reasoning provided by AGER was deemed lacking in terms of economic and financial sustainability and the legitimacy of the operation pursuant to the new Legislative Decree No. 201/2022 (the consolidated text on local public services or “TUSPL”) was subject to the actual assignment of the public service no later than 29 March 2023.  </w:t>
        <w:br/>
        <w:t xml:space="preserve">1 ASECO is a wholly owned subsidiary of Acquedotto Pugliese S.p.A., which is in turn wholly owned by the Puglia Region.  </w:t>
        <w:br/>
        <w:t xml:space="preserve">2 AQP is a special law company responsible for the management of the integrated water service until 2025 by virtue of a state provision derogating from the ordinary competence framework outlined by the TUA.  </w:t>
        <w:br/>
        <w:t>3 The following documents were also attached: a) Opinion of the Board of Auditors of 3 March 2023; b) Draft report pursuant to Article 17, Legislative Decree No. 201/2022, with attached Economic Financial Plans related to the treatment plant for organic waste located in the Municipality of Ginosa (TA) and the treatment plant for organic waste located in the Municipality of Brindisi; c) Shareholders' agreements; d) Company bylaws; e) Recovery plan of ASECO pursuant to Article 14, TUSPP; f) Resolution of the Sole Administrator of ASECO with attached economic and asset situation as of 31 December 2022; g) Economic Financial Plan of ASECO; h) Resolution of the Board of Directors of Acquedotto Pugliese of 24 February 2023 approving the aforementioned documents under letters c), d), e), f), and g).</w:t>
      </w:r>
    </w:p>
    <w:p>
      <w:r>
        <w:t xml:space="preserve">26 BULLETIN NO. 32 OF 21 AUGUST 2023  </w:t>
        <w:br/>
        <w:t xml:space="preserve">The Authority, in evaluating the transaction pursuant to Legislative Decree No. 175/2016 (“Consolidated Text on Public Participation Companies” or “TUSPP”), deemed that the transaction under examination presents a profile of incompatibility particularly with Article 4, paragraph 1, pursuant to which “Public administrations may not, directly or indirectly, establish companies whose object is the production of goods and services not strictly necessary for the pursuit of their institutional purposes, nor acquire or maintain shareholdings, even minority ones, in such companies.”  </w:t>
        <w:br/>
        <w:t xml:space="preserve">In this case, in fact, the activities assigned to the new ASECO should be functional to the institutional purposes of AGER and AQP and, therefore, ultimately of the Puglia Region that controls both.  </w:t>
        <w:br/>
        <w:t xml:space="preserve">At the same time, however, the institutional purposes of AGER, identified by the Puglian regional legislation (L.R. No. 24/2012 as amended by L.R. No. 20/2016), must be interpreted in accordance with state legislation and, in particular, with what is provided by Legislative Decree No. 152/2006 (“Consolidated Text on the Environment”). AGER, therefore, as an Agency controlled by the Puglia Region, can only hold the institutional functions that the TUA assigns to the controlling entity, i.e., the Region.  </w:t>
        <w:br/>
        <w:t xml:space="preserve">Regions, pursuant to Article 196 of the TUA, in the waste sector have functions of planning, organization, and control of activities (including the preparation of regional waste management plans, the delimitation of optimal territorial areas – ATO – for the management of urban waste, the promotion of “integrated waste management,” as well as the encouragement of waste production reduction and recovery) but do not have waste management competencies, which are attributed to the municipalities (Article 198), organized based on ATOs delimited by the regional waste plan in compliance with the criteria for overcoming the fragmentation of management through an integrated waste management service, achieving adequate management sizes, and recognizing already realized and functioning waste management plants (Article 200, paragraph 1).  </w:t>
        <w:br/>
        <w:t xml:space="preserve">The EGA (Government Entities of the Area), established by the Regions, to which local authorities participate mandatorily, are the only entities authorized to exercise the functions of organizing local public services of economic relevance, “including those belonging to the urban waste sector,” as well as to choose the form of management, determine tariffs, assign management, and related control.  </w:t>
        <w:br/>
        <w:t xml:space="preserve">The L.R. Puglia No. 24/2012, as amended in 2016, provides in Article 9 that “for the associated exercise of public functions related to the management of urban waste service, as provided by Legislative Decree 152/2006,” a single governing body shall be established, an agency called “Territorial Agency of the Puglia Region for Waste Management Service (Agency)” in which the Region, all municipalities, and the Metropolitan City of Bari participate mandatorily. AGER is subject to the control of the Puglia Region and, therefore, does not appear to integrate the characteristics of EGA as the local authorities participating in it do not make decisions within this context that are their own.  </w:t>
        <w:br/>
        <w:t xml:space="preserve">Likewise, Article 9, paragraph 6 of the same regional legislation (No. 20/2012 and subsequent amendments) in the part where it attributes to AGER competencies of “implementation of the regional waste plan and in accordance with”  </w:t>
        <w:br/>
        <w:t>4 Recently, the TUSPL amended this paragraph, specifying that: “The resolutions of the governing entities referred to in paragraph 1 are validly adopted in their competent bodies without the need for further resolutions, preventive or subsequent, by the bodies of local entities” (emphasis added).</w:t>
      </w:r>
    </w:p>
    <w:p>
      <w:r>
        <w:rPr>
          <w:b/>
        </w:rPr>
        <w:t>[Pages 25–27]</w:t>
      </w:r>
    </w:p>
    <w:p>
      <w:r>
        <w:t xml:space="preserve">BULLETIN NO. 32 OF 21 AUGUST 2023 27  </w:t>
        <w:br/>
        <w:t xml:space="preserve">of national and community legislation proceeds with the assignment of the realization and management of the treatment, recovery, recycling, and disposal of municipal solid waste" must be interpreted in accordance with the provisions of the TUA and, in particular, with the provisions governing the competences reserved for regional entities.  </w:t>
        <w:br/>
        <w:t xml:space="preserve">In essence, AGER and therefore the Region of Puglia does not appear to have any competence to assign to new ASECO in-house providing services that do not fall within the scope of its competences.  </w:t>
        <w:br/>
        <w:t xml:space="preserve">In fact, the services for the treatment and recovery of the separated fractions of urban waste are assigned by the Municipalities to the manager of the urban hygiene service in the case of the assignment of integrated management (competition for the market), otherwise, they are assigned by the manager through competitive methods (competition in the market), but the assignment falls in any case within the fundamental competences of the Municipalities/managers, possibly associated in Puglia in the Homogeneous Areas ("ARO").  </w:t>
        <w:br/>
        <w:t xml:space="preserve">The operation in question concerns the realization and management of plants for the treatment of FORSU produced in Puglia, with assignment in-house providing to a company controlled by the Region, which should carry out its activities to the extent of 80% for the benefit of partners who hold control (AGER and AQP, thus ultimately the Region of Puglia), which, however, does not have competences for the management of separated waste collected in the regional territory.  </w:t>
        <w:br/>
        <w:t xml:space="preserve">What has just been said is independent of the fate that will be reserved for the regulation on minimum plants (ARERA resolution no. 363/2021), currently annulled in the first instance but pending sub judice in the appellate court, which the regulator has envisioned for geographical contexts of scarce plant availability in order to encourage the realization, by private or public entities, of new treatment plants.  </w:t>
        <w:br/>
        <w:t xml:space="preserve">The realization and management of public infrastructure, even if aimed at filling a structural deficit, is believed to never allow for an in-house providing assignment of the treatment service on the flows collected by local managers of the urban hygiene service, to a company controlled by the Region, due to the lack of competence of the public assigning entity.  </w:t>
        <w:br/>
        <w:t xml:space="preserve">In conclusion, in the case at hand, it is believed that the Region of Puglia, which controls new ASECO, does not represent the competent entity to assign the waste treatment service and, therefore, cannot establish or participate in an in-house providing company aimed at the realization and management of treatment plants for FORSU, to which the treatment service of regional flows is also assigned. For this reason, it is believed that the communicated operation does not meet the requirement of strict indispensability for the purposes of the entity, as required by Article 4, TUSP.  </w:t>
        <w:br/>
        <w:t xml:space="preserve">Pursuant to Article 21 bis, paragraph 2, of Law No. 287/1990, AGER must communicate to the Authority, within sixty days from the receipt of this opinion, the initiatives taken to remove the above-mentioned competition violation. If within the aforementioned term such initiatives do not prove to be compliant with the competitive principles outlined, the Authority may file an appeal within the subsequent thirty days.  </w:t>
        <w:br/>
        <w:t>In the previous referenced by AGER in response to the request for information and clarifications (AS1642– Methods of assignment of the integrated waste cycle in ATO 2 Ancona, of 18 December 2019), the project submitted for the Authority's opinion concerned local public managers and not the Region.</w:t>
      </w:r>
    </w:p>
    <w:p>
      <w:r>
        <w:t xml:space="preserve">28 BULLETIN NO. 32 OF 21 AUGUST 2023  </w:t>
        <w:br/>
        <w:t xml:space="preserve">This opinion will be published in the Bulletin of the Competition and Market Authority.  </w:t>
        <w:br/>
        <w:t xml:space="preserve">THE PRESIDENT  </w:t>
        <w:br/>
        <w:t xml:space="preserve">Roberto Rustichelli  </w:t>
        <w:br/>
        <w:t xml:space="preserve">_______________________________________________________________________  </w:t>
        <w:br/>
        <w:t xml:space="preserve">Communication regarding the non-compliance of AGER Puglia with the reasoned opinion expressed by the Authority pursuant to Article 21-bis of Law No. 287/1990, concerning the purchase by AGER Puglia of 40% of the share capital of ASECO and the assignment of the activities of realization and management of plants for the treatment of FORSU produced by the Apulian Municipalities to new ASECO, according to the methods of in-house providing.  </w:t>
        <w:br/>
        <w:t xml:space="preserve">In its meeting of 2 May 2023, the Authority decided to send to AGER Puglia and the Region of Puglia a reasoned opinion pursuant to Article 21-bis of Law No. 287/1990, regarding Resolutions No. 1 of 3 March 2023 and No. 4 of 29 March 2023 of the Delegates Committee of AGER Puglia and No. 78 of 29 March 2023 of the General Director of AGER Puglia for the purchase by AGER Puglia of 40% of the share capital of ASECO from Acquedotto Pugliese S.p.A. ("AQP") (hereinafter, the "Operation") as well as the assignment of the activities of realization and management of plants for the treatment of FORSU produced by the Apulian Municipalities to ASECO.  </w:t>
        <w:br/>
        <w:t xml:space="preserve">From the examination of the aforementioned resolutions, it emerged that they are in contrast with Article 4, paragraph 1, of Legislative Decree No. 175/2016 (so-called TUSPP), in the part where it requires that public administrations establish, acquire or maintain shareholdings exclusively in companies that have as their object the production of goods or services strictly necessary "for the pursuit of their institutional purposes." The Operation does not appear to meet the requirements of the cited norm as new ASECO does not seem to be subject to the control of the Apulian municipalities, which have the functions of organizing and managing the urban waste cycle, but to that of the Region of Puglia, among whose institutional purposes do not fall the activities carried out by the company new ASECO.  </w:t>
        <w:br/>
        <w:t xml:space="preserve">On 30 June 2023 and 4 July 2023 – thus within the legally prescribed term – respectively AGER Puglia and the Region of Puglia submitted to the Authority their reports, providing their feedback to the Authority's reasoned opinion and, essentially, limiting themselves to reiterating the legitimacy of the Operation.  </w:t>
        <w:br/>
        <w:t>Therefore, having noted the non-compliance of the aforementioned Administration with the reasoned opinion communicated on 5 May 2023, the Authority, in its meeting of 18 July 2023, decided to file an appeal before the TAR Puglia against the aforementioned Resolutions No. 1 of 3 March 2023 and No. 4 of 29 March 2023 of the Delegates Committee of AGER Puglia and No. 78 of 29 March 2023 of the General Director of AGER Puglia.</w:t>
      </w:r>
    </w:p>
    <w:p>
      <w:r>
        <w:t xml:space="preserve">Competition and Market Authority Weekly Bulletin  </w:t>
        <w:br/>
        <w:t xml:space="preserve">Year XXXIII- No. 32 - 2023  </w:t>
        <w:br/>
        <w:t xml:space="preserve">Editorial Coordination Giulia Antenucci  </w:t>
        <w:br/>
        <w:t xml:space="preserve">Editorial Staff Angela D’Auria, Valerio Ruocco, Manuela Villani  </w:t>
        <w:br/>
        <w:t xml:space="preserve">Competition and Market Authority  </w:t>
        <w:br/>
        <w:t xml:space="preserve">Document Management, Protocol and Statistical Services Directorate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