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https://www.agcm.it/dotcmsdoc/bollettini/2024/32-24.pdf</w:t>
      </w:r>
    </w:p>
    <w:p>
      <w:r>
        <w:t>Pages translated : 134</w:t>
      </w:r>
    </w:p>
    <w:p/>
    <w:p>
      <w:r>
        <w:rPr>
          <w:b/>
        </w:rPr>
        <w:t>[Pages 1–3]</w:t>
      </w:r>
    </w:p>
    <w:p>
      <w:r>
        <w:t>BULLETIN</w:t>
        <w:br/>
        <w:t>Weekly</w:t>
        <w:br/>
        <w:t>Year XXXIV - No. 32</w:t>
        <w:br/>
        <w:t>Published on the website www.agcm.it</w:t>
        <w:br/>
        <w:t>August 12, 2024</w:t>
      </w:r>
    </w:p>
    <w:p>
      <w:r>
        <w:t>SUMMARY</w:t>
        <w:br/>
        <w:t>AGREEMENTS AND ABUSE OF DOMINANT POSITION 5</w:t>
        <w:br/>
        <w:t>I801AB - TAXI TRANSPORT BOOKING SERVICES - ROME - NON-COMPLIANCE</w:t>
        <w:br/>
        <w:t>Provision no. 31302 5</w:t>
        <w:br/>
        <w:t>A558 - BOOKING/PROGRAMS OFFERED TO ITALIAN ACCOMMODATION FACILITIES AND</w:t>
        <w:br/>
        <w:t>COMPETITION AMONG OTAs</w:t>
        <w:br/>
        <w:t>Provision no. 31303 25</w:t>
        <w:br/>
        <w:t>C12615 - ALPACEM CEMENTI ITALIA/BRANCH OF BUZZI UNICEM</w:t>
        <w:br/>
        <w:t>Provision no. 31297 27</w:t>
        <w:br/>
        <w:t>C12644 - A2A/BRANCH OF E-DISTRIBUTION</w:t>
        <w:br/>
        <w:t>Provision no. 31298 94</w:t>
        <w:br/>
        <w:t>C12653 - ITALIAN INVESTMENT FUND SGR/MEAT INDUSTRY</w:t>
        <w:br/>
        <w:t>Provision no. 31299 100</w:t>
        <w:br/>
        <w:t>REPORTING AND CONSULTATIVE ACTIVITIES 104</w:t>
        <w:br/>
        <w:t>AS2027 - MUNICIPALITY OF TAGGIA (IM) – EXTENSION OF MARITIME STATE CONCESSIONS</w:t>
        <w:br/>
        <w:t>FOR TOURIST RECREATIONAL PURPOSES 104</w:t>
        <w:br/>
        <w:t>AS2028 – MUNICIPALITY OF CORLETO PERTICARA (PZ) – EMPLOYMENT INCENTIVES FOR</w:t>
        <w:br/>
        <w:t>COMPANIES, SELF-EMPLOYED WORKERS, AND FREELANCERS 108</w:t>
        <w:br/>
        <w:t>AS2029 - EXTENSION OF MARITIME, LAKE, AND RIVER STATE CONCESSIONS FOR</w:t>
        <w:br/>
        <w:t>TOURIST RECREATIONAL AND SPORTS PURPOSES 110</w:t>
        <w:br/>
        <w:t>UNFAIR TRADE PRACTICES 119</w:t>
        <w:br/>
        <w:t>PS12571 - FUNERAL HOME ROMA CAPITALE - FUNERAL SERVICES IN ROME</w:t>
        <w:br/>
        <w:t>Provision no. 31300 119</w:t>
        <w:br/>
        <w:t>IP367 – MULPOR - INTERNATIONAL FAIRS DIRECTORY</w:t>
        <w:br/>
        <w:t>Notice of extension of the deadline for the conclusion of the procedure and replacement of the</w:t>
        <w:br/>
        <w:t>responsible party 132</w:t>
        <w:br/>
        <w:t>PS12666 - BCUBE AGENCY - SALE OF APPRECIATIONS</w:t>
        <w:br/>
        <w:t>Notice of extension of the deadline for the conclusion of the procedure 134</w:t>
      </w:r>
    </w:p>
    <w:p>
      <w:r>
        <w:t>BULLETIN NO. 32 OF AUGUST 12, 2024 5</w:t>
        <w:br/>
        <w:t>AGREEMENTS AND ABUSE OF DOMINANT POSITION</w:t>
        <w:br/>
        <w:t>I801AB - TAXI TRANSPORT BOOKING SERVICES - ROME - NON-COMPLIANCE</w:t>
        <w:br/>
        <w:t>Provision no. 31302</w:t>
        <w:br/>
        <w:t>THE ANTITRUST AUTHORITY</w:t>
        <w:br/>
        <w:t>IN ITS MEETING of July 30, 2024;</w:t>
        <w:br/>
        <w:t>HEARD the Rapporteur, Saverio Valentino;</w:t>
        <w:br/>
        <w:t>HAVING REGARD to Law No. 287 of October 10, 1990;</w:t>
        <w:br/>
        <w:t>HAVING REGARD, in particular, to Article 15, paragraph 2, of the aforementioned law, in the part that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by which the payment of the sanction must be made. In cases of repeated non-compliance, the Authority may order the suspension of business activities for up to thirty days;</w:t>
        <w:br/>
        <w:t>HAVING REGARD, also, to Article 15, paragraph 2-bis, letter a), of the aforementioned law which provides that the Authority may impose on companies and associations of companies late penalties whose amount may reach up to five percent of the average daily turnover achieved worldwide during the previous fiscal year for each day of delay starting from the date set in the decision, in order to compel them to comply with the warning referred to in paragraph 1 of this article;</w:t>
        <w:br/>
        <w:t>HAVING REGARD to Law No. 689 of November 24, 1981;</w:t>
        <w:br/>
        <w:t>HAVING REGARD to the decree of the President of the Republic No. 217 of April 30, 1998;</w:t>
        <w:br/>
        <w:t>HAVING REGARD to its provision no. 27244 of June 27, 2018, with which it was established that the companies Radiotaxi 3570 - Società Cooperativa, Cooperativa Pronto Taxi 6645 - Società Cooperativa and Samarcanda - Società Cooperativa have engaged in restrictive agreements of competition with reference to the provision, in the acts governing the relationships between the aforementioned companies and the taxi drivers adhering, of clauses that identify specific non-competition obligations, which, taken together, are likely to produce anti-competitive effects by preventing or hindering the entry into the market of new operators;</w:t>
        <w:br/>
        <w:t>HAVING REGARD to letter b) of the device of the aforementioned provision, with which it was ordered to the companies Radiotaxi 3570 - Società Cooperativa, Cooperativa Pronto Taxi 6645 - Società Cooperativa and Samarcanda - Società Cooperativa to adopt, within one hundred and twenty days from the notification of this provision, suitable measures to eliminate the established infringement and to refrain in the future from engaging in behaviors similar to those subject to the infringement itself;</w:t>
        <w:br/>
        <w:t>HAVING REGARD to letter c) of the device of the aforementioned provision, with which it was requested from the companies Radiotaxi 3570 - Società Cooperativa, Cooperativa Pronto Taxi 6645 - Società Cooperativa and</w:t>
      </w:r>
    </w:p>
    <w:p>
      <w:r>
        <w:rPr>
          <w:b/>
        </w:rPr>
        <w:t>[Pages 4–6]</w:t>
      </w:r>
    </w:p>
    <w:p>
      <w:r>
        <w:t>6 BULLETIN NO. 32 OF AUGUST 12, 2024</w:t>
        <w:br/>
        <w:t>Samarcanda - Società Cooperativa to communicate to the Authority the initiatives adopted to comply with the request made in letter b) of the provision, transmitting a specific written report within one hundred and twenty days from the notification of the provision;</w:t>
      </w:r>
    </w:p>
    <w:p>
      <w:r>
        <w:t>HAVING REGARD to the judgments of the Council of State, Section VI, no. 7991/2020 of December 14, 2020 and no. 8061/2020 of December 15, 2020;</w:t>
      </w:r>
    </w:p>
    <w:p>
      <w:r>
        <w:t>HAVING REGARD to its provision no. 29969 of January 11, 2022, with which it was resolved: (i) that the conduct of Radiotaxi 3570 Società Cooperativa, consisting of not having adopted any measures aimed at eliminating or reducing the scope of the non-competition clauses, as well as the mere non-application of the aforementioned clauses, constitutes non-compliance with provision no. 27244 of June 27, 2018, in violation of Article 15, paragraph 2, of Law no. 287/1990; (ii) to impose on Radiotaxi 3570 Società Cooperativa, for such conduct and for the reasons stated, an administrative pecuniary sanction of €21,000 (twenty-one thousand euros);</w:t>
      </w:r>
    </w:p>
    <w:p>
      <w:r>
        <w:t>HAVING REGARD to the judgment of the Lazio TAR, Section I, of March 20, 2023, no. 4769;</w:t>
      </w:r>
    </w:p>
    <w:p>
      <w:r>
        <w:t>HAVING REGARD to the communication from Radiotaxi 3570 - Società Cooperativa, received on April 19, 2023 and supplemented on May 12, 2023;</w:t>
      </w:r>
    </w:p>
    <w:p>
      <w:r>
        <w:t>HAVING REGARD to its provision no. 30716 of July 18, 2023, with which a procedure was initiated to contest to Radiotaxi 3570 - Società Cooperativa the violation of Article 15, paragraph 2, of Law no. 287/1990 for alleged non-compliance with its provision no. 27244 of June 27, 2018;</w:t>
      </w:r>
    </w:p>
    <w:p>
      <w:r>
        <w:t>HAVING REGARD to the Communication of Investigative Findings, sent to the Parties on June 5, 2024;</w:t>
      </w:r>
    </w:p>
    <w:p>
      <w:r>
        <w:t>HAVING REGARD to the concluding memorandum of Radiotaxi 3570 - Società Cooperativa, received on July 4, 2024;</w:t>
      </w:r>
    </w:p>
    <w:p>
      <w:r>
        <w:t>HEARD in final hearing, on July 9, 2024, the representatives of Radiotaxi 3570 - Società Cooperativa;</w:t>
      </w:r>
    </w:p>
    <w:p>
      <w:r>
        <w:t>HAVING REGARD to the acts of the procedure;</w:t>
      </w:r>
    </w:p>
    <w:p>
      <w:r>
        <w:t>CONSIDERING the following:</w:t>
      </w:r>
    </w:p>
    <w:p>
      <w:r>
        <w:t>I. PREMISE</w:t>
      </w:r>
    </w:p>
    <w:p>
      <w:r>
        <w:t>1. With provision no. 27244 of June 27, 2018 (hereinafter also "Provision"), confirmed by the Council of State with judgment no. 7991 of December 14, 2020 (hereinafter also "judgment of the Council of State" or "Judgment"), the Authority found that the companies Radiotaxi 3570 - Società Cooperativa, Cooperativa Pronto Taxi 6645 - Società Cooperativa, Samarcanda - Società Cooperativa had entered into agreements restricting competition with reference to the provision, in the acts governing the relationships between the aforementioned companies and the affiliated taxi drivers, of clauses that identify specific non-competition obligations, which, taken together, are capable of producing anti-competitive effects by preventing or hindering the entry of competing businesses into the market for the provision of taxi service demand collection and routing services in the Municipality of Rome.</w:t>
      </w:r>
    </w:p>
    <w:p>
      <w:r>
        <w:t>2. With the same provision, the Parties were ordered to cease the conduct distorting competition and to refrain in the future from engaging in behaviors similar to that subject to the established infringement. In this context, the transmission of a written report was prescribed in order to account to the Authority for the initiatives aimed at complying with the provisions.</w:t>
      </w:r>
    </w:p>
    <w:p>
      <w:r>
        <w:t>3. With provision no. 29969 of January 11, 2022, the Authority resolved that the conduct of Radiotaxi 3570 - Società Cooperativa (hereinafter also "Radiotaxi 3570"), consisting of not having adopted any measures aimed at eliminating or reducing the scope of the non-competition clauses, as well as the mere non-application of the aforementioned clauses, constituted non-compliance with provision no. 27244/2018, in violation of Article 15, paragraph 2, of Law no. 287/1990, imposing on Radiotaxi 3570 an administrative pecuniary sanction of €21,000.</w:t>
      </w:r>
    </w:p>
    <w:p>
      <w:r>
        <w:t>4. Radiotaxi 3570 appealed to the Lazio TAR for the annulment of provision no. 29969/2022, which was fully rejected by judgment no. 4769 of March 20, 2023. Finally, the Company filed an appeal on April 20, 2023, which is currently pending.</w:t>
      </w:r>
    </w:p>
    <w:p>
      <w:r>
        <w:t>II. THE PARTY</w:t>
      </w:r>
    </w:p>
    <w:p>
      <w:r>
        <w:t>5. Radiotaxi 3570 is the main radiotaxi management company in Rome by number of affiliated taxi drivers, totaling over 3,500. Radiotaxi 3570 is a service cooperative active in Rome since 1968 and offers its affiliated taxi drivers, in addition to the radiotaxi service, the use of the itTaxi application, developed within the Union of Radiotaxi of Italy-URI, to which only radiotaxi managers can adhere and no more than one radiotaxi per city. In Rome, the company is, in fact, Radiotaxi 3570.</w:t>
      </w:r>
    </w:p>
    <w:p>
      <w:r>
        <w:t>III. THE INVESTIGATIVE PROCEDURE</w:t>
      </w:r>
    </w:p>
    <w:p>
      <w:r>
        <w:t>6. On July 18, 2023, the Authority initiated the procedure to contest to Radiotaxi 3570 the violation of Article 15, paragraph 2, of Law no. 287/1990 for non-compliance with its provision no. 27244/2018.</w:t>
      </w:r>
    </w:p>
    <w:p>
      <w:r>
        <w:t>7. The initiation of non-compliance followed the communication of April 19, 2023, in which Radiotaxi 3570 represented that it had adopted a measure consisting of a commercial partnership agreement entered into between the Consortium It Taxi S.c.r.l., owner of the ItTaxi technological system, of which the Party holds control, and the Uber platform, by virtue of which the taxi drivers belonging to the cooperative are enabled to also accept call requests from users of the Uber Italy S.r.l. application (hereinafter "Uber").</w:t>
      </w:r>
    </w:p>
    <w:p>
      <w:r>
        <w:t>8. In particular, in the initiation provision no. 30716 of July 18, 2023, the Authority noted that “[...] the measures adopted by Radiotaxi 3570, consisting of the described commercial partnership agreement and the information provided to the members, which is also partial, do not appear suitable to comply with the 2018 provision, considering that the illicit exclusive clauses, subject to the warning, continue to be present in the Statute and in the Regulation of the cooperative in the formulation and extent censured by the Authority with provision no. 27244 of June 27, 2018. The obligation imposed on Radiotaxi 3570 by the Authority's provision involves, in fact, a modification activity of the Statute through an extraordinary assembly resolution of the members aimed at eliminating the absolute scope exclusive clauses, which in themselves have an undue effect of conditioning the conduct of taxi drivers and of unlawful pressure on their negotiating freedom.” Furthermore, the aforementioned agreement did not constitute a suitable measure, as it was only provisional, “attributable to a contingent and potentially temporary fact.” Finally, the provision highlighted that: “as a result of the aforementioned agreement, it is not within the availability of the taxi drivers who are members of Radiotaxi 3570 to freely employ a portion of their productive capacity in favor of competing intermediation platforms, given that Uber is integrated into ItTaxi, with the requests for rides from Uber customers routed, via Splyt, into ItTaxi.”</w:t>
      </w:r>
    </w:p>
    <w:p>
      <w:r>
        <w:t>9. On September 18, 2023, a defensive memorandum from Radiotaxi 3570 was received. On October 13, 2023, the hearing of Radiotaxi 3570 with the Directorate took place, at the conclusion of which, on October 27, 2023, an additional defensive written submission from Radiotaxi 3570 was received, containing a proposal for compliance, aimed at establishing at the statutory level the possibility for the taxi driver members to make their taxi service offer available to also satisfy the requests of users routed by the ItTaxi system through technological integration agreements with competing intermediation platforms.</w:t>
      </w:r>
    </w:p>
    <w:p>
      <w:r>
        <w:t>10. On October 9, 2023, information was requested from the company Mytaxi Italia S.r.l. (hereinafter, “Mytaxi”), which the latter responded to on November 3, 2023.</w:t>
      </w:r>
    </w:p>
    <w:p>
      <w:r>
        <w:t>11. On October 31, 2023, the hearing of Uber took place.</w:t>
      </w:r>
    </w:p>
    <w:p>
      <w:r>
        <w:t>12. On November 7, 2023, the Party provided some clarifications regarding the proposal for compliance and, at the same time, requested an extension of the final deadline of the procedure. This deadline was extended to February 28, 2024, by provision of November 14, 2023.</w:t>
      </w:r>
    </w:p>
    <w:p>
      <w:r>
        <w:rPr>
          <w:b/>
        </w:rPr>
        <w:t>[Pages 7–9]</w:t>
      </w:r>
    </w:p>
    <w:p>
      <w:r>
        <w:t>BULLETIN NO. 32 OF AUGUST 12, 2024 9</w:t>
      </w:r>
    </w:p>
    <w:p>
      <w:r>
        <w:t xml:space="preserve">13. On November 14, 2023, Radiotaxi 3570 accessed the documents of the procedure16.  </w:t>
        <w:br/>
        <w:t xml:space="preserve">14. On November 17, 2023, a request for information and data was sent to Radiotaxi 357017, which was responded to on November 29, 202318. On December 5, 2023, the second investigative hearing of the Party took place. The information received at the end of November was supplemented by Radiotaxi 3570 on January 26, 2024, with a communication regarding a formal "compliance proposal"19.  </w:t>
        <w:br/>
        <w:t xml:space="preserve">15. In order to fully assess the aspects subject to investigation in light of all the elements acquired (lastly, on January 26, 2024), on February 6, 2024, the Authority resolved to extend the final deadline of the procedure to April 30, 2024.  </w:t>
        <w:br/>
        <w:t xml:space="preserve">16. On February 15, 2024, further data and information were requested from Radiotaxi 3570 and Uber20, which were received on February 27 and February 26, 202421, respectively.  </w:t>
        <w:br/>
        <w:t xml:space="preserve">17. On April 4, 2024, the Authority resolved to extend the final deadline of the procedure to July 31, 2024.  </w:t>
        <w:br/>
        <w:t xml:space="preserve">18. On April 5, 2024, the last investigative hearing of the Party22 took place, at the conclusion of which the latter submitted an additional defense document, received on May 2, 202423.  </w:t>
        <w:br/>
        <w:t xml:space="preserve">19. On June 5, 2024, the Authority transmitted to the Party the Communication of Investigative Findings (hereinafter also "CIF")24.  </w:t>
        <w:br/>
        <w:t xml:space="preserve">20. On June 12, 2024, and June 26, 2024, Radiotaxi 3570 again accessed the documents of the procedure25.  </w:t>
        <w:br/>
        <w:t>21. Finally, Radiotaxi 3570 submitted a final memorandum on July 4, 202426, and was heard in a hearing before the Board on July 9, 202427.</w:t>
      </w:r>
    </w:p>
    <w:p>
      <w:r>
        <w:t xml:space="preserve">16 Cfr. doc. 30.  </w:t>
        <w:br/>
        <w:t xml:space="preserve">17 Cfr. doc. 32. The request aimed, among other things, to clarify:  </w:t>
        <w:br/>
        <w:t xml:space="preserve">• the reasons underlying the alleged necessity and proportionality of the proposed measure (compared to the measure, which appears less restrictive of competition, allowing cooperative taxi drivers to free a specific share of productive capacity by directly accepting requests from third-party platforms, i.e., without having to go through agreements between the ItTaxi platform and third-party platforms);  </w:t>
        <w:br/>
        <w:t xml:space="preserve">• the methods of making the capacity of resources available to partners according to the principles of neutrality and non-discrimination;  </w:t>
        <w:br/>
        <w:t xml:space="preserve">• the economic conditions of the interconnection relationship.  </w:t>
        <w:br/>
        <w:t xml:space="preserve">18 Cfr. doc. 34.  </w:t>
        <w:br/>
        <w:t xml:space="preserve">19 Cfr. doc. 36.  </w:t>
        <w:br/>
        <w:t xml:space="preserve">20 Cfr. docc. 38 and 39.  </w:t>
        <w:br/>
        <w:t xml:space="preserve">21 Cfr. docc. 41 and 40.  </w:t>
        <w:br/>
        <w:t xml:space="preserve">22 Cfr. doc. 47  </w:t>
        <w:br/>
        <w:t xml:space="preserve">23 Cfr. doc. 48.  </w:t>
        <w:br/>
        <w:t xml:space="preserve">24 Cfr. doc. 53.1A.  </w:t>
        <w:br/>
        <w:t xml:space="preserve">25 Cfr. docc. 57 and 61.  </w:t>
        <w:br/>
        <w:t xml:space="preserve">26 Cfr. doc. 63.  </w:t>
        <w:br/>
        <w:t>27 Cfr. doc. 67.</w:t>
      </w:r>
    </w:p>
    <w:p>
      <w:r>
        <w:t>10 BULLETIN NO. 32 OF AUGUST 12, 2024</w:t>
      </w:r>
    </w:p>
    <w:p>
      <w:r>
        <w:t xml:space="preserve">IV. TAXI TRANSPORT: NORMATIVE HIGHLIGHTS  </w:t>
        <w:br/>
        <w:t xml:space="preserve">22. Under framework law no. 21/1992 and subsequent amendments, the taxi service, by its nature and function, is configured as a public transport service subject to a licensing regime (with mandatory service and administratively predetermined fares). The taxi service is, in fact, the only one subject to a licensing regime and political-administrative determination of maximum fares; at the same time, it is also the only one that offers a type of mandatory public service authorized to provide the so-called "street service." Furthermore, the taxi service represents a public service that does not burden the community in any way, as it is "self-financed" entirely by users28.  </w:t>
        <w:br/>
        <w:t>23. Among the competencies of municipal administrations are: identifying the needs for supply (number of vehicles); the methods for carrying out the service and, therefore, the regulation regarding shifts; the criteria for determining fares for the taxi service. The municipal administration is also responsible for verifying compliance with regulations, including those regarding shifts, by taxi drivers29.</w:t>
      </w:r>
    </w:p>
    <w:p>
      <w:r>
        <w:t xml:space="preserve">V. INVESTIGATIVE FINDINGS  </w:t>
        <w:br/>
        <w:t>24. Below are the investigative findings and, in particular, the compliance proposal and the commitments made by Radiotaxi 3570 during the procedure, as well as the defenses put forward to argue that the company can be considered compliant with the provisions of provision no. 27244/2018. Finally, the observations and information produced in this regard by Uber, as well as by Mytaxi, will be illustrated.</w:t>
      </w:r>
    </w:p>
    <w:p>
      <w:r>
        <w:t xml:space="preserve">V.1 The compliance measure of Radiotaxi 3570  </w:t>
        <w:br/>
        <w:t xml:space="preserve">25. During the procedure, Radiotaxi 3570 initially proposed some modifications to the compliance measure of the commercial partnership agreement with Uber*30.  </w:t>
        <w:br/>
        <w:t xml:space="preserve">26. As a result of subsequent investigative activities, Radiotaxi 3570 committed to:  </w:t>
        <w:br/>
        <w:t xml:space="preserve">28 Framework law no. 21/1992, in Article 2, defines the taxi service as a non-scheduled public transport service that: "aims to meet the needs of individual transport or small groups of people; addresses an undifferentiated user base; parking occurs in a public place; fares are determined administratively by the competent authorities [the Municipalities, ed.]; which also establish the methods of service; the pickup of the user or the start of the service occurs within the municipal or district area." Furthermore: "the provision of the service is mandatory." Finally, the exercise of the activity "is subject to licensing."  </w:t>
        <w:br/>
        <w:t xml:space="preserve">29 Pursuant to Article 5 "Municipalities, in preparing regulations for the operation of non-scheduled public transport services, establish: a) the number and type of vehicles and vessels to be assigned to each individual service; b) the methods for carrying out the service; c) the criteria for determining fares for the taxi service; d) the requirements and conditions for issuing the license for the operation of the taxi service and the authorization for the operation of the rental service with driver."  </w:t>
        <w:br/>
        <w:t xml:space="preserve">* In this version, some data are omitted, as elements of confidentiality or secrecy of the information were deemed to exist.  </w:t>
        <w:br/>
        <w:t xml:space="preserve">30 That is, it committed to approving a shareholders' resolution with the agenda [omitted]. Furthermore, the Party committed to:  </w:t>
        <w:br/>
        <w:t>(i) ensuring the full applicability of the shareholders' resolution not only to new members but also to those who joined the cooperative before the adoption of this measure, through the approval of an additional resolution by the Board of Directors, which is substantially recognitive of the shareholders' resolution itself; (ii) widely publicizing this measure by transmitting the resolution to all taxi driver members.</w:t>
      </w:r>
    </w:p>
    <w:p>
      <w:r>
        <w:t>BULLETIN NO. 32 OF AUGUST 12, 2024 11</w:t>
      </w:r>
    </w:p>
    <w:p>
      <w:r>
        <w:t xml:space="preserve">˗ amend its Statute by definitively introducing a clause that expressly states: "members of the Cooperative who make themselves available may offer their taxi service to meet the demands of users conveyed by the ItTaxi system through technological integration agreements with other intermediation platforms"31.  </w:t>
        <w:br/>
        <w:t xml:space="preserve">˗ conclude commercial partnership agreements (similar to the one already made with Uber) with all competing platforms that request it. More specifically, the commitment pertains to the conclusion of technological interconnection agreements, through which Radiotaxi 3570 will make the entire group of taxi driver members available to respond to requests from customers of competing platforms32.  </w:t>
        <w:br/>
        <w:t xml:space="preserve">27. The ItTaxi platform allows intermediation between the offer of rides by the taxi driver members of Radiotaxi 3570 and the demand for taxis from both the cooperative's customers and customers of third-party platforms, including, at present, Uber (ItTaxi Partners). The Party represented that the call dispatching system of the ItTaxi platform (the so-called ItTaxi dispatching system) respects a principle of neutrality, according to which rides are assigned to taxi drivers without discriminating based on the origin of the call (cooperative vs ItTaxi Partners) and without the latter being able to choose the service based on the source from which the request originates33.  </w:t>
        <w:br/>
        <w:t xml:space="preserve">28. In this regard, in the communication of November 7, 2023, Radiotaxi 3570 produced a document in which, on the left, screenshots of the screens (ItTaxi App and Uber App) are shown as they appear on the customer's device, and on the right, the screens visible to the taxi driver (Driver App) are shown. From this document, it appears that, at the moment of receiving a taxi request, the app available to the taxi driver member (Driver App) never displays information regarding the source from which the taxi requests originate, while it displays the destination of the requested ride and the "Accept" or "Reject" buttons, by clicking on which the ride is accepted or rejected. In the same communication, the Party represented that, at the moment of receiving a request, the taxi driver of Radiotaxi 3570 has visibility exclusively of the following information: (a) pickup point; (b) name of the parking area associated with the pickup point (if present); (c) delivery point (if present); (d) name of the customer (if present); (e) distinction between ride and reservation; (f) characteristics of the requested ride; (g) number of passengers and luggage and any notes for the taxi driver. In particular, the delivery point is indicated as it is included in the customer's ride request, this indication being optional on the part of the customer.  </w:t>
        <w:br/>
        <w:t>29. As indicated in the communication of November 7, 2023, as well as in previous communications34, when the ride originates from the ItTaxi Partners channel (currently from Uber), according to the agreement, the Uber customer interfaces exclusively with the Uber app and the transport contract is concluded between the taxi driver and the Uber customer. On the other hand, the user who avails themselves of the Uber-ItTaxi intermediation service does not make any payment to the taxi driver, as the transaction</w:t>
      </w:r>
    </w:p>
    <w:p>
      <w:r>
        <w:t xml:space="preserve">31 The amendment would be approved through an extraordinary meeting of the members, with the agenda "Amendment of Article 5 of the Statute in order to clarify its application scope."  </w:t>
        <w:br/>
        <w:t xml:space="preserve">32 Excluding members who decide not to use the call dispatching from the third-party platform: in this regard, the Party stated that about [85-90%] of the taxi driver members would have adhered to the agreement with Uber.  </w:t>
        <w:br/>
        <w:t xml:space="preserve">33 The Party represented in this regard that in the months of May, June, July, and August 2023, approximately [30-35%], [35-40%], [35-40%], and [40-45%] of the rides actually served by the fleet of Radiotaxi 3570 were fulfilled by Uber.  </w:t>
        <w:br/>
        <w:t>34 Cfr. memorandum of September 18, 2023.</w:t>
      </w:r>
    </w:p>
    <w:p>
      <w:r>
        <w:rPr>
          <w:b/>
        </w:rPr>
        <w:t>[Pages 10–12]</w:t>
      </w:r>
    </w:p>
    <w:p>
      <w:r>
        <w:t>12 BULLETIN NO. 32 OF AUGUST 12, 2024</w:t>
        <w:br/>
        <w:t>internal economy of the Uber system. The cooperative is limited solely to making the capacity of the taxi driver resource available.</w:t>
      </w:r>
    </w:p>
    <w:p>
      <w:r>
        <w:t>V.2 The arguments of the Party</w:t>
        <w:br/>
        <w:t>V.2.1 The suitability of the measure prepared by the cooperative to comply with the Provision</w:t>
        <w:br/>
        <w:t>30. According to the Party, the measure prepared by Radiotaxi 3570 during the proceedings is fully suitable - and is the only suitable one - to achieve the useful effect of the warning, as it, on the one hand, based on a non-discriminatory mechanism, makes available to third-party platforms the unused productive capacity, optimizing the activity of the member taxi driver and thus promoting an efficiency in the meeting of taxi service demand and supply35; on the other hand, it simultaneously preserves the necessary availability of the cooperative's resources functional to achieving its mutualistic purpose36. In the absence of a central integration system that allows for continuous and constant monitoring of the availability of its fleet (i.e., the status of individual taxi drivers) to respond to its requests, Radiotaxi 3570 could never have a real understanding of the capacity absorbed by requests coming from the cooperative and, therefore, would not be able to define and release even the excess share in favor of competing platforms.</w:t>
      </w:r>
    </w:p>
    <w:p>
      <w:r>
        <w:t>31. In the final memorandum received on July 4, 2024, and during the hearing before the Board held on July 9, 2024, the Party made replies to the criticisms raised in the CRI37. In this regard, Radiotaxi 3570 preliminarily raised the lack of evidence that, according to it, would undermine the present proceedings, as the request to verify the current market configuration was not accepted, and contested the substantive conclusions reached in the CRI, arguing in particular: a) on the interpretation given to the Provision and the ruling of the Council of State; b) on the reduction of incentives to compete of the proposed measure; c) on the opportunistic behaviors of taxi drivers; d) on the impossibility of identifying the share of unused productive capacity.</w:t>
      </w:r>
    </w:p>
    <w:p>
      <w:r>
        <w:t>a) On the freedom of choice of the taxi driver and on the definition of the methods by which the excess productive capacity is released</w:t>
        <w:br/>
        <w:t>32. According to the Party, neither the provision of 2018 nor the ruling of the Council of State imposes on Radiotaxi 3570 to allow direct contact of the member taxi driver with third-party platforms, as instead claimed in the CRI. The aforementioned acts, establishing the legality of the relative and not absolute nature of the exclusivity clause, confirm the ownership of the related right in the cooperative, to which consequently - and as the owner - they recognize the right to evaluate and define also the methods by which to limit its application to the members: technically organizing and in a manner consistent with this principle the functioning and operation of its interconnection platform38.</w:t>
      </w:r>
    </w:p>
    <w:p>
      <w:r>
        <w:t>33. As a result of the thesis supported in the CRI, centered on the need to ensure direct contact of the taxi driver by third-party platforms, there would instead be a "technical-legal transposition" of the right to define the execution methods of the exclusivity from the cooperative, which is the owner, to the member taxi driver, who has committed to respecting it39.</w:t>
      </w:r>
    </w:p>
    <w:p>
      <w:r>
        <w:t>34. Furthermore, the measure proposed by Radiotaxi 3570 would stimulate competition and efficiency, as also claimed by Uber, according to which the partnership agreement "provides an additional transportation option for Uber users and thus increases its offer"40. Conversely, the solution proposed in the CRI would prevent Radiotaxi 3570 from developing its business model and from knowing in real time the status of its members.</w:t>
      </w:r>
    </w:p>
    <w:p>
      <w:r>
        <w:t>35. The Party also believes that both the Authority's provision and the ruling of the Council of State have recognized broad discretion to it in defining the conduct to be followed and not just the amount of capacity to be released41.</w:t>
      </w:r>
    </w:p>
    <w:p>
      <w:r>
        <w:t>b) On the reduction of incentives to compete</w:t>
        <w:br/>
        <w:t>36. The Party contested the assumption of the CRI that the measure prepared by Radiotaxi 3570 to comply with the 2018 provision would reduce the incentives for competitive confrontation among intermediation platforms.</w:t>
      </w:r>
    </w:p>
    <w:p>
      <w:r>
        <w:t>37. In this regard, Radiotaxi 3570 observes that Uber and Mytaxi, heard during the investigation, did not raise any issues in this regard. In any case, this concern would not exist because ItTaxi does not</w:t>
      </w:r>
    </w:p>
    <w:p>
      <w:r>
        <w:t>38 In other words, the relaxation of the exclusivity clause solely implies the consent of the cooperative for the taxi drivers bound by the obligation of cooperative loyalty to use the intermediation services offered by platforms competing with the cooperative to which they belong, and the identification of the methods by which this possibility is guaranteed is expressly left to the cooperative itself by the Council of State, according to which “[p] therefore, once the illegality of absolute non-competition clauses has been established, it will be up to the radiotaxis to define, in accordance with what is prescribed in the provision to be executed, what the share of productive capacity actually necessary to allow the realization of the legitimate protection objectives underlying the non-competition clause is and, conversely, what the share that can be used by taxi drivers in favor of other intermediation platforms is - also defining, in this regard, the methods through which such a share must be expressed” (cf. par. 8.21, cited).</w:t>
      </w:r>
    </w:p>
    <w:p>
      <w:r>
        <w:t>39 The taxi driver who, upstream, has legitimately chosen to join the cooperative "grants it his offer by deciding therefore not to convey his offer directly through channels other than those of the cooperative (such as FreeNow and Uber). This is because, through his choice of membership as a member, he provides to self-produce and manage his own technological interconnection platform of which he retains - through the cooperative - co-ownership and management to convey his offer” (Cf. memorandum of July 4, 2024).</w:t>
      </w:r>
    </w:p>
    <w:p>
      <w:r>
        <w:t>40 Besides the fact that Uber, during the hearing, negatively responded to the Offices' question "whether the resistance of taxi drivers to establish an independent relationship with Uber depended on the presence of exclusivity clauses in the statutes of the radiotaxi cooperatives."</w:t>
      </w:r>
    </w:p>
    <w:p>
      <w:r>
        <w:t>41 On this point, the Party finally clarified that, even if the second clause of the cited par. 8.21 of the ruling (i.e. “also defining the methods by which such a share must be expressed”) referred solely to the method of calculating capacity, it would have the same meaning as the first clause (i.e. “define […], what the share of productive capacity actually necessary […] is and, conversely, what the share that can be used by taxi drivers in favor of other intermediation platforms is”). However, this interpretation is unreliable as the two passages are connected by the adverb “also” which, by definition, expresses an addition to what is expressed in the main sentence. The Party therefore reiterates that, unlike the forced reading of the CRI, the Council of State confirmed that the methods of making the offer available are left to the Cooperative as the owner of the offer conveyance.</w:t>
      </w:r>
    </w:p>
    <w:p>
      <w:r>
        <w:t>14 BULLETIN NO. 32 OF AUGUST 12, 2024</w:t>
        <w:br/>
        <w:t>not charge any commission either for users or for taxi drivers42 and third-party platforms are free to decide the commissions to apply43.</w:t>
      </w:r>
    </w:p>
    <w:p>
      <w:r>
        <w:t>c) On opportunistic behaviors</w:t>
        <w:br/>
        <w:t>38. Radiotaxi 3570 believes, first of all, that the assertion that the taxi driver also sees the destination of the requested ride on the ItTaxi app (thus being able to engage in opportunistic behaviors) is not true and is not supported by any document. The indication of the destination by ItTaxi customers is only optional and rarely provided in practice44. Furthermore, the taxi driver "interrogated" by the ItTaxi system receives only one request at a time that he will hardly refuse as he does not know, nor can he predict, if and when he will receive a new request and, above all, what its destination will be. Instead, the use of multiple devices simultaneously by the taxi driver would favor opportunistic behaviors, as he could arbitrarily opt for a different ride, canceling the one just accepted.</w:t>
      </w:r>
    </w:p>
    <w:p>
      <w:r>
        <w:t>39. The Party defines, secondly, the solution based on ex post controls proposed by the CRI to monitor opportunistic behaviors as cumbersome compared to the centralized system45.</w:t>
      </w:r>
    </w:p>
    <w:p>
      <w:r>
        <w:t>d) On the impossibility of identifying the share of unused productive capacity</w:t>
        <w:br/>
        <w:t>40. Regarding this aspect, Radiotaxi 3570 stated, first of all, that it would be the Authority's burden, and not the Party's, to indicate how to calculate this share46. Moreover, the impossibility of making this calculation means that the only way to comply is the elimination of exclusivity.</w:t>
      </w:r>
    </w:p>
    <w:p>
      <w:r>
        <w:t>41. In any case, in the final memorandum, the Party, after raising the fact that the analysis of demand trends should have been carried out over the last three years (as requested by the CRI) and not annually, provided the data for the two-year period June 2022-May 202447, which highlight variable and, according to the Party, even erratic rates of unmet requests (which express the occupancy rates of taxi drivers), considering, for example, that “- the rate of unmet requests</w:t>
      </w:r>
    </w:p>
    <w:p>
      <w:r>
        <w:t>42 Even in the absence of the ItTaxi interconnection platform, open third-party platforms would not be stimulated to attract taxi drivers with more advantageous and differentiated commissions compared to those guaranteed by the cooperative which, as mentioned, are zero.</w:t>
      </w:r>
    </w:p>
    <w:p>
      <w:r>
        <w:t>43 In fact, contrary to what is asserted by the CRI, the cooperative, during negotiations with third-party platforms for the conclusion of interoperability agreements, advocates the rights of member taxi drivers, protecting them from the risk of indiscriminate increases in commissions by platforms. Furthermore, the cooperative does not exert any influence on the decisions of competing platforms to impose a booking fee on users which, in fact, has never been applied by Radiotaxi 3570 and, indeed, constitutes a peculiarity of open platforms.</w:t>
      </w:r>
    </w:p>
    <w:p>
      <w:r>
        <w:t>44 The Party stated that only one customer (of ItTaxi) out of four indicates the destination of the requested ride, producing a table showing rides from ItTaxi channels with and without destination, in the period January-May 2024.</w:t>
      </w:r>
    </w:p>
    <w:p>
      <w:r>
        <w:t>45 Essentially, the mechanism suggested by the CRI: (i) on the one hand, transfers to the taxi driver the burden and responsibility of having to carry out a reporting activity that involves a burden of recording all rides made in favor of competing platforms during a shift, with the annotation of the precise moment they were accepted and the destination (ii) on the other hand, imposes on Radiotaxi 3570 the burden of implementing a complex system of ex post "cross" controls between the data recorded by the Cooperative and those communicated by each individual taxi driver.</w:t>
      </w:r>
    </w:p>
    <w:p>
      <w:r>
        <w:t>46 The CRI, in fact, does not indicate which data would demonstrate the possibility of calculating the periods of inactivity of each member; moreover, it refers in a completely generic manner to the existence of an alleged "plurality of elements" useful for identifying a compliance method.</w:t>
      </w:r>
    </w:p>
    <w:p>
      <w:r>
        <w:t>47 The Party clarified that the 2021 data was not provided as 2021 was a year that was still affected by the effects of the pandemic crisis and the related restrictions on movement and therefore would not represent a suitable comparison parameter.</w:t>
      </w:r>
    </w:p>
    <w:p>
      <w:r>
        <w:rPr>
          <w:b/>
        </w:rPr>
        <w:t>[Pages 13–15]</w:t>
      </w:r>
    </w:p>
    <w:p>
      <w:r>
        <w:t>BULLETIN NO. 32 OF AUGUST 12, 2024 15</w:t>
      </w:r>
    </w:p>
    <w:p>
      <w:r>
        <w:t>registered in September 2022 is twice the rate of unmet requests recorded in January 2023; while - the rate of unmet requests in September 2023 is five times higher than the rate of unmet requests in January 2024.” Essentially, considering the same time frame (i.e. September - January) of two consecutive years, the difference in the rate of unmet requests demonstrates a significant irregularity. In light of this data, it would thus be demonstrated that it is objectively impossible to define, even based on averages, “reliable excess shares for the future”48.</w:t>
      </w:r>
    </w:p>
    <w:p>
      <w:r>
        <w:t>42. According to the Party, the fact that the share made available through the measure proposed by the cooperative goes well beyond what is required would argue in favor of its indefinability.</w:t>
      </w:r>
    </w:p>
    <w:p>
      <w:r>
        <w:t>43. Finally, Radiotaxi 3570 has stated that saturation would be an established fact49 and that, in any case, the modification of the absolute scope of the clause has already occurred since the agreement with Uber has been in effect since June 202250.</w:t>
      </w:r>
    </w:p>
    <w:p>
      <w:r>
        <w:t>V.2.2 The critical issues inherent in the alternative compliance measure outlined during the proceedings</w:t>
      </w:r>
    </w:p>
    <w:p>
      <w:r>
        <w:t>44. On the other hand, the possibility of allowing taxi drivers to individually free up a specific share of productive capacity, by directly accepting requests from third-party platforms, would be incorrect and, in any case, unfeasible as it raises a series of issues, because:</w:t>
        <w:br/>
        <w:t>- it would first entail a substantial modification of the cooperative's business model, which would effectively become an open platform, rendering the non-competition clause devoid of any meaning and significance. This would lead to an inevitable detriment to the proper functioning of the cooperative, which would see its ability to respond positively to received calls diminish and, consequently, would be forced to "dismantle" the investments made to implement its management system51;</w:t>
        <w:br/>
        <w:t>- it would not guarantee the efficiency of resources and the maximization of the productive capacity of individual taxi drivers, as the individual platforms would not be able to assign rides efficiently;</w:t>
        <w:br/>
        <w:t>- it would facilitate the adoption of opportunistic behaviors by taxi drivers who could choose whether or not to accept a ride for convenience reasons;</w:t>
        <w:br/>
        <w:t>- it would conflict with the public service nature of the taxi service, as well as with the obligations to take on users in a non-discriminatory manner, pursuant to framework law no. 21/1992;</w:t>
      </w:r>
    </w:p>
    <w:p>
      <w:r>
        <w:t>48 The trend of taxi requests is directly affected by incidental events and exceptional phenomena (such as weather conditions, strikes, and public transport failures).</w:t>
      </w:r>
    </w:p>
    <w:p>
      <w:r>
        <w:t>49 See the Authority's report of November 3, 2023, AS1921 - Taxi license regulation (in Bulletin no. 42/2023), which attests to a very high number of unmet calls and excessively long waiting times.</w:t>
      </w:r>
    </w:p>
    <w:p>
      <w:r>
        <w:t>50 Precisely in the current historical moment, the Authority was (and is) required to assess the suitability of the cooperative's measure, based on the circumstances characterizing the market today, including its proven saturation.</w:t>
      </w:r>
    </w:p>
    <w:p>
      <w:r>
        <w:t>51 In this regard, the Party has noted that the efforts made for the development of innovative formulas such as the ItTaxi platform (including the costs of development and maintenance of services) and the investments have been, and are still, entirely borne (and financed) by the taxi drivers who are members of the cooperative without any possibility of transferring the burden onto customer prices.</w:t>
      </w:r>
    </w:p>
    <w:p>
      <w:r>
        <w:t>16 BULLETIN NO. 32 OF AUGUST 12, 2024</w:t>
      </w:r>
    </w:p>
    <w:p>
      <w:r>
        <w:t>- it would increase the risks of service disruptions to consumers, as is known to the Authority in the context of consumer protection procedure PS12670.</w:t>
      </w:r>
    </w:p>
    <w:p>
      <w:r>
        <w:t>V.3 The position of FreeNow</w:t>
      </w:r>
    </w:p>
    <w:p>
      <w:r>
        <w:t>45. On November 3, 2023, Mytaxi (now FreeNow), responding to a request for information from the Directorate, noted that the signing of such a partnership agreement, as represented in the initiation provision, would establish that the Uber app is integrated into the ItTaxi system and that requests for rides from Uber customers are routed, through Splyt, into the ItTaxi system without direct mediation of taxi drivers with users. This agreement would therefore not allow the taxi driver member of Radiotaxi 3570 any choice regarding additional intermediary platforms with which to interact.</w:t>
      </w:r>
    </w:p>
    <w:p>
      <w:r>
        <w:t>46. Moreover, according to what was stated by the cooperative during the pre-investigation phase and reported in the initiation provision, the agreement in question would constitute a derogation from the statutory exclusivity clause, which therefore appears to be - by the same admission of Radiotaxi 3570 - still fully effective and in force. Therefore, FreeNow has deemed that the commercial partnership agreement between ItTaxi and Uber is not suitable to comply with the 2018 provision and that, to fully comply with this resolution, “Radiotaxi 3570 must intervene by modifying its Statute and its Regulations to eliminate any exclusivity or restriction clauses regarding the use of competing platforms”53.</w:t>
      </w:r>
    </w:p>
    <w:p>
      <w:r>
        <w:t>V.4 The position of Uber</w:t>
      </w:r>
    </w:p>
    <w:p>
      <w:r>
        <w:t>47. Uber has provided its observations and information on several occasions during the proceedings, both during the hearing on October 31, 2023, and on February 26, 2024, responding to a request for information from the Directorate.</w:t>
      </w:r>
    </w:p>
    <w:p>
      <w:r>
        <w:t>48. During the hearing, Uber stated that it had attempted to activate an “autonomous” intermediation service in Naples and Turin, but had abandoned this business model as it was not economically viable; in particular, the company considered that: “not having an adequate fleet, the activation of an autonomous service would not be sustainable from an economic standpoint. Therefore, Uber opted for the commercial partnership agreement with ItTaxi”54. Furthermore: “As of today, the costs that Uber would have to incur to interface autonomously with taxi drivers are high”; “the exclusivity clauses were not a factor that the company considered in evaluating the conclusion of the agreement. The latter was signed because ItTaxi provides an additional transportation option for Uber users and, therefore, increases its offering”55.</w:t>
      </w:r>
    </w:p>
    <w:p>
      <w:r>
        <w:t>52 See communication of January 26, 2024. In the final memorandum, the Party also noted that, in compliance with the commitments made and made mandatory as a result of the aforementioned procedure PS12670 - Radiotaxi Roma 3570 - Various issues, users can easily and promptly submit their complaints to the cooperative directly through the centralized system provided by ItTaxi.</w:t>
      </w:r>
    </w:p>
    <w:p>
      <w:r>
        <w:t>53 See FreeNow communication of November 3, 2023.</w:t>
      </w:r>
    </w:p>
    <w:p>
      <w:r>
        <w:t>54 See hearing of October 31, 2023.</w:t>
      </w:r>
    </w:p>
    <w:p>
      <w:r>
        <w:t>55 See ibidem.</w:t>
      </w:r>
    </w:p>
    <w:p>
      <w:r>
        <w:t>BULLETIN NO. 32 OF AUGUST 12, 2024 17</w:t>
      </w:r>
    </w:p>
    <w:p>
      <w:r>
        <w:t>VI. EVALUATIONS</w:t>
      </w:r>
    </w:p>
    <w:p>
      <w:r>
        <w:t>49. The procedure was initiated, pursuant to Article 15, paragraphs 2 and 2-bis, of Law no. 287 of 1990, to contest to Radiotaxi 3570 the non-compliance with the warning issued pursuant to Article 15, paragraph 1, with provision no. 27244/2018.</w:t>
      </w:r>
    </w:p>
    <w:p>
      <w:r>
        <w:t>50. As described in the Facts, Radiotaxi 3570 proposed a compliance measure aimed at modifying the non-competition statutory clause in the sense of recognizing taxi driver members the possibility of accepting calls from third-party platforms that have concluded interoperability agreements with the proprietary ItTaxi platform.</w:t>
      </w:r>
    </w:p>
    <w:p>
      <w:r>
        <w:t>51. This measure - for the reasons that will be detailed below - does not, however, constitute compliance with the aforementioned provision, as it prevents taxi driver members from directly making available to any third-party intermediation platform the productive capacity exceeding that necessary for the operation of the cooperative, and does not guarantee that competition between platforms providing intermediation services for the demand and supply of taxi services, which is the objective pursued by the Authority's 2018 provision, is achieved, as also noted in the ruling of the Council of State. The measure indicated by the Party, in fact, recognizes the ItTaxi platform as the necessary intermediary, which decides on behalf of the taxi driver how and with which operators the latter can make available their unused capacity, that is, that share of capacity that should instead be left completely free. As a result of the measure, it will be the ItTaxi platform that determines which subjects can enter the market and under what conditions, also defining the business model, in disregard of the development of effective competition in the market in question.</w:t>
      </w:r>
    </w:p>
    <w:p>
      <w:r>
        <w:t>VI.1 The preliminary issue of the lack of investigation</w:t>
      </w:r>
    </w:p>
    <w:p>
      <w:r>
        <w:t>52. Radiotaxi 3570 has argued that the present procedure would be flawed due to a lack of investigation for not having accepted the Party's request to conduct a new investigation aimed at updating market data to verify the persistence of the foreclosure effect and, therefore, whether and to what extent the cooperative's initiative was necessary and proportionate for compliance.</w:t>
      </w:r>
    </w:p>
    <w:p>
      <w:r>
        <w:t>53. This objection is irrelevant and must therefore be rejected. In fact, what is relevant here is the failure to comply with the warning contained in the 2018 provision, namely the failure to modify the absolute scope of the non-competition clause that derives from its formulation and the significance it holds for taxi driver members.</w:t>
      </w:r>
    </w:p>
    <w:p>
      <w:r>
        <w:t>54. On this point, moreover, following the first non-compliance procedure against Radiotaxi 3570, closed with the aforementioned provision no. 29969/2022, fully confirmed by the Lazio TAR with ruling no. 4769/2023, the administrative judge observed that a partial opening of the market, following compliance by the other participants in the sanctioned agreement, “does not eliminate the obligation that rested on Radio Taxi 3570 to carry out the same adjustment activities.” Furthermore, “the alleged liberation of the market could be a completely contingent and potentially temporary fact […]” and “following the argument of the appellant, the deterrent effect of the provision would be completely neutralized, which also has a prescriptive and axiological scope for the future […]”.</w:t>
      </w:r>
    </w:p>
    <w:p>
      <w:r>
        <w:t>55. Therefore, it is evident how it is entirely irrelevant to concern oneself with the analysis of the market in the absence of a preliminary statutory modification of the non-competition clause, which, in accordance with</w:t>
      </w:r>
    </w:p>
    <w:p>
      <w:r>
        <w:rPr>
          <w:b/>
        </w:rPr>
        <w:t>[Pages 16–18]</w:t>
      </w:r>
    </w:p>
    <w:p>
      <w:r>
        <w:t>18 BULLETIN NO. 32 OF AUGUST 12, 2024</w:t>
        <w:br/>
        <w:t>as established by the Authority's provision of 2018, by the ruling of the Council of State of 2020, and by the Lazio TAR in 2023, must not only be carried out but must also be suitable to ensure an adequate competitive comparison between taxi service demand intermediation platforms.</w:t>
      </w:r>
    </w:p>
    <w:p>
      <w:r>
        <w:t>VI.2 Non-compliance</w:t>
        <w:br/>
        <w:t>VI.2.1 On the legal context</w:t>
        <w:br/>
        <w:t>56. The assessment of the measure proposed by the Party implies the necessity to start, first of all, from the reconstruction of the Authority's provision no. 27244 of June 27, 2018 (hereinafter also, "Provision") and the ruling of the Council of State no. 7991 of December 14, 2020, which confirmed this provision. In this sense, it should first be noted that the warning, with respect to which Radiotaxi 3570 is found non-compliant, does not criticize the statutory non-competition clause as such, but rather its absolute scope as it binds the taxi driver members to allocate all their productive capacity, expressed in terms of rides, to a single closed platform. The Authority's provision states that clauses of this scope are restrictive of competition under Article 101 TFEU as they are capable of determining a significant and lasting cumulative blocking effect in the market for the collection and distribution of taxi service demand in Rome, hindering effective and potential competition, the development of more efficient and competitive market structures, and reducing competition between closed and open platforms to the detriment of taxi drivers and end consumers.</w:t>
      </w:r>
    </w:p>
    <w:p>
      <w:r>
        <w:t>57. The Provision clearly indicates that, in order to comply, the Party should interpret the non-competition obligations in such a way as to leave taxi drivers free to use a portion of the excess productive capacity in favor of open platforms and not as extended to all the productive capacity, in terms of rides, of the taxi drivers adhering to the radiotaxi. The non-competition constraint, in fact, cannot go beyond what is necessary to ensure the proper functioning of the cooperative.</w:t>
      </w:r>
    </w:p>
    <w:p>
      <w:r>
        <w:t>58. The Council of State has expressed itself in a confirming sense, according to which: "The transformation of absolute exclusive clauses into relative exclusivity, as imposed by the contested provision in the first instance, would thus allow bound taxi drivers to purchase intermediation services from platforms competing with their own, limited to the portion of individual productive capacity not necessary for the adhering radiotaxi."</w:t>
      </w:r>
    </w:p>
    <w:p>
      <w:r>
        <w:t>VI.2.2 On the taxi driver's freedom of choice and the definition of the ways in which excess productive capacity is released</w:t>
        <w:br/>
        <w:t>59. In light of the literal and logical reconstruction of the aforementioned acts, Radiotaxi 3570 is, as anticipated, non-compliant because the proposed measure, contrary to what is provided in the Authority's provision and what is established in the ruling of the Council of State, prevents the taxi driver members from independently choosing whether and for which third-party platforms to make available their productive capacity exceeding that employed for the cooperative. From the cited paragraph 276 of the Provision, it is expressly stated that "the non-competition obligations [...] must leave taxi drivers free to use a portion [of productive capacity] in favor of open platforms."</w:t>
      </w:r>
    </w:p>
    <w:p>
      <w:r>
        <w:t>60. The measure based on the taxi driver's freedom of choice, contrary to what the Party claims, does not result in any "technical-legal transfer" of the ownership of exclusivity. In fact, where the taxi driver is left free to choose which third-party platform to operate with, such possibility would only concern the so-called excess part, that is, that part of capacity excluded from the scope of application of the exclusivity, as redefined by the Authority and the Council of State. This implies that the ownership of the exclusivity concerning the essential capacity for the functioning of the cooperative would remain, legitimately and correctly, with the cooperative.</w:t>
      </w:r>
    </w:p>
    <w:p>
      <w:r>
        <w:t>61. Furthermore, even in the case of a direct relationship between the taxi driver and the third-party platform, the cooperative would not be prevented from continuing to carry out intermediation activities according to its own business model, that is, a closed platform, which has not required the use of the entire productive capacity expressible by each adhering taxi driver and which therefore concerns only the portion necessary for it.</w:t>
      </w:r>
    </w:p>
    <w:p>
      <w:r>
        <w:t>62. The argument that the measure based on the taxi driver's freedom of choice would contradict both the Provision and the Ruling, which, according to the Party, would have recognized it broad discretion in defining the conduct to be followed, is without merit. In this regard, it should be noted that the proposed measure is not in conflict with the cited acts for the following reasons. First of all, based on the Ruling, Radiotaxi 3570 has solely the power to determine how much productive capacity to release and how to determine that quantity. In this sense, paragraph 8.21 states: "Therefore, once the unlawfulness of absolute non-competition clauses has been established, it will be up to the radiotaxi to define, in accordance with what is prescribed in the provision to be executed, what portion of productive capacity is actually necessary to allow the realization of the legitimate protective objectives underlying the non-competition clause - and, conversely, what portion is susceptible to being used by taxi drivers in favor of other intermediation platforms - also defining, in this regard, the ways in which such a portion must be expressed."</w:t>
      </w:r>
    </w:p>
    <w:p>
      <w:r>
        <w:t>In any case, even if (which is not the case) it were to be considered that the definition of the conduct to be followed is left to the discretion of Radiotaxi 3570, the exercise of such discretion should continue to carry out intermediation activities according to its own business model which, as noted, did not require the use of the entire productive capacity expressible by each adhering taxi driver during the period examined by the Authority.</w:t>
      </w:r>
    </w:p>
    <w:p>
      <w:r>
        <w:t>63. This should always occur in compliance with the rationale of the Provision and the rules protecting competition, that is, in a way that promotes competitive comparison between intermediation platforms. This objective cannot certainly be considered pursued with the proposed measure.</w:t>
      </w:r>
    </w:p>
    <w:p>
      <w:r>
        <w:t>64. The latter, in fact, while leaving the taxi driver member free upstream to choose whether or not to adhere to the interoperability agreements with ItTaxi, then precludes him from the freedom to operate for third-party platforms that have not concluded such agreements. Furthermore, it does not allow other competing intermediation platforms to autonomously utilize a portion of the productive capacity expressed by bound taxi drivers, according to their own business model and applying service remuneration conditions that are not negotiated with the competing platform ItTaxi, as also asserted by the company Mytaxi during the investigation.</w:t>
      </w:r>
    </w:p>
    <w:p>
      <w:r>
        <w:t>65. Contrary to what is provided in the Provision and in the Ruling, the measure indicated by the Party does not adequately stimulate competition between closed and open platforms as it reduces the incentives of the latter to attract taxi drivers with advantageous and differentiated economic and service conditions, likely to stimulate the provision of innovative services to taxi drivers and to favor lower pricing policies compared to regulated fares.</w:t>
      </w:r>
    </w:p>
    <w:p>
      <w:r>
        <w:t>66. Nor can the fact that Uber and Mytaxi, heard during the investigation, did not raise issues regarding the partnership agreement and that Uber stated that this agreement "provides an additional transportation option for Uber users and thus increases its offering" be considered a valid argument to support that the measure proposed by Radiotaxi 3570 would not negatively impact the definition of the market structure, but rather stimulate competition. In fact, Uber merely represented that the different business model, based on an "autonomous" intermediation service with the taxi driver, which the company attempted to activate in Naples and Turin, proved to be economically unviable and therefore unsustainable; on the other hand, Mytaxi expressly stated that the company is precluded from such a different business model with the taxi driver member of Radiotaxi 3570.</w:t>
      </w:r>
    </w:p>
    <w:p>
      <w:r>
        <w:t>VI.2.3 On opportunistic behaviors</w:t>
        <w:br/>
        <w:t>67. The measure proposed by Radiotaxi 3570 is neither necessary nor proportionate to eliminate the risk of opportunistic behaviors by taxi drivers, given that, first of all, from the documentation on file, contrary to what the Party claims, it emerges that even on the ItTaxi app, the taxi driver sees the destination of the requested ride (if indicated) at a moment prior to when it is accepted or rejected.</w:t>
      </w:r>
    </w:p>
    <w:p>
      <w:r>
        <w:t>68. Furthermore, the unjustified refusal of rides appears to be in contrast with the public service obligations to which taxi drivers are bound, and this circumstance, contrary to what is asserted by the Party, affects the reduction of incentives to engage in opportunistic behaviors.</w:t>
      </w:r>
    </w:p>
    <w:p>
      <w:r>
        <w:rPr>
          <w:b/>
        </w:rPr>
        <w:t>[Pages 19–21]</w:t>
      </w:r>
    </w:p>
    <w:p>
      <w:r>
        <w:t>BULLETIN NO. 32 OF AUGUST 12, 2024 21</w:t>
      </w:r>
    </w:p>
    <w:p>
      <w:r>
        <w:t>68. Such refusal could be countered by mechanisms aimed at verifying the correct behavior of the taxi driver in allocating part of their capacity to the cooperative, such as the imposition of the obligation to inform the cooperative of the completed rides in favor of third-party platforms, indicating the moment they were accepted and the destination.</w:t>
      </w:r>
    </w:p>
    <w:p>
      <w:r>
        <w:t>69. Finally, the assertion by the Party that the system identified by the Authority would impose an excessive burden on taxi drivers and Radiotaxi 3570 appears entirely dogmatic, without concrete evidence demonstrating what these costs consist of and to what extent they are disproportionate compared to the benefits for competition arising from the measure suggested by the Authority during the present proceeding.</w:t>
      </w:r>
    </w:p>
    <w:p>
      <w:r>
        <w:t>VI.2.4 On the identification of the unused capacity share</w:t>
      </w:r>
    </w:p>
    <w:p>
      <w:r>
        <w:t>70. Contrary to what Radiotaxi 3570 suggested, the factual circumstances presented (i.e., the dynamism of the demand for taxi services and the saturation of the productive capacity of taxi drivers in the Municipality of Rome) do not prevent the identification of unused productive capacity and, therefore, exempt the Party from implementing the compliance measure prescribed by the Provision.</w:t>
      </w:r>
    </w:p>
    <w:p>
      <w:r>
        <w:t>71. On this point, it should be preliminarily highlighted that based on the proposed measure, the Party has already committed to making the entire capacity of the member taxi drivers available to third-party platforms with which it will sign interoperability agreements. Therefore, the inability to define ex ante the share of capacity that can be released does not appear to represent, in reality, a concrete obstacle to the adoption of an alternative measure that grants the taxi driver the choice of the third-party platform for which to operate.</w:t>
      </w:r>
    </w:p>
    <w:p>
      <w:r>
        <w:t>72. In any case, it should be noted that the dynamism of the demand for taxi services does not imply the unpredictability of its trend and therefore the impossibility of identifying the share of unused productive capacity.</w:t>
      </w:r>
    </w:p>
    <w:p>
      <w:r>
        <w:t>73. First of all, the new data produced by the Party, once again, do not prove concretely that the trend of demand, although dynamic, is not predictable, as irrelevant data are compared that highlight variable rates of unfulfilled calls, recorded in September 2022/January 2023 compared to those recorded in September 2023/January 2024.</w:t>
      </w:r>
    </w:p>
    <w:p>
      <w:r>
        <w:t>74. Furthermore, the seasonal factors that influence demand (midweek holidays, vacations, high/low tourist season, etc.) are well known, and the occurrence of most "unpredictable" events is actually knowable close to the event itself.</w:t>
      </w:r>
    </w:p>
    <w:p>
      <w:r>
        <w:t>75. Standard statistical and econometric techniques applied to sufficiently long historical series (for example, a three-year period) allow for the identification and separation of the impact on the demand for taxi services from both known seasonal factors and unpredictable events.</w:t>
      </w:r>
    </w:p>
    <w:p>
      <w:r>
        <w:t>76. Such analyses allow for: (i) estimating both the average unused capacity and the unused capacity in the presence of demand peaks and (ii) the capacity that taxi drivers can utilize without the intermediation of ItTaxi.</w:t>
      </w:r>
    </w:p>
    <w:p>
      <w:r>
        <w:t>77. It should also be noted that such capacity can be defined in a "dynamic" manner, taking into account seasonal factors and adjusting it when unpredictable events occur.</w:t>
      </w:r>
    </w:p>
    <w:p>
      <w:r>
        <w:t>78. It is also evident that only Radiotaxi 3570 possesses the data to carry out such analysis and to identify the releasable capacity.</w:t>
      </w:r>
    </w:p>
    <w:p>
      <w:r>
        <w:t>79. Finally, regarding the alleged saturation of the productive capacity of taxi drivers in the Municipality of Rome (which would hinder the identification of a share of unused productive capacity), it is observed that this cannot justify the non-compliant conduct of the Party. In fact, as mentioned, the analysis of the market is irrelevant in the absence of a modification of the absolute scope of the non-competition clause, which - in accordance with what was established by the Provision, the Judgment, and, lastly, by the Lazio TAR in 2023 - must not only be carried out but must also be suitable to ensure an adequate comparison between taxi service intermediation platforms.</w:t>
      </w:r>
    </w:p>
    <w:p>
      <w:r>
        <w:t>VII. THE SANCTION</w:t>
      </w:r>
    </w:p>
    <w:p>
      <w:r>
        <w:t>80. Pursuant to Article 15, paragraph 2, Law No. 287/90, in the event of non-compliance with the warning referred to in Article 15, paragraph 1, the Authority imposes an administrative pecuniary sanction of up to 10% of the turnover, or, in cases where the sanction provided for in Article 15, paragraph 1, has been applied, a minimum amount not less than double the sanction already applied.</w:t>
      </w:r>
    </w:p>
    <w:p>
      <w:r>
        <w:t>81. Considering that the Authority has not imposed sanctions on Radiotaxi 3570 for the infringement established in provision no. 27244/2018, in this case, an administrative pecuniary sanction of up to 10% of the company's turnover is applied.</w:t>
      </w:r>
    </w:p>
    <w:p>
      <w:r>
        <w:t>82. Regarding the quantification of the sanction, account must be taken of the criteria identified by Article 11 of Law No. 689/1981, by virtue of the reference provided for in Article 31 of Law No. 287/1990: in particular, the severity of the violation, the efforts made by the company to eliminate or mitigate the infringement, as well as the economic conditions of the company itself.</w:t>
      </w:r>
    </w:p>
    <w:p>
      <w:r>
        <w:t>83. As for the severity of the infringement, it should be noted that in this case there has been no adjustment by Radiotaxi 3570 to the Authority's resolution no. 27244/2018, which had warned the Party to eliminate the statutory and regulatory non-competition clauses with absolute scope. The aforementioned conduct aimed at compliance could have been easily maintained by the Party, as also demonstrated by the compliance of other taxi companies subject to provision no. 27244/2018. It should also be noted that the infringement constitutes the second non-compliance with the warning contained in provision no. 27244/2018 of the Authority, as a first non-compliance proceeding against 3570 had already been conducted, closed with provision no. 29969 of January 11, 2022, fully confirmed by the Lazio TAR with judgment no. 4769 of March 20, 2023.</w:t>
      </w:r>
    </w:p>
    <w:p>
      <w:r>
        <w:t>84. Therefore, in this case, the Authority applies an administrative pecuniary sanction quantified, based on the elements outlined above, at 2% of the relevant turnover achieved in the last financial year closed prior to the notification of the warning, amounting to 140,043.95 euros.</w:t>
      </w:r>
    </w:p>
    <w:p>
      <w:r>
        <w:t>85. Furthermore, considering the persistence of the infringement and the obstinate non-compliance with the warning referred to in provision no. 27244/2018, to ensure the effectiveness of this decision and compel the Party to comply, a penalty for delay is imposed pursuant to Article 15, paragraph 2-bis, letter a), Law No. 287/1990 for each day of delay starting from the expiration of ninety days from the notification of this provision. The penalty for delay is quantified at 1% of the average daily turnover achieved worldwide during the previous fiscal year, equal to 214.40 euros.</w:t>
      </w:r>
    </w:p>
    <w:p>
      <w:r>
        <w:t>All of the above being stated and considered;</w:t>
      </w:r>
    </w:p>
    <w:p>
      <w:r>
        <w:t>CONSIDERING, in light of the investigative findings, that Radiotaxi 3570 has not adopted appropriate compliance measures with provision no. 27244 of June 27, 2018, having perpetuated the established anti-competitive situation;</w:t>
      </w:r>
    </w:p>
    <w:p>
      <w:r>
        <w:t>RESOLVES</w:t>
      </w:r>
    </w:p>
    <w:p>
      <w:r>
        <w:t>a) that the conduct of Radiotaxi 3570 Società Cooperativa, consisting of not having adopted suitable measures to eliminate the infringement and not having refrained from engaging in behaviors similar to those subject to the infringement, particularly by not modifying the statutory and regulatory non-competition clauses with absolute scope in the terms indicated in the motivation, constitutes non-compliance with provision no. 27244 of June 27, 2018, in violation of Article 15, paragraph 2, of Law No. 287/1990;</w:t>
      </w:r>
    </w:p>
    <w:p>
      <w:r>
        <w:t>b) to impose on Radiotaxi 3570 Società Cooperativa, for such conduct and for the reasons stated in the motivation, an administrative pecuniary sanction of 140,043.95 € (one hundred forty thousand forty-three/95 euros);</w:t>
      </w:r>
    </w:p>
    <w:p>
      <w:r>
        <w:t>c) to impose, for the reasons stated in the motivation, a penalty for delay of 214.40 € (two hundred fourteen/40 euros) on Radiotaxi 3570 Società Cooperativa for each day of delay in complying with the warning referred to in provision no. 27244 of June 27, 2018, starting from the expiration of ninety days from the notification of this provision;</w:t>
      </w:r>
    </w:p>
    <w:p>
      <w:r>
        <w:t>d) that Radiotaxi 3570 Società Cooperativa must submit, within sixty days from the notification of this provision, a written report on the measures it intends to adopt for compliance with provision no. 27244 of June 27, 2018.</w:t>
      </w:r>
    </w:p>
    <w:p>
      <w:r>
        <w:t>The administrative sanction referred to in the previous letter b)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w:t>
      </w:r>
    </w:p>
    <w:p>
      <w:r>
        <w:rPr>
          <w:b/>
        </w:rPr>
        <w:t>[Pages 22–24]</w:t>
      </w:r>
    </w:p>
    <w:p>
      <w:r>
        <w:t>24 BULLETIN NO. 32 OF AUGUST 12, 2024</w:t>
      </w:r>
    </w:p>
    <w:p>
      <w:r>
        <w:t>the imposed penalty is increased by one-tenth for each semester starting from the day following the payment deadline until the date on which the role is transmitted to the collector for collection; in this case, the increase absorbs the late payment interest accrued during the same period. Immediate notification of the payment must be given to the Authority, by sending a copy of the form certifying the payment made.</w:t>
      </w:r>
    </w:p>
    <w:p>
      <w:r>
        <w:t>Pursuant to Article 26 of the same law, companies in economically disadvantaged conditions may request the installment payment of the penalty.</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br/>
        <w:t>Guido Stazi Roberto Rustichelli</w:t>
      </w:r>
    </w:p>
    <w:p>
      <w:r>
        <w:t>BULLETIN NO. 32 OF AUGUST 12, 2024 25</w:t>
      </w:r>
    </w:p>
    <w:p>
      <w:r>
        <w:t>A558 - BOOKING/PROGRAMS OFFERED TO ITALIAN ACCOMMODATION FACILITIES AND COMPETITION AMONG OTAs</w:t>
        <w:br/>
        <w:t>Provision No. 31303</w:t>
        <w:br/>
        <w:t>THE COMPETITION AND MARKET AUTHORITY</w:t>
        <w:br/>
        <w:t>IN ITS MEETING of August 6, 2024;</w:t>
        <w:br/>
        <w:t>HEARD the Rapporteur, Professor Elisabetta Iossa;</w:t>
        <w:br/>
        <w:t>HAVING REGARD to Article 102 of the Treaty on the Functioning of the European Union (TFEU);</w:t>
        <w:br/>
        <w:t>HAVING REGARD to Regulation No. 1/2003 of the Council of December 16, 2002, concerning the application of the competition rules laid down in Articles 81 and 82 of the EC Treaty (now 101 and 102 TFEU);</w:t>
        <w:br/>
        <w:t>HAVING REGARD to Law No. 287 of October 10, 1990, and in particular Article 14-ter;</w:t>
        <w:br/>
        <w:t>HAVING REGARD to the Decree of the President of the Republic No. 217 of April 30, 1998;</w:t>
        <w:br/>
        <w:t>HAVING REGARD to its resolution No. 31126 of March 12, 2024, with which an investigation was initiated pursuant to Article 14 of Law No. 287/1990, against Booking.com International B.V., Booking.com B.V., Booking.com (Italia) S.r.l. to ascertain an alleged abuse of a dominant position in violation of Article 102 TFEU, concerning the operation of the Preferred Partner Programs, Preferred Plus, and Booking Sponsored Benefit that would limit the autonomy of the facilities to differentiate prices among various online sales channels;</w:t>
        <w:br/>
        <w:t>HAVING REGARD to the "Communication on the procedures for the application of Article 14-ter of Law No. 287 of October 10, 1990," adopted in the meeting of September 6, 2012, and published in Bulletin No. 35 of September 17, 2012;</w:t>
        <w:br/>
        <w:t>HAVING REGARD to the communication of July 19, 2024, by which the companies Booking.com International B.V., Booking.com B.V., Booking.com (Italia) S.r.l., after obtaining an extension of the legal deadline from the Authority, submitted commitments, pursuant to Article 14-ter of Law No. 287/1990, according to the methods indicated in the specific "Form for the submission of commitments pursuant to Article 14-ter of Law No. 287/90," attached to this resolution.</w:t>
      </w:r>
    </w:p>
    <w:p>
      <w:r>
        <w:t>CONSIDERING that the commitments submitted, as a whole, do not appear manifestly unfounded and are such as to be susceptible to publication, without prejudice to any assessment by the Authority on their suitability to resolve the competitive issues raised at the outset;</w:t>
      </w:r>
    </w:p>
    <w:p>
      <w:r>
        <w:t>THEREFORE, IT IS RESOLVED to publish on August 7, 2024, on the Authority's website the aforementioned commitments, attached to this provision, of which they constitute an integral part, submitted by the companies Booking.com International B.V., Booking.com B.V., Booking.com (Italia) S.r.l., pursuant to Article 14-ter of Law No. 287/1990;</w:t>
      </w:r>
    </w:p>
    <w:p>
      <w:r>
        <w:t>b) that any observations on the commitments submitted by the companies Booking.com International B.V., Booking.com B.V., Booking.com (Italia) S.r.l. must be received in writing, no later than September 13, 2024, at the Competition Department – 2, Directorate of Credit, Insurance, Postal Services, Tourism and Sports of the Authority, Piazza G. Verdi, 6/A, 00198 Rome, tel. 06/85821.813, pec: protocollo.agcm@pec.agcm.it;</w:t>
      </w:r>
    </w:p>
    <w:p>
      <w:r>
        <w:t>c) that any representations by the companies Booking.com International B.V., Booking.com B.V., Booking.com (Italia) S.r.l. regarding their position in relation to the observations submitted by third parties on the commitments, as well as any introduction of ancillary modifications to them, must be received in writing by the Authority no later than October 13, 2024.</w:t>
      </w:r>
    </w:p>
    <w:p>
      <w:r>
        <w:t>THE SECRETARY GENERAL THE PRESIDENT</w:t>
        <w:br/>
        <w:t>Guido Stazi Roberto Rustichelli</w:t>
      </w:r>
    </w:p>
    <w:p>
      <w:r>
        <w:rPr>
          <w:b/>
        </w:rPr>
        <w:t>[Pages 25–27]</w:t>
      </w:r>
    </w:p>
    <w:p>
      <w:r>
        <w:t>BULLETIN NO. 32 OF AUGUST 12, 2024 27</w:t>
        <w:br/>
        <w:t>CONCENTRATION OPERATIONS</w:t>
        <w:br/>
        <w:t>C12615 - ALPACEM CEMENTI ITALIA/BRANCH OF BUZZI UNICEM</w:t>
        <w:br/>
        <w:t>Provision no. 31297</w:t>
        <w:br/>
        <w:t>THE ANTITRUST AUTHORITY</w:t>
        <w:br/>
        <w:t>IN ITS MEETING of July 23, 2024;</w:t>
        <w:br/>
        <w:t>HEARD the Rapporteur, Saverio Valentino;</w:t>
        <w:br/>
        <w:t>HAVING REGARD to Regulation (EC) No. 139/2004;</w:t>
        <w:br/>
        <w:t>HAVING REGARD to Law No. 287 of October 10, 1990;</w:t>
        <w:br/>
        <w:t>HAVING REGARD to Presidential Decree No. 217 of April 30, 1998;</w:t>
        <w:br/>
        <w:t>HAVING REGARD to its resolution of January 31, 2024, with which, pursuant to Article 16, paragraph 1-bis, of Law No. 287/1990, the company Alpacem Cementi Italia S.p.A. was requested to notify the concentration operation that concerns it;</w:t>
        <w:br/>
        <w:t>HAVING REGARD to the communication from Alpacem Cementi Italia S.p.A., received on March 1, 2024;</w:t>
        <w:br/>
        <w:t>HAVING REGARD to provision no. 31137 of March 26, 2024, with which the Authority decided to initiate an investigation, pursuant to Article 16, paragraph 4, of Law No. 287/1990, against the companies Alpacem Cementi Italia S.p.A., Alpacem Calcestruzzi Italia S.r.l., Buzzi S.p.A. and its subsidiaries Buzzi Unicem S.r.l. and Unicalcestruzzi S.p.A.;</w:t>
        <w:br/>
        <w:t>HAVING REGARD to the communications of May 10, 2024, and May 21, 2024, with which Alpacem Cementi Italia S.p.A. and Alpacem Calcestruzzi Italia S.r.l. requested a thirty-day extension of the investigative procedure.</w:t>
        <w:br/>
        <w:t>HAVING REGARD to provision no. 31204 of May 21, 2024, with which the Authority extended the deadline for concluding the procedure pursuant to Article 16, paragraph 8, of Law No. 287/1990 last period, which allows for an extension of the deadline for concluding the procedure for a period not exceeding thirty days;</w:t>
        <w:br/>
        <w:t>HAVING REGARD to the Communication of Investigative Findings transmitted on June 27, 2024;</w:t>
        <w:br/>
        <w:t>HAVING REGARD to the final memorandum submitted on July 6, 2024, by Alpacem Cementi Italia S.p.A. and Alpacem Calcestruzzi Italia S.r.l.;</w:t>
        <w:br/>
        <w:t>HAVING REGARD to the modifications to the concentration operation proposed on July 18, 2024, by Alpacem Cementi Italia S.p.A. and Alpacem Calcestruzzi Italia S.r.l., aimed at removing the distorting effects resulting from the concentration operation;</w:t>
        <w:br/>
        <w:t>HAVING REGARD to the acts of the procedure and the documentation acquired during the investigation;</w:t>
        <w:br/>
        <w:t>CONSIDERING the following:</w:t>
        <w:br/>
        <w:t>I. THE PARTIES</w:t>
        <w:br/>
        <w:t>1. Alpacem Cementi Italia S.p.A. is active in the production and sale of cement in Italy. Through its subsidiary Alpacem Calcestruzzi Italia S.r.l., it is also active in the sale of concrete. Alpacem Cementi Italia S.p.A. is controlled by Wietersdorfer Alpacem GmbH1, a limited liability company under Austrian law, which holds 75% of its share capital. The remaining non-controlling interest, equal to 25% of the shares, is held by Buzzi S.p.A. Regarding cement and concrete, the Wietersdorfer Group (hereinafter, "Alpacem Group or Alpacem") is active, at the production level, not only in Italy but also in Austria and Slovenia. Thanks to exports, it is also active in some neighboring countries. In the fiscal year 2022, the Wietersdorfer Group achieved a turnover of [100-567]* million euros, of which [35-100] million euros in Italy.</w:t>
        <w:br/>
        <w:t>2. The Fanna plant is a branch of Buzzi Unicem S.r.l.2 consisting of a cement production plant and other assets. Buzzi Unicem S.r.l. will establish a new company, Fanna Cementi S.r.l., to which the Fanna plant and three quarries in the province of Pordenone will be transferred, as well as permits and contracts with suppliers and customers and with the employees working at the plant and the quarries. Subsequently, Buzzi Unicem S.r.l. will sell 100% of the shares of Fanna Cementi S.r.l. to Alpacem Cementi Italia S.p.A. Therefore, post-merger, Alpacem Cementi Italia S.p.A. will exercise exclusive control over the Fanna plant. In the fiscal year 2022, the Fanna plant, subject of the Operation, achieved a turnover of approximately [32-100] million euros, of which approximately [32-100] million euros in Italy.</w:t>
        <w:br/>
        <w:t>3. The Ready Mix Concrete Branches (hereinafter, "RMC plants") do not have legal personality. They include 16 plants located in the provinces of Udine, Pordenone, and Gorizia, in Friuli Venezia Giulia, and Venice, in Veneto. The plants are owned by Unicalcestruzzi S.p.A. (hereinafter, "Unical"), controlled by Buzzi S.p.A., and produce ready-mixed concrete. It is estimated that the total turnover of these thirteen plants in 2023 did not exceed 10 million euros.</w:t>
        <w:br/>
        <w:t>II. DESCRIPTION OF THE OPERATION</w:t>
        <w:br/>
        <w:t>4. The operation in question (hereinafter, "the Operation") consists of two agreements:</w:t>
        <w:br/>
        <w:t>(i) the direct purchase of exclusive control of Fanna Cementi S.r.l., owner of a cement production plant located in Fanna, by virtue of a sales contract signed with Buzzi Unicem S.r.l.;</w:t>
        <w:br/>
        <w:t>(ii) the indirect acquisition, through the subsidiary Alpacem Calcestruzzi Italia S.r.l. (hereinafter, "Alpacem Calcestruzzi"), of exclusive control of branches of business consisting of sixteen concrete production plants, located in the provinces of Udine, Pordenone, Gorizia, and Venice, by virtue of a long-term lease agreement of branches of business signed with Unicalcestruzzi S.p.A., owner of the concerned plants. The lease agreement concerns the plants in question and the related assets, employees, permits, authorizations, offices, etc. For a period of [omitted] years from the delivery of the RMC plants to Alpacem Calcestruzzi Italia S.r.l., Unicalcestruzzi S.p.A. and the other companies of the Buzzi Group will not be able to undertake and/or carry out any activity and/or business in competition with the activity of the RMC plants within the areas identified based on an isodistance (i.e. road travel radius) of 30 km from each plant included among the RMC plants3.</w:t>
        <w:br/>
        <w:t>5. The operation in question is part of a framework agreement that the Parties, directly or indirectly through other companies belonging to their groups, signed on the same day. Below are the other operations provided:</w:t>
        <w:br/>
        <w:t>i) an agreement regarding the acquisition (through a capital increase) by Buzzi S.p.A., the controlling company of Buzzi Unicem S.r.l., of 25% of the shares of Alpacem Zement Austria GmbH. This is a limited liability company under Austrian law, part of the Wietersdorfer Group and mainly active in the cement market in Austria. This operation does not involve the purchase by Buzzi S.p.A. of control (even jointly) of Alpacem Zement Austria GmbH4;</w:t>
        <w:br/>
        <w:t>ii) a clinker supply agreement (input for cement production), which provides for the possibility for Alpacem Cementi Italia S.p.A. to be supplied by Buzzi Unicem S.r.l. with clinker up to [50,000-100,000] tons per calendar year for a maximum period of [omitted] years;</w:t>
        <w:br/>
        <w:t>iii) a service agreement that grants Alpacem Cementi Italia S.p.A. the right to access the terminal owned by Buzzi Unicem S.r.l. located in Marghera.</w:t>
        <w:br/>
        <w:t>III. QUALIFICATION OF THE OPERATION</w:t>
        <w:br/>
        <w:t>6. The two operations communicated jointly, namely the lease agreement of the RMC plants and the acquisition of the Fanna plant, must be considered part of the same operation pursuant to paragraphs 38-47 of the consolidated Communication of the Commission on the control of concentrations between enterprises, as the lease operation of the RMC plants is legally conditioned on the purchase of the Fanna plant - it provides for the possibility of withdrawing from it if the acquisition of the Fanna plant is not closed by April 1, 2025, and as the economic entities involved in the two operations are the same5.</w:t>
        <w:br/>
        <w:t>3 For a period of [omitted] years from the delivery of the RMC plants to Alpacem Calcestruzzi, Unical S.r.l. and the other companies of the Buzzi Group will not be able to (Clause 16 of the RMC Lease Agreement):</w:t>
        <w:br/>
        <w:t>• undertake and/or carry out any activity and/or business in competition with the activity of the RMC plants within the areas identified based on an isodistance (i.e. road travel radius) of 30 km from each plant included among the RMC plants (“the Non-Competition Area”).</w:t>
        <w:br/>
        <w:t>• induce or attempt to induce customers within the Non-Competition Area to cease their contractual relationships with Alpacem Calcestruzzi or its affiliates;</w:t>
        <w:br/>
        <w:t>• acquire interests in another company whose activity is in competition with the activity of the RMC plants within the Non-Competition Area;</w:t>
        <w:br/>
        <w:t>• open a plant or a business warehouse whose activity is in competition with the activity of the RMC plants within the Non-Competition Area;</w:t>
        <w:br/>
        <w:t>• appoint distributors within the Non-Competition Area.</w:t>
        <w:br/>
        <w:t>4 The Alpacem Zement agreement was notified to the German and Austrian competition authorities, which approved this minority stake acquisition unconditionally, respectively on February 2 and 12, 2024.</w:t>
        <w:br/>
        <w:t>5 Alpacem Cementi Italia S.p.A., which acquires the Fanna plant, has exclusive control of Alpacem Calcestruzzi Italia S.r.l. which acquires control of the RMC plants. The Fanna plant and the RMC plants are owned respectively by Buzzi Unicem S.r.l. and Unicalcestruzzi S.p.A., both under the exclusive control of Buzzi S.p.A.</w:t>
      </w:r>
    </w:p>
    <w:p>
      <w:r>
        <w:rPr>
          <w:b/>
        </w:rPr>
        <w:t>[Pages 28–30]</w:t>
      </w:r>
    </w:p>
    <w:p>
      <w:r>
        <w:t>30 BULLETIN NO. 32 OF AUGUST 12, 2024</w:t>
      </w:r>
    </w:p>
    <w:p>
      <w:r>
        <w:t>7. The notified operation, as it involves the acquisition of control over business branches, constitutes a concentration pursuant to Article 5, paragraph 1, letter b), of Law No. 287/1990. It falls within the scope of application of Law No. 287/1990, as the conditions set out in Article 1 of Regulation (EC) No. 139/2004 do not apply, and it is not subject to the obligation of prior notification provided for by Article 16, paragraph 1, of the same law, as the total turnover achieved at the national level by the companies involved is below 532 million euros. However, Alpacem Cementi Italia S.p.A. voluntarily communicated the Operation, as the individual turnover achieved in the last fiscal year at the national level by each of the Parties involved was above 32 million euros.</w:t>
      </w:r>
    </w:p>
    <w:p>
      <w:r>
        <w:t>8. The Authority, by decision of January 31, 2024, found prima facie the existence of potential risks to competition in the national market or in a significant part of it. Therefore, the Operation was notified on March 1, 2024, pursuant to Article 16, paragraph 1-bis, of Law No. 287/1990.</w:t>
      </w:r>
    </w:p>
    <w:p>
      <w:r>
        <w:t>9. The non-competition obligation for concrete production plants can be considered directly connected and necessary for the realization of the concentration operation in question, as it is functional to safeguarding the value of the acquired business. The duration of [omitted] years of the non-competition clause is in line with the Commission's Communication on restrictions directly connected and necessary to concentrations (2005/C 56/03) and with the decision-making practice of the Commission and the Authority in this matter.</w:t>
      </w:r>
    </w:p>
    <w:p>
      <w:r>
        <w:t>10. The clinker supply agreement between seller and buyer cannot be considered directly connected and necessary for the realization of the concentration operation in question, as it does not seem to be functional to safeguarding the value of the acquired business. The agreement, in fact, does not concern supplies from the target business branch, but from a plant of the seller unrelated to the Operation. Moreover, the agreement is not justified by the need to preserve the continuity of clinker supply for the post-merger entity, as Alpacem, to date, does not source clinker from the Buzzi Group.</w:t>
      </w:r>
    </w:p>
    <w:p>
      <w:r>
        <w:t>11. The services agreement that grants Alpacem Cementi Italia S.p.A. the right to access the terminal owned by Buzzi Unicem S.r.l. located in Marghera can be considered directly connected and necessary for the realization of the concentration operation in question, as it is functional to safeguarding the value of the acquired business. The obligations in question aim to ensure the continuity of supply for the services necessary for the operation of the Fanna plant, provided that they do not exceed a duration of five years.</w:t>
      </w:r>
    </w:p>
    <w:p>
      <w:r>
        <w:t>IV. INITIATION OF THE PROCEDURE AND INVESTIGATIVE ACTIVITY</w:t>
      </w:r>
    </w:p>
    <w:p>
      <w:r>
        <w:t>12. With communication received on October 11, 2023, subsequently supplemented at the request of the Directorate on November 20, 2023, and on December 5, 2023, Alpacem Cementi Italia S.p.A. voluntarily communicated the acquisition of a cement production plant located in Fanna owned by Buzzi Unicem S.r.l. and the indirect purchase of exclusive control over sixteen RMC plants owned by Unicalcestruzzi S.p.A., controlled by the Buzzi group.</w:t>
      </w:r>
    </w:p>
    <w:p>
      <w:r>
        <w:t>13. Following the voluntary communication, information was requested from other operators active in the cement production and sales market (see infra), including import terminals. These subjects almost all provided feedback (with the exception of one operator, despite several reminders).</w:t>
      </w:r>
    </w:p>
    <w:p>
      <w:r>
        <w:t>14. On January 31, 2024, the Authority, having identified the existence of possible competitive risks following the conclusion of the Operation, resolved to request notification.</w:t>
      </w:r>
    </w:p>
    <w:p>
      <w:r>
        <w:t>15. The operation in question was notified to the Authority on March 1, 2024.</w:t>
      </w:r>
    </w:p>
    <w:p>
      <w:r>
        <w:t>16. On March 26, 2024, the Authority initiated an investigation pursuant to Article 16, paragraph 4, of Law No. 287/1990, against the companies Alpacem Cementi Italia S.p.A., Alpacem Calcestruzzi Italia S.r.l., Buzzi S.p.A. and its subsidiaries Buzzi Unicem S.r.l. and Unicalcestruzzi S.p.A., considering it necessary to proceed with a thorough investigation since it could not be excluded that the operation in question could significantly impede effective competition, also due to the establishment or strengthening of a dominant position in the market for the sale and marketing of cement and in the vertically related markets of clinker and concrete.</w:t>
      </w:r>
    </w:p>
    <w:p>
      <w:r>
        <w:t>17. Following the notification of the Operation, requests for clarifications and supplements were sent to the notifying Party, which promptly responded. Requests for information were also sent to customers of the Fanna plant, including competing concrete production and sales plants. The customers almost all provided an initial response (with one exception), while the response rate to the subsequent request for supplementation was 88%.</w:t>
      </w:r>
    </w:p>
    <w:p>
      <w:r>
        <w:t>18. During the investigation, further requests for information were sent to the notifying Party, and additional requests for information or clarifications were sent to competitors and customers.</w:t>
      </w:r>
    </w:p>
    <w:p>
      <w:r>
        <w:t>19. Alpacem Cementi Italia S.p.A. and Alpacem Calcestruzzi Italia S.r.l. were heard in hearings on April 8, 2024, May 13, 2024, June 14, 2024, and July 1, 2024.</w:t>
      </w:r>
    </w:p>
    <w:p>
      <w:r>
        <w:t>20. Alpacem Cementi Italia S.p.A. and Alpacem Calcestruzzi Italia S.r.l. exercised the right of access to documents on April 29, 2024, May 8, 2024, May 20, 2024, June 12, 2024, and July 1, 2024.</w:t>
      </w:r>
    </w:p>
    <w:p>
      <w:r>
        <w:t>21. Following the requests for information of May 9, 2024, and May 21, 2024, with communications of May 10, 2024, and May 21, 2024, Alpacem Cementi Italia S.p.A. and Alpacem Calcestruzzi Italia S.r.l. expressed their inability to provide certain information within the assigned time, requesting a thirty-day extension. The notifying Party also indicated its willingness to acquiesce to a possible exercise by the Authority of the powers provided for in Article 16, paragraph 8, of Law No. 287/1990 last sentence, which allows for an extension of the conclusion of the procedure for a period not exceeding thirty days.</w:t>
      </w:r>
    </w:p>
    <w:p>
      <w:r>
        <w:t>22. Considering that the requested information, necessary for the evaluation of the case, would not have been acquired within the established deadlines and, therefore, fully evaluated by the current deadline, the Authority extended the deadline for the conclusion of the procedure to July 24, 2024.</w:t>
      </w:r>
    </w:p>
    <w:p>
      <w:r>
        <w:t>23. The responses to the requests for information of May 9, 2024, and May 21, 2024, were received on May 27, 2024, May 30, 2024, June 7, and June 11, 2024. On June 13, 2024, the notifying Party submitted a memorandum containing complementary information for the evaluation of the Operation and, on June 18, submitted supplementary observations and a written description of possible modifications to the Operation discussed in the hearing. On June 20, 2024, the notifying Party submitted an addendum to the measures presented and further observations regarding the calculation of market shares.</w:t>
      </w:r>
    </w:p>
    <w:p>
      <w:r>
        <w:t>24. On June 27, 2024, the Communication of Investigative Findings (hereinafter also "CIF") was sent to the Parties.</w:t>
      </w:r>
    </w:p>
    <w:p>
      <w:r>
        <w:t>25. Alpacem Cementi Italia S.p.A. and Alpacem Calcestruzzi Italia S.r.l. submitted a final memorandum on July 6, 2024.</w:t>
      </w:r>
    </w:p>
    <w:p>
      <w:r>
        <w:t>26. On July 9, 2024, the notifying Party participated in the final hearing before the Board. On the same date, the notifying Party submitted further modifications to the concentration operation, aimed at removing the distorting effects arising from the concentration operation.</w:t>
      </w:r>
    </w:p>
    <w:p>
      <w:r>
        <w:t>27. On July 11 and July 15, 2024, the notifying Party further supplemented with updated data for 2024 the information provided on May 30 in response to the request for information of May 21.</w:t>
      </w:r>
    </w:p>
    <w:p>
      <w:r>
        <w:rPr>
          <w:b/>
        </w:rPr>
        <w:t>[Pages 31–33]</w:t>
      </w:r>
    </w:p>
    <w:p>
      <w:r>
        <w:t>BULLETIN NO. 32 OF AUGUST 12, 2024 33</w:t>
      </w:r>
    </w:p>
    <w:p>
      <w:r>
        <w:t>28. On July 18, 2024, the notifying Party submitted the final version of the proposed amendments to the concentration operation, aimed at removing the distortive effects resulting from the concentration operation29.</w:t>
      </w:r>
    </w:p>
    <w:p>
      <w:r>
        <w:t>V. THE INVESTIGATIVE FINDINGS</w:t>
      </w:r>
    </w:p>
    <w:p>
      <w:r>
        <w:t>V.1. The rationale of the operation</w:t>
      </w:r>
    </w:p>
    <w:p>
      <w:r>
        <w:t>29. The main objective of the Operation for Alpacem is to increase its presence in the cement sector. The market is evolving, also due to the migration towards decarbonization. According to Alpacem, the Operation should allow it to maintain a sufficient size and the operational flexibility required to continue competing efficiently in the market in the future.</w:t>
      </w:r>
    </w:p>
    <w:p>
      <w:r>
        <w:t>30. In the concrete sector, the integration of Fanna into the Alpacem Group allows for the elimination of double marginalization resulting from the integration of Fanna with the concrete plants that will, post-Operation, be managed by Alpacem.</w:t>
      </w:r>
    </w:p>
    <w:p>
      <w:r>
        <w:t>31. The Operation also follows other operations that have strengthened the industrial alliance between the Buzzi Group and the Alpacem Group.</w:t>
        <w:br/>
        <w:t>- As part of the framework agreement that includes the acquisition of the Fanna plant, Buzzi S.p.A. acquires 25% of Alpacem Zement Austria GmbH (hereinafter, "Alpacem Zement") in Austria. Buzzi S.p.A.'s stake in the capital of Alpacem Zement would strengthen the synergies between the Parties in the field of technological development and research to reduce CO2 emissions and for green transformation.</w:t>
        <w:br/>
        <w:t>- In 2014, Buzzi S.p.A. sold to Alpacem Cementi Italia S.p.A. the business unit of Cadola and the Travesio plant, while Buzzi S.p.A. acquired 25% of Alpacem Cementi Italia S.p.A. and 25% of Salonit Anhovo d.d. (Slovenia).</w:t>
        <w:br/>
        <w:t>- In 2015, Unical sold five business units producing concrete in Veneto and Friuli Venezia Giulia to Alpacem Calcestruzzi.</w:t>
      </w:r>
    </w:p>
    <w:p>
      <w:r>
        <w:t>32. On Buzzi's website, it is stated: "On August 4, an agreement was signed between Buzzi S.p.A. and the Alpacem group for the transfer of the Fanna Plant to Alpacem w&amp;p Cementi, a company in which Buzzi S.p.A. holds 25%. The transfer will occur in operational continuity and will strengthen Alpacem w&amp;p Cementi S.p.A. in the northeast area, allowing Buzzi S.p.A. to maintain a significant shareholding in the activities, to the benefit of the industrial alliance with Alpacem and production in the northeast"30.</w:t>
      </w:r>
    </w:p>
    <w:p>
      <w:r>
        <w:t>33. The Operation has also been notified to the Slovenian Authority, as in the Slovenian market the Parties exceed the national turnover requirements.</w:t>
      </w:r>
    </w:p>
    <w:p>
      <w:r>
        <w:t>V.2. The relevant markets for the assessment of the operation</w:t>
      </w:r>
    </w:p>
    <w:p>
      <w:r>
        <w:t>34. The buyer and seller both operate in the market for the production and marketing of cement in the same geographical areas and are also active, in the same geographical markets both upstream and downstream of the cement production process.</w:t>
      </w:r>
    </w:p>
    <w:p>
      <w:r>
        <w:t>35. The relevant markets for assessing the horizontal and vertical effects of the Operation are the market for the production and sale of cement, the markets for the production and sale of concrete, and the market for the production and sale of clinker.</w:t>
      </w:r>
    </w:p>
    <w:p>
      <w:r>
        <w:t>V.2.1. The market for the production and marketing of cement</w:t>
      </w:r>
    </w:p>
    <w:p>
      <w:r>
        <w:t>V.2.1.a. Definition of the relevant market</w:t>
      </w:r>
    </w:p>
    <w:p>
      <w:r>
        <w:t>36. Cement is derived from the crushing of certain raw materials (limestone, marl, etc.) and their homogenization and cooking, from which the semi-finished product known as clinker is obtained. This semi-finished product, with the addition of appropriate corrective additives, is then ground to obtain cement in its various types, differing in chemical composition and physical/mechanical characterization. Despite the existence of different types of cement in relation to the chemical composition of the product, as well as the mechanical and physical characteristics that determine their specific uses (normal cements, high strength, special), cement remains a substantially homogeneous product31.</w:t>
      </w:r>
    </w:p>
    <w:p>
      <w:r>
        <w:t>37. It should be noted that the Fanna plant does not produce (or produces in negligible quantities) white cement, so the relevant market for the product refers only to so-called gray cement and is not further segmented by types and classes of cement strength, in line with the practice of the European Commission32.</w:t>
      </w:r>
    </w:p>
    <w:p>
      <w:r>
        <w:t>38. The demand for cement is primarily constituted by concrete producers and the construction industry that uses cement as a hydraulic binder. In 2023, approximately [omitted] of the cement sold by the Fanna plant was purchased by companies producing concrete, approximately [omitted] of the cement was purchased by bulk cement distributors, approximately [omitted] by bagged cement distributors, approximately [omitted] by retailers, and approximately [omitted] of the cement was purchased by construction companies or similar.</w:t>
      </w:r>
    </w:p>
    <w:p>
      <w:r>
        <w:t>39. Due to the high weight-to-price ratio of cement, transportation costs have a high incidence relative to unit production costs33. The distance over which gray cement can be profitably shipped depends on the contribution margin before transportation costs. The greater the contribution margin before transportation costs, the greater the distance over which cement can be sold. Conversely, the higher the transportation cost per km, the shorter the distances will be. Transportation costs depend on a variety of factors, including the availability of infrastructure and different modes of transport (such as highways; shipping routes; railways or terminals) as well as the topography of the region. The contribution margin before transportation costs generally depends on the intensity of competition, particularly the rate of utilization of production capacity and the ability of companies to set prices competitively or to coordinate.</w:t>
      </w:r>
    </w:p>
    <w:p>
      <w:r>
        <w:t>40. Due to transportation costs, which make marketing over long distances uneconomical, the relevant geographical markets for the sale of cement are limited to a certain road travel radius centered on each plant or terminal and such as to include the plants, terminals, or cement storage sites present in the area. This road travel radius has been deemed to be approximately 250 km in previous decisions of the Authority34. The definition of the extent of the relevant geographical markets through isodistances, rather than the geodetic radius35 which has instead been used in the decisions of the European Commission, allows for a more accurate consideration of the orography of the territory and to more precisely identify the area that can be economically served by the plant/terminal subject to acquisition, given the transportation costs.</w:t>
      </w:r>
    </w:p>
    <w:p>
      <w:r>
        <w:t>41. To take into account the specificities of the market in question, the catchment areas can be defined in such a way as to be representative of the purchasing habits of the majority of customers36. This data can be determined based on the actual distribution of delivery distances. The Commission has defined in the market for the production and marketing of cement the geographical markets also based on catchment areas covering 70% and/or 90% of sales37.</w:t>
      </w:r>
    </w:p>
    <w:p>
      <w:r>
        <w:t>42. Two catchment areas have been defined. The first catchment area is a 250 km road travel radius around the Fanna plant in line with the Authority's precedents. The second catchment area is a 190 km road travel radius around the Fanna plant, within which [80-100%] of the cement deliveries made by the plant occur.</w:t>
      </w:r>
    </w:p>
    <w:p>
      <w:r>
        <w:t>43. The catchment areas thus defined include plants in Austria, Slovenia, and Croatia. The relevant geographical area cannot be limited to national borders38, according to the practice adopted by the European Commission also in relation to the same geographical area39, and in light of the significant cross-border trade flows of the Parties.</w:t>
      </w:r>
    </w:p>
    <w:p>
      <w:r>
        <w:t>44. 75% of the population included in the 250 km catchment area resides in Italy, in the 190 km catchment area this percentage rises to 83%.</w:t>
      </w:r>
    </w:p>
    <w:p>
      <w:r>
        <w:t>The trade flows realized by Alpacem and the Fanna plant with neighboring countries</w:t>
      </w:r>
    </w:p>
    <w:p>
      <w:r>
        <w:t>45. The Fanna plant is located in the Friuli Venezia Giulia region, not far from the border with Austria, Slovenia, and Croatia. Furthermore, the Alpacem group owns cement production plants located in Italy, Austria, and Slovenia (Table 1).</w:t>
      </w:r>
    </w:p>
    <w:p>
      <w:r>
        <w:rPr>
          <w:b/>
        </w:rPr>
        <w:t>[Pages 34–36]</w:t>
      </w:r>
    </w:p>
    <w:p>
      <w:r>
        <w:t>36 BULLETIN NO. 32 OF AUGUST 12, 2024</w:t>
        <w:br/>
        <w:t>Table 1: The plants of the Alpacem Group in the catchment area of 250 km road travel around the Fanna plant</w:t>
        <w:br/>
        <w:t>Sales in Catchme Catchme</w:t>
        <w:br/>
        <w:t>Location</w:t>
        <w:br/>
        <w:t>Company Type of plant Italy on nt area nt area</w:t>
        <w:br/>
        <w:t>geographical</w:t>
        <w:br/>
        <w:t>total (2023) 250 km 190 km</w:t>
        <w:br/>
        <w:t>Alpacem Cementi Plant in</w:t>
        <w:br/>
        <w:t>Cadola [90-100%] included included</w:t>
        <w:br/>
        <w:t>Italy S.p.A. grinding</w:t>
        <w:br/>
        <w:t>Salonit Anhovo Plant in</w:t>
        <w:br/>
        <w:t>Anhovo (Slovenia) [20-30%] included included</w:t>
        <w:br/>
        <w:t>d.d. production</w:t>
        <w:br/>
        <w:t>Alpacem Zement Wietersdorf Plant in</w:t>
        <w:br/>
        <w:t>[1-5%] included excluded</w:t>
        <w:br/>
        <w:t>Austria GmbH (Austria) production</w:t>
        <w:br/>
        <w:t>46. In fact, the Alpacem plant in Slovenia, located 95 km from the Fanna plant, falls within both definitions of catchment area, while the plant in Austria, at 216 km, is excluded from the area identified by the 190 km radius.</w:t>
        <w:br/>
        <w:t>47. The Alpacem plant located in Slovenia, the Anhovo plant, achieved over 30% of its sales in Italy in 2020; this percentage has slightly decreased in subsequent years but remains significant ([20-30%] in 2022 and [20-30%] in 2023). The Wietersdorf plant in Austria sells to Italy to a lesser extent, with sales percentages below 5%.</w:t>
        <w:br/>
        <w:t>48. Given the cross-border nature of cement sales made by Alpacem, its operational networks are structured to facilitate exchanges between countries. Alpacem Cementi Italia S.p.A. has a distribution terminal in Friuli Venezia Giulia, based in San Vito al Tagliamento (where it also has its legal headquarters), primarily dedicated to the sale of cement imported from its plant located in Slovenia. Almost all of the sales recorded in San Vito al Tagliamento come directly from the Anhovo plant. Finally, the operational Alpacem Calcestruzzi plants in Italy use cement from the Anhovo plant as a production input with direct deliveries from Slovenia.</w:t>
        <w:br/>
        <w:t>49. The relevance of the Anhovo plant concerning sales made in Italy is repeatedly highlighted by the notifying Party: “It is therefore believed that, when analyzing the competitive proximity between Alpacem and Fanna, San Vito al Tagliamento should be disregarded, as the customers of San Vito al Tagliamento do not purchase cement produced by the latter but cement produced by Anhovo or Cadola, possibly stored for a certain period at San Vito al Tagliamento, with all associated costs (transport, storage, […]).”</w:t>
        <w:br/>
        <w:t>50. Regarding the Fanna plant, in 2023 approximately [20-30%] of the cement sold by the plant was purchased from [Slovenian customers], for the purpose of [omitted]. Between 2020 and 2023, sales from the Fanna plant to Slovenia and Croatia increased from [10-20%] to [20-30%] of the total.</w:t>
        <w:br/>
        <w:t>51. According to some Slovenian customers of the Fanna plant, which account for about [20-30%] of the plant's sales, the Operation will also have effects in Slovenia and Croatia, resulting in worse purchasing conditions and higher prices, a significant reduction in competitive supply in the market, and higher transportation costs. The concerns of these customers highlight the ability of the Fanna plant to influence market dynamics in the Slovenian territories affected by the Operation.</w:t>
        <w:br/>
        <w:t>V.2.1.b. Structural analysis</w:t>
        <w:br/>
        <w:t>52. In order to reconstruct the position of the Parties in the local market centered around the Fanna plant, three methodologies were used.</w:t>
        <w:br/>
        <w:t>53. The first methodology is based on the total sales to third parties made by operators present within the catchment area. The market shares of individual operators are given by the ratio of total sales to third parties from their plants located in the area to the size of the market. The size of the market is approximated by the sum of sales to third parties from all plants present in the catchment area40. As shown in Table 2, post-Operation the Parties would reach a combined share of [40-45%] in the 250 km catchment area and [40-45%] in the 190 km catchment area.</w:t>
        <w:br/>
        <w:t>40 In line with the Commission's guidelines, when markets are defined based on the location of the supplier, all sales made by suppliers located in the relevant market are included in the calculation of market shares, regardless of the location of the customer, par 109.</w:t>
      </w:r>
    </w:p>
    <w:p>
      <w:r>
        <w:t>38 BULLETIN NO. 32 OF AUGUST 12, 2024</w:t>
        <w:br/>
        <w:t>Table 2: Market shares based on total sales to third parties</w:t>
        <w:br/>
        <w:t>Total volumes sold**</w:t>
        <w:br/>
        <w:t>250 km 190 km</w:t>
        <w:br/>
        <w:t>Buzzi Unicem (Fanna) [5-10%] [5-10%]</w:t>
        <w:br/>
        <w:t>Alpacem Cadola [5-10%] [5-10%]</w:t>
        <w:br/>
        <w:t>Alpacem Anhovo [10-15%] [20-25%]</w:t>
        <w:br/>
        <w:t>Alpacem San Vito al Tagliamento [1-5%] [5-10%]</w:t>
        <w:br/>
        <w:t>Alpacem Zement [10-15%] NI</w:t>
        <w:br/>
        <w:t>Total Alpacem [35-40%] [30-35%]</w:t>
        <w:br/>
        <w:t>Total Parties [40-45%] [40-45%]</w:t>
        <w:br/>
        <w:t>Buzzi Unicem (excluding Fanna) [5-10%] [5-10%]</w:t>
        <w:br/>
        <w:t>Cementirossi [5-10%] [5-10%]</w:t>
        <w:br/>
        <w:t>Heidelberg Materials (formerly Italcementi) [5-10%] [1-5%]</w:t>
        <w:br/>
        <w:t>Superbeton [1-5%] [1-5%]</w:t>
        <w:br/>
        <w:t>Idra Cementi [1-5%] [1-5%]</w:t>
        <w:br/>
        <w:t>Holcim [5-10%] [1-5%]</w:t>
        <w:br/>
        <w:t>Veneta Cementi [1-5%] [5-10%]</w:t>
        <w:br/>
        <w:t>Fintitan [5-10%] [5-10%]</w:t>
        <w:br/>
        <w:t>General Sistem* [5-10%] [10-15%]</w:t>
        <w:br/>
        <w:t>Cimsa [1-5%] [1-5%]</w:t>
        <w:br/>
        <w:t>Barbetti [1-5%] NI</w:t>
        <w:br/>
        <w:t>* Shares were calculated based on the volumes produced estimated by the Buyer and provided in the form (in the absence of sales volume data provided by the competitor).</w:t>
        <w:br/>
        <w:t>** The sales data used for the calculation of shares refer to the year 2022 except for Veneta Cementi, which provided data for the first ten months of 2023, from which the annual figure was estimated.</w:t>
        <w:br/>
        <w:t>54. Based on these shares, the HHI would increase from 1766 to 2165 with a delta of 399 in the 250 km isochrone, while in the 190 km isochrone the change would be 510 points, rising from 1843 to 2354.</w:t>
        <w:br/>
        <w:t>55. The second methodology adopted for calculating market shares is based on production capacities. In line with the Commission's precedents, the estimate of the size of the market is</w:t>
      </w:r>
    </w:p>
    <w:p>
      <w:r>
        <w:rPr>
          <w:b/>
        </w:rPr>
        <w:t>[Pages 37–39]</w:t>
      </w:r>
    </w:p>
    <w:p>
      <w:r>
        <w:t>BULLETIN NO. 32 OF AUGUST 12, 2024 39</w:t>
      </w:r>
    </w:p>
    <w:p>
      <w:r>
        <w:t>was carried out using the capacities of the Parties' plants and those of competitors present in the catchment area. The market shares of the individual operator are given by the ratio between the capacity of its plants present in the area and the market size approximated by the total capacities of all operators present in the catchment area. As shown in Table 3, post-Transaction the Parties would reach a combined share of [30-35%] in the 250 km catchment area and [35-40%] in the 190 km catchment area.</w:t>
      </w:r>
    </w:p>
    <w:p>
      <w:r>
        <w:t>Table 3: Market shares based on production capacities</w:t>
        <w:br/>
        <w:t>Capacity</w:t>
        <w:br/>
        <w:t>250 km 190 km</w:t>
        <w:br/>
        <w:t>Buzzi Unicem (Fanna) [5-10%] [10-15%]</w:t>
        <w:br/>
        <w:t>Alpacem Cadola [1-5%] [1-5%]</w:t>
        <w:br/>
        <w:t>Alpacem Ahnovo [10-15%] [15-20%]</w:t>
        <w:br/>
        <w:t>Alpacem Zement [5-10%] NI</w:t>
        <w:br/>
        <w:t>Total Alpacem [20-25%] [20-25%]</w:t>
        <w:br/>
        <w:t>Total Parties [30-35%] [35-40%]</w:t>
        <w:br/>
        <w:t>Buzzi Unicem (excluding Fanna) [5-10%] [10-15%]</w:t>
        <w:br/>
        <w:t>Cementirossi [5-10%] [10-15%]</w:t>
        <w:br/>
        <w:t>Heidelberg Materials [10-15%] [1-5%]</w:t>
        <w:br/>
        <w:t>Superbeton [5-10%] [10-15%]</w:t>
        <w:br/>
        <w:t>Idra Cementi [1-5%] [1-5%]</w:t>
        <w:br/>
        <w:t>Holcim [5-10%] [1-5%]</w:t>
        <w:br/>
        <w:t>Veneta Cementi [1-5%] [1-5%]</w:t>
        <w:br/>
        <w:t>Fintitan [1-5%] [5-10%]</w:t>
        <w:br/>
        <w:t>General Sistem* [1-5%] [1-5%]</w:t>
        <w:br/>
        <w:t>Cimsa [1-5%] [1-5%]</w:t>
        <w:br/>
        <w:t>Barbetti [1-5%] NI</w:t>
      </w:r>
    </w:p>
    <w:p>
      <w:r>
        <w:t>56. For the calculation of shares in the two methodologies described, both the integrated cement production plants (i.e., the plants that produce clinker and transform it into cement) and the grinding plants (i.e., the plants that produce cement from clinker by grinding it) are included in the relevant market. Additionally, extra-EU import terminals that constitute alternative sources of supply of cement and clinker for the affected area are included.</w:t>
      </w:r>
    </w:p>
    <w:p>
      <w:r>
        <w:t>40 BULLETIN NO. 32 OF AUGUST 12, 2024</w:t>
      </w:r>
    </w:p>
    <w:p>
      <w:r>
        <w:t>In the calculation of shares based on capacities, distribution and storage terminals used exclusively to sell cement from plants already present in the catchment area have been excluded to avoid double counting of production capacity.</w:t>
      </w:r>
    </w:p>
    <w:p>
      <w:r>
        <w:t>57. In fact, [more than 70%] of the sales of Alpacem's plants present in the catchment area occur within it. This information is not available for competitors, whose sales are fully included for the purpose of calculating shares (as are those of the Parties). Presumably, some competitor plants, such as Holcim's plant in Koromačno (Croatia) or the Barbetti and Heidelberg plants in Ravenna, sell in the catchment area percentages of total sales that are significantly lower.</w:t>
      </w:r>
    </w:p>
    <w:p>
      <w:r>
        <w:t>58. The third methodology used for calculating shares (Table 4), in line with some precedents of the Authority and the European Commission41, is based on sales made exclusively within the catchment area by the Parties' plants present therein, rather than on total sales. The market size has been estimated based on the per capita consumption of cement at the national (or macro-area) level multiplied by the population present in the catchment area. Data on per capita cement consumption and population at the municipal level were provided by the notifying Party exclusively for 2022 as reliable data for 2023 were not available.</w:t>
      </w:r>
    </w:p>
    <w:p>
      <w:r>
        <w:t>Table 4: Market shares based on the Parties' sales within the catchment area</w:t>
        <w:br/>
        <w:t>Sales volumes within the catchment area</w:t>
        <w:br/>
        <w:t>250 km 190 km</w:t>
        <w:br/>
        <w:t>Alpacem [30-35%] [30-35%]</w:t>
        <w:br/>
        <w:t>plant of</w:t>
        <w:br/>
        <w:t>[5%-10%] [5-10%]</w:t>
        <w:br/>
        <w:t>Fanna</w:t>
        <w:br/>
        <w:t>Post-transaction [35-40%] [40-45%]</w:t>
      </w:r>
    </w:p>
    <w:p>
      <w:r>
        <w:t>V.2.2. The competitive proximity of the Parties</w:t>
      </w:r>
    </w:p>
    <w:p>
      <w:r>
        <w:t>59. The competitive proximity of the Parties is assessed based on two criteria: i) the geographical proximity of the plants and their respective customers and ii) the preferences expressed by the customers of the Fanna plant.</w:t>
      </w:r>
    </w:p>
    <w:p>
      <w:r>
        <w:t>V.2.2.a. The geographical proximity of the Parties</w:t>
      </w:r>
    </w:p>
    <w:p>
      <w:r>
        <w:t>60. Geographical proximity is a significant proxy for competitive proximity between plants in the affected market, in light of the high transportation costs that characterize the marketing of cement. The geographical distance from the plant has been defined by the customers of Fanna as one of the main factors in choosing the supplier.</w:t>
      </w:r>
    </w:p>
    <w:p>
      <w:r>
        <w:t>61. In order to understand what the average distances traveled by the customers of the Fanna plant are, the average distance from Fanna of each customer was calculated, weighted by the volumes of cement that the customer purchases from the Fanna plant42. This metric assigns greater weight to the most important customers in terms of volumes in determining the average distance of the customer base of the Fanna plant. The Fanna plant is the second closest to its customers, located on average 110 km away. This evidence confirms that distance is among the main variables in choosing one's cement supplier, and therefore a fairly accurate index of competitive proximity between plants.</w:t>
      </w:r>
    </w:p>
    <w:p>
      <w:r>
        <w:t>62. The Fanna plant is located at the center of an area bounded by the plants of the Alpacem Group, namely the Cadola plant (110 km) and the terminal of San Vito al Tagliamento (38 km) to the west and the Anhovo plant in Slovenia just 95 km to the east (Figure 1). In particular, an analysis of the distances between plants seems to indicate a fairly significant overlap and therefore reasonably a wide coincidence of the respective customer bases between these plants and the Fanna plant.</w:t>
      </w:r>
    </w:p>
    <w:p>
      <w:r>
        <w:t>Figure 1: the customers of the Fanna plant and the plants of the Parties and competitors</w:t>
        <w:br/>
        <w:t>[OMITTED]</w:t>
      </w:r>
    </w:p>
    <w:p>
      <w:r>
        <w:t>63. Figure 1 also shows that, for Fanna customers located in the provinces of Bolzano and Trento and for those located in Friuli Venezia Giulia, the plants of the Parties actually represent the closest source of cement supply as competitors are rather distant.</w:t>
      </w:r>
    </w:p>
    <w:p>
      <w:r>
        <w:t>64. To quantify the geographical proximity of Alpacem's plants relative to Fanna, the average distance weighted by the volumes of the customers of the Fanna plant from each plant was calculated. The terminal of San Vito al Tagliamento owned by Alpacem (weighted average distance from the customers of Fanna of 105 km) is as far from the customers of the Fanna plant as the Fanna plant itself.</w:t>
      </w:r>
    </w:p>
    <w:p>
      <w:r>
        <w:t>42 For each affected plant, the following formula was used:</w:t>
        <w:br/>
        <w:t>∑volume*distance /∑volume</w:t>
        <w:br/>
        <w:t>c c ci c c</w:t>
        <w:br/>
        <w:t>Where:</w:t>
        <w:br/>
        <w:t>∑ is the summation of customers; volume is the average of the volumes of cement purchased by the customer from the Fanna plant in 2022 and in 2023; distance is the distance of the customer from the affected plant.</w:t>
        <w:br/>
        <w:t>ci</w:t>
      </w:r>
    </w:p>
    <w:p>
      <w:r>
        <w:rPr>
          <w:b/>
        </w:rPr>
        <w:t>[Pages 40–42]</w:t>
      </w:r>
    </w:p>
    <w:p>
      <w:r>
        <w:t>42 BULLETIN NO. 32 OF AUGUST 12, 2024</w:t>
        <w:br/>
        <w:t>Table 5: Weighted average distance of plants from Fanna customers</w:t>
        <w:br/>
        <w:t>Average distance</w:t>
        <w:br/>
        <w:t>Plants and terminals of competitors weighted by</w:t>
        <w:br/>
        <w:t>Fanna customers</w:t>
        <w:br/>
        <w:t>Alpacem Cementi - San Vito al Tagliamento 105</w:t>
        <w:br/>
        <w:t>Buzzi Unicem - Fanna 110</w:t>
        <w:br/>
        <w:t>Salonit Anhovo d.d. - Anhovo 121</w:t>
        <w:br/>
        <w:t>Superbeton - Ponte della Priula 123</w:t>
        <w:br/>
        <w:t>Heidelberg Materials - San Vendemiano 125</w:t>
        <w:br/>
        <w:t>Cimsa - Trieste 128</w:t>
        <w:br/>
        <w:t>Alpacem Cementi - Cadola 139</w:t>
        <w:br/>
        <w:t>Veneta Cementi - Marghera 140</w:t>
        <w:br/>
        <w:t>Superbeton - Marghera 140</w:t>
        <w:br/>
        <w:t>Heidelberg Materials - Marghera 140</w:t>
        <w:br/>
        <w:t>General Sistem - Marghera 140</w:t>
        <w:br/>
        <w:t>Buzzi Unicem - Marghera 140</w:t>
        <w:br/>
        <w:t>Fintitan - Marghera 140</w:t>
        <w:br/>
        <w:t>Cementirossi - Pederobba 148</w:t>
        <w:br/>
        <w:t>Idra Cementi - Grantorto 175</w:t>
        <w:br/>
        <w:t>Holcim - Chioggia 179</w:t>
        <w:br/>
        <w:t>Buzzi Unicem - Monselice 189</w:t>
        <w:br/>
        <w:t>Heidelberg Materials - Arzignano 200</w:t>
        <w:br/>
        <w:t>Heidelberg Materials - Spini di Gardolo 229</w:t>
        <w:br/>
        <w:t>Heidelberg Materials - Sarche 234</w:t>
        <w:br/>
        <w:t>Holcim - Koromačno, Croatia 243</w:t>
        <w:br/>
        <w:t>Alpacem Zement Österreich GmbH - Wietersdorf, Austria 262</w:t>
        <w:br/>
        <w:t>65. As shown in Table 5, Alpacem's plants are among the closest not only to the Fanna plant but also to its customers. Furthermore, within the 250 km catchment area, Alpacem makes sales in all provinces where the Fanna plant has made sales between 2021 and 2023, except for Brescia (Figure 2).</w:t>
      </w:r>
    </w:p>
    <w:p>
      <w:r>
        <w:t>BULLETIN NO. 32 OF AUGUST 12, 2024 43</w:t>
        <w:br/>
        <w:t>Figure 2: Location of Fanna Customers and Alpacem Customers in relation to the plants of the Parties and competitors</w:t>
        <w:br/>
        <w:t>[OMITTED]</w:t>
        <w:br/>
        <w:t>V.2.2.b. The substitutability of the Parties' plants for the customers of the Fanna plant</w:t>
        <w:br/>
        <w:t>66. During the investigation, all Fanna customers who made purchases from the plant in 2022 and 2023 were contacted. The customers provided a complete list of their suppliers in 2022 and 2023 and the volumes of cement purchased from each supplier. Additionally, each customer indicated the alternative plants they would turn to in the event of the cessation of operations by the Fanna plant, highlighting the possible disadvantages associated with the change.</w:t>
        <w:br/>
        <w:t>67. The responses of Fanna customers to the question regarding the main alternative suppliers, in terms of plants or import terminals, to which they would turn if the Fanna plant ceased operations are summarized in Table 6.</w:t>
        <w:br/>
        <w:t>Table 6: Alternative suppliers to the Fanna plant for the plant's customers, absolute numbers and % of the total</w:t>
        <w:br/>
        <w:t>Cement</w:t>
        <w:br/>
        <w:t>Buzzi Unicem Heidelbe Genera Veneta</w:t>
        <w:br/>
        <w:t>i Superbet None/N</w:t>
        <w:br/>
        <w:t>Alpacem Monselice/Margh rg l Cemen</w:t>
        <w:br/>
        <w:t>Giovan on S.p.A. on so</w:t>
        <w:br/>
        <w:t>era Materials Sistem ti</w:t>
        <w:br/>
        <w:t>ni Rossi</w:t>
        <w:br/>
        <w:t>[omissis] [omissis] [omissis]</w:t>
        <w:br/>
        <w:t>[omissis] [omissis] [omissis] [omissis] [omissis]</w:t>
        <w:br/>
        <w:t>] ] ]</w:t>
        <w:br/>
        <w:t>[40-50%] [1-10%] [10-20%] [40-50%] [10-20%] [1-10%] [1-10%] [20-30%]</w:t>
        <w:br/>
        <w:t>68. Based on the questionnaire sent to customers, it appears that the Alpacem Group and the Fanna plant share a significant portion of the current clientele - [40%-50%] of Fanna's customers also purchase from Alpacem43 - and [40%-50%] of Fanna's customers44 view Alpacem as an alternative should the Fanna plant cease operations.</w:t>
        <w:br/>
        <w:t>69. The particular competitive proximity between buyer and target is further confirmed by discussions with customers of the Fanna plant. In particular, some customers expressed various concerns regarding the transaction in question. A major operator in the concrete sector stated, "this hypothesized concentration would not be desirable as it would almost completely eliminate competition in the supply of cement in this territory." Another observed, "The concentration operation in question leads to a reduction of competition in the market and has a negative impact on our company's ability to compare alternative offers and obtain cement at competitive prices."</w:t>
        <w:br/>
        <w:t>43 This statistic is based on a subsample of Fanna's customers, 96%.</w:t>
        <w:br/>
        <w:t>44 This statistic is based on a subsample of Fanna's customers, 88%.</w:t>
      </w:r>
    </w:p>
    <w:p>
      <w:r>
        <w:t>44 BULLETIN NO. 32 OF AUGUST 12, 2024</w:t>
        <w:br/>
        <w:t>V.2.2.c The incentive of the post-merger entity to increase the prices of cement sold by the Fanna plant.</w:t>
        <w:br/>
        <w:t>70. The incentive of the post-merger entity to increase prices was examined through economic models commonly used in merger control, which quantify the Parties' incentive to raise prices through the GUPPI index: the higher the GUPPI, the greater the incentive to increase the price. In particular, the GUPPI was calculated to quantify the incentive of the merged entity to increase the price of cement sold by the Fanna plant45.</w:t>
        <w:br/>
        <w:t>71. In this case - as detailed in the technical appendix that forms an integral part of this provision - the analysis was conducted taking into account the indications of Fanna's customers regarding the plant they would turn to as a substitute for Fanna. The percentage of customers who indicated an Alpacem plant, weighted by the volume of purchases made from the plant, was used as a measure of diversion ratio, that is, the proportion of sales that from the Fanna plant would be diverted to Alpacem's plants following a price increase.</w:t>
        <w:br/>
        <w:t>72. The GUPPI thus obtained is above 6%, more precisely [6-7%] if only Italian customers are included and [6-7%] if Slovenian customers are also included. The diversion ratio calculated for Italian customers only is [30-40%] while the diversion ratio calculated for all customers is [30-40%].</w:t>
        <w:br/>
        <w:t>73. [10-20%] of Fanna's customers report not having identified any convenient alternative to the Fanna plant. From the inquiries made to customers, it emerged that a relevant factor in the choice of supplier is the existence of previous business relationships. In fact, historically, cement customers tend to have stable relationships with their suppliers (despite contracts being spot) for reasons of trust in terms of reliability and quality and because variations in the source of cement imply costs related to recipes and certifications for concrete production. Therefore, despite cement being a homogeneous product, the supply is characterized by switching costs.</w:t>
        <w:br/>
        <w:t>V.2.2.d. The substitutability of competitors' plants for the customers of the Fanna plant</w:t>
        <w:br/>
        <w:t>74. As shown in Table 5, the grinding plants of Superbeton in Ponte della Priula and Marghera are not far from the Fanna plant; in particular, Ponte della Priula is located about 85 km from Fanna and 123 km from its customers.</w:t>
        <w:br/>
        <w:t>75. The Superbeton plants are grinding plants and the Company is not vertically integrated upstream, as it does not own plants that produce clinker. While it is true that the cement produced by grinding plants is perfectly substitutable for cement produced in vertically integrated plants, it must be taken into account that the production of the grinding plant depends on its ability to procure clinker, which is instead produced directly in the integrated plant. This implies that the contribution margin and, therefore, the</w:t>
        <w:br/>
        <w:t>45 The GUPPI related to the Fanna plant can be interpreted as the value of sales diverted to Alpacem as a fraction of the lost revenues from cement sold by the Fanna plant.</w:t>
      </w:r>
    </w:p>
    <w:p>
      <w:r>
        <w:rPr>
          <w:b/>
        </w:rPr>
        <w:t>[Pages 43–45]</w:t>
      </w:r>
    </w:p>
    <w:p>
      <w:r>
        <w:t>BULLETIN NO. 32 OF AUGUST 12, 2024 45</w:t>
      </w:r>
    </w:p>
    <w:p>
      <w:r>
        <w:t>competitiveness, for a grinding plant is, all else being equal, lower than that of an integrated plant. In addition, a negative shock to the availability of clinker would further reduce the competitive pressure on grinding plants. [omitted] represents, at least in the short term, a limit to the incentive and/or capacity of Superbeton to compete in cement46. Superbeton also operates in the concrete market, therefore it is reasonable that in the future a portion of its cement production will be allocated for self-consumption. Currently, [50-70%] of cement sales from Marghera and [40-60%] of sales from Ponte della Priula are to companies belonging to the group.</w:t>
      </w:r>
    </w:p>
    <w:p>
      <w:r>
        <w:t>76. Finally, as evidenced by the data collected, only [10-20%] of the customers of the Fanna plant turn to Superbeton and for negligible quantities, corresponding to about [10-20%] of these customers' needs and about [1-10%] of the volumes sold by the Fanna plant. [Less than 20%] of the customers of the Fanna plant indicated Superbeton as a possible alternative supplier in the event of a hypothetical cessation of operations at the Fanna plant. In any case, switching to Superbeton would not be without costs, as highlighted by one customer: “Transportation costs, in the event of the closure of the Fanna plant, would clearly be higher for us considering the distance of other suppliers.”</w:t>
      </w:r>
    </w:p>
    <w:p>
      <w:r>
        <w:t>77. The import terminals, located in Marghera and Trieste, which constitute a nearby alternative to the Fanna plant in terms of distance, are not, however, a frequent source that Fanna customers would turn to in substitution of it. Only [1-10%] of customers indicated the import terminals as possible alternatives to the cement acquired from Fanna and only [1-10%] of customers actually import cement, covering no more than [1-10%] of their needs. Among the reasons given for not resorting to imports are mainly potential delays in delivery times, supply issues related to seasonality, limitations on the quantities of imported cement orders, and concerns about reliability in terms of quality. Furthermore, the import capacity, and thus the sale of cement, of the terminals is limited compared to the production capacity of a plant.</w:t>
      </w:r>
    </w:p>
    <w:p>
      <w:r>
        <w:t>78. Next, in terms of distance from the Fanna plant is the Heidelberg Materials import terminal in Marghera and its three distribution terminals in the area. Heidelberg Materials also owns an integrated plant in Sarche and a grinding plant in Ravenna. The import terminal in Marghera in 2022 operated merely as a storage and delivery center for the company's customers. The Sarche and Ravenna plants are quite distant from the Fanna plant and its customers, both being over 230 km away, and therefore exert rather low competitive pressure for most customers. However, sales from these two plants are facilitated by the distribution terminals located in the catchment area.</w:t>
      </w:r>
    </w:p>
    <w:p>
      <w:r>
        <w:t>79. About [30%-40%] of the customers of the Fanna plant also turn to Heidelberg Materials. [Omitted]. Only [10-20%] of contacted customers identify Heidelberg Materials as a possible alternative supplier to the Fanna plant but with an increase in costs. One of these, who already purchases from Heidelberg Materials [more than 50%] of their needs, points this out as the Sarche plant is close to their concrete production facilities but highlights significant disadvantages related to availability and price, and to the technical and administrative difficulties resulting from the need to adapt their production and certifications to a cement different from that coming from the Fanna plant. Other customers, who are distributors, indicate Heidelberg Materials as an alternative to the Fanna plant but with a possible increase in costs.</w:t>
      </w:r>
    </w:p>
    <w:p>
      <w:r>
        <w:t>80. [10-20%] of the customers of the Fanna plant turn to Cementi Giovanni Rossi for an amount that covers about [10-20%] of their needs and [1-10%] of Fanna's sales. Only [1-10%] of customers have identified Cementi Giovanni Rossi as an alternative supplier to the Fanna plant, half of whom, however, expect an increase in costs.</w:t>
      </w:r>
    </w:p>
    <w:p>
      <w:r>
        <w:t>V.2.2.e. The Buzzi Unicem plant in Monselice</w:t>
      </w:r>
    </w:p>
    <w:p>
      <w:r>
        <w:t>81. According to customer statements, the main alternative to the Fanna plant, along with Alpacem, seems to be Buzzi Unicem in Monselice or through the Marghera terminal, indicated by [40-50%] of customers. The main reason for this choice is the existing business relationships with Buzzi Unicem and the switching costs due to the different origin of the cement used in the concrete production process. However, resorting to the Monselice plant would lead to an increase in costs for some of the customers who indicated it as an alternative due to a greater distance from the plant. Currently, only [10-20%] of the customers of the Fanna plant also source from Monselice.</w:t>
      </w:r>
    </w:p>
    <w:p>
      <w:r>
        <w:t>82. Buzzi Unicem owns a quarter of the shares of each of the three main cement companies in the Alpacem Group, including Alpacem Cementi Italia S.p.A. which acquires the Fanna plant. Given the current market shares, Buzzi Unicem has an incentive to compete with Alpacem as the sales volumes achieved by its plants exceed, in terms of shares, those derived from the 25% stake in the three companies of the Alpacem Group. Following the Operation, the new market shares (which decrease for Buzzi Unicem and increase for Alpacem) modify this incentive, making the sales linked to the stake in Alpacem at least as relevant as the sales made by the Monselice plant47. From a profit maximization perspective, assuming comparable profit margins among the various plants, Buzzi would have no incentive to compete on prices with Alpacem post-Operation48. Consequently, following an increase in the price of cement sold by the Fanna plant, Buzzi Unicem would have an incentive to align with that increase rather than to discipline it. This effect is reinforced by the importance of existing business relationships for cement buyers, which, along with the existence of switching costs49 related to certifications and mixes, would protect the Monselice plant from potential competition from other operators or from Alpacem itself.</w:t>
      </w:r>
    </w:p>
    <w:p>
      <w:r>
        <w:t>47 With a simple illustrative calculation, assuming 100 the total revenue of the local cement market in the 190 km area, currently Buzzi obtains [20-25] from its plants and [5-10] from the Alpacem companies in which it holds 25% (the Slovenian and the Italian company). Post-operation, assuming relative prices and demand remain the same, it would obtain [10-15] from the Monselice plant and [10-15] from the Alpacem companies. This would also include the new stake in the Austrian company that is concurrent with the concentration in question.</w:t>
      </w:r>
    </w:p>
    <w:p>
      <w:r>
        <w:t>48 This assessment remains valid even assuming that profits are not distributed in the year through dividends; what matters is Buzzi Unicem's interest in the value of the companies in which it holds a minority stake.</w:t>
      </w:r>
    </w:p>
    <w:p>
      <w:r>
        <w:t>49 One customer states that “In recent years all concrete recipes have been adapted to Fanna cement; therefore, changing the cement would cause major problems. In this case, all recipes would need to be adjusted and all certifications (FPC, CP DOC 262, etc.) would need to be renewed. Also due to the satisfaction of the capacity of the cement plant and the quality of the products, we have not yet been able to find another plant where the quality-price ratio is right.”</w:t>
      </w:r>
    </w:p>
    <w:p>
      <w:r>
        <w:t>BULLETIN NO. 32 OF AUGUST 12, 2024 47</w:t>
      </w:r>
    </w:p>
    <w:p>
      <w:r>
        <w:t>V.2.3. The market for the production and sale of concrete</w:t>
      </w:r>
    </w:p>
    <w:p>
      <w:r>
        <w:t>V.2.3.a. Definition of the relevant market</w:t>
      </w:r>
    </w:p>
    <w:p>
      <w:r>
        <w:t>83. Concrete is a semi-finished product obtained by mixing cement, aggregates such as gravel and sand, water, and any additives; production is carried out using machinery. Concrete is usually supplied to users pre-packaged, that is, prepared at a mixing plant and transported to the place of use by means of concrete mixers. There is also the possibility that concrete is prepared directly on-site by the user, using mixes (made transportable by packaging in bags) to which water is added. Cement is the main input for concrete production and is not substitutable with other materials.</w:t>
      </w:r>
    </w:p>
    <w:p>
      <w:r>
        <w:t>84. In previous cases, the Commission has considered concrete as a distinct and unique product market regardless of the types of concrete and the plants used (mobile or fixed).</w:t>
      </w:r>
    </w:p>
    <w:p>
      <w:r>
        <w:t>85. The concrete market is not characterized by strong barriers to entry. To enter the concrete market, it is sufficient to have a concrete batching plant and some means of transport or to rely on third-party transport companies. It is considered that an investment of about 1 or 2 million euros is sufficient to enter the concrete market. Certifications are required to enter the concrete market but are not complex to obtain.</w:t>
      </w:r>
    </w:p>
    <w:p>
      <w:r>
        <w:t>86. From a geographical perspective, the concrete market has an eminently local dimension due to the limited transportability of the product and its easy perishability due, essentially, to the relatively short setting times of the product. Marketing beyond a certain distance thus becomes technically unfeasible, making self-production the more convenient option for the user. Therefore, in defining the relevant geographical market, an area of limited radius centered on the location of the concrete production plant is generally considered50.</w:t>
      </w:r>
    </w:p>
    <w:p>
      <w:r>
        <w:t>87. The relevant market for concrete is defined as a geographical area bounded by an isodistance of 30 km around the plant. This approach is in line with the precedents of the Authority and the European Commission51. As with cement, the isodistance may vary depending on the characteristics of the region under analysis, the climate, the topography of the territory, and the road network. However, the non-competition clause established in the lease contract of the concrete production plants between Buzzi and Alpacem, which provides for Buzzi's abstention from competition within an isodistance of 30 km of each leased plant, suggests that competition in this area mainly occurs within such distances.</w:t>
      </w:r>
    </w:p>
    <w:p>
      <w:r>
        <w:rPr>
          <w:b/>
        </w:rPr>
        <w:t>[Pages 46–48]</w:t>
      </w:r>
    </w:p>
    <w:p>
      <w:r>
        <w:t>48 BULLETIN NO. 32 OF AUGUST 12, 2024</w:t>
        <w:br/>
        <w:t>V.2.3.b. Structural Analysis</w:t>
        <w:br/>
        <w:t>88. Table 7 shows the shares of Alpacem before and after the Transaction in the catchment areas of the plants subject to the lease agreement with Buzzi Unicalcestruzzi.</w:t>
        <w:br/>
        <w:t>Table 7: Market shares in the catchment areas of the concrete plants subject to the lease agreement</w:t>
        <w:br/>
        <w:t>2022 2023</w:t>
        <w:br/>
        <w:t>% Pre-merger % Post-merger % Pre-merger % Post-merger</w:t>
        <w:br/>
        <w:t>Majano [0-5] [40-45] [0-5] [30-35]</w:t>
        <w:br/>
        <w:t>Martignacco [10-15] [25-30] [10-15] [30-35]</w:t>
        <w:br/>
        <w:t>Montereale Valcellina [10-15] [35-40] [10-15] [25-30]</w:t>
        <w:br/>
        <w:t>Pontebba [0-5] [95-100] [0-5] [95-100]</w:t>
        <w:br/>
        <w:t>Pordenone [5-10] [20-25] [5-10] [15-20]</w:t>
        <w:br/>
        <w:t>Ronchi dei Legionari [55-60] [65-70] [55-60] [60-65]</w:t>
        <w:br/>
        <w:t>San Michele al Tagliamento [5-10] [5-10] [5-10] [10-15]</w:t>
        <w:br/>
        <w:t>Venzone [0-5] [20-25] [0-5] [15-20]</w:t>
        <w:br/>
        <w:t>89. For the catchment areas where the post-merger market share appears significant, Table 8 also reports the market shares of the two main competitors, based on production estimates provided by the notifying Party in the form.</w:t>
        <w:br/>
        <w:t>Table 8: Shares of the main competitors in the catchment areas of the concrete plants subject to the lease agreement</w:t>
        <w:br/>
        <w:t>% production 2023</w:t>
        <w:br/>
        <w:t>General Beton Superbeton Alpacem</w:t>
        <w:br/>
        <w:t>Majano [20-25] [25-30] [30-35]</w:t>
        <w:br/>
        <w:t>Pontebba [0-5] [0-5] [95-100]</w:t>
        <w:br/>
        <w:t>Ronchi dei Legionari [5-10] [30-35] [60-65]</w:t>
        <w:br/>
        <w:t>90. The lease also includes eight plants, currently non-operational, but which could become operational in the future. These plants are located in some catchment areas where Alpacem's shares are already significant: Buja ([35-40%]), Gonars ([45-50%]), Pavia di Udine ([40-45%]), Savogna D’Isonzo ([55-60%]). In the entire area, the non-operational plants have a production capacity equal to 35% of the total production.</w:t>
      </w:r>
    </w:p>
    <w:p>
      <w:r>
        <w:t>BULLETIN NO. 32 OF AUGUST 12, 2024 49</w:t>
        <w:br/>
        <w:t>V.2.4. The market for the production and marketing of clinker</w:t>
        <w:br/>
        <w:t>V.2.4.a. Definition of the relevant market and structural analysis</w:t>
        <w:br/>
        <w:t>91. Cement is synthetically derived from the crushing of certain raw materials (limestone, marl, etc.), their homogenization and firing, in order to obtain the semi-finished product known as clinker. This semi-finished product, with the addition of appropriate additives (including characterizing ones), is then ground to obtain cement in its various types, differing in chemical composition and physical/mechanical characterization.</w:t>
        <w:br/>
        <w:t>92. The Fanna plant is also active in the market for the production and sale of clinker, as is the Salonit plant of the Alpacem Group. The Fanna plant sells significant quantities of clinker to a single third-party operator, Superbeton. However, Alpacem is not present in the clinker market in the area where the Fanna plant operates. In fact, Alpacem uses its own clinker in the area in question solely for self-consumption. Therefore, there is no overlap concerning the clinker market in the Fanna area.</w:t>
        <w:br/>
        <w:t>93. It should be emphasized that, according to a consolidated decision-making practice of the European Commission, also related to cases concerning the Italian market, the geographical market for clinker must be considered much broader than that for cement, in light of the logistics that must be employed for the transport and storage of clinker (which is much simpler than the logistics used for cement). In such a defined geographical market, Alpacem and the Fanna plant are competitors.</w:t>
        <w:br/>
        <w:t>94. Alpacem and the Fanna plant have very modest market shares in the European market or in the national market, well below 15%.</w:t>
        <w:br/>
        <w:t>V.3. The vertical relationships between the cement market and the concrete market</w:t>
        <w:br/>
        <w:t>95. As a result of this operation, Alpacem will strengthen its presence both in the upstream cement market (through the acquisition of the Fanna plant) and in the downstream concrete markets vertically connected to it (through the acquisition/lease of sixteen concrete production plants located in: Savogna d’Isonzo (GO); Premariacco (UD); Gonars (UD); Pontebba (UD); Fontanafredda (PN); San Vito al Tagliamento (PN); Ronchi dei Legionari (PN); Martignacco (UD); Venzone (UD); Majano (UD); Montereale Valcellina (PN); Pordenone (PN); S. Michele al Tagliamento (VE); Buja (UD); Pavia di Udine (UD) and Forgaria nel Friuli (UD).</w:t>
        <w:br/>
        <w:t>96. The operation in question could therefore create an incentive for Alpacem to increase the price of cement to concrete producers that compete with it in the concrete markets. This is due to the fact that the merged entity is among the main suppliers of cement to the concrete plants of various competitors, including those of [omitted] (supplied by Fanna) and [omitted] (supplied by Alpacem).</w:t>
        <w:br/>
        <w:t>97. Such incentives depend substantially on the degree of competitive pressure that [omitted] and [omitted] exert on Alpacem (and vice versa) in the concrete markets, the profitability of these markets, as well as the incidence of the cost of cement on the price of concrete.</w:t>
        <w:br/>
        <w:t>98. The following tables show the market shares of Alpacem's competitors in the concrete markets that would be supplied by Alpacem regarding cement post-merger. The tables exclusively report the market shares of the concrete plants currently supplied by the Fanna plant or by Alpacem, even though in theory there could also be other concrete markets/plants where vertical effects related to this operation could emerge. Always in a favorable perspective for the Party, Superbeton's plants have been excluded from this list as, having assets in the upstream cement market, it could respond to an increase in the price of cement by sourcing more from its own plants.</w:t>
        <w:br/>
        <w:t>99. The tables show how, as a result of this operation, the Alpacem group will supply an extremely significant fraction of its main competitors in the various concrete markets, with a share of supplied plants ranging from about 30% to over 80% of the rest of the market (excluding Alpacem). The Alpacem group will therefore have the opportunity to control a very significant share of the costs of all its main competitors in the concrete markets.</w:t>
      </w:r>
    </w:p>
    <w:p>
      <w:r>
        <w:rPr>
          <w:b/>
        </w:rPr>
        <w:t>[Pages 49–51]</w:t>
      </w:r>
    </w:p>
    <w:p>
      <w:r>
        <w:t>BULLETIN NO. 32 OF AUGUST 12, 2024 51</w:t>
        <w:br/>
        <w:t>Table 9: market share of Alpacem and market shares of concrete plants supplied by Alpacem/Fanna (2022, %)</w:t>
        <w:br/>
        <w:t>Other Incidence</w:t>
        <w:br/>
        <w:t>plant Alpacem [omitted] [omitted]</w:t>
        <w:br/>
        <w:t>supplied supplied*</w:t>
        <w:br/>
        <w:t>Majano [40-45] [25-30] [40-45]</w:t>
        <w:br/>
        <w:t>Martignacco [25-30] [40-45] [55-60]</w:t>
        <w:br/>
        <w:t>Pordenone [20-25] [40-45] [15-20] [75-80]</w:t>
        <w:br/>
        <w:t>Ronchi dei Legionari [60-65] [30-35] [95-100]</w:t>
        <w:br/>
        <w:t>S. Michele al</w:t>
        <w:br/>
        <w:t>[5-10] [50-55] [55-60]</w:t>
        <w:br/>
        <w:t>Tagliamento</w:t>
        <w:br/>
        <w:t>Venzone [25-30] [45-50] [0-5] [5-10] [70-75]</w:t>
        <w:br/>
        <w:t>Buja [40-45] [25-30] [0-5] [50-55]</w:t>
        <w:br/>
        <w:t>Fontanafredda [20-25] [40-45] [15-20] [75-80]</w:t>
        <w:br/>
        <w:t>Forgaria del Friuli [30-35] [30-35] [10-15] [60-65]</w:t>
        <w:br/>
        <w:t>Gonars [40-45] [30-35] [55-60]</w:t>
        <w:br/>
        <w:t>Pavia di Udine [40-45] [30-35] [0-5] [60-65]</w:t>
        <w:br/>
        <w:t>Premariacco [30-35] [40-45] [0-5] [60-65]</w:t>
        <w:br/>
        <w:t>San Vito al</w:t>
        <w:br/>
        <w:t>[10-15] [40-45] [15-20] [65-70]</w:t>
        <w:br/>
        <w:t>Tagliamento</w:t>
        <w:br/>
        <w:t>Savogna d’Isonzo [45-50] [25-30] [65-70]</w:t>
        <w:br/>
        <w:t>Susegana Frazione</w:t>
        <w:br/>
        <w:t>[0-5] [10-15] [10-15] [25-30]</w:t>
        <w:br/>
        <w:t>Colfosco</w:t>
        <w:br/>
        <w:t>Cordignano [5-10] [30-35] [10-15] [10-15] [55-60]</w:t>
        <w:br/>
        <w:t>Eraclea [10-15] [10-15] [20-25] [40-45]</w:t>
        <w:br/>
        <w:t>Castions di Strada [25-30] [40-45] [5-10] [70-75]</w:t>
        <w:br/>
        <w:t>Fossalta di</w:t>
        <w:br/>
        <w:t>[10-15] [35-40] [5-10] [50-55]</w:t>
        <w:br/>
        <w:t>Portogruaro</w:t>
        <w:br/>
        <w:t>Gradisca d'Isonzo [35-40] [50-55] [85-90]</w:t>
        <w:br/>
        <w:t>Mansuè [10-15] [35-40] [10-15] [50-55]</w:t>
        <w:br/>
        <w:t>San Donà di Piave [5-10] [10-15] [25-30] [45-50]</w:t>
        <w:br/>
        <w:t>Susegana Frazione 31.8[30-</w:t>
        <w:br/>
        <w:t>[0-5] [15-20] [10-15]</w:t>
        <w:br/>
        <w:t>Ponte della Priula 35]</w:t>
        <w:br/>
        <w:t>Cessalto [0-5] [20-25] [15-20] [40-45]</w:t>
        <w:br/>
        <w:t>Montereale Valcellina [35-40] [15-20] [25-30] [70-75]</w:t>
        <w:br/>
        <w:t>Note: *the supplied incidence represents the share of the plants supplied by Alpacem in the market net of Alpacem's share.</w:t>
      </w:r>
    </w:p>
    <w:p>
      <w:r>
        <w:t>52 BULLETIN NO. 32 OF AUGUST 12, 2024</w:t>
        <w:br/>
        <w:t>Table 10: market share of Alpacem and market shares of concrete plants supplied by Alpacem/Fanna (2023, %)</w:t>
        <w:br/>
        <w:t>Other Incidence</w:t>
        <w:br/>
        <w:t>plant Alpacem [omitted] [omitted]</w:t>
        <w:br/>
        <w:t>supplied supplied</w:t>
        <w:br/>
        <w:t>Majano [30-35] [20-25] [35-40]</w:t>
        <w:br/>
        <w:t>Martignacco [30-35] [35-40] [50-55]</w:t>
        <w:br/>
        <w:t>Pordenone [10-15] [40-45] [20-25] [75-80]</w:t>
        <w:br/>
        <w:t>Ronchi dei Legionari [60-65] [30-35] [80-85]</w:t>
        <w:br/>
        <w:t>S. Michele al</w:t>
        <w:br/>
        <w:t>[10-15] [45-50] [50-55]</w:t>
        <w:br/>
        <w:t>Tagliamento</w:t>
        <w:br/>
        <w:t>Venzone [15-20] [45-50] [10-15] [65-70]</w:t>
        <w:br/>
        <w:t>Buja [35-40] [20-25] [0-5] [45-50]</w:t>
        <w:br/>
        <w:t>Fontanafredda [10-15] [40-45] [20-25] [75-80]</w:t>
        <w:br/>
        <w:t>Forgaria del Friuli [30-35] [25-30] [10-15] [55-60]</w:t>
        <w:br/>
        <w:t>Gonars [45-50] [25-30] [50-55]</w:t>
        <w:br/>
        <w:t>Pavia di Udine [40-45] [30-35] [0-5] [55-60]</w:t>
        <w:br/>
        <w:t>Premariacco [30-35] [35-40] [0-5] [55-60]</w:t>
        <w:br/>
        <w:t>San Vito al</w:t>
        <w:br/>
        <w:t>[10-15] [40-45] [15-20] [65-70]</w:t>
        <w:br/>
        <w:t>Tagliamento</w:t>
        <w:br/>
        <w:t>Savogna d'Isonzo [50-55] [25-30] [60-65]</w:t>
        <w:br/>
        <w:t>Susegana Frazione</w:t>
        <w:br/>
        <w:t>[0-5] [10-15] [15-20] [25-30]</w:t>
        <w:br/>
        <w:t>Colfosco</w:t>
        <w:br/>
        <w:t>Cordignano [5-10] [30-35] [10-15] [10-15] [60-65]</w:t>
        <w:br/>
        <w:t>Eraclea [15-20] [5-10] [20-25] [35-40]</w:t>
        <w:br/>
        <w:t>Castions di Strada [30-35] [35-40] [5-10] [65-70]</w:t>
        <w:br/>
        <w:t>Fossalta di</w:t>
        <w:br/>
        <w:t>[15-20] [30-35] [5-10] [50-55]</w:t>
        <w:br/>
        <w:t>Portogruaro</w:t>
        <w:br/>
        <w:t>Gradisca d’Isonzo [35-40] [50-55] [80-85]</w:t>
        <w:br/>
        <w:t>Mansuè [10-15] [30-35] [5-10] [45-50]</w:t>
        <w:br/>
        <w:t>San Donà di Piave [15-20] [5-10] [25-30] [40-45]</w:t>
        <w:br/>
        <w:t>Susegana Frazione</w:t>
        <w:br/>
        <w:t>[0-5] [15-20] [15-20] [30-35]</w:t>
        <w:br/>
        <w:t>Ponte della Priula</w:t>
        <w:br/>
        <w:t>Cessalto [5-10] [15-20] [15-20] [35-40]</w:t>
        <w:br/>
        <w:t>Montereale Valcellina [25-30] [20-25] [30-35] [70-75]</w:t>
        <w:br/>
        <w:t>Note: *the supplied incidence represents the share of the plants supplied by Alpacem in the market net of Alpacem's share.</w:t>
        <w:br/>
        <w:t>100. In order to quantify Alpacem's incentives to increase the price of cement to its competing concrete producers, some indices specifically developed to capture such dynamics have been estimated.</w:t>
      </w:r>
    </w:p>
    <w:p>
      <w:r>
        <w:t>BULLETIN NO. 32 OF AUGUST 12, 2024 53</w:t>
        <w:br/>
        <w:t>These include in particular the vGUPPIu and vGUPPIr indices. The first index captures Alpacem's incentive to increase the price upstream of the cement produced by the Fanna plant at [omitted]. The second index (vGUPPIr) measures the incentive of [omitted] to in turn increase concrete prices downstream. In other words, the vGUPPIr index 'converts' the incentive to increase prices upstream into a corresponding incentive to increase prices downstream. The methodology used to estimate these indices is described in detail in the technical appendix of the provision.</w:t>
        <w:br/>
        <w:t>101. The table below presents the estimates of the vGUPPI for the concrete markets where there is vertical overlap between the Fanna plant and [omitted], which sources cement from the Fanna plant. As can be seen, both the vGUPPIu and vGUPPIr indices for [omitted] take values exceeding 5-10% for twelve concrete plants, indicating a significant incentive to increase the price of cement and, consequently, concrete prices as a result of this operation. These include in particular the following plants: Majano, Martignacco, Ronchi dei Legionari, Buja, Gonars, Pavia di Udine, Premariacco, Savogna d’Isonzo, Castions di Strada, Gradisca d'Isonzo, and Montereale Valcellina.</w:t>
        <w:br/>
        <w:t>Regarding [omitted], the table below indicates incentives to increase the price of cement that are not as significant as those estimated for [omitted].</w:t>
      </w:r>
    </w:p>
    <w:p>
      <w:r>
        <w:rPr>
          <w:b/>
        </w:rPr>
        <w:t>[Pages 52–54]</w:t>
      </w:r>
    </w:p>
    <w:p>
      <w:r>
        <w:t>54 BULLETIN NO. 32 OF AUGUST 12, 2024</w:t>
        <w:br/>
        <w:t>Table 11: vGUPPIu and vGUPPIr indices for [omitted] and [omitted] (2022)</w:t>
        <w:br/>
        <w:t>plant/market [omitted] (%) [omitted] (%)</w:t>
        <w:br/>
        <w:t>vGUPPIu vGUPPIr vGUPPIu vGUPPIr</w:t>
        <w:br/>
        <w:t>Majano &gt;10 [5-10]</w:t>
        <w:br/>
        <w:t>Martignacco [5-10] [5-10]</w:t>
        <w:br/>
        <w:t>Pordenone [5-10] [5-10] &lt;5 &lt;5</w:t>
        <w:br/>
        <w:t>Ronchi dei Legionari &gt;15 &gt;10</w:t>
        <w:br/>
        <w:t>S. Michele al Tagliamento &lt;5 &lt;5</w:t>
        <w:br/>
        <w:t>Venzone [5-10] [5-10]</w:t>
        <w:br/>
        <w:t>Buja &gt;10 [5-10]</w:t>
        <w:br/>
        <w:t>Fontanafredda [5-10] [5-10] &lt;5 &lt;5</w:t>
        <w:br/>
        <w:t>Forgaria del Friuli [5-10] [5-10] &lt;5 &lt;5</w:t>
        <w:br/>
        <w:t>Gonars &gt;10 [5-10]</w:t>
        <w:br/>
        <w:t>Pavia di Udine &gt;10 [5-10]</w:t>
        <w:br/>
        <w:t>Premariacco [5-10] [5-10]</w:t>
        <w:br/>
        <w:t>San Vito al Tagliamento [5-10] &lt;5 &lt;5 &lt;5</w:t>
        <w:br/>
        <w:t>Savogna d’Isonzo &gt;10 [5-10]</w:t>
        <w:br/>
        <w:t>Susegana Frazione Colfosco &lt;5 &lt;5</w:t>
        <w:br/>
        <w:t>Cordignano &lt;5 &lt;5 &lt;5 &lt;5</w:t>
        <w:br/>
        <w:t>Eraclea &lt;5 &lt;5</w:t>
        <w:br/>
        <w:t>Castions di Strada [5-10] [5-10]</w:t>
        <w:br/>
        <w:t>Fossalta di Portogruaro &lt;5 &lt;5</w:t>
        <w:br/>
        <w:t>Gradisca d'Isonzo &gt;15 &gt;10</w:t>
        <w:br/>
        <w:t>Mansuè &lt;5 &lt;5</w:t>
        <w:br/>
        <w:t>San Donà di Piave &lt;5 &lt;5</w:t>
        <w:br/>
        <w:t>Susegana Frazione Ponte della Priula &lt;5 &lt;5</w:t>
        <w:br/>
        <w:t>Cessalto &lt;5 &lt;5</w:t>
        <w:br/>
        <w:t>Montereale Valcellina [5-10] [5-10] [5-10] &lt;5</w:t>
        <w:br/>
        <w:t>Note: Analysis restricted to the concrete markets where [omitted] has a market share of no less than 10%.</w:t>
        <w:br/>
        <w:t>102. In conclusion, this analysis shows how Alpacem has a significant incentive to increase the price of cement in [omitted]. This will in turn result in a "corresponding" increase in the price of concrete in eleven of the twenty-five markets analyzed.</w:t>
        <w:br/>
        <w:t>V.4. The vertical relationships between the clinker market and the cement market</w:t>
        <w:br/>
        <w:t>103. Clinker producers primarily use the volumes produced for self-consumption, that is, to produce cement internally either at the clinker production site, in the case of "integrated cycle" production plants, or by transporting the produced clinker to their grinding sites, where they produce cement from clinker produced at other sites and transported to the grinding site. However, it is also quite common for clinker producers to sell part of their production to third parties. This can happen on a "spot" basis, in cases where another producer must interrupt their clinker production for maintenance of their plant, or due to an accident. There are also cement producers that only have grinding plants or do not have sufficient clinker production to meet the needs of such plants. These producers must therefore regularly procure clinker and tend to purchase significant volumes.</w:t>
        <w:br/>
        <w:t>104. Road transport of clinker is expensive, although less so than that of cement. In past cases, it has been found that competitors make agreements among themselves for the sale and purchase of clinker in order to avoid incurring excessively high transport costs. Although the clinker market has a national or EEA geographical dimension, in fact, the investigative findings show how the grinding plants present in the relevant market defined for cement source clinker from the plants located in the area and through imports via terminals present in the area.</w:t>
        <w:br/>
        <w:t>105. [Omitted] is the main buyer of clinker from the Fanna plant. The Fanna plant sold approximately [100,000-200,000] tons of clinker [omitted] in 2022. It should be noted that these clinker sales are not based on a written agreement with [omitted], so the parties can decide at any time to cease trading. From the data provided by [omitted], it appears that [30%-40%] of its clinker needs were met by Buzzi Unicem S.r.l. (from the Monselice and Fanna plants). The remaining portion comes from imports.</w:t>
        <w:br/>
        <w:t>VI. OBSERVATIONS OF THE NOTIFYING PARTY</w:t>
        <w:br/>
        <w:t>VI.1. The relevant geographical market for the production and sale of cement</w:t>
        <w:br/>
        <w:t>106. The notifying party agrees with the identification of the relevant cement market from a product perspective; however, it contests the definition of the relevant market from a geographical perspective. According to the party, the topography of the territory and the different preferences regarding the type of cement depending on the country lead to different competitive dynamics among the four countries potentially impacted by the Operation. Therefore, the Italian market should represent a distinct relevant market compared to those of neighboring countries.</w:t>
        <w:br/>
        <w:t>107. The party emphasizes the need to exclude the Austrian part of the catchment area from the relevant market, in light of the absence of significant trade flows between Italy and Austria. While acknowledging the existence of important trade flows between Italy and Slovenia, the party argues that the Slovenian territories of the catchment area should be excluded from the relevant geographical market due to: i) insufficiently homogeneous competitive conditions among countries, as shown by the divergent price dynamics between 2019 and 2023 (Figure 3); ii) the presence of barriers to entry in each national market; iii) the different customer preferences.</w:t>
        <w:br/>
        <w:t>52 See provision no. 26842 of November 8, 2017, C12113 - Italcementi/Cementir Italia, cited.</w:t>
      </w:r>
    </w:p>
    <w:p>
      <w:r>
        <w:t>56 BULLETIN NO. 32 OF AUGUST 12, 2024</w:t>
        <w:br/>
        <w:t>Figure 3: evolution of prices charged by the Alpacem Group in Italy, Slovenia, and Austria</w:t>
        <w:br/>
        <w:t>[OMITTED]</w:t>
        <w:br/>
        <w:t>108. According to the party, it should also be noted that different types of cement are produced and marketed in Italy, Austria, and Slovenia, and it is complex for an operator, given, for example, the different national regulations or the availability of additives, to modify its range of products offered in each market.</w:t>
        <w:br/>
        <w:t>109. The party observes that the 190 km catchment area risks providing a distorted view of competitive dynamics as the absence of sales in a given area "could also be due to the strong presence of competing plants that make sales in that area unattractive" without this implying that the area is not part of the relevant geographical market. Furthermore, the party believes that in identifying the geographical boundaries of the 190 km market, it should have been taken into account that distributors purchasing from the plant may then resell the cement to customers further away.</w:t>
        <w:br/>
        <w:t>VI.2. The structural analysis of the cement production and sales market</w:t>
        <w:br/>
        <w:t>110. Regarding the first methodology used in calculating the market shares of the parties, according to the notifying party, the approach based on the total sales volumes of the plants risks overestimating the actual shares of the parties in the catchment area, attributing to the plants located at the margin, which likely sell lower volumes within the area, the same weight as those located at the center of it, whose sales occur primarily within the catchment area. Furthermore, the party argues that the shares calculated based on total sales coming only from the plants located in the catchment area do not capture any sales in the area coming from plants located outside of it.</w:t>
        <w:br/>
        <w:t>111. Moreover, according to the party, the shares calculated excluding captive sales are penalizing for the parties, as these are operators who benefit from a modest level of vertical integration compared to competitors and who, therefore, record much more significant sales to third parties, proportionally, than many of the competitors, who instead often have significant captive sales.</w:t>
        <w:br/>
        <w:t>112. Regarding imports, the party argues that, in 2023, cement imports into Italy increased significantly. Therefore, the shares calculated by the Authority, based on 2022 data, would underestimate the competitive strength of imports. [omitted]</w:t>
        <w:br/>
        <w:t>113. With reference to all the methodologies adopted, as previously noted, the party contests the definition of the relevant geographical market adopted by the Directorate, arguing that the market power of the parties should be assessed exclusively in the Italian part of the catchment area, or alternatively in the Italian and Slovenian part.</w:t>
        <w:br/>
        <w:t>114. Considering only the Italian market, the aggregate market shares of the parties in 2022 are estimated by the party as follows: [25-30%] in the 250 km catchment area and [35-40%] in the 190 km catchment area. Considering only the Italian and Slovenian territories, the shares are as follows: [35-40%] in the 250 km catchment area and [40-45%] in the 190 km catchment area.</w:t>
      </w:r>
    </w:p>
    <w:p>
      <w:r>
        <w:rPr>
          <w:b/>
        </w:rPr>
        <w:t>[Pages 55–57]</w:t>
      </w:r>
    </w:p>
    <w:p>
      <w:r>
        <w:t>BULLETIN NO. 32 OF AUGUST 12, 2024 57</w:t>
      </w:r>
    </w:p>
    <w:p>
      <w:r>
        <w:t>VI.3. The analysis of competitive proximity in the market for the production and sale of cement.</w:t>
      </w:r>
    </w:p>
    <w:p>
      <w:r>
        <w:t>115. According to the Party, there is not enough evidence to support that Alpacem and the Fanna plant are "close competitors." It appears that: i) the common customers of the parties also rely on other suppliers, and even where the Fanna plant and Alpacem are the only suppliers, the customers in question turn to one or the other operator to varying degrees; ii) the Anhovo and Cadola plants appear to be completely substitutable by competitors in terms of geographical proximity; iii) the role of current/potential competition from imports is not appropriately recognized, as two new terminals opened in Marghera in 2023 with a minimum total capacity of 800,000 tons; iv) Anhovo, which supplies cement and clinker to Alpacem's Italian plants, recorded high utilization rates of clinker production capacities in 2022 [(omitted)] and in 2023 [(omitted)].</w:t>
      </w:r>
    </w:p>
    <w:p>
      <w:r>
        <w:t>116. On this point, the Party notes that the Turkish group Medcem, which exports 90% of its production and has been operating in the cement sector for over thirty years, is about to establish a cement import terminal at the port of Trieste, which will operate through the newly established Novada Italia. Novada Italia could be operational in Italy as early as the beginning of 2025, which is the timeframe to be considered for the analysis of the transaction in question.</w:t>
      </w:r>
    </w:p>
    <w:p>
      <w:r>
        <w:t>117. Regarding the economic analysis conducted through the Guppi, the Party argues that a sensitivity analysis is necessary, for example, using a breakdown of lost sales from Fanna based on market shares and/or the unused production capacity of each plant.</w:t>
      </w:r>
    </w:p>
    <w:p>
      <w:r>
        <w:t>118. Furthermore, the economic analysis conducted assumes that Alpacem could capture about [40-50%] of the Fanna plant's customer base in the event of the closure of that plant, whereas in reality, considering [omitted], Alpacem [omitted].</w:t>
      </w:r>
    </w:p>
    <w:p>
      <w:r>
        <w:t>VI.4. The market for the production and sale of concrete</w:t>
      </w:r>
    </w:p>
    <w:p>
      <w:r>
        <w:t>119. In the catchment area of Ronchi dei Legionari, the Transaction results in an overall market share of about [60-65%]. According to the Party, one of Alpacem's two plants, that of Buttrio, is located about 29.9 km from the RMC plant in Ronchi dei Legionari, making it almost outside the relevant geographical market. Excluding this plant, Alpacem's market share post-Transaction would drop to about [30-35%]. Moreover, considering the plants closest to the one subject to acquisition, there are four plants, only one of which belongs to Alpacem. The other three are owned by Adriastrade, General Beton, and Superbeton. The Superbeton plant has recently (re)entered the market and is already increasing its sales, thereby strengthening the level of competition in the area. Considering the non-operational plants, the situation does not change. In fact, there are three non-operational RMC plants of Buzzi subject to the Transaction, but they are all quite distant from the RMC plant in Ronchi dei Legionari, while the competition has three non-operational plants nearby.</w:t>
      </w:r>
    </w:p>
    <w:p>
      <w:r>
        <w:t>120. Regarding Pontebba, the plant in question is practically the only one active in the relevant market, excluding the Venzone plant, which is also subject to the Transaction, but is located almost 30 km from Pontebba. In any case, in this area, the Transaction effectively involves the transfer from General Beton to Alpacem of the only operational plant in the area (or possibly of the two operational plants in the area, if Venzone is also considered).</w:t>
      </w:r>
    </w:p>
    <w:p>
      <w:r>
        <w:t>58 BULLETIN NO. 32 OF AUGUST 12, 2024</w:t>
      </w:r>
    </w:p>
    <w:p>
      <w:r>
        <w:t>121. Regarding Majano, despite Alpacem "acquiring" an apparently high market share of about [35-40%], there are five operational competitor plants around the Majano plant. In fact, significant competitors such as Superbeton ([25-30%]), GBT ([20-25%]), Cobeton, and Lauzzana Calcestruzzi are operational in the area.</w:t>
      </w:r>
    </w:p>
    <w:p>
      <w:r>
        <w:t>VI.5. The vertical relationships between the cement market and the concrete market</w:t>
      </w:r>
    </w:p>
    <w:p>
      <w:r>
        <w:t>122. According to the Party, Alpacem would not have the ability to increase prices applied to major companies in the concrete sector. Furthermore, there is not enough evidence that the post-merger entity could be an "irreplaceable" operator for competitors in the downstream market. The Party also argues that Alpacem's incentive to exclude its competitors in the concrete market is very uncertain, given that the margin achieved on cement sales is higher than the margin achieved on concrete sales.</w:t>
      </w:r>
    </w:p>
    <w:p>
      <w:r>
        <w:t>VII. EVALUATIONS</w:t>
      </w:r>
    </w:p>
    <w:p>
      <w:r>
        <w:t>VII.1. The relevant market and structural analysis</w:t>
      </w:r>
    </w:p>
    <w:p>
      <w:r>
        <w:t>VII.1.1. The relevant market for the production and sale of cement</w:t>
      </w:r>
    </w:p>
    <w:p>
      <w:r>
        <w:t>123. In light of the investigative findings, it was deemed appropriate to identify the relevant geographical market for the sale and marketing of cement with a catchment area limited to a certain radius of road travel centered on the target plant of Fanna and such as to include the plants, terminals, or cement storage sites present within that radius. Two catchment areas of different sizes were considered: i) a catchment area defined by a radius of 250 km of road travel around the Fanna plant, in line with previous decisions of the Authority; ii) a catchment area of 190 km, which takes into account the maximum actual distance traveled by most of Fanna's customers.</w:t>
      </w:r>
    </w:p>
    <w:p>
      <w:r>
        <w:t>124. The catchment areas around the plant include all customers for whom the plant constitutes a potential source of supply. Therefore, the fact that, within a given area, customers may face different supply conditions based on their location in the area will be taken into account in the subsequent assessment of competitive dynamics in the catchment area.</w:t>
      </w:r>
    </w:p>
    <w:p>
      <w:r>
        <w:t>125. The catchment areas thus defined include plants in Italy, Austria, Slovenia, and Croatia, as in light of the significant cross-border trade flows of the Parties, the relevant geographical area cannot be limited to national borders53. This assessment is, moreover, in line with the precedents adopted by the European Commission that also concern the geographical area subject to this assessment54.</w:t>
      </w:r>
    </w:p>
    <w:p>
      <w:r>
        <w:t>126. The observation of the notifying Party, according to which the relevant geographical market should be limited to the Italian part of the 250 km catchment area around the Fanna plant, is i) contrary to established European practice; ii) incompatible with the trade flows described in paragraphs 43-49; iii) supported by inconclusive evidence.</w:t>
      </w:r>
    </w:p>
    <w:p>
      <w:r>
        <w:t>127. Regarding barriers due to the topography of the territory, the definition of the extent of the relevant geographical markets through isodistances, rather than the geodetic radius, allows for a more proper consideration of the orography of the territory and a more precise identification of the area that can be economically served by the plant/terminal subject to acquisition, given the transportation costs. In this case, the road distances appropriately take into account the presence of barriers such as mountains, as the route used is the one traversable by car.</w:t>
      </w:r>
    </w:p>
    <w:p>
      <w:r>
        <w:t>128. In fact, Alpacem's plant in Slovenia, located 95 km from the Fanna plant, falls within both alternative definitions of catchment area, while the plant in Austria, at 216 km, is excluded from the area identified by the 190 km radius. This approach takes into account the buyer's observations on the appropriateness of including in the relevant geographical market plants located at the edge of the catchment area, such as the Austrian one and other competing plants that actually operate only marginally in the relevant geographical market.</w:t>
      </w:r>
    </w:p>
    <w:p>
      <w:r>
        <w:t>129. Regarding barriers to entry between countries, the investigative evidence demonstrates the existence of a significant competitive dynamic between the two areas. Exports to Slovenia and Croatia from the Fanna plant increased by 8 percentage points between 2020 and 2023. The Fanna plant makes about 25% of its sales to Slovenian customers, who consider it a relevant player in the Slovenian market. Alpacem's plant in Slovenia sells to Italian customers [20%-30%] of its total sales and supplies cement to Alpacem Calcestruzzi's concrete plants located in Italy. Furthermore, the cross-border nature of Alpacem's cement sales is further evidenced by the fact that the buyer's operational networks are structured to facilitate exchanges between countries.</w:t>
      </w:r>
    </w:p>
    <w:p>
      <w:r>
        <w:t>130. The notifying Party argues that the competitive conditions between countries are not sufficiently homogeneous, as suggested by the evidence on the different prices applied by Alpacem between 2020 and 2023 in the three countries and by the different preferences of customers.</w:t>
      </w:r>
    </w:p>
    <w:p>
      <w:r>
        <w:t>131. The evidence on prices is inconclusive as the prices charged throughout the country are not representative of the prices charged in the catchment area of interest, precisely because the relevant market is local and not national. Secondly, the selling prices of cement are differentiated by customer type and depend on various factors, such as transportation costs, the prevalence of ex-works or delivered sales, the application of discounts related to quantities purchased and payment terms, and the types of cement purchased. Therefore, as the composition of these factors varies by plant, the average prices charged may also vary, without this implying a separation of markets by country. It is sufficient to note that the prices at the Fanna plant increased by about [15-20%] between 2022 and 2023, while the prices at the Buzzi plant in Monselice increased by about [10-15%], despite both plants being located in Italy and both being in the same catchment area. Finally, on the merits, Alpacem's prices in Italy have a very high correlation with prices in Austria and Slovenia (correlation index 0.98).</w:t>
      </w:r>
    </w:p>
    <w:p>
      <w:r>
        <w:t>132. The fact that different types of cement are produced and marketed in Italy, Austria, and Slovenia to different types of customers does not seem relevant for the identification of the relevant geographical market, as all the plants of the Parties are equipped with technologies</w:t>
      </w:r>
    </w:p>
    <w:p>
      <w:r>
        <w:rPr>
          <w:b/>
        </w:rPr>
        <w:t>[Pages 58–60]</w:t>
      </w:r>
    </w:p>
    <w:p>
      <w:r>
        <w:t>60 BULLETIN NO. 32 OF AUGUST 12, 2024</w:t>
      </w:r>
    </w:p>
    <w:p>
      <w:r>
        <w:t>necessary to produce the same range of classes and types, which they indeed already produce, albeit in different proportions. In fact, the notifying Party, agreeing with a definition of the relevant product market that does not differentiate between classes and types of gray cement, acknowledges its substitutability from both the supply and demand sides.</w:t>
      </w:r>
    </w:p>
    <w:p>
      <w:r>
        <w:t>133. Regarding the catchment area dimension of 190 km, based on empirical observation of the distances at which actual sales from the plant occur, it is noted that this approach is in line with the European Commission's Communication on the new guidelines for the relevant geographic market55 and with the Commission's precedents56. Since the purpose of this approach is precisely to identify the distance within which it is convenient for the plant to sell57, the observation of the notifying Party that the geographical limit should also take into account the sales made by distributors who purchased cement from the Fanna plant cannot be shared. The fact that a distributor customer of the plant is able to resell cement in more distant areas does not imply that it is also economically rational for the plant to reach such distances, in light of the different prices and contribution margins between plants and distributors.</w:t>
      </w:r>
    </w:p>
    <w:p>
      <w:r>
        <w:t>134. In conclusion, in light of established European practice and the investigative findings, the relevant geographic market is defined as a customer base centered on the acquired plant and extending over territories included within a driving distance of 250 km or 190 km that belong to Italy, Slovenia, Austria, and Croatia. As will be seen later, the assessments of the anti-competitive effects of the Operation do not vary significantly between the two alternative definitions of the relevant geographic market.</w:t>
      </w:r>
    </w:p>
    <w:p>
      <w:r>
        <w:t>VII.1.2. The structural analysis</w:t>
      </w:r>
    </w:p>
    <w:p>
      <w:r>
        <w:t>135. The market share of the merged entity in the relevant geographic market has been calculated through three different methodologies which, when considered together, properly take into account the current and potential competition in the catchment areas of 250 km and 190 km. The three methodologies, described in paragraphs 50-55, are based on: i) total sales (without distinction between sales made within or outside the catchment area) to third parties by operators present in the catchment area; ii) the production capacities of operators present in the catchment area; and iii) the sales made within the catchment area by the Parties.</w:t>
      </w:r>
    </w:p>
    <w:p>
      <w:r>
        <w:t>136. The notifying Party represents that the relevant market should include only the Italian portion of the catchment area around the Fanna plant. Therefore, it estimates the market share in the Italian territory, or alternatively in the Italian and Slovenian territory, based on the actual joint sales of the Parties within a distance of 250 km from Fanna. This share does not reach 30% of the estimated cement consumption in the basin that includes only Italy and is just below 40% if Italy and Slovenia are included.</w:t>
      </w:r>
    </w:p>
    <w:p>
      <w:r>
        <w:t>55 See the European Commission's Communication on the definition of the relevant market for the application of Union law on competition dated February 22, 2024, §. 74).</w:t>
      </w:r>
    </w:p>
    <w:p>
      <w:r>
        <w:t>56 See the European Commission decision M7252 - Holcim / Lafarge, cited, §§. 60; 61 and 63.</w:t>
      </w:r>
    </w:p>
    <w:p>
      <w:r>
        <w:t>57 “in light of past decisional practice, (…), the Commission considers that the relevant geographic markets in this case should be defined as circular areas of 150 km and 250 km around the relevant cement plants, reflecting the distance up to which cement suppliers can economically sell”. European Commission decision of April 24, 2015, M.7550 - Crh / Holcim Lafarge divestment business, §. 47.</w:t>
      </w:r>
    </w:p>
    <w:p>
      <w:r>
        <w:t>BULLETIN NO. 32 OF AUGUST 12, 2024 61</w:t>
      </w:r>
    </w:p>
    <w:p>
      <w:r>
        <w:t>137. As extensively discussed in the assessments on the definition of the relevant market, the subdivision of the catchment into national territories is justifiable only with the existence of an administrative boundary, but does not reflect the geographical dimension of the relevant market. The market share proposed by the notifying Party, calculated only on a portion of the relevant geographic market, is therefore inadequate to represent the market power of the Parties.</w:t>
      </w:r>
    </w:p>
    <w:p>
      <w:r>
        <w:t>138. The fact that the market shares of the Parties in the catchment area are distributed among countries differently is not sufficient to support that the three countries represent distinct markets. Moreover, the Commission argues that it is not enough to observe the distribution of current sales to determine the boundaries of a market; it must be assessed whether suppliers have the capacity and intention to offer their products on competitive terms throughout the hypothesized market, or whether there are obstacles or costs that make it impossible or uninteresting for a supplier to serve customers on competitive terms in areas that it currently does not serve. The investigative findings suggest that there are no impediments for the Austrian plant and, in particular, for the Slovenian plant to make sales in Italy, also facilitated by access to a distribution network established by Alpacem to sell throughout the hypothesized market.</w:t>
      </w:r>
    </w:p>
    <w:p>
      <w:r>
        <w:t>139. The notifying Party argues that the shares, as calculated in the investigative analysis, overestimate the market power of the merged entity. In fact, the issues highlighted by the notifying Party regarding the individual methodology are overcome by resorting to multiple methodologies, characterized by different assumptions and data.</w:t>
      </w:r>
    </w:p>
    <w:p>
      <w:r>
        <w:t>140. Regarding the first methodology, it is noted that this approach follows the Commission's Communication on the relevant market58: when markets are defined based on the location of the supplier, all sales made by suppliers located in the relevant market are included in the calculation of market shares, regardless of the location of the customer, while suppliers located outside the basin are not included. In this case, it has also emerged that customers of the Fanna plant almost exclusively turn to suppliers present in the catchment area.</w:t>
      </w:r>
    </w:p>
    <w:p>
      <w:r>
        <w:t>141. Finally, the methodology is not subject to a systematic bias that leads to an overestimation of the Parties' shares. In fact, [more than 50%] of the sales of Alpacem's plants present in the catchment area occur within it, while presumably other competing plants, whose sales are fully included for the purpose of calculating shares, sell in the catchment area percentages that are far lower, such as, for example, the Holcim plant in Koromačno (Croatia) or the Barbetti and Heidelberg plants in Ravenna.</w:t>
      </w:r>
    </w:p>
    <w:p>
      <w:r>
        <w:t>142. The above is confirmed by the fact that the methodology based on sales made exclusively within the catchment area, which does not suffer by definition from the issues described above59, returns comparable shares (Table 12).</w:t>
      </w:r>
    </w:p>
    <w:p>
      <w:r>
        <w:t>58 See the European Commission's Communication on the definition of the relevant market for the application of European Union law on competition dated February 22, 2024, §. 109.</w:t>
      </w:r>
    </w:p>
    <w:p>
      <w:r>
        <w:t>59 On the other hand, the estimate of the market size based on estimated cement consumption used in the third methodology is very sensitive to the correct empirical identification of the catchment area, as differences of a few kilometers in the estimates of the road route lead to excluding or including municipalities at the margin of the area. Since, on average, lower sales volumes occur in municipalities located at the margin of the catchment area, including them increases the market size disproportionately compared to the increase in the Parties' sales. This implies a variation, even significant, in the estimated market shares. In this case, in the final memorandum, the notifying Party adhered to the identification of the area proposed in the investigative findings (Section I of the technical appendix).</w:t>
      </w:r>
    </w:p>
    <w:p>
      <w:r>
        <w:t>62 BULLETIN NO. 32 OF AUGUST 12, 2024</w:t>
      </w:r>
    </w:p>
    <w:p>
      <w:r>
        <w:t>143. Regarding the objection concerning the failure to consider captive sales, it is noted that, through the estimation of market shares, the aim is to represent the options available to demand, and their relative importance. Imagine a vertically integrated operator in the concrete market upstream with cement production that allocates its entire cement production to the consumption of the group. In this case, the cement production intended for its own group is not an alternative available to demand. It would only be so if, and to the extent that, it sold cement to third parties. Therefore, captive sales should only be considered if it is expected that in the future vertically integrated competitors may plausibly increase sales to third parties as a consequence of the concentration. However, in this case, there are not sufficient elements to consider this option plausible; rather, the notifying Party indicates that [omitted] intends to extend its downstream presence. Moreover, the Commission in its precedents60 seems to suggest that, when data is available, it would be preferable to calculate market shares separating captive sales from sales to third parties precisely to take into account the different levels of integration of competitors.</w:t>
      </w:r>
    </w:p>
    <w:p>
      <w:r>
        <w:t>144. As a precaution, shares have been calculated including captive sales. The post-merger entity would have a market share of [35-40%] in the 250 km catchment area and about [35-40%] in the 190 km catchment area.</w:t>
      </w:r>
    </w:p>
    <w:p>
      <w:r>
        <w:t>145. The potential market power, which according to the notifying Party is not taken into account by excluding captive sales, has been measured (in line with the Commission's precedents61) through shares based on capacity. The capacity-based estimates reported in Table 3 suggest a share of [30-35%] in the 250 km catchment area and [35-40%] in the 190 km catchment area. These estimates are slightly lower than those based on sales for various reasons. Firstly, some competitors, who are very distant, have very low capacity utilization rates; therefore, the capacity shares of these competitors are higher than their sales shares. Secondly, as with captive sales, capacity tends to overestimate the competitive constraint exerted by other vertically integrated competitors who dedicate part of their production to self-consumption.</w:t>
      </w:r>
    </w:p>
    <w:p>
      <w:r>
        <w:t>146. The notifying Party argues that the competitive constraint exerted by extra-EU imports has been underestimated, also due to the fact that the shares are based on 2022 data that do not capture the increase in cement imports recorded in 2023. In fact, two of the import terminals present in Marghera recorded a decrease in cement sales between 2022 and 2023 and not an increase. For [omitted], however, 2023 sales were used as the 2022 data is not available.</w:t>
      </w:r>
    </w:p>
    <w:p>
      <w:r>
        <w:t>147. Based on the above, it is believed that the position of the Parties in terms of market shares is as described in the table that follows.</w:t>
      </w:r>
    </w:p>
    <w:p>
      <w:r>
        <w:t>60 See European Commission decision, M.7252 - Holcim / Lafarge, cited, §.74: “For the calculation of sales market shares, the Parties have included in their estimates both internal sales and external sales to third parties as no data on internal sales are available for competitors or for the total market. Where the degree of vertical integration differs materially between cement suppliers, this will be discussed in the competitive assessment in the Member State sections”.</w:t>
      </w:r>
    </w:p>
    <w:p>
      <w:r>
        <w:t>61 See the European Commission decisions, M.7252 - Holcim / Lafarge and M.7744 - Heidelbergcement / Italcementi, cited.</w:t>
      </w:r>
    </w:p>
    <w:p>
      <w:r>
        <w:rPr>
          <w:b/>
        </w:rPr>
        <w:t>[Pages 61–63]</w:t>
      </w:r>
    </w:p>
    <w:p>
      <w:r>
        <w:t>BULLETIN NO. 32 OF AUGUST 12, 2024 63</w:t>
        <w:br/>
        <w:t>Table 12: market shares of the merged entity according to the two methodologies adopted</w:t>
        <w:br/>
        <w:t>Sales volumes</w:t>
        <w:br/>
        <w:t>Internal sales volumes Total capacity</w:t>
        <w:br/>
        <w:t>within the catchment</w:t>
        <w:br/>
        <w:t>250km</w:t>
        <w:br/>
        <w:t>250km 190km 250km 190km 190km</w:t>
        <w:br/>
        <w:t>Alpacem 30-35% 30-35% 35-40% 30-35% 20-25% 20-25%</w:t>
        <w:br/>
        <w:t>plant of</w:t>
        <w:br/>
        <w:t>5-10% 5-10% 5-10% 5-10% 5-10% 10-15%</w:t>
        <w:br/>
        <w:t>Fanna</w:t>
        <w:br/>
        <w:t>Post-</w:t>
        <w:br/>
        <w:t>40-45% 40-45% 40-45% 40-45% 30-35% 35-40%</w:t>
        <w:br/>
        <w:t>Operation</w:t>
        <w:br/>
        <w:t>148. The Alpacem group will hold significant market shares post-Operation. Alpacem would also be the largest operator, followed by only one competitor with shares in terms of sales volumes exceeding 10%. In terms of capacity, five operators reach shares above 10%, but four of these are vertically integrated downstream and therefore a portion of this capacity will likely continue to be allocated to captive sales.</w:t>
        <w:br/>
        <w:t>VII.1.3. The relevant market for concrete and structural analysis</w:t>
        <w:br/>
        <w:t>149. The concrete market is considered a distinct and unique product market regardless of the types of concrete and the plants used (mobile or fixed). From a geographical standpoint, the relevant concrete market is defined as an area bounded by an isodistance of 30 km around the plant.</w:t>
        <w:br/>
        <w:t>150. The concentration operation therefore concerns eight relevant geographical markets identified by as many catchment areas defined with a driving radius of 30 km around each of the operational RMC plants subject to the lease agreement.</w:t>
        <w:br/>
        <w:t>151. As shown in Table 7, based on observations from 2023, Alpacem's shares after the Operation would be below 35% in most of the catchment areas of the plants subject to the lease agreement with Buzzi Unicalcestruzzi, except for the relevant geographical markets of the Pontebba and Ronchi dei Legionari plants with shares of [95-100%] and [60-65%], respectively.</w:t>
        <w:br/>
        <w:t>VII.1.4. The relevant market for clinker and structural analysis</w:t>
        <w:br/>
        <w:t>152. According to a consolidated decision-making practice of the European Commission, also related to cases concerning the Italian market, the geographical market for clinker should be considered national or European.</w:t>
        <w:br/>
        <w:t>153. Alpacem and the Fanna plant have very modest market shares in the European or national market, well below 15%.</w:t>
      </w:r>
    </w:p>
    <w:p>
      <w:r>
        <w:t>64 BULLETIN NO. 32 OF AUGUST 12, 2024</w:t>
        <w:br/>
        <w:t>VII.2. The effects of the Operation</w:t>
        <w:br/>
        <w:t>VII.2.1. Analysis of the unilateral effects of the Operation in the cement market</w:t>
        <w:br/>
        <w:t>154. Based on the above, the Alpacem group would reach a significant market share post-Operation, exceeding 40% or slightly below (depending on the methodologies considered), with an increase ranging from [5-10] to [10-15] percentage points, as shown in Table 12. Alpacem would be the largest operator, followed by a few competitors with shares below [10%-15%]. The HHI is always above 2000 and the delta is always above 40062.</w:t>
        <w:br/>
        <w:t>155. The potential competitive risks suggested by the market shares are confirmed by an analysis of the competitive proximity of the plants involved in the Operation (see §§. 57-72), the incentives, and the ability of competitors to discipline any price increases by the merged entity (see §§. 73-81). Since Alpacem's plants are the most direct substitutes for the Fanna plant and other operators do not have the incentive or ability to capture the demand potentially lost by the Parties following a price increase, the investigative evidence supports the suitability of the Operation to generate non-negligible unilateral effects.</w:t>
        <w:br/>
        <w:t>The competitive proximity of the Parties</w:t>
        <w:br/>
        <w:t>156. Although cement is a substantially homogeneous product, the location of the plants and the resulting logistical advantage held by them in supplying a specific customer base is a significant differentiating factor among various competitors. In other words, the degree of substitutability between different suppliers for customers largely depends on the distance between the customers themselves and the plants (or, in any case, the terminals or sales points) of the different cement companies. Therefore, among the various plants that make sales within a given catchment area, plants that are very close to each other experience the highest degree of overlap in their respective customer bases, thus representing a very important competitive constraint on each other, unlike plants that make their sales in different areas of the catchment area.</w:t>
        <w:br/>
        <w:t>157. The importance of geographical proximity as a supplier choice factor is confirmed by the investigative activity demonstrating that the Fanna plant is, on average, the closest to its customers, and that distance is among the main factors in the choice of the plant from which to source for the majority of its customers. The evidence also confirms that Alpacem's terminals and plants are among the closest to both the Fanna plant and its customers.</w:t>
        <w:br/>
        <w:t>158. Furthermore, the investigative analysis shows that in addition to geographical distance, existing commercial relationships between customers and plants represent another fundamental factor in the choice of cement supplier for concrete producers. The importance of the relationship with the supplier depends not only on the trust established over time but also on the costs incurred by the customer to adapt its production process to the cement coming from a specific plant in terms of certifications and recipes and mixtures. This evidence is confirmed both by the explicit statements of customers and by the fact that they indicate as a possible alternative to the Fanna plant plants of other Companies from which they already purchase volumes of cement, even negligible ones. 46%</w:t>
        <w:br/>
        <w:t>62 The HHI and the delta are above the minimum thresholds of concern set by the European Commission's guidelines in the consolidated Communication on the control of concentrations between enterprises.</w:t>
      </w:r>
    </w:p>
    <w:p>
      <w:r>
        <w:t>BULLETIN NO. 32 OF AUGUST 12, 2024 65</w:t>
        <w:br/>
        <w:t>of the customers of the Fanna plant also purchase from Alpacem. This evidence confirms the high substitutability between the two suppliers, contrary to what was claimed by the notifying Party.</w:t>
        <w:br/>
        <w:t>159. [40%-50%] of the customers of the Fanna plant indicated Alpacem as a possible alternative to the Fanna plant should the latter cease its operations. This percentage translates in terms of volumes into a diversion ratio of [30%-40%].</w:t>
        <w:br/>
        <w:t>160. It follows that Alpacem's plants are the closest competitors of the Fanna plant as demonstrated by: i) the geographical proximity of the plant itself and its customers; ii) the existence of prior commercial relationships with the customers of the Fanna plant; and iii) the preferences expressed by customers.</w:t>
        <w:br/>
        <w:t>161. The analyses of the structure of the relevant markets have been complemented by further quantitative insights regarding the incentives of the entity resulting from the concentration to increase prices to Italian customers of the Fanna plant. These competitive concerns have been examined through the GUPPI index, used to quantify, in the relevant local market, the incentive of the entity resulting from the concentration to increase the prices of cement sold by the Fanna plant.</w:t>
        <w:br/>
        <w:t>162. In order to identify the critical issues arising from the Operation, a GUPPI index threshold of 5% was considered, in line with the most recent practice of this Authority for the examination of horizontal concentrations63.</w:t>
        <w:br/>
        <w:t>163. The results of the analysis show that the entity resulting from the concentration would have a high incentive, i.e., with a GUPPI between 6% and 7%, to increase the selling prices of cement from Fanna. In response to the observations of the notifying Party, the GUPPI was also calculated using a diversion ratio obtained from market shares, which confirms a value between 6% and 7%.</w:t>
        <w:br/>
        <w:t>164. As is known, moreover, the GUPPI index underestimates the competitive concerns arising from the concentration operation. In fact, even firms active in the same market that do not participate in the concentration may benefit from the reduction of competitive pressure resulting from the concentration, as the price increase by the post-merger entity may shift some of the demand towards rival firms that, in turn, may find it profitable to raise their prices as well.</w:t>
        <w:br/>
        <w:t>165. In conclusion, therefore, even the analyses conducted through the GUPPI index confirm that the concentration is likely to significantly hinder effective competition in the Italian part of the catchment area.</w:t>
        <w:br/>
        <w:t>166. [omitted] in 2023, it is highlighted that the utilization rate referred to by the notifying Party is that of the clinker production capacity. Regarding the residual cement production capacity, [omitted]. This capacity would be sufficient to capture all the diverted sales from the Fanna Plant. As for clinker, clearly the production capacity will increase significantly post-merger since clinker will be produced by the Fanna plant [omitted] or purchased from Monselice (as provided for by the framework agreement) or from the Austrian plant ([omitted]).</w:t>
        <w:br/>
        <w:t>63 see the measures of December 2, 2022, C12488 - Bubbles Bidco/Quattro, in Bulletin no. 46/2022 and of December 20, 2019, C12247 - Conad Auchan, in Bulletin no. 52/2019.</w:t>
      </w:r>
    </w:p>
    <w:p>
      <w:r>
        <w:rPr>
          <w:b/>
        </w:rPr>
        <w:t>[Pages 64–66]</w:t>
      </w:r>
    </w:p>
    <w:p>
      <w:r>
        <w:t>66 BULLETIN NO. 32 OF AUGUST 12, 2024</w:t>
        <w:br/>
        <w:t>The substitutability of competitor plants for Fanna customers</w:t>
      </w:r>
    </w:p>
    <w:p>
      <w:r>
        <w:t>167. Based on the preferences expressed by Italian customers of the Fanna plant, the plant that, like Alpacem, would be able to capture the demand lost from the Fanna plant and would exert a significant competitive constraint on it is the Monselice plant of Buzzi Unicem. For customers of the Fanna plant, turning to this plant would represent a potential cost burden due to the greater distance but would guarantee an equal level of quality and would be facilitated by the existing commercial relationships with the Company.</w:t>
      </w:r>
    </w:p>
    <w:p>
      <w:r>
        <w:t>168. However, Buzzi Unicem in the post-merger situation would not have a sufficient incentive to compete with the merged entity on cement prices in the provinces overlapping with the Fanna plant.</w:t>
      </w:r>
    </w:p>
    <w:p>
      <w:r>
        <w:t>169. Buzzi holds a quarter of the shares in each of the three main cement companies of the Alpacem Group, including Alpacem Cementi Italia S.p.A., which acquires the Fanna plant. Given the current market shares, Buzzi Unicem has an incentive to compete with Alpacem as the sales volumes achieved by its own plants exceed, in terms of shares, those resulting from the 25% stake in Alpacem, also considering that the contribution margin of Alpacem Cementi Italia is lower than that of Fanna. Following the Operation, the new market shares (which decrease for Buzzi Unicem and increase for Alpacem) modify this incentive, making the profits realized by Buzzi through Alpacem's plants more relevant in relative terms (see §. 82). The sale of the Fanna plant therefore strengthens the competitive risks arising from Buzzi Unicem's cross-shareholding in Alpacem, further reducing Buzzi Unicem's incentive to compete aggressively. In fact, Buzzi Unicem would continue to profit (to a greater extent post-concentration) even from potential losses in demand in favor of the rival and, at the same time, would have a lower incentive to capture market shares from Alpacem because it would reduce the value of its investment in the rival's business.</w:t>
      </w:r>
    </w:p>
    <w:p>
      <w:r>
        <w:t>170. Buzzi Unicem's disincentive to compete on prices is reinforced by the importance of existing commercial relationships for cement buyers, which, together with the existence of switching costs related to certifications and mixes, would protect the Monselice plant from potential competition from other operators. In fact, Buzzi Unicem and Alpacem would have an incentive to maintain the current geographical distribution of customers of the Monselice and Fanna plants.</w:t>
      </w:r>
    </w:p>
    <w:p>
      <w:r>
        <w:t>171. Buzzi Unicem's minority stake in Alpacem, even in the absence of any ability to directly influence Alpacem's conduct, may facilitate access to sensitive competitive information, thereby reducing competition between the Parties. For example, access to information on prices and discounts would make the success of a competitive strategy by Alpacem less likely, especially in a market where prices are differentiated among customers. Therefore, Buzzi Unicem's cross-shareholding in Alpacem is an important contextual information for assessing the unilateral effects of the Operation, which are thereby strengthened.</w:t>
      </w:r>
    </w:p>
    <w:p>
      <w:r>
        <w:t>64 A customer stated: “In recent years, all concrete recipes have been adapted to Fanna cement; therefore, changing the cement would cause major problems. In this case, all recipes would need to be adjusted and all certifications (FPC, CP DOC 262, etc.) would need to be renewed. Also due to the satisfaction with the capacity of the cement plant and the quality of the products, we have not yet been able to find another plant where the quality-price ratio is right.”</w:t>
      </w:r>
    </w:p>
    <w:p>
      <w:r>
        <w:t>BULLETIN NO. 32 OF AUGUST 12, 2024 67</w:t>
      </w:r>
    </w:p>
    <w:p>
      <w:r>
        <w:t>172. The other plants included in the catchment area of the Fanna plant (250 km) represent only distant competitors, capable of exerting a weaker competitive constraint on the post-merger entity. In particular, the more distant plants would not be able to discipline a price increase as the transportation costs incurred to reach most of the customers of the Fanna plant would be excessively high.</w:t>
      </w:r>
    </w:p>
    <w:p>
      <w:r>
        <w:t>173. The closest competitors in terms of distance, namely the import terminals of Marghera and Trieste, exert limited competitive pressure because imported cement is still not considered a primary alternative to local cement in the area under examination (as confirmed by discussions with customers).</w:t>
      </w:r>
    </w:p>
    <w:p>
      <w:r>
        <w:t>174. While assuming a positive trend in imports, which remains uncertain also due to the efforts made by major European operators to innovate production technologies to make them more sustainable, there is no evidence of how this national trend will reflect on the specific local market under evaluation. In fact, the available data do not show an increase in sales in 2023 for two of the four terminals present in the area, and some of the reported cases of expansion by importers indicated by the notifying Party have proven to be still incomplete. In light of the above, it seems reasonable to base the assessment of the role of imports on the current situation, based on which it seems unlikely that local import terminals can discipline an attempt by the entity resulting from the concentration to unilaterally increase prices.</w:t>
      </w:r>
    </w:p>
    <w:p>
      <w:r>
        <w:t>175. Regarding other competitors, the investigative evidence demonstrates their limited ability to exert a significant competitive constraint on the merged entity (see §§. 73; 77 and 78) due to greater distance, capacity limits, the fact that they are grinding plants and therefore more subject to variations in clinker availability and with higher raw material costs, the fact that they are vertically integrated downstream, or due to a lack of incentives to compete on prices.</w:t>
      </w:r>
    </w:p>
    <w:p>
      <w:r>
        <w:t>176. In short, the overall evidence collected so far suggests that the Fanna plant is the most substitutable plant with the Alpacem Group plants present in the area. Alternatives for cement buyers are present in the area, but the factors that make a general price increase more convenient or more likely prevail over a disciplining effect of competition. The Operation removes an important competitive constraint constituted by Alpacem's plants for the Fanna plant and also modifies Buzzi Unicem's incentives (with the Monselice plant) to compete with the buyer, further reducing competition between the two main operators in the area. The existence of switching costs, the importance of existing commercial relationships, the weight of geographical distance, the possibility of differentiating prices based on the customer, the limited remaining capacity of some competitors, the low recourse in the area to imports of extra-EU cement, and, in any case, the reduced availability of terminals compared to production plants, and finally, the high weight of captive sales for some competitors mean that the incentive of the Parties' competitors in that area to compete on prices is rather low and that the optimal choice is to align with the price increase.</w:t>
      </w:r>
    </w:p>
    <w:p>
      <w:r>
        <w:t>177. Ultimately, none of the competitors seem to have sufficient competitive strength or incentive to avoid the potential unilateral effects arising from the concentration, which sees the two closest competitors brought under a single decision-making center.</w:t>
      </w:r>
    </w:p>
    <w:p>
      <w:r>
        <w:t>178. It is believed that the evidence collected on the capacity and incentive of the target plant to increase prices is at least partially extendable to the Acquirer's plants given the substantial overlap of the areas where the customers are located (Figure 2) and given the partial coincidence of the customers themselves. The Operation under examination thus appears likely to produce significant unilateral effects in the market for the production and marketing of cement.</w:t>
      </w:r>
    </w:p>
    <w:p>
      <w:r>
        <w:t>VII.2.2. Analysis of the unilateral effects of the Operation in the concrete market</w:t>
      </w:r>
    </w:p>
    <w:p>
      <w:r>
        <w:t>179. Alpacem's position in the concrete market makes the operation of leasing concrete production plants in the catchment area of 30 km around Ronchi dei Legionari problematic.</w:t>
      </w:r>
    </w:p>
    <w:p>
      <w:r>
        <w:t>180. In the case of Pontebba, considering a catchment area of 30 km, Alpacem Calcestruzzi would be the only operator active in the area. In fact, the two existing plants in Pontebba and Venzone are the subject of the lease agreement in question. Furthermore, there are only two other non-operational plants in the area, one of which belongs to Alpacem. Nevertheless, as noted by the notifying Party, the Operation would transfer market power in the area from General Beton to Alpacem, without changing the level of competition.</w:t>
      </w:r>
    </w:p>
    <w:p>
      <w:r>
        <w:t>181. Regarding Ronchi dei Legionari, Alpacem Calcestruzzi would have [55%-60%] of the production in the catchment area. Additionally, there is a plant owned by Alpacem Calcestruzzi leased to General Beton, which accounts for 34% of the production. The terms of this lease agreement are unknown, and therefore it cannot be ruled out that the management of the plant returns to Alpacem Calcestruzzi. The Party's observation that one of Alpacem's two plants is located 29.9 km away and, therefore, is not a close competitor is not sufficient to exclude potential unilateral effects following the Operation, especially in light of the fact that the non-competition clause between the Parties refers to a radius of 30 km.</w:t>
      </w:r>
    </w:p>
    <w:p>
      <w:r>
        <w:t>182. The lease also includes eight plants, currently non-operational, but which could become operational in the future. The non-operational plants do not generate sales (partly also because they do not have valid permits) and it is difficult to predict how much they would sell if they were reactivated. The notifying Party notes that reactivating these plants, making them operational again, requires investments and often also new permits. According to the notifying Party, only if there is a substantial increase in demand for concrete would Alpacem consider the possibility of reopening some currently inactive plants. However, in this case, Alpacem's competitors would also reopen their currently inactive plants.</w:t>
      </w:r>
    </w:p>
    <w:p>
      <w:r>
        <w:t>183. In light of the above considerations, the concentration under examination appears likely to result in significant unilateral effects only in one of the sixteen catchment areas considered, in Ronchi dei Legionari.</w:t>
      </w:r>
    </w:p>
    <w:p>
      <w:r>
        <w:rPr>
          <w:b/>
        </w:rPr>
        <w:t>[Pages 67–69]</w:t>
      </w:r>
    </w:p>
    <w:p>
      <w:r>
        <w:t>BULLETIN NO. 32 OF AUGUST 12, 2024 69</w:t>
      </w:r>
    </w:p>
    <w:p>
      <w:r>
        <w:t>VII.2.3. Analysis of the unilateral effects of the Operation in the clinker market</w:t>
      </w:r>
    </w:p>
    <w:p>
      <w:r>
        <w:t>184. The European Commission concluded that the clinker market is of a supranational dimension and likely encompasses the entire European Economic Area. In such a defined geographical market, Alpacem and the Fanna plant compete in the clinker market. However, they hold very modest market shares, well below 15%.</w:t>
      </w:r>
    </w:p>
    <w:p>
      <w:r>
        <w:t>185. For the reasons outlined above, regardless of the exact size of the relevant market in this case, it appears that the clinker market cannot be considered affected by the Operation from a horizontal perspective.</w:t>
      </w:r>
    </w:p>
    <w:p>
      <w:r>
        <w:t>VII.2.4. Analysis of the vertical effects of the Operation in the cement and concrete market</w:t>
      </w:r>
    </w:p>
    <w:p>
      <w:r>
        <w:t>186. The cement market and the concrete market are vertically connected, so these two markets are affected by the Operation not only from a horizontal perspective but also vertically. Alpacem will supply cement to operators downstream in the concrete market while also operating in that market, in the area examined above.</w:t>
      </w:r>
    </w:p>
    <w:p>
      <w:r>
        <w:t>187. In terms of customer foreclosure risks, although it is true that Alpacem Calcestruzzi has agreed to purchase the cement necessary for the new rented RMC plants from the Fanna plant, these plants were already sourcing from the Fanna plant before the Operation (i.e., when they were rented from Unical to General Beton Triveneta). Therefore, the Operation does not increase the level of vertical integration between the RMC plants and the Fanna plant, merely maintaining the pre-existing vertical relationships. Consequently, in this regard, the Operation does not appear capable of directly producing customer foreclosure effects. Despite the rental of the new RMC plants, Alpacem Calcestruzzi will represent a minimal share (less than 5% according to the notifying Party) of the cement demand in the area covered by the Fanna plant, so that, following the Operation, upstream competitors will continue to have access to a share of the cement demand. This confirms the absence of customer foreclosure risks.</w:t>
      </w:r>
    </w:p>
    <w:p>
      <w:r>
        <w:t>188. Regarding the possible input foreclosure strategy, the notification argues that Alpacem would have no incentive not to sell the cement produced by the Fanna plant to other concrete producers (total foreclosure strategy). However, it cannot be ruled out that Alpacem would have an incentive to increase the price of cement to concrete plants that compete with it (partial foreclosure strategy). In this regard, [omitted] which is [omitted] states: “today Alpacem is present in the area with 5/6 concrete plants and being also a cement producer, sometimes enters the concrete market with very aggressive prices [...]. In the future, Alpacem could be present in the local area with over 20 concrete production plants and practically become the only cement producer operating in the eastern Veneto and Friuli Venezia Giulia; [omitted]</w:t>
      </w:r>
    </w:p>
    <w:p>
      <w:r>
        <w:t>189. The elements that emerged during the investigation lead to the conclusion that there is a concrete possibility that Alpacem may adopt input foreclosure strategies against the concrete plants supplied by the Parties that compete with Alpacem in concrete, with prejudicial effects for the market. These elements include in particular:</w:t>
      </w:r>
    </w:p>
    <w:p>
      <w:r>
        <w:t>- the significant presence of Alpacem in the upstream cement market and in the downstream concrete markets. In particular, Alpacem Calcestruzzi will have market shares exceeding 30% in twelve of the twenty-five concrete markets affected by this operation: Majano, Ronchi dei Legionari, Martignacco, Buja, Gonars, Pavia di Udine, Savogna d’Isonzo, Castions di Strada, Gradisca d'Isonzo, Forgaria del Friuli, Premariacco, and Montereale Valcellina;</w:t>
      </w:r>
    </w:p>
    <w:p>
      <w:r>
        <w:t>- the circumstance that, as a result of this Operation, the Alpacem group will supply an extremely significant fraction of its main competitors in the various concrete markets, with a share of supplied plants ranging from about 30% to over 90% of the market. This means that the Alpacem Group will be able to "control" the costs of its main downstream competitors (raising rivals’ costs);</w:t>
      </w:r>
    </w:p>
    <w:p>
      <w:r>
        <w:t>- the high incidence of cement costs on the price of concrete, amounting to almost 25%, which means that an increase in the price of cement can only be passed on to customers downstream.</w:t>
      </w:r>
    </w:p>
    <w:p>
      <w:r>
        <w:t>- The consideration in the analysis of vertical effects of only the "operational" plants of Alpacem and thus excluding the possibility of "recapture" through currently "non-operational" plants, which could be reactivated in the future, thereby reinforcing the vertical effects arising from this operation.</w:t>
      </w:r>
    </w:p>
    <w:p>
      <w:r>
        <w:t>190. As indicated in the guidelines on non-horizontal concentrations of the Commission, when assessing the likelihood of an anti-competitive foreclosure scenario regarding access to production factors, it is necessary to examine, first, whether the entity resulting from the merger would, after the merger, have the capacity to substantially foreclose access to production factors, secondly, whether it would have the incentive to do so, and thirdly, whether a foreclosure strategy would have a significant negative effect on downstream competition. In practice, these factors are often examined together, as they are closely interconnected.</w:t>
      </w:r>
    </w:p>
    <w:p>
      <w:r>
        <w:t>VII.2.4.a. Capacity to foreclose</w:t>
      </w:r>
    </w:p>
    <w:p>
      <w:r>
        <w:t>191. As a result of this concentration, the Fanna plant will be placed under the control of Alpacem. The commercial policy of this plant will therefore be decided by Alpacem considering that, in addition to the plants in Cadola, Ahnovo, and San Vito al Tagliamento, it will now also control the Fanna plant.</w:t>
      </w:r>
    </w:p>
    <w:p>
      <w:r>
        <w:t>192. The Fanna plant is among the main suppliers of the considered concrete plants and appears not particularly substitutable with other cement plants included in the relevant market. In fact, Alpacem will control a very considerable fraction of the cement supply in the relevant market (not less than 40%).</w:t>
      </w:r>
    </w:p>
    <w:p>
      <w:r>
        <w:t>193. Alpacem will therefore be able to decide not to supply or to increase the price of cement to its competitors in the downstream concrete market and will thus have the full capacity to implement total or partial foreclosure strategies to the detriment of its competitors in the concrete markets.</w:t>
      </w:r>
    </w:p>
    <w:p>
      <w:r>
        <w:t>194. That said, as rightly observed by the notifying Party, the model used for the vGUPPI fully takes into account the existence of competitors in cement to which concrete producers could turn in the event of an increase in the price of cement (input substitution).</w:t>
      </w:r>
    </w:p>
    <w:p>
      <w:r>
        <w:t>VII.2.4.b. Incentive to foreclose</w:t>
      </w:r>
    </w:p>
    <w:p>
      <w:r>
        <w:t>195. Regarding the incentive to foreclose by Alpacem, it could, as indicated, exist in the form of partial foreclosure, that is, in the form of an increase in the price of cement from the Fanna plant or from other Alpacem plants.</w:t>
      </w:r>
    </w:p>
    <w:p>
      <w:r>
        <w:t>196. Several elements that emerged during the investigation show how Alpacem has a significant incentive to increase the price of cement to its clientele. First, Alpacem/Fanna will be suppliers of cement that are difficult to substitute with other operators at equal cost. This is because Alpacem's main competitors in the cement market are either farther away or have capacity constraints or also due to switching costs related to recipes and certifications. Secondly, Alpacem is a very relevant player in the various concrete markets, having, as indicated, market shares exceeding 30% in about half of the concrete markets affected by this operation. Therefore, Alpacem Calcestruzzi will be able to 'recapture' very significant shares of the concrete demand lost by its competitors following the increase in the price of cement. Finally, the concrete plants supplied by the Parties represent on average 65-68% of the supply in the concrete markets considered during the investigation. This means that, through a partial foreclosure strategy, the merged entity could reduce the competitiveness of a very considerable fraction of the supply and, at the same time, recapture the concrete demand lost from multiple players.</w:t>
      </w:r>
    </w:p>
    <w:p>
      <w:r>
        <w:t>197. This conclusion appears to be confirmed by a quantitative analysis aimed at estimating the incentive that Alpacem would have to increase the price of cement from the Fanna plant to its competitors in the concrete market and the consequent pressure on those competitors to increase the price of their concrete. The analysis, detailed in the Technical Appendix, indicates that Alpacem would have a strong incentive to increase the price of cement from the Fanna plant, as measured by the vGUPPIu index. This index takes into account the difference in margins achieved by the Parties in the cement and concrete markets, thus overcoming the objection of the notifying Party that higher margins in cement compared to concrete constitute a disincentive to partial input foreclosure. In particular, the vGUPPIu index exceeds attention thresholds of 5% in 11 of the 25 concrete markets affected by the operation under examination (Majano, Martignacco, Ronchi dei Legionari, Buja, Gonars, Pavia di Udine, Premariacco, Savogna d’Isonzo, Castions di Strada, Gradisca d'Isonzo, and Montereale Valcellina).</w:t>
      </w:r>
    </w:p>
    <w:p>
      <w:r>
        <w:t>198. For the reasons outlined above, it is believed that Alpacem has the incentive to adopt partial foreclosure strategies in the following concrete markets: Majano; Martignacco; Ronchi dei Legionari; Buja; Gonars; Pavia di Udine; Premariacco; Savogna d’Isonzo; Castions di Strada; Gradisca d’Isonzo; and Montereale Valcellina.</w:t>
      </w:r>
    </w:p>
    <w:p>
      <w:r>
        <w:t>VII.2.4.c. Effects on downstream competition</w:t>
      </w:r>
    </w:p>
    <w:p>
      <w:r>
        <w:t>199. Regarding the effects on downstream competition resulting from Alpacem adopting a partial foreclosure strategy (increase in the price of cement from the Fanna plant), the analysis conducted during the investigation phase indicates that it could create significant incentives for increasing concrete prices downstream.</w:t>
      </w:r>
    </w:p>
    <w:p>
      <w:r>
        <w:t>200. Several considerations support this. First, Alpacem and [omitted] are the main operators in the concrete markets vertically linked to the cement market.</w:t>
      </w:r>
    </w:p>
    <w:p>
      <w:r>
        <w:rPr>
          <w:b/>
        </w:rPr>
        <w:t>[Pages 70–72]</w:t>
      </w:r>
    </w:p>
    <w:p>
      <w:r>
        <w:t>72 BULLETIN NO. 32 OF AUGUST 12, 2024</w:t>
      </w:r>
    </w:p>
    <w:p>
      <w:r>
        <w:t>involved in the operation under examination. Secondly, since the cost of cement represents a considerable fraction of the cost of concrete (about 30%-35%), this means that it will be difficult for concrete producers to absorb an increase in the price of cement, and it will therefore likely be passed on to end consumers. Finally, the fact that Alpacem supplies a large part of its competitors in the concrete market implies that many of them will likely be affected by the increase in the price of cement, which leads to greater possibilities of passing the price increase downstream.</w:t>
      </w:r>
    </w:p>
    <w:p>
      <w:r>
        <w:t>201. In addition to these more qualitative considerations, during the investigative activity, a specific quantitative analysis was conducted to estimate the impact of an increase in the cost of cement on the customer prices of the concrete plants supplied by the Fanna plant that compete with Alpacem ([omitted] and [omitted]), using the vGUPPIr index. This index exceeds attention thresholds of 5% in 12 concrete markets, indicating a strong incentive for [omitted] to pass on the increase in the cost of cement to customers, resulting in a loss of competitiveness compared to Alpacem.</w:t>
      </w:r>
    </w:p>
    <w:p>
      <w:r>
        <w:t>202. Ultimately, the adoption of a partial foreclosure strategy by Alpacem appears to have detrimental effects on competition in 11 of the 25 concrete markets considered, indicating a strong incentive to increase the price of cement and, consequently, the prices of concrete as a result of this operation. These markets include: Majano, Martignacco, Ronchi dei Legionari, Buja, Gonars, Pavia di Udine, Premariacco, Savogna d’Isonzo, Castions di Strada, Gradisca d’Isonzo, and Montereale Valcellina.</w:t>
      </w:r>
    </w:p>
    <w:p>
      <w:r>
        <w:t>VII.2.5. Analysis of the vertical effects of the Operation in the clinker and cement market</w:t>
      </w:r>
    </w:p>
    <w:p>
      <w:r>
        <w:t>203. Based on the information collected, it is not possible to rule out an input foreclosure incentive by Alpacem towards [a competitor]. Alpacem Cementi Italia S.p.A. may have the incentive to reserve the clinker from the Fanna plant for its own grinding plant, an incentive that the previous owner (Buzzi Unicem S.r.l.) did not have, as it did not own grinding plants in the relevant geographical area. Furthermore, [omitted] is a competitor of Alpacem in both the cement and concrete markets, both downstream of the clinker market.</w:t>
      </w:r>
    </w:p>
    <w:p>
      <w:r>
        <w:t>204. However, considering that the European Commission has concluded that the clinker market is of a supranational dimension and likely encompasses the entire European Economic Area, despite having the incentive to increase the selling price of clinker [to the competitor], the post-merger entity would not have the capacity to do so.</w:t>
      </w:r>
    </w:p>
    <w:p>
      <w:r>
        <w:t>VII.3. Proposed modifications to the operation by the notifying party</w:t>
      </w:r>
    </w:p>
    <w:p>
      <w:r>
        <w:t>VII.3.1. Measure 1</w:t>
      </w:r>
    </w:p>
    <w:p>
      <w:r>
        <w:t>205. Alpacem commits to offering for a period of [1-3 years] to all eligible customers the right - but not the obligation - to purchase cement under pre-merger conditions (net of adjustments related to production costs and other costs). Eligible customers are those to whom, in the first half of 2024, the plants of Alpacem and/or Fanna supplied cement within the Italian part of the catchment area of 250 km around Fanna.</w:t>
      </w:r>
    </w:p>
    <w:p>
      <w:r>
        <w:t>206. Each year, Alpacem will offer all eligible customers the opportunity to enter into a Purchase Option Contract that grants them the option to purchase cement from the plants of Alpacem and/or from Fanna in the following year. In order to cover the entire period during which, according to industry practices, supply contracts for the current year are negotiated, Alpacem commits to accepting the Purchase Option Contract until the end of February of each year, provided that the Total Annual Offered Volume has not already been reached.</w:t>
      </w:r>
    </w:p>
    <w:p>
      <w:r>
        <w:t>207. The Maximum Total Annual Offered Volume under the Measure is [400,000-600,000] tons. Each year, each customer of Alpacem and Fanna will have the option to purchase from the group’s plants a quantity of cement greater than that of the previous year, according to a scheme inversely proportional to the customer's demand. Furthermore, a customer may request additional quantities from Alpacem at the same price, provided that they demonstrate an exceptional need for additional volumes (due to a significant market increase, a large contract, etc.). Alpacem will sign Purchase Option Contracts with eligible customers until the Total Annual Offered Volume is reached, following the “first in, first served” criterion. Any additional volume of cement granted to eligible customers under this measure may not, in any case, result in exceeding the Total Annual Offered Volume.</w:t>
      </w:r>
    </w:p>
    <w:p>
      <w:r>
        <w:t>208. The terms and conditions of the Purchase Option Contract for cement will be determined through negotiation between Alpacem and each eligible customer in order to fully reflect the prevailing competitive conditions at the time of signing the agreement and the evolution of market prices. A maximum selling price will therefore be established for each customer, linked through a formula to the pre-merger price applied to that customer.</w:t>
      </w:r>
    </w:p>
    <w:p>
      <w:r>
        <w:t>209. Alpacem reserves the right to modify the price of cement in the event of an increase in production costs due to extraordinary events. If such conditions exist, before applying the adjustment, Alpacem will ask the Monitoring Trustee to assess its adequacy and proportionality. The Monitoring Trustee will be required to provide its assessment as soon as possible. It remains valid that Alpacem and each Eligible Customer are free to determine during the validity of the measure a price lower than the maximum price, for the entire volume of the option or for part of the volumes in question.</w:t>
      </w:r>
    </w:p>
    <w:p>
      <w:r>
        <w:t>VII.3.1.a. Evaluation of the measure</w:t>
      </w:r>
    </w:p>
    <w:p>
      <w:r>
        <w:t>210. The measure is suitable to neutralize the unilateral effects in the catchment area as it ensures that, following the operation, current and future customers of the Alpacem Group maintain the ability to purchase cement under pre-merger conditions from the Group's plants for a sufficiently long period. The inclusion among eligible customers of distributors rooted in the territory should also increase the options available to smaller customers and new customers.</w:t>
      </w:r>
    </w:p>
    <w:p>
      <w:r>
        <w:t>211. The measure also aims to ensure that customers of Alpacem and Fanna, and in particular competitors in the downstream concrete market, have access to significant quantities of cement to avoid any risk of input foreclosure by Alpacem post-merger. Furthermore, customers will purchase cement under pre-merger conditions, in order to prevent Alpacem from being in a position to adopt a strategy of “constructive input foreclosure,” through the application of non-competitive or discriminatory prices in the cement market. The extent of the proposed measure is suitable to neutralize the possible vertical effects of the Operation. In fact, it would apply to the four largest competitors of Alpacem in the catchment areas affected by the vertical effects. Only two smaller competitors (whose individual shares are around 5%) that did not purchase cement from the merged entity's plants between 2022 and 2024 would be excluded from the measure. In a context where, in most of the catchment areas affected by the operation, Alpacem's entry would increase competition downstream, this measure seems proportionate.</w:t>
      </w:r>
    </w:p>
    <w:p>
      <w:r>
        <w:t>212. The volume subject to the measure represents almost [60-80%] of the sales of the Alpacem and Fanna plants in 2023 to Italian customers within the catchment area of 250 km around the Fanna plant and [20-40%] of the total sales of the catchment area. The volume subject to the measure is also greater than the volume of sales that would be "recaptured" by the Parties following a unilateral price increase after the concentration. However, the objective of the measure is to prevent unilateral effects throughout the entire catchment area, thus also protecting; i) customers who would find an alternative with other operators, but at higher prices or worse conditions and ii) future customers. The proposed amount leaves Alpacem ample room to increase self-consumption and expand downstream, and would allow it to remain compliant even if negative demand shocks were to occur. It is therefore believed that the quantity of cement subject to the measure enhances its effectiveness, also thanks to spillover effects, including the presence among the beneficiaries of the measure of distributors and retailers. These entities, purchasing under pre-merger conditions, represent an alternative for new customers and a competitive constraint for the post-merger entity.</w:t>
      </w:r>
    </w:p>
    <w:p>
      <w:r>
        <w:t>213. In light of possible future changes in the cement market, which could alter its competitive balances, and the investment needs related to decarbonization, it is believed that the duration of the measure is appropriate.</w:t>
      </w:r>
    </w:p>
    <w:p>
      <w:r>
        <w:t>VII.3.2. Measure 2</w:t>
      </w:r>
    </w:p>
    <w:p>
      <w:r>
        <w:t>214. Alpacem commits to leasing a non-operational plant located in the catchment area of Ronchi dei Legionari to allow competitors to enter or immediately expand their presence in the area. The lease option can be exercised at any time once Alpacem takes possession of the concrete plants leased from Unical, until [omitted] [(1-3 years)]. The plant is leased for [a long duration]. Alpacem will propose a rental price to the potential contractor. The Monitoring Trustee is tasked with assessing the appropriateness of this proposal in relation to the average market rental prices of concrete plants located in the Ronchi dei Legionari area. This assessment must take into account any differences in terms of size, production capacity, and condition of the plants.</w:t>
      </w:r>
    </w:p>
    <w:p>
      <w:r>
        <w:t>VII.3.2.a. Evaluation of the measure</w:t>
      </w:r>
    </w:p>
    <w:p>
      <w:r>
        <w:t>215. The measure is suitable to eliminate Alpacem's post-merger incentive to adopt a unilateral increase in the price of concrete in the catchment area of Ronchi dei Legionari. The suitability of this measure to address the Authority's concerns must be evaluated together with Measure 1, which will ensure that Alpacem's competitors in the Ronchi dei Legionari area have access to cement under pre-merger conditions.</w:t>
      </w:r>
    </w:p>
    <w:p>
      <w:r>
        <w:t>216. The measure does not provide indications on how the possibility of leasing the plant will be advertised to competitors. To ensure the effectiveness of the measure, the Company must identify the most suitable means to publicize the possibility of leasing the plant, and these must be approved by the Monitoring Trustee.</w:t>
      </w:r>
    </w:p>
    <w:p>
      <w:r>
        <w:rPr>
          <w:b/>
        </w:rPr>
        <w:t>[Pages 73–75]</w:t>
      </w:r>
    </w:p>
    <w:p>
      <w:r>
        <w:t>BULLETIN NO. 32 OF AUGUST 12, 2024 75</w:t>
      </w:r>
    </w:p>
    <w:p>
      <w:r>
        <w:t>VII.3.3. Measures 3 and 4</w:t>
      </w:r>
    </w:p>
    <w:p>
      <w:r>
        <w:t>217. By virtue of Measure 3, Buzzi will have no representative in the governance bodies of Alpacem Cementi Italia, nor will it have access to commercially sensitive information related to the operations of Alpacem's Italian plants.</w:t>
      </w:r>
    </w:p>
    <w:p>
      <w:r>
        <w:t>218. Measure 4 consists of Alpacem's waiver of the option provided for in the Framework Agreement to use the Marghera terminal.</w:t>
      </w:r>
    </w:p>
    <w:p>
      <w:r>
        <w:t>VII.3.3.a. Evaluation of the measures</w:t>
      </w:r>
    </w:p>
    <w:p>
      <w:r>
        <w:t>219. Measure 3 appears likely to weaken the effects arising from the structural ties between Buzzi and Alpacem. Measure 4 will allow Buzzi to maintain exclusive use of the installed capacity of its Marghera terminal in a context where some customers of Fanna have indicated that terminal as a potential alternative to the Fanna plant as a source of cement. Furthermore, the risk of exchange of commercial information is reduced. Measures 3 and 4 are part of a broader package that, when evaluated as a whole, is suitable to prevent the anti-competitive effects of the Operation.</w:t>
      </w:r>
    </w:p>
    <w:p>
      <w:r>
        <w:t>VII.3.4. Measures 5 and 6</w:t>
      </w:r>
    </w:p>
    <w:p>
      <w:r>
        <w:t>220. Measure 5 provides that Alpacem will appoint a Monitoring Trustee to oversee the implementation of the measures. Within two months of the communication of the resolution of approval by the Authority, and in any case before the closing, Alpacem will appoint the Monitoring Trustee, who must ensure that the execution of the measures is carried out adequately.</w:t>
      </w:r>
    </w:p>
    <w:p>
      <w:r>
        <w:t>221. Measure 6 provides that, within six months of the closing, the notifying Party will submit a report to the Authority on the implementation of Measures 3 and 4.</w:t>
      </w:r>
    </w:p>
    <w:p>
      <w:r>
        <w:t>VII.3.5. Evaluation of the measure</w:t>
      </w:r>
    </w:p>
    <w:p>
      <w:r>
        <w:t>222. It is believed that this measure increases the effectiveness of the commitments made and ensures that their execution is carried out adequately.</w:t>
      </w:r>
    </w:p>
    <w:p>
      <w:r>
        <w:t>VIII. CONCLUSIONS</w:t>
      </w:r>
    </w:p>
    <w:p>
      <w:r>
        <w:t>223. The investigation has established that the concentration under examination is likely to significantly impede effective competition in the local cement market in the geographical area affected by the Operation, with possible unilateral effects in eleven local concrete markets due to a potential increase in the price of cement charged by the merged entity to downstream competitors. Finally, there is a possible risk of unilateral effects in one of the catchment areas (Ronchi dei Legionari) built around the target concrete plants.</w:t>
      </w:r>
    </w:p>
    <w:p>
      <w:r>
        <w:t>224. The proposed remedies are, overall, suitable and proportionate to avert the harmful effects on competition that the operation under examination is likely to produce.</w:t>
      </w:r>
    </w:p>
    <w:p>
      <w:r>
        <w:t>225. All of the above considered, it is believed that the concentration operation is likely to be authorized conditionally upon the implementation of the measures referred to in letters a), b), c), d), e), f), and g) of the Device.</w:t>
      </w:r>
    </w:p>
    <w:p>
      <w:r>
        <w:t>76 BULLETIN NO. 32 OF AUGUST 12, 2024</w:t>
      </w:r>
    </w:p>
    <w:p>
      <w:r>
        <w:t>CONSIDERING therefore, based on the elements emerged in the investigation, that the operation under examination is likely, pursuant to Article 6, paragraphs 1 and 2 of Law No. 287/1990, to significantly impede effective competition;</w:t>
      </w:r>
    </w:p>
    <w:p>
      <w:r>
        <w:t>CONSIDERING it necessary to prescribe to Alpacem Cementi Italia S.p.A. and Alpacem Calcestruzzi Italia S.r.l., pursuant to Article 6, paragraph 2, of Law No. 287/1990, measures necessary to prevent the realization of the distorting effects on competition caused by the implementation of the concentration under examination;</w:t>
      </w:r>
    </w:p>
    <w:p>
      <w:r>
        <w:t>CONSIDERING, therefore, that the notified concentration operation is authorized subject to the full, effective, and timely execution of all measures prescribed in this provision;</w:t>
      </w:r>
    </w:p>
    <w:p>
      <w:r>
        <w:t>CONSIDERING that any failure to implement the aforementioned measures entails the realization of a concentration operation in violation of the prohibition set forth in Article 6, paragraph 1, of Law No. 287/1990;</w:t>
      </w:r>
    </w:p>
    <w:p>
      <w:r>
        <w:t>CONSIDERING that the clinker supply agreement between seller and buyer does not constitute the subject of this resolution, as it cannot be considered directly connected and necessary to the realization of the concentration operation under examination;</w:t>
      </w:r>
    </w:p>
    <w:p>
      <w:r>
        <w:t>RESOLVES</w:t>
      </w:r>
    </w:p>
    <w:p>
      <w:r>
        <w:t>to authorize the notified concentration operation, provided that Alpacem Cementi Italia S.p.A. and Alpacem Calcestruzzi Italia S.r.l. fully and effectively execute the following measures prescribed pursuant to Article 6, paragraph 2, of Law No. 287/1990:</w:t>
      </w:r>
    </w:p>
    <w:p>
      <w:r>
        <w:t>a) For the period [omitted], Alpacem must offer, in the catchment area of 250 km around the Fanna plant, to all customers to whom Alpacem and/or Fanna plants have supplied cement in the Italian part of that catchment area in the first half of 2024 (the “Eligible Customers”), the signing of a contract that guarantees the right/option - but not the obligation - to purchase cement under the conditions described below.</w:t>
      </w:r>
    </w:p>
    <w:p>
      <w:r>
        <w:t>i. The measure will be valid for [1-3] years, [omitted].</w:t>
      </w:r>
    </w:p>
    <w:p>
      <w:r>
        <w:t>ii. Starting from [omitted], in November of each year, Alpacem will propose - through the most suitable means - to all Eligible Customers the possibility of signing a Purchase Option Contract that grants them the option to purchase cement from Alpacem's plants and/or from Fanna in the following year [omitted].</w:t>
      </w:r>
    </w:p>
    <w:p>
      <w:r>
        <w:t>iii. In each year of validity of the measure, Alpacem will sign Purchase Option Contracts with Eligible Customers up to a maximum volume of [400,000-600,000] tons (the “Total Annual Offered Volume”).</w:t>
      </w:r>
    </w:p>
    <w:p>
      <w:r>
        <w:t>iv. Alpacem will sign Purchase Option Contracts with Eligible Customers following the “first in, first served” criterion, until the Total Annual Offered Volume is reached.</w:t>
      </w:r>
    </w:p>
    <w:p>
      <w:r>
        <w:t>v. Alpacem will accept the Purchase Option Contract until the end of February of each year, provided that the Total Annual Offered Volume has not already been reached.</w:t>
      </w:r>
    </w:p>
    <w:p>
      <w:r>
        <w:t>vi. Alpacem will have no obligation to sign a Purchase Option Contract with additional customers once one of the following conditions is met: the reaching of the Total Annual Offered Volume or the expiration of the purchase option acceptance period (end of February of the relevant year).</w:t>
      </w:r>
    </w:p>
    <w:p>
      <w:r>
        <w:t>vii. With the signing of the Purchase Option Contract, each Eligible Customer will acquire the right to purchase an amount of cement (“Annual Purchase Volume”) equal to: the volume purchased from Alpacem's plants and/or from Fanna in the year of signing the Contract, if the signing is made by December, or in the year preceding the signing of the Contract, if the latter occurs in the period from January to February, increased by:</w:t>
        <w:br/>
        <w:t>- [omitted]</w:t>
        <w:br/>
        <w:t>- [omitted]</w:t>
        <w:br/>
        <w:t>- [omitted]</w:t>
      </w:r>
    </w:p>
    <w:p>
      <w:r>
        <w:t>viii. Each Eligible Customer will have the right to request a purchase option for an amount of cement greater than the Annual Purchase Volume according to the above provision, demonstrating that such request is reasonable and necessary considering the growth of its business in the market.</w:t>
      </w:r>
    </w:p>
    <w:p>
      <w:r>
        <w:t>ix. If Alpacem believes that the additional requested volume is not sufficiently justified and refuses the request, the Eligible Customer may ask the Monitoring Trustee to arbitrate the request, verifying the reasonableness and objective necessity of the request for incremental volumes.</w:t>
      </w:r>
    </w:p>
    <w:p>
      <w:r>
        <w:t>x. The Purchase Option Contract refers to a product supplied in the same manner and from the same plant, unless otherwise mutually agreed, used by the Eligible Customer in the first six months of the year in which the communication was sent. If the Eligible Customer intends to change the supply method, Alpacem may charge a supplement to account for additional transportation costs, if necessary.</w:t>
      </w:r>
    </w:p>
    <w:p>
      <w:r>
        <w:t>xi. Each Eligible Customer may purchase and collect cement at the Alpacem and/or Fanna facilities from which it purchased in the year of signing the Contract (unless otherwise agreed by Alpacem, acting reasonably) at any time of the year, until the Annual Purchase Volume is reached.</w:t>
      </w:r>
    </w:p>
    <w:p>
      <w:r>
        <w:t>xii. Alpacem may request each customer to provide a prospective indication of the volumes they intend to withdraw (customers must indicate by March 15, June, September, and December the quantities they will purchase in the following quarter (divided by month), with a tolerance of +/- 20%), provided that such indications will not be binding.</w:t>
      </w:r>
    </w:p>
    <w:p>
      <w:r>
        <w:t>xiii. Alpacem will have the right to interrupt the supply of the opted quantities of cement to each Eligible Customer due to payment delays.</w:t>
      </w:r>
    </w:p>
    <w:p>
      <w:r>
        <w:t>xiv. The Purchase Option Contract will concern the same type of cement, and the related packaging, that each Eligible Customer has usually purchased in the previous year. However, Alpacem will offer all Eligible Customers the possibility of purchasing new, more sustainable cements with low CO2 content.</w:t>
      </w:r>
    </w:p>
    <w:p>
      <w:r>
        <w:t>xv. The terms and conditions of the Purchase Option Contract for cement will be determined through negotiation between Alpacem and each Eligible Customer in order to fully reflect the prevailing competitive conditions at the time of signing the agreement and the evolution of market prices.</w:t>
      </w:r>
    </w:p>
    <w:p>
      <w:r>
        <w:t>xvi. In any case, the maximum price of the Annual Purchase Volume is equal to the sum [omitted].</w:t>
      </w:r>
    </w:p>
    <w:p>
      <w:r>
        <w:t>xvii. Alpacem will have the right to modify the price of cement in the event of an increase in production costs due to extraordinary events, [omitted]. In the event that such conditions exist,</w:t>
      </w:r>
    </w:p>
    <w:p>
      <w:r>
        <w:rPr>
          <w:b/>
        </w:rPr>
        <w:t>[Pages 76–78]</w:t>
      </w:r>
    </w:p>
    <w:p>
      <w:r>
        <w:t>78 BULLETIN NO. 32 OF AUGUST 12, 2024</w:t>
      </w:r>
    </w:p>
    <w:p>
      <w:r>
        <w:t>before applying the adjustment, Alpacem will ask the Monitoring Trustee to assess its adequacy and proportionality. The Monitoring Trustee will be required to provide its assessment as soon as possible, in any case within no more than fifteen calendar days from Alpacem's request.</w:t>
      </w:r>
    </w:p>
    <w:p>
      <w:r>
        <w:t>xviii. It remains valid that Alpacem and each Eligible Customer are free to determine during the validity of the measure a price lower than the maximum price, for the entire volume of the option or for part of the volumes in question.</w:t>
      </w:r>
    </w:p>
    <w:p>
      <w:r>
        <w:t>xix. Communication to each Eligible Customer will take place via PEC (or if the Customer does not have it, by ordinary email).</w:t>
      </w:r>
    </w:p>
    <w:p>
      <w:r>
        <w:t>b) Alpacem will grant an option to lease a non-operational concrete plant owned by Alpacem in the area of Ronchi dei Legionari (i.e. in Gonars or Savogna di Isonzo), entering into a lease agreement for a business branch [omitted].</w:t>
      </w:r>
    </w:p>
    <w:p>
      <w:r>
        <w:t>i. The recipients of the measure will be the operators active in the concrete market.</w:t>
      </w:r>
    </w:p>
    <w:p>
      <w:r>
        <w:t>ii. Alpacem will propose a rental price to the potential contractor. The Monitoring Trustee is tasked with assessing the appropriateness of this proposal in relation to the average market rental prices of concrete plants located in the area of Ronchi dei Legionari, ensuring that the proposed price does not jeopardize the successful completion of the transaction. This assessment must take into account any differences in terms of size, production capacity, and condition of the plants.</w:t>
      </w:r>
    </w:p>
    <w:p>
      <w:r>
        <w:t>iii. The rental option may be exercised at any time once Alpacem takes possession of the concrete plants leased from Unical, until [omitted] ([1-3] years).</w:t>
      </w:r>
    </w:p>
    <w:p>
      <w:r>
        <w:t>iv. The plant may be leased for [with a long-term contract].</w:t>
      </w:r>
    </w:p>
    <w:p>
      <w:r>
        <w:t>v. Alpacem must identify the most suitable means to publicize the existence of the rental option. The Monitoring Trustee will evaluate whether the forms of publicity identified by the Company are suitable to reach the widest audience of potentially interested operators in a reasonable time.</w:t>
      </w:r>
    </w:p>
    <w:p>
      <w:r>
        <w:t>c) Alpacem will ensure that Buzzi has no representatives [in the governance bodies] of Alpacem Cementi Italia and [in the governance bodies] of Alpacem Cement Slovenia.</w:t>
      </w:r>
    </w:p>
    <w:p>
      <w:r>
        <w:t>i. [omitted].</w:t>
      </w:r>
    </w:p>
    <w:p>
      <w:r>
        <w:t>ii. [omitted].</w:t>
      </w:r>
    </w:p>
    <w:p>
      <w:r>
        <w:t>d) Alpacem will ensure that Buzzi continues to have no access to commercially sensitive information related to the activities of Alpacem Cementi Italia and Alpacem Cement Slovenia. In particular, the following information will be separated:</w:t>
      </w:r>
    </w:p>
    <w:p>
      <w:r>
        <w:t>1. identity of the customers of Alpacem Cementi Italia and Alpacem Cement Slovenia,</w:t>
        <w:br/>
        <w:t>2. volumes sold to each customer,</w:t>
        <w:br/>
        <w:t>3. prices charged,</w:t>
        <w:br/>
        <w:t>4. future pricing and volume strategies.</w:t>
      </w:r>
    </w:p>
    <w:p>
      <w:r>
        <w:t>To this end, Alpacem will implement a so-called "separation agreement."</w:t>
      </w:r>
    </w:p>
    <w:p>
      <w:r>
        <w:t>e) Alpacem will waive the option to use the Marghera terminal provided for in the Framework Agreement.</w:t>
      </w:r>
    </w:p>
    <w:p>
      <w:r>
        <w:t>f) Alpacem will appoint a Monitoring Trustee to oversee the implementation of the measures:</w:t>
      </w:r>
    </w:p>
    <w:p>
      <w:r>
        <w:t>BULLETIN NO. 32 OF AUGUST 12, 2024 79</w:t>
      </w:r>
    </w:p>
    <w:p>
      <w:r>
        <w:t>i. Within sixty days of authorization, Alpacem will submit the name of a Monitoring Trustee for the Authority's approval. The proposal must contain sufficient information to allow the Authority to verify that the proposed subject meets the requirements set out in point (iii) and must include:</w:t>
      </w:r>
    </w:p>
    <w:p>
      <w:r>
        <w:t>1. the terms of the proposed mandate, which will include all necessary provisions to enable the Monitoring Trustee to fulfill its obligations;</w:t>
        <w:br/>
        <w:t>2. the curriculum vitae;</w:t>
        <w:br/>
        <w:t>3. an outline of a work plan describing how the Monitoring Trustee will carry out the assigned tasks.</w:t>
      </w:r>
    </w:p>
    <w:p>
      <w:r>
        <w:t>ii. The Authority has the power to approve or reject the Monitoring Trustee and to approve the proposed mandate or modify it as necessary to allow the Monitoring Trustee to perform its functions.</w:t>
      </w:r>
    </w:p>
    <w:p>
      <w:r>
        <w:t>iii. The Monitoring Trustee must meet the following characteristics:</w:t>
      </w:r>
    </w:p>
    <w:p>
      <w:r>
        <w:t>1. be an independent entity with respect to the Parties and the companies belonging to their respective groups;</w:t>
        <w:br/>
        <w:t>2. possess the necessary qualifications to fulfill its mandate;</w:t>
        <w:br/>
        <w:t>3. not be, nor have been, exposed to a conflict of interest. In particular, the trustee must not have held any position on behalf of the Parties and their groups.</w:t>
      </w:r>
    </w:p>
    <w:p>
      <w:r>
        <w:t>iv. The Monitoring Trustee will have the following tasks:</w:t>
      </w:r>
    </w:p>
    <w:p>
      <w:r>
        <w:t>1. verify that the communication referred to in Measure a), point xix, is sent to the Eligible Customers within the timeframes specified in point ii of the same measure;</w:t>
        <w:br/>
        <w:t>2. verify that the option offered to Eligible Customers in Measure a) is in line with the principles and modalities stated therein with specific reference to quantities and prices;</w:t>
        <w:br/>
        <w:t>3. evaluate any requests from Eligible Customers who may believe that the terms offered by Alpacem for the signing of the Purchase Option Agreement do not comply with the provisions of Measure a);</w:t>
        <w:br/>
        <w:t>4. assess whether the conditions exist and the principles listed in points viii; ix; xvii of Measure a) are respected;</w:t>
        <w:br/>
        <w:t>5. approve the price proposed by Alpacem for the lease of the concrete plant referred to in Measure b);</w:t>
        <w:br/>
        <w:t>6. verify that the offer of the rental option referred to in Measure b) is made public in the most suitable ways and according to the principles set out in point v of Measure b);</w:t>
        <w:br/>
        <w:t>7. evaluate any requests from operators active in the concrete market who wish to enter into a lease option contract for a non-operational concrete plant owned by Alpacem in the area of Ronchi dei Legionari referred to in Measure b);</w:t>
        <w:br/>
        <w:t>8. resolve disputes that may arise between the Party and third parties in relation to Measures a) and b);</w:t>
        <w:br/>
        <w:t>9. verify that there are no unjustified obstacles to the full implementation of Measures a) and b) and to the exercise of the benefits arising from them for the Eligible Customers.</w:t>
        <w:br/>
        <w:t>10. submit to the Authority a written report on the status of implementation of the measures every six months starting from the date of Closing and inform the Authority whenever critical issues arise in the implementation of the monitored measures.</w:t>
      </w:r>
    </w:p>
    <w:p>
      <w:r>
        <w:t>80 BULLETIN NO. 32 OF AUGUST 12, 2024</w:t>
      </w:r>
    </w:p>
    <w:p>
      <w:r>
        <w:t>v. The Monitoring Trustee will cease its functions once the effectiveness of Measures a) and b) has ended.</w:t>
      </w:r>
    </w:p>
    <w:p>
      <w:r>
        <w:t>g) Within six months of closing, the Party will submit a report to the Authority on the implementation of Measures c), d), e).</w:t>
      </w:r>
    </w:p>
    <w:p>
      <w:r>
        <w:t>This provision will be notified to the interested parties and published in the Bulletin of the Antitrust Authority.</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rPr>
          <w:b/>
        </w:rPr>
        <w:t>[Pages 79–81]</w:t>
      </w:r>
    </w:p>
    <w:p>
      <w:r>
        <w:t>BULLETIN NO. 32 OF AUGUST 12, 2024 81</w:t>
      </w:r>
    </w:p>
    <w:p>
      <w:r>
        <w:t xml:space="preserve">I. THE PARTIES 5  </w:t>
        <w:br/>
        <w:t xml:space="preserve">II. DESCRIPTION OF THE OPERATION 6  </w:t>
        <w:br/>
        <w:t xml:space="preserve">III. QUALIFICATION OF THE OPERATION 8  </w:t>
        <w:br/>
        <w:t xml:space="preserve">IV. THE INITIATION OF THE PROCEDURE AND THE INVESTIGATIVE ACTIVITY 9  </w:t>
        <w:br/>
        <w:t xml:space="preserve">V. THE INVESTIGATIVE FINDINGS 12  </w:t>
        <w:br/>
        <w:t xml:space="preserve">V.1. The rationale of the operation 13  </w:t>
        <w:br/>
        <w:t xml:space="preserve">V.2. The relevant markets for the assessment of the operation 14  </w:t>
        <w:br/>
        <w:t xml:space="preserve">V.2.1. The market for the production and marketing of cement 14  </w:t>
        <w:br/>
        <w:t xml:space="preserve">V.2.1.a. Definition of the relevant market 14  </w:t>
        <w:br/>
        <w:t xml:space="preserve">V.2.1.b. Structural analysis 18  </w:t>
        <w:br/>
        <w:t xml:space="preserve">V.2.2. The competitive proximity of the Parties 23  </w:t>
        <w:br/>
        <w:t xml:space="preserve">V.2.2.a. The geographical proximity of the Parties 23  </w:t>
        <w:br/>
        <w:t xml:space="preserve">V.2.2.b. The substitutability of the Parties' plants for the customers of the Fanna plant 27  </w:t>
        <w:br/>
        <w:t xml:space="preserve">V.2.2.c. The incentive of the post-merger entity to increase the prices of cement sold by the Fanna plant 28  </w:t>
        <w:br/>
        <w:t xml:space="preserve">V.2.2.d. The substitutability of competitors' plants for the customers of the Fanna plant 29  </w:t>
        <w:br/>
        <w:t xml:space="preserve">V.2.2.e. The Buzzi Unicem plant in Monselice 32  </w:t>
        <w:br/>
        <w:t xml:space="preserve">V.2.3. The market for the production and sale of concrete 33  </w:t>
        <w:br/>
        <w:t xml:space="preserve">V.2.3.a. Definition of the relevant market 33  </w:t>
        <w:br/>
        <w:t xml:space="preserve">V.2.3.b. Structural analysis 35  </w:t>
        <w:br/>
        <w:t xml:space="preserve">V.2.4. The market for the production and marketing of clinker 36  </w:t>
        <w:br/>
        <w:t xml:space="preserve">V.2.4.a. Definition of the relevant market and structural analysis 36  </w:t>
        <w:br/>
        <w:t xml:space="preserve">V.3. The vertical relationships between the cement market and the concrete market 37  </w:t>
        <w:br/>
        <w:t xml:space="preserve">V.4. The vertical relationships between the clinker market and the cement market 44  </w:t>
        <w:br/>
        <w:t xml:space="preserve">VI. THE COMMENTS OF THE NOTIFYING PARTY 45  </w:t>
        <w:br/>
        <w:t xml:space="preserve">VI.1. The relevant geographical market for the production and sale of cement 45  </w:t>
        <w:br/>
        <w:t xml:space="preserve">VI.2. The structural analysis of the market for the production and sale of cement 47  </w:t>
        <w:br/>
        <w:t xml:space="preserve">VI.3. The analysis of competitive proximity in the market for the production and sale of cement 48  </w:t>
        <w:br/>
        <w:t xml:space="preserve">VI.4. The market for the production and sale of concrete 49  </w:t>
        <w:br/>
        <w:t xml:space="preserve">VI.5. The vertical relationships between the cement market and the concrete market 50  </w:t>
        <w:br/>
        <w:t xml:space="preserve">VII. ASSESSMENTS 50  </w:t>
        <w:br/>
        <w:t xml:space="preserve">VII.1. The relevant market and structural analysis 50  </w:t>
        <w:br/>
        <w:t xml:space="preserve">VII.1.1. The relevant market for the production and sale of cement 50  </w:t>
        <w:br/>
        <w:t xml:space="preserve">VII.1.2. The structural analysis 54  </w:t>
        <w:br/>
        <w:t xml:space="preserve">VII.1.3. The relevant market for concrete and the structural analysis 58  </w:t>
        <w:br/>
        <w:t xml:space="preserve">VII.1.4. The relevant market for clinker and the structural analysis 59  </w:t>
        <w:br/>
        <w:t xml:space="preserve">VII.2. The effects of the operation 59  </w:t>
        <w:br/>
        <w:t xml:space="preserve">VII.2.1. Analysis of the unilateral effects of the Operation in the cement market 59  </w:t>
        <w:br/>
        <w:t xml:space="preserve">VII.2.2. Analysis of the unilateral effects of the Operation in the concrete market 66  </w:t>
        <w:br/>
        <w:t>VII.2.3. Analysis of the unilateral effects of the Operation in the clinker market 67</w:t>
      </w:r>
    </w:p>
    <w:p>
      <w:r>
        <w:t xml:space="preserve">82 BULLETIN NO. 32 OF AUGUST 12, 2024  </w:t>
        <w:br/>
        <w:t xml:space="preserve">VII.2.4. Analysis of the vertical effects of the Operation in the cement and concrete market 67  </w:t>
        <w:br/>
        <w:t xml:space="preserve">VII.2.4.a. Ability to foreclose 70  </w:t>
        <w:br/>
        <w:t xml:space="preserve">VII.2.4.b. Incentive to foreclose 70  </w:t>
        <w:br/>
        <w:t xml:space="preserve">VII.2.4.c. Effects on downstream competition 72  </w:t>
        <w:br/>
        <w:t xml:space="preserve">VII.2.5. Analysis of the vertical effects of the Operation in the clinker and cement market 73  </w:t>
        <w:br/>
        <w:t xml:space="preserve">VII.3. The modifications to the operation proposed by the notifying party 73  </w:t>
        <w:br/>
        <w:t xml:space="preserve">VII.3.1. Measure 1 73  </w:t>
        <w:br/>
        <w:t xml:space="preserve">VII.3.1.a. Assessment of the measure 75  </w:t>
        <w:br/>
        <w:t xml:space="preserve">VII.3.2. Measure 2 76  </w:t>
        <w:br/>
        <w:t xml:space="preserve">VII.3.2.a. Assessment of the measure 76  </w:t>
        <w:br/>
        <w:t xml:space="preserve">VII.3.3. Measures 3 and 4 77  </w:t>
        <w:br/>
        <w:t xml:space="preserve">VII.3.3.a. Assessment of the measures 77  </w:t>
        <w:br/>
        <w:t xml:space="preserve">VII.3.4. Measures 5 and 6 77  </w:t>
        <w:br/>
        <w:t xml:space="preserve">VII.3.5. Assessment of the measure 78  </w:t>
        <w:br/>
        <w:t xml:space="preserve">VIII. CONCLUSIONS 78  </w:t>
        <w:br/>
        <w:t xml:space="preserve">TECHNICAL APPENDIX  </w:t>
        <w:br/>
        <w:t xml:space="preserve">I. The determination of the catchment area based on the road travel radius between the Fanna plant and the Italian, Austrian, Slovenian, and Croatian municipalities.  </w:t>
        <w:br/>
        <w:t xml:space="preserve">1. For the delimitation of the catchment area, all municipalities (Austrian, Croatian, Italian, and Slovenian) located less than 250 km or less than 190 km from Fanna were identified.  </w:t>
        <w:br/>
        <w:t xml:space="preserve">2. The notifying party chose to select the "shortest" route for calculating distances on Tom Tom. Often (but not always) the shortest road is one that does not involve the use of the highway. This road also appears among the results obtained using Google Maps but with much longer travel times. In other cases, the route indicated by Tom Tom is not included in the driving routes of Google Maps, and similar distances are obtained only if the walking route is chosen. Even assuming that these routes are accessible to a truck, the shorter distances calculated by the Party correspond to much longer travel times, up to over 200 minutes of difference. In such cases, the route chosen by the Party is less efficient and likely not usable for transporting cement.  </w:t>
        <w:br/>
        <w:t xml:space="preserve">3. Consequently, with a conservative and favorable approach to the Party, it was decided to use the distances provided by the Party, except in cases where the travel time of the route indicated by the Party exceeds by at least 60 minutes that calculated with Google Maps' "Distance Matrix," selecting the "best" route that takes into account traffic conditions and time taken. In these cases, the distance calculated with Google Maps was used.  </w:t>
        <w:br/>
        <w:t xml:space="preserve">4. The decision to make adjustments to the database provided by the Party, rather than directly using the distances calculated with Google Maps, was due to the presence of other factors that could generate differences or errors. Among these: 1) the choice of different destinations within a municipality (for example, the largest city in the municipality) can lead to deviations of up to 20 km; 2) the algorithm for calculating routes may differ significantly (for example, taking into account road hierarchies, etc.) and always depends on the basic settings and certain assumptions of the model; 3) different traffic situations, roadworks, and the homonymy of some municipalities can affect the calculation of distances.  </w:t>
        <w:br/>
        <w:t xml:space="preserve">II. The calculation of the horizontal Guppi in the cement market  </w:t>
        <w:br/>
        <w:t xml:space="preserve">5. The degree of competitive pressure that Fanna and Alpacem exert on each other primarily depends on the degree of competitive proximity existing between them. The diversion ratios (hereinafter, "DR") between the Parties capture this precisely. In fact, the higher the DR between the companies subject to the concentration, the higher the sales that the concentration will allow to internalize, making price increases profitable67. The DR relevant for this analysis are those "horizontal," that is, the increase in sales "captured" by other Alpacem plants following a price increase of the cement sold by the Fanna plant.  </w:t>
        <w:br/>
        <w:t xml:space="preserve">6. The formula used is as follows: DRF * mA/PF - A  </w:t>
        <w:br/>
        <w:t xml:space="preserve">Where:  </w:t>
        <w:br/>
        <w:t xml:space="preserve">- mA is the average unit margin (€/m3) on the variable costs of Alpacem;  </w:t>
        <w:br/>
        <w:t xml:space="preserve">- PR is the average price of cement produced by the Fanna plant;  </w:t>
        <w:br/>
        <w:t xml:space="preserve">- DR is the DR from Fanna to Alpacem.  </w:t>
        <w:br/>
        <w:t xml:space="preserve">F-A  </w:t>
        <w:br/>
        <w:t xml:space="preserve">7. Regarding the average unit margin, a conservative approach used the margin of Alpacem Cementi Italia S.p.A., which is lower than that of the Salonit plant.  </w:t>
        <w:br/>
        <w:t xml:space="preserve">8. The diversion ratio = volumes diverted to Alpacem / total volumes Fanna. The DR was calculated based on the responses of Fanna's customers to the question of which alternative supplier they would turn to in the event of the closure of the Fanna plant. If the customer indicated only Alpacem as an alternative, then the total volumes purchased from Fanna by that customer (average between 2022 and 2023) were used in the numerator of the DR. If the customer indicated more than one alternative supplier, then the volumes purchased from Fanna were allocated among the alternatives based on the proportion in which the customer already purchased from these suppliers. Therefore, only a portion of the volumes purchased from Fanna by that customer, proportional to the volumes currently purchased from Alpacem, contributes in the numerator to the calculation of the DR. In cases where the customer indicated alternative suppliers from whom they currently do not source or where information on the volumes purchased from each plant was not available, the amount was divided equally among the indicated alternatives, and Alpacem was assigned a share equal to 1/N of the volume that the customer purchases from Fanna, where N is the number of alternatives indicated. This circumstance occurred for only one customer. The total volumes purchased from the Fanna plant by customers who responded to the question indicating at least one alternative supplier were used in the denominator.  </w:t>
        <w:br/>
        <w:t xml:space="preserve">9. The exercise was repeated excluding foreign customers.  </w:t>
        <w:br/>
        <w:t>67 This is because before the concentration, if one of the Parties had increased prices, it would have lost a portion of its sales to the advantage (among others, also) of the other Party. After the concentration, this competitive constraint is eliminated, so the new entity has a greater incentive to increase the selling prices of its products. The strength of the competitive constraint eliminated by the concentration is stronger the stronger the substitutability relationship between the products (in this context, the sales chains) of the Parties.</w:t>
      </w:r>
    </w:p>
    <w:p>
      <w:r>
        <w:rPr>
          <w:b/>
        </w:rPr>
        <w:t>[Pages 82–84]</w:t>
      </w:r>
    </w:p>
    <w:p>
      <w:r>
        <w:t>84 BULLETIN NO. 32 OF AUGUST 12, 2024</w:t>
        <w:br/>
        <w:t>III. Analysis of the vertical effects cement/concrete</w:t>
        <w:br/>
        <w:t>General methodology</w:t>
        <w:br/>
        <w:t>10. The objective of the analysis is to assess the competitive impact of the transaction under examination (hereinafter, "Transaction") in the concrete markets vertically linked to the cement market. The central point of the analysis is the evaluation of the incentives to increase the prices of cement supplied by Alpacem/Fanna (upstream prices) by the merged entity as a result of the Transaction. This cement is predominantly used by [omitted], the main competitors of Alpacem in the concrete markets. The Transaction could, therefore, create an incentive to adopt input foreclosure strategies at least against [omitted] and [omitted], to the benefit of Alpacem. Regarding Superbeton, it is believed that this risk exists to a lesser extent as the latter has production assets in cement that it could use more extensively in the event of a price increase by Alpacem. For this reason, from a perspective favorable to the Party, the risks of vertical foreclosure against Superbeton will not be further analyzed.</w:t>
      </w:r>
    </w:p>
    <w:p>
      <w:r>
        <w:t>11. These incentives substantially depend on the degree of competitive pressure that [omitted] exerts on Alpacem (and vice versa) in the concrete markets, the profitability of these markets, as well as the relationship between the price of concrete and that of cement.</w:t>
      </w:r>
    </w:p>
    <w:p>
      <w:r>
        <w:t>12. The degree of competitive pressure that [omitted] and Alpacem exert on each other primarily depends on the degree of competitive proximity existing between them. The DRs between the Parties capture this precisely. In fact, the higher the DRs between the companies subject to the concentration, the higher the sales that the concentration will allow to internalize, making price increases profitable68. The DRs relevant for this analysis are the 'vertical' ones, that is, the increase in sales "captured" by Alpacem concrete following a price increase of cement to [omitted] by the merged entity.</w:t>
      </w:r>
    </w:p>
    <w:p>
      <w:r>
        <w:t>13. In this specific case, in light of the substantially homogeneous nature of the product provided as well as the predominant nature assumed by price as a competitive variable, the DRs between the Parties have been estimated based on their market shares, calculated in terms of produced volumes. This implies, therefore, that the ability of one of the two Parties to capture the lost sales of the other, downstream of a price increase by the latter, is proportional to its market share69.</w:t>
      </w:r>
    </w:p>
    <w:p>
      <w:r>
        <w:t>68 This is because before the concentration, if one of the Parties had increased prices, it would have lost a portion of its sales to the advantage (among others, also) of the other Party. After the concentration, this competitive constraint is eliminated, so that the new entity has a greater incentive to increase the selling prices of its products. The strength of the competitive constraint eliminated by the concentration is stronger the stronger the substitutability relationship between the products (in this context, the sales chains) of the Parties.</w:t>
      </w:r>
    </w:p>
    <w:p>
      <w:r>
        <w:t>69 In general, the DRs between two companies (A and B) involved in a concentration operation can be calculated, based on their respective market shares (QdM), as follows:</w:t>
        <w:br/>
        <w:t>(cid:7)(cid:8)(cid:9)</w:t>
        <w:br/>
        <w:t>(cid:1)(cid:2) = (cid:5)</w:t>
        <w:br/>
        <w:t>(cid:3)&gt;(cid:5) 1−(cid:7)(cid:8)(cid:9) (cid:3) (n.1)</w:t>
        <w:br/>
        <w:t>(cid:7)(cid:8)(cid:9)</w:t>
        <w:br/>
        <w:t>(cid:1)(cid:2) = (cid:3)</w:t>
        <w:br/>
        <w:t>(cid:5)&gt;(cid:3) 1−(cid:7)(cid:8)(cid:9) (cid:5) (n.2)</w:t>
        <w:br/>
        <w:t>where formula n.1 indicates the shift to B of a portion of the volumes originally sold by A downstream of a price increase by A, while formula n.2 estimates the portion of volumes lost by B due to a price increase that is recaptured by A as a result of the concentration operation.</w:t>
      </w:r>
    </w:p>
    <w:p>
      <w:r>
        <w:t>BULLETIN NO. 32 OF AUGUST 12, 2024 85</w:t>
        <w:br/>
        <w:t>14. Another driver of the incentives to increase prices resulting from concentration is the profitability of 'recaptured' sales downstream and upstream. The incentive to increase prices will be stronger the more profitable the recaptured sales are, that is, the higher the margins achieved on these sales.</w:t>
      </w:r>
    </w:p>
    <w:p>
      <w:r>
        <w:t>15. The peculiarity of this analysis lies in the fact that the Parties can "recover" the volumes lost due to the price increase in different stages of the supply chain compared to where such an increase occurs. The analytical methodology useful for capturing these peculiarities is based on the so-called vGUPPI ("vertical Gross Upward Pricing Pressure")70. The following paragraphs provide an account of the methods by which this methodological framework has been used to examine possible input foreclosure strategies resulting from the Transaction.</w:t>
      </w:r>
    </w:p>
    <w:p>
      <w:r>
        <w:t>Incentives to increase prices resulting from the Transaction</w:t>
        <w:br/>
        <w:t>16. A possible risk of deterioration of competitive conditions in the markets to the detriment of consumers arises from the fact that Alpacem, as a result of the Transaction, may increase the price of cement to [omitted]. This results in a loss of upstream volumes purchased from [omitted] and, consequently, a reduction of its activity in the sale of concrete downstream. However, a portion of the volumes lost by [omitted] downstream, following the decision to increase the price of terminal services, is recaptured by Alpacem, the main competitor of [omitted]. This mechanism could trigger an incentive to increase the price of cement from the Fanna plant, which post-merger will be controlled by Alpacem and/or other plants of the Alpacem Group.</w:t>
      </w:r>
    </w:p>
    <w:p>
      <w:r>
        <w:t>17. In this context, the vGUPPIu index measures the profits recaptured downstream through Alpacem concrete in relation to the revenues lost in cement sales upstream due to the increase in its price.</w:t>
      </w:r>
    </w:p>
    <w:p>
      <w:r>
        <w:t>(1)</w:t>
        <w:br/>
        <w:t>18. Specifically, the index concerning [omitted], which sources from the Fanna plant, can be expressed as follows:</w:t>
        <w:br/>
        <w:t>71 (2)</w:t>
        <w:br/>
        <w:t>where</w:t>
        <w:br/>
        <w:t>- DR is the DR, in the concrete market, from [omitted] to Alpacem;</w:t>
        <w:br/>
        <w:t>[conc1]&gt;Alpacem</w:t>
        <w:br/>
        <w:t>- m is the average unit margin (€/m3) on the variable costs of Alpacem;</w:t>
        <w:br/>
        <w:t>Alpacem</w:t>
        <w:br/>
        <w:t>- W is the average price of cement produced by the Fanna plant;</w:t>
        <w:br/>
        <w:t>Fanna</w:t>
        <w:br/>
        <w:t>70 Moresi S., Salop S. (2013), “VGUPPI: Scoring Unilateral Pricing Incentive in Vertical Mergers”, Antitrust Law Journal Vol. 79, No. 1.</w:t>
        <w:br/>
        <w:t>71 Equation (5) of Moresi S., Salop S. (2013), op. cit.</w:t>
      </w:r>
    </w:p>
    <w:p>
      <w:r>
        <w:t>86 BULLETIN NO. 32 OF AUGUST 12, 2024</w:t>
        <w:br/>
        <w:t>- M[ is the price/cost margin, expressed as a percentage of the price, of [omitted] for the</w:t>
        <w:br/>
        <w:t>conc1]</w:t>
        <w:br/>
        <w:t>concrete;</w:t>
        <w:br/>
        <w:t>- E is an elasticity that measures "how" easily [omitted] could substitute the cement</w:t>
        <w:br/>
        <w:t>SR</w:t>
        <w:br/>
        <w:t>purchased from Fanna with cement produced by other players; and</w:t>
        <w:br/>
        <w:t>- E is an elasticity that measures "how" easily [omitted] could pass downstream</w:t>
        <w:br/>
        <w:t>p</w:t>
        <w:br/>
        <w:t>the price increase of cement in the concrete market.</w:t>
        <w:br/>
        <w:t>Following Moresi S., Salop S. (2013), E and E can be estimated as follows:</w:t>
        <w:br/>
        <w:t>SR p</w:t>
        <w:br/>
        <w:t>72</w:t>
        <w:br/>
        <w:t>(3)</w:t>
        <w:br/>
        <w:t>73</w:t>
        <w:br/>
        <w:t>(4)</w:t>
        <w:br/>
        <w:t>where</w:t>
        <w:br/>
        <w:t>- M is the price/cost margin, expressed as a percentage of the price, of the Fanna plant;</w:t>
        <w:br/>
        <w:t>Fanna</w:t>
        <w:br/>
        <w:t>- E is the elasticity of demand for concrete with respect to price, assumed, as suggested by</w:t>
        <w:br/>
        <w:t>Moresi S., Salop S. (2013), to be equal to 1;</w:t>
        <w:br/>
        <w:t>- PTR is the rate of pass-through downstream of the increase in the cost of cement from the</w:t>
        <w:br/>
        <w:t>[conc1]</w:t>
        <w:br/>
        <w:t>Fanna plant on the price of concrete; and</w:t>
        <w:br/>
        <w:t>- P is the average price (per m3) of concrete sold by [omitted].</w:t>
        <w:br/>
        <w:t>[conc1]</w:t>
        <w:br/>
        <w:t>Similarly, it is possible to write equations (2)-(4) for [omitted], which, unlike</w:t>
        <w:br/>
        <w:t>[omitted], sources cement predominantly from the San Vito al Tagliamento plant of Alpacem.</w:t>
        <w:br/>
        <w:t>(2bis)</w:t>
        <w:br/>
        <w:t>72 Equation (9) of Moresi S., Salop S. (2013), cit.</w:t>
        <w:br/>
        <w:t>73 Equation (10) of Moresi S., Salop S. (2013), cit.</w:t>
      </w:r>
    </w:p>
    <w:p>
      <w:r>
        <w:rPr>
          <w:b/>
        </w:rPr>
        <w:t>[Pages 85–87]</w:t>
      </w:r>
    </w:p>
    <w:p>
      <w:r>
        <w:t>BULLETIN NO. 32 OF AUGUST 12, 2024 87</w:t>
      </w:r>
    </w:p>
    <w:p>
      <w:r>
        <w:t xml:space="preserve">(3bis)  </w:t>
        <w:br/>
        <w:t xml:space="preserve">(4bis)  </w:t>
        <w:br/>
        <w:t xml:space="preserve">19. The DR and DR e have been estimated assuming that the ability to capture  </w:t>
        <w:br/>
        <w:t xml:space="preserve">[conc1]&gt;Alpacem [conc2]&gt;Alpacem  </w:t>
        <w:br/>
        <w:t xml:space="preserve">the volumes lost by [omissis] in the concrete market is proportional to Alpacem's market share in that market:  </w:t>
        <w:br/>
        <w:t xml:space="preserve">(5)  </w:t>
        <w:br/>
        <w:t xml:space="preserve">(6)  </w:t>
        <w:br/>
        <w:t xml:space="preserve">where:  </w:t>
        <w:br/>
        <w:t xml:space="preserve">- QdM, QdM and QdM are respectively the market shares of Alpacem,  </w:t>
        <w:br/>
        <w:t xml:space="preserve">Alpacem conc2 conc1  </w:t>
        <w:br/>
        <w:t xml:space="preserve">[omissis] and [omissis] in volume, measured within each concrete market affected by the transaction in question.  </w:t>
        <w:br/>
        <w:t xml:space="preserve">20. The vGUPPIu index captures Alpacem's incentive to increase the price upstream of the cement supplied by the Fanna plant or by other Alpacem plants. An increase in this price results in an increase in the marginal cost for companies purchasing cement, which will in turn reflect on the downstream prices of concrete.  </w:t>
        <w:br/>
        <w:t>21. The vGUPPIr index measures the incentive of downstream companies receiving the increase in the upstream price ([omissis] in our case) to also increase their prices. In other words, the vGUPPIr index 'converts' the incentive to increase upstream prices into a corresponding incentive to increase downstream prices. The vGUPPIr index for [omissis] can be expressed as follows:</w:t>
      </w:r>
    </w:p>
    <w:p>
      <w:r>
        <w:t xml:space="preserve">88 BULLETIN NO. 32 OF AUGUST 12, 2024  </w:t>
        <w:br/>
        <w:t xml:space="preserve">74 (7)  </w:t>
        <w:br/>
        <w:t xml:space="preserve">where:  </w:t>
        <w:br/>
        <w:t xml:space="preserve">- PTR is the pass-through rate of the cost increase from the Fanna plant to the price of cement.  </w:t>
        <w:br/>
        <w:t xml:space="preserve">22. The corresponding equation for [omissis] can be expressed as follows:  </w:t>
        <w:br/>
        <w:t xml:space="preserve">(7bis)  </w:t>
        <w:br/>
        <w:t xml:space="preserve">Estimation of variables  </w:t>
        <w:br/>
        <w:t xml:space="preserve">23. The estimation of the vGUPPI requires, in addition to the DR, information on prices and margins for both cement and concrete. Regarding cement prices, the average unit prices of cement have been obtained as follows:  </w:t>
        <w:br/>
        <w:t xml:space="preserve">- m is the average margin of concrete sold by Alpacem Calcestruzzi Italia S.r.l.,  </w:t>
        <w:br/>
        <w:t xml:space="preserve">Alpacem  </w:t>
        <w:br/>
        <w:t xml:space="preserve">obtained by dividing the revenues inclusive of transport by the quantity sold;  </w:t>
        <w:br/>
        <w:t xml:space="preserve">- W is the average price of cement produced by the Fanna plant, obtained by dividing the  </w:t>
        <w:br/>
        <w:t xml:space="preserve">Fanna  </w:t>
        <w:br/>
        <w:t xml:space="preserve">revenues inclusive of transport by the quantity sold;  </w:t>
        <w:br/>
        <w:t xml:space="preserve">- P is the average price (per m3) of concrete sold by [omissis];  </w:t>
        <w:br/>
        <w:t xml:space="preserve">conc1  </w:t>
        <w:br/>
        <w:t xml:space="preserve">- M is the price/cost margin, expressed as a percentage of the price, of [omissis] for concrete, obtained considering that with 1 m3 of cement 4 m3 of concrete are produced and that the cost of cement represents about 35% of the costs for the production of concrete;  </w:t>
        <w:br/>
        <w:t xml:space="preserve">- M is the price/cost margin, expressed as a percentage of the price, of Fanna for cement;  </w:t>
        <w:br/>
        <w:t xml:space="preserve">Fanna  </w:t>
        <w:br/>
        <w:t xml:space="preserve">- W is the average price of Alpacem cement, obtained by dividing the revenues inclusive of  </w:t>
        <w:br/>
        <w:t xml:space="preserve">Alpacem  </w:t>
        <w:br/>
        <w:t xml:space="preserve">transport (net of intra-group revenues) of Alpacem Italia Cementi S.p.A. (plants of Cadola and San Vito al Tagliamento) by the quantity sold (also net of intra-group volumes);  </w:t>
        <w:br/>
        <w:t xml:space="preserve">- P is the average price (per m3) of concrete sold by [omissis], obtained as the simple average of the average prices of the plants of Roveredo in Piano, San Vito al Tagliamento, Maniago, Fagagna and Cimolais;  </w:t>
        <w:br/>
        <w:t xml:space="preserve">- M is the contribution margin of [omissis] for concrete, obtained by dividing the contribution margin of the core business by the revenues (also from the core business); and  </w:t>
        <w:br/>
        <w:t>74 Equation (6) of Moresi S., Salop S. (2013), op. cit.</w:t>
      </w:r>
    </w:p>
    <w:p>
      <w:r>
        <w:t xml:space="preserve">BULLETIN NO. 32 OF AUGUST 12, 2024 89  </w:t>
        <w:br/>
        <w:t xml:space="preserve">- M is Alpacem's margin for cement, obtained by dividing the contribution margin of Alpacem Italia Cementi S.p.A. (plants of Cadola and San Vito al Tagliamento) by the respective revenues;  </w:t>
        <w:br/>
        <w:t xml:space="preserve">The following table shows the values of the variables used in the estimation of the vGUPPI.  </w:t>
        <w:br/>
        <w:t xml:space="preserve">Variables used (2022)  </w:t>
        <w:br/>
        <w:t>24. As previously indicated, the diversion ratios have been estimated based on the market shares of Alpacem and [omissis]. The table below reports the values of the DR used in the formulas indicated earlier.</w:t>
      </w:r>
    </w:p>
    <w:p>
      <w:r>
        <w:rPr>
          <w:b/>
        </w:rPr>
        <w:t>[Pages 88–90]</w:t>
      </w:r>
    </w:p>
    <w:p>
      <w:r>
        <w:t>90 BULLETIN NO. 32 OF AUGUST 12, 2024</w:t>
        <w:br/>
        <w:t>Diversion ratio</w:t>
        <w:br/>
        <w:t>plant/market DR_[omitted] DR_[omitted]</w:t>
        <w:br/>
        <w:t>Majano [50-60] [40-50]</w:t>
        <w:br/>
        <w:t>Martignacco [40-50] [20-30]</w:t>
        <w:br/>
        <w:t>Pordenone [30-40] [20-30]</w:t>
        <w:br/>
        <w:t>Ronchi dei Legionari [90-100] [60-70]</w:t>
        <w:br/>
        <w:t>S. Michele al Tagliamento [10-20] [0-10]</w:t>
        <w:br/>
        <w:t>Venzone [40-50] [20-30]</w:t>
        <w:br/>
        <w:t>Buja [50-60] [40-50]</w:t>
        <w:br/>
        <w:t>Fontanafredda [30-40] [20-30]</w:t>
        <w:br/>
        <w:t>Forgaria del Friuli [40-50] [30-40]</w:t>
        <w:br/>
        <w:t>Gonars [60-70] [40-50]</w:t>
        <w:br/>
        <w:t>Pavia di Udine [60-70] [40-50]</w:t>
        <w:br/>
        <w:t>Premariacco [50-60] [30-40]</w:t>
        <w:br/>
        <w:t>San Vito al Tagliamento [20-30] [10-20]</w:t>
        <w:br/>
        <w:t>Savogna d’Isonzo [70-80] [50-60]</w:t>
        <w:br/>
        <w:t>Susegana Frazione Colfosco [0-10] [0-10]</w:t>
        <w:br/>
        <w:t>Cordignano [10-20] [0-10]</w:t>
        <w:br/>
        <w:t>Eraclea [10-20] [10-20]</w:t>
        <w:br/>
        <w:t>Castions di Strada [50-60] [30-40]</w:t>
        <w:br/>
        <w:t>Fossalta di Portogruaro [10-20] [10-20]</w:t>
        <w:br/>
        <w:t>Gradisca d’Isonzo [80-90] [30-40]</w:t>
        <w:br/>
        <w:t>Mansuè [10-20] [10-20]</w:t>
        <w:br/>
        <w:t>San Donà di Piave [10-20] [0-10]</w:t>
        <w:br/>
        <w:t>Susegana Frazione Ponte della Priula [0-10] [0-10]</w:t>
        <w:br/>
        <w:t>Cessalto [0-10] [0-10]</w:t>
        <w:br/>
        <w:t>Montereale Valcellina [40-50] [50-60]</w:t>
        <w:br/>
        <w:t>25. Finally, the downstream pass-through rate of the cost increase (PTR) for both cement and concrete has been assumed to be 0.75. In this regard, it is noted that the UK competition authorities (CMA and predecessors) have consistently used values between 0.5 and 1, depending on the specific competitive conditions75.</w:t>
        <w:br/>
        <w:t>75 See https://assets.publishing.service.gov.uk/media/5a0b108ded915d0ade60db6e/appendices-and-glossary-tesco-booker-provisional-findings.pdf, §87.</w:t>
      </w:r>
    </w:p>
    <w:p>
      <w:r>
        <w:t>BULLETIN NO. 32 OF AUGUST 12, 2024 91</w:t>
        <w:br/>
        <w:t>Results</w:t>
        <w:br/>
        <w:t>26. The following table presents the estimates of the vGUPPI for each concrete market affected by the transaction under examination.</w:t>
        <w:br/>
        <w:t>27. As previously indicated, the vGUPPIu measures the incentive for Alpacem/Fanna to increase the price of cement considering that, in the concrete markets where [omitted] competes with Alpacem, this will benefit the latter. As can be seen, the vGUPPIu index for [omitted] exceeds the thresholds of concern normally considered for 11 of the 25 concrete markets analyzed76. These are: Majano, Martignacco, Ronchi dei Legionari, Buja, Gonars, Pavia di Udine, Premariacco, Savogna d’Isonzo, Castions di Strada, Gradisca d’Isonzo, and Montereale Valcellina. This indicates a strong incentive for the Alpacem Group to increase the price of cement as a result of this transaction.</w:t>
        <w:br/>
        <w:t>28. However, this does not mean that downstream prices will necessarily increase as a consequence of the upstream price increase. For example, if the price of upstream services represents a very small fraction of the price of downstream services, it may well happen that a strong incentive to increase the upstream price does not correspond to an equally strong incentive to increase downstream prices. For this reason, during this analysis, the vGUPPIr index was also estimated, which measures the incentive to increase the downstream price by the competitors receiving the upstream price increases. In this case, the cost of cement represents about 35% of the costs for the production of concrete, which explains why the vGUPPIr are not drastically lower than the vGUPPIu.</w:t>
        <w:br/>
        <w:t>29. In this case, the vGUPPIr index has been estimated for [omitted] and captures the incentive for the latter to increase the price of concrete as a consequence of the increase in the price of cement. This index for [omitted] also takes values above the thresholds of concern normally considered for 11 of the 25 markets analyzed, thus confirming a strong incentive to increase the price of concrete.</w:t>
        <w:br/>
        <w:t>30. Conversely, this analysis does not show equally strong incentives to increase the price of cement, and consequently, to [omitted].</w:t>
        <w:br/>
        <w:t>76 In the English case Tesco/Booker, thresholds of concern for the vGUPPI of 5-10% were considered. See https://assets.publishing.service.gov.uk/media/5a0b108ded915d0ade60db6e/appendices-and-glossary-tesco-booker-provisional-findings.pdf.</w:t>
      </w:r>
    </w:p>
    <w:p>
      <w:r>
        <w:t>92 BULLETIN NO. 32 OF AUGUST 12, 2024</w:t>
        <w:br/>
        <w:t>vGUPPIu and vGUPPIr indices for [omitted] and [omitted] (2022)</w:t>
        <w:br/>
        <w:t>plant/market [omitted] (%) [omitted] (%)</w:t>
        <w:br/>
        <w:t>vGUPPIu vGUPPIr vGUPPIu vGUPPIr</w:t>
        <w:br/>
        <w:t>Majano &gt;10 [5-10]</w:t>
        <w:br/>
        <w:t>Martignacco [5-10] [5-10]</w:t>
        <w:br/>
        <w:t>Pordenone [5-10] [5-10] 2 2</w:t>
        <w:br/>
        <w:t>Ronchi dei Legionari &gt;15 &gt;10</w:t>
        <w:br/>
        <w:t>S. Michele al Tagliamento &lt;5 &lt;5</w:t>
        <w:br/>
        <w:t>Venzone [5-10] [5-10]</w:t>
        <w:br/>
        <w:t>Buja &gt;10 [5-10]</w:t>
        <w:br/>
        <w:t>Fontanafredda [5-10] [5-10] &lt;5 &lt;5</w:t>
        <w:br/>
        <w:t>Forgaria del Friuli [5-10] [5-10] &lt;5 &lt;5</w:t>
        <w:br/>
        <w:t>Gonars &gt;10 [5-10]</w:t>
        <w:br/>
        <w:t>Pavia di Udine &gt;10 [5-10]</w:t>
        <w:br/>
        <w:t>Premariacco [5-10] [5-10]</w:t>
        <w:br/>
        <w:t>San Vito al Tagliamento [5-10] &lt;5 &lt;5 &lt;5</w:t>
        <w:br/>
        <w:t>Savogna d’Isonzo &gt;10 [5-10]</w:t>
        <w:br/>
        <w:t>Susegana Frazione Colfosco &lt;5 &lt;5</w:t>
        <w:br/>
        <w:t>Cordignano &lt;5 &lt;5 &lt;5 &lt;5</w:t>
        <w:br/>
        <w:t>Eraclea &lt;5 &lt;5</w:t>
        <w:br/>
        <w:t>Castions di Strada [5-10] [5-10]</w:t>
        <w:br/>
        <w:t>Fossalta di Portogruaro &lt;5 &lt;5</w:t>
        <w:br/>
        <w:t>Gradisca d’Isonzo &gt;15 &gt;10</w:t>
        <w:br/>
        <w:t>Mansuè &lt;5 &lt;5</w:t>
        <w:br/>
        <w:t>San Donà di Piave &lt;5 &lt;5</w:t>
        <w:br/>
        <w:t>Susegana Frazione Ponte della Priula &lt;5 &lt;5</w:t>
        <w:br/>
        <w:t>Cessalto &lt;5 &lt;5</w:t>
        <w:br/>
        <w:t>Montereale Valcellina [5-10] [5-10] [5-10] &lt;5</w:t>
        <w:br/>
        <w:t>Note: The vGUPPIu and vGUPPIr for [omitted] have been estimated only in the concrete markets where [omitted] has a market share of no less than 10%.</w:t>
        <w:br/>
        <w:t>31. Finally, it is noted that from a perspective favorable to the party, it has not been taken into account that [omitted] and [omitted] could both be recipients of an increase in the price of cement. In this case, the diversion ratios used in the formulas presented earlier would need to be 'corrected' to account for this factor, especially in markets where [omitted] is a non-negligible player.</w:t>
      </w:r>
    </w:p>
    <w:p>
      <w:r>
        <w:rPr>
          <w:b/>
        </w:rPr>
        <w:t>[Pages 91–93]</w:t>
      </w:r>
    </w:p>
    <w:p>
      <w:r>
        <w:t>BULLETIN NO. 32 OF AUGUST 12, 2024 93</w:t>
      </w:r>
    </w:p>
    <w:p>
      <w:r>
        <w:t>This 'correction' involves an upward revision of the diversion ratios, thereby strengthening the incentives for price increases.</w:t>
      </w:r>
    </w:p>
    <w:p>
      <w:r>
        <w:t>32. The corresponding "corrected" DRs can be expressed as follows:</w:t>
        <w:br/>
        <w:t>(8)</w:t>
        <w:br/>
        <w:t>(9)</w:t>
      </w:r>
    </w:p>
    <w:p>
      <w:r>
        <w:t>33. The following table shows the values of the vGUPPIu and vGUPPIr indices using the "corrected" DRs in equations (2)-(7). As can be seen, this means that Pordenone, Fontanafredda, and San Vito al Tagliamento also become problematic as a result of this operation.</w:t>
      </w:r>
    </w:p>
    <w:p>
      <w:r>
        <w:t>vGUPPIu and vGUPPIr indices for [omitted] and [omitted] (2022) with 'corrected' diversion ratios</w:t>
        <w:br/>
        <w:t>plant/market [omitted] (%) [omitted] (%)</w:t>
        <w:br/>
        <w:t>vGUPPIu vGUPPIr vGUPPIu vGUPPIr</w:t>
        <w:br/>
        <w:t>Pordenone &gt;10 &gt;10 &lt;5 &lt;5</w:t>
        <w:br/>
        <w:t>Fontanafredda &gt;10 &gt;10 &lt;5 &lt;5</w:t>
        <w:br/>
        <w:t>Forgaria del Friuli &gt;10 [5-10] &lt;5 &lt;5</w:t>
        <w:br/>
        <w:t>San Vito al Tagliamento [5-10] [5-10] &lt;5 &lt;5</w:t>
        <w:br/>
        <w:t>Cordignano &lt;5 &lt;5 &lt;5 &lt;5</w:t>
        <w:br/>
        <w:t>Montereale Valcellina &gt;10 [5-10] [5-10] &lt;5</w:t>
      </w:r>
    </w:p>
    <w:p>
      <w:r>
        <w:t>Note: The vGUPPIu and vGUPPIr for [omitted] have been estimated only in the concrete markets where [omitted] has a market share of no less than 10%.</w:t>
      </w:r>
    </w:p>
    <w:p>
      <w:r>
        <w:t>BULLETIN NO. 32 OF AUGUST 12, 2024 94</w:t>
      </w:r>
    </w:p>
    <w:p>
      <w:r>
        <w:t>C12644 - A2A/BRANCH OF E-DISTRIBUTION</w:t>
        <w:br/>
        <w:t>Provision no. 31298</w:t>
        <w:br/>
        <w:t>THE ANTITRUST AUTHORITY</w:t>
      </w:r>
    </w:p>
    <w:p>
      <w:r>
        <w:t>THE ANTITRUST AUTHORITY</w:t>
      </w:r>
    </w:p>
    <w:p>
      <w:r>
        <w:t>IN ITS MEETING of July 23, 2024;</w:t>
      </w:r>
    </w:p>
    <w:p>
      <w:r>
        <w:t>HEARD the Rapporteur, Professor Elisabetta Iossa;</w:t>
      </w:r>
    </w:p>
    <w:p>
      <w:r>
        <w:t>HAVING REGARD TO Regulation (EC) No. 139/2004 concerning the control of concentrations between undertakings;</w:t>
      </w:r>
    </w:p>
    <w:p>
      <w:r>
        <w:t>HAVING REGARD TO Law No. 287 of October 10, 1990;</w:t>
      </w:r>
    </w:p>
    <w:p>
      <w:r>
        <w:t>HAVING REGARD TO Presidential Decree No. 217 of April 30, 1998;</w:t>
      </w:r>
    </w:p>
    <w:p>
      <w:r>
        <w:t>HAVING REGARD TO the communication from A2A S.p.A., received on May 27, 2024;</w:t>
      </w:r>
    </w:p>
    <w:p>
      <w:r>
        <w:t>HAVING REGARD TO the request for information sent on June 19, 2024, to A2A S.p.A., with consequent interruption of the deadlines pursuant to Article 5, paragraph 3, of Presidential Decree No. 217 of April 30, 1998;</w:t>
      </w:r>
    </w:p>
    <w:p>
      <w:r>
        <w:t>HAVING REGARD TO the information and documentation sent in response to the request for information of June 19, 2024, by A2A S.p.A. on June 28, 2024, and by E-Distribuzione S.p.A., Enel S.p.A., and Enel Italia S.p.A. on June 28, 2024;</w:t>
      </w:r>
    </w:p>
    <w:p>
      <w:r>
        <w:t>HAVING REGARD TO the documentation on file;</w:t>
      </w:r>
    </w:p>
    <w:p>
      <w:r>
        <w:t>CONSIDERING the following:</w:t>
      </w:r>
    </w:p>
    <w:p>
      <w:r>
        <w:t>I. THE PARTIES</w:t>
      </w:r>
    </w:p>
    <w:p>
      <w:r>
        <w:t>1. A2A S.p.A. (hereinafter, "A2A") is a multi-utility company at the head of the eponymous corporate group, which operates mainly in the markets of electricity production, distribution, and sales, natural gas sales and distribution, heat production, distribution and sales through district heating networks, waste management, and integrated water cycle management. A2A is subject to joint control by the Municipality of Milan and the Municipality of Brescia, each holding 25% of the share capital. Other municipalities hold 4.5% of the share capital; the remaining 45.5% is held by institutional and retail investors.</w:t>
      </w:r>
    </w:p>
    <w:p>
      <w:r>
        <w:t>2. The A2A group achieved a turnover of approximately 14.8 billion euros worldwide in 2023, of which [10-20]* billion euros in Italy.</w:t>
      </w:r>
    </w:p>
    <w:p>
      <w:r>
        <w:t>3. The subject of acquisition is a branch of business owned by E-Distribuzione S.p.A. (hereinafter, "E-Distribuzione"), consisting of the complex of assets and legal relationships organized by E-Distribuzione for the exercise of electricity distribution and measurement activities in [50-150] municipalities in the West-South-East belt of Milan and in [10-20] municipalities in Valtrompia (hereinafter, "Branch of Business"). E-Distribuzione is a company of the Enel group and the main operator active in the electricity distribution market in Italy, where it currently manages over 1,100,000 km of network reaching over 7,400 municipalities.</w:t>
      </w:r>
    </w:p>
    <w:p>
      <w:r>
        <w:t>4. In 2023, the turnover of the branch of business in question was [100-567] million euros, entirely realized in Italy.</w:t>
      </w:r>
    </w:p>
    <w:p>
      <w:r>
        <w:t>II. DESCRIPTION OF THE OPERATION</w:t>
      </w:r>
    </w:p>
    <w:p>
      <w:r>
        <w:t>5. The notified operation (hereinafter, "Operation") consists of A2A's acquisition of a 90% stake in the share capital of a newly established limited liability company (hereinafter, "Target") entirely owned by E-Distribuzione, to which E-Distribuzione has previously transferred the Branch of Business with effect substantially simultaneous to the transfer of 90% of the share capital of Target to A2A. Following the Operation, A2A will hold exclusive control of Target and, therefore, of the Branch of Business; the remaining 10% of Target's shareholding will remain with E-Distribuzione.</w:t>
      </w:r>
    </w:p>
    <w:p>
      <w:r>
        <w:t>6. The Operation is part of A2A's project to enhance the management of strategic infrastructures in support of the electrification process of consumption, allowing it to make and remunerate greater investments in the electricity distribution network and achieve operational synergies in the Lombardy region, where the A2A group is already operational.</w:t>
      </w:r>
    </w:p>
    <w:p>
      <w:r>
        <w:t>7. At the closing of the Operation, A2A and E-Distribuzione will sign an option agreement and shareholders' agreement (hereinafter, "Option Agreement and Shareholders' Agreement") which regulates, inter alia: (i) the decision-making by the corporate bodies of Target and (ii) the purchase or sale of E-Distribuzione's minority stake in Target.</w:t>
      </w:r>
    </w:p>
    <w:p>
      <w:r>
        <w:t>8. With regard to the first point, the Option Agreement and Shareholders' Agreement provides that: (i) one member of Target's board of directors is to be appointed by E-Distribuzione, while the other members are appointed by A2A; (ii) E-Distribuzione's veto rights, limited to extraordinary transactions and statutory amendments; (iii) mechanisms aimed at preventing the director appointed by E-Distribuzione from obtaining or using sensitive information related to tenders for the concession of electricity distribution services.</w:t>
      </w:r>
    </w:p>
    <w:p>
      <w:r>
        <w:t>9. With regard to the purchase/sale of E-Distribuzione's minority stake in Target, the Option Agreement and Shareholders' Agreement provides for a mechanism of cross purchase options (in favor of A2A) and sale options (in favor of E-Distribuzione) regarding this stake, exercisable according to predetermined timelines or upon the occurrence of certain circumstances (e.g. the publication of calls for tenders for the concession of electricity distribution services). Without prejudice to this options mechanism, E-Distribuzione's stake in Target is subject to a five-year transfer restriction, at the end of which A2A has a right of first refusal on the transfer of this stake.</w:t>
      </w:r>
    </w:p>
    <w:p>
      <w:r>
        <w:t>10. An integral part of the Operation are certain clauses for the purchase of services instrumental to the activity of the Branch of Business aimed at ensuring the operational continuity of Target. In particular, Target will purchase from E-Distribuzione: (i) services related to remote control for real-time operation; (ii) services related to scheduled operation; (iii) reporting of any service disruptions; (iv) maintenance and management of the central remote control; (v) cybersecurity services and (vi) training activities. This agreement will have a duration of two years, with the possibility of extending it for additional</w:t>
      </w:r>
    </w:p>
    <w:p>
      <w:r>
        <w:rPr>
          <w:b/>
        </w:rPr>
        <w:t>[Pages 94–96]</w:t>
      </w:r>
    </w:p>
    <w:p>
      <w:r>
        <w:t>96 BULLETIN NO. 32 OF AUGUST 12, 2024</w:t>
        <w:br/>
        <w:t>two years. According to a further agreement, Target will purchase remote management services for measuring devices from Enel Global Services S.r.l. (a company of the Enel group). This agreement will last for two years, with the possibility of extending it for a period not exceeding six months.</w:t>
        <w:br/>
        <w:t>11. A2A and E-Distribuzione also plan to [omitted].</w:t>
        <w:br/>
        <w:t>III. QUALIFICATION OF THE OPERATION</w:t>
        <w:br/>
        <w:t>12. The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fiscal year at the national level, by the group of companies involved exceeded 567 million euros and the total turnover achieved individually, in the last fiscal year at the national level, by at least two of the companies involved exceeded 35 million euros.</w:t>
        <w:br/>
        <w:t>13. The commitments to purchase services provided by E-Distribuzione and Enel Global Services constitute ancillary restrictions to the Operation, as they are necessary to ensure the operability of Target.</w:t>
        <w:br/>
        <w:t>IV. ASSESSMENTS OF THE CONCENTRATION</w:t>
        <w:br/>
        <w:t>IV.1. Relevant markets</w:t>
        <w:br/>
        <w:t>14. Due to the operations of the Parties and Target, the markets involved in the Operation are: (i) the electricity distribution market, (ii) the markets for future area tenders for the awarding of electricity distribution concessions, and (iii) the retail electricity sales markets, vertically linked to the electricity distribution markets.</w:t>
        <w:br/>
        <w:t>IV.1.1. Electricity distribution market</w:t>
        <w:br/>
        <w:t>15. The distribution activity consists of the transport and transformation of electricity on high, medium, and low voltage distribution networks for delivery to end users. The activity of electricity distribution through local networks constitutes a separate activity from (and not substitutable with) that of transmission through the national transmission network and therefore represents a distinct market. The management of local distribution networks is carried out based on concessions extended to the territory of individual municipalities, and therefore, the geographical dimension of the market coincides with the municipal areas subject to the concession1.</w:t>
        <w:br/>
        <w:t>1 See, for example: provision no. 30864 of October 31, 2023, C12575 - Cva Eos-BF Agricola/Agreen Energy, in Bulletin no. 44/2023; provision no. 30250 of July 19, 2022, C12464 - ACEA/ASM Terni, in Bulletin no. 30/2022 and provision no. 28337 of September 8, 2020, C12294 - A2A/Ambiente Energia Brianza, in Bulletin no. 36/2020.</w:t>
      </w:r>
    </w:p>
    <w:p>
      <w:r>
        <w:t>BULLETIN NO. 32 OF AUGUST 12, 2024 97</w:t>
        <w:br/>
        <w:t>IV.1.2. Markets for future area tenders for the awarding of electricity distribution concessions</w:t>
        <w:br/>
        <w:t>16. Legislative Decree No. 79/1999 (the so-called Bersani decree) provides for the expiration of current concessions in 2030 and the organization of awarding procedures by 20252. However, as of now, neither the timing nor the methods for conducting such future tenders, the criteria for valuing the investments made, nor the criteria for awarding new concessions have been defined, nor have the territorial areas for the individual tenders been outlined.</w:t>
        <w:br/>
        <w:t>IV.1.3. Retail electricity sales markets</w:t>
        <w:br/>
        <w:t>17. In its established practice3, the Authority has identified local geographical areas for the retail electricity sales markets to customers connected at low voltage, both domestic and non-domestic, which are nonetheless narrower than the national level, also considering the importance of the historically played role at the local level by sales companies under the greater protection regime, which are known to be connected to the companies holding the (local) concession for the distribution service. Following the gradual abandonment of the greater protection regime by the majority of customers, the competitive scope among operators has expanded, while still being influenced by the historical presence of the most important players4. In this specific case, it is not deemed necessary to define more accurately the geographical scope of the relevant markets for sales to customers (domestic and non-domestic) connected at low voltage, as the outcome of the assessment of the operation would not change regardless of the definition adopted.</w:t>
        <w:br/>
        <w:t>18. The retail electricity sales market to non-domestic customers connected at medium/high voltage has, based on the recent practice of the Authority, a national geographical dimension, mainly due to the characteristics of the demand affecting this market5.</w:t>
        <w:br/>
        <w:t>IV.2. Effects of the Operation on the relevant markets</w:t>
        <w:br/>
        <w:t>19. According to the information provided, A2A and Target are active in the distribution of electricity in various contiguous municipalities in the Lombardy region. In particular, the Operation concerns the provinces of Brescia and Milan. At the regional level, E-Distribuzione serves over 75% of the PODs (Points of Delivery) and distributes over 75% of the volumes of electricity; Target has a share of [10-15%] related to the PODs and [10-15%] related to the volumes; A2A holds a share of about 20% in terms of served PODs and distributed volumes. In the province of Brescia, E-Distribuzione holds a share of over two-thirds both in terms of served PODs and distributed volumes, while the share attributable to Target is less than 10%; A2A holds a share of approximately [30-35%] both in terms of served PODs and distributed volumes. In the province of Milan, as indicated in Table 1, E-Distribuzione has slightly higher shares than A2A, and a large part of that share is represented by Target.</w:t>
        <w:br/>
        <w:t>Table 1: shares related to the province of Milan in terms of distributed volumes and served PODs (2023)</w:t>
        <w:br/>
        <w:t>Province Customer type Operator Volumes (%) POD (%)</w:t>
        <w:br/>
        <w:t>ED [50-55] [50-55]</w:t>
        <w:br/>
        <w:t>of which Domestic Branch [40-45] [35-40]</w:t>
        <w:br/>
        <w:t>A2A [45-50] [45-50]</w:t>
        <w:br/>
        <w:t>Milan</w:t>
        <w:br/>
        <w:t>ED [60-65] [50-55]</w:t>
        <w:br/>
        <w:t>of which Non-domestic Branch [50-55] [35-40]</w:t>
        <w:br/>
        <w:t>A2A [35-40] [45-50]</w:t>
        <w:br/>
        <w:t>Source: elaborations based on data from A2A and E-Distribuzione</w:t>
        <w:br/>
        <w:t>20. The Operation does not appear to be capable of generating any type of effect in the electricity distribution market. In fact, each municipal area where a concession for electricity distribution is active constitutes a distinct relevant market, and A2A and Target are not active in the same relevant markets. Therefore, the Operation results in the mere substitution of one operator with another in the relevant markets, coinciding with the geographical perimeter of the concession.</w:t>
        <w:br/>
        <w:t>21. Regarding the markets for future area tenders for the awarding of electricity distribution concessions, in the absence of any information regarding the timing of the tenders, the perimeter of the tender areas, and the methods for evaluating the investments made by the outgoing concessionaires, any competitive assessment appears entirely hypothetical and conditioned by the assumptions made. This high level of uncertainty regarding the characteristics of the future tenders, together with the elements acquired in the records regarding the strategies of the Parties and the rationale of the operation, as well as their expectations on the evolution of the regulatory context, do not currently provide suitable elements to consider the emergence of competitive issues in these markets as likely as a result of the operation.</w:t>
        <w:br/>
        <w:t>22. With regard to vertical effects, A2A operates, mainly through its subsidiary A2A Energia S.p.A., in the retail electricity sales markets to customers (domestic and non-domestic) connected at low voltage and to (non-domestic) customers connected at medium/high voltage and, more specifically, in the municipal areas where the concessions of</w:t>
      </w:r>
    </w:p>
    <w:p>
      <w:r>
        <w:rPr>
          <w:b/>
        </w:rPr>
        <w:t>[Pages 97–99]</w:t>
      </w:r>
    </w:p>
    <w:p>
      <w:r>
        <w:t>BULLETIN NO. 32 OF AUGUST 12, 2024 99</w:t>
      </w:r>
    </w:p>
    <w:p>
      <w:r>
        <w:t>distribution of Target. In these areas, A2A serves approximately [5-10]% of domestic customers connected at low voltage, [10-15]% of non-domestic customers connected at low voltage, and [15-20]% of non-domestic customers connected at medium voltage; in terms of volumes of electricity sold, A2A provides [5-10]% of domestic customers connected at low voltage, [10-15]% of non-domestic customers connected at low voltage, and [15-20]% of non-domestic customers connected at medium voltage6. These shares also take into account the results of recent auctions for the allocation of the gradual protection service for non-vulnerable domestic customers, which in the areas where Target's distribution concessions are located (i.e. Nord 1 and Nord 5) was awarded to Enel Energia S.p.A..</w:t>
      </w:r>
    </w:p>
    <w:p>
      <w:r>
        <w:t>23. The Operation is not likely to give rise to restrictive vertical effects as: (i) A2A's shares in the downstream markets connected to the distribution network in the municipalities where Target operates are nonetheless below 20%; moreover, the geographical scope of the retail electricity markets for customers connected at low voltage is certainly broader than the municipal scope, while for customers connected at medium voltage, the geographical extent of the market is national and, therefore, the shares of A2A reported above may overestimate the competitive position of the company; (ii) the electricity distribution market is characterized by a network access system based on regulated tariffs applied objectively and without discrimination to all customers. In this regard, it is noted that most of the technical and commercial processes between the electricity distributor and sellers are intermediated by Acquirente Unico S.p.A. through the Integrated Information System, which guarantees the principle of neutrality through the centralization of all data related to users and the operational procedures for their management.</w:t>
      </w:r>
    </w:p>
    <w:p>
      <w:r>
        <w:t>CONSIDERING, therefore, that the Operation in question does not significantly impede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6 Estimates made by A2A based on data referring to 2023.</w:t>
      </w:r>
    </w:p>
    <w:p>
      <w:r>
        <w:t>100 BULLETIN NO. 32 OF AUGUST 12, 2024</w:t>
      </w:r>
    </w:p>
    <w:p>
      <w:r>
        <w:t>C12653 - ITALIAN INVESTMENT FUND SGR/MEAT INDUSTRY</w:t>
      </w:r>
    </w:p>
    <w:p>
      <w:r>
        <w:t>Provision No. 31299</w:t>
      </w:r>
    </w:p>
    <w:p>
      <w:r>
        <w:t>THE ANTITRUST AUTHORITY</w:t>
      </w:r>
    </w:p>
    <w:p>
      <w:r>
        <w:t>IN ITS MEETING of July 23, 2024;</w:t>
      </w:r>
    </w:p>
    <w:p>
      <w:r>
        <w:t>HEARD the Rapporteur, Professor Elisabetta Iossa;</w:t>
      </w:r>
    </w:p>
    <w:p>
      <w:r>
        <w:t>HAVING REGARD to Regulation (EC) No. 139/2004;</w:t>
      </w:r>
    </w:p>
    <w:p>
      <w:r>
        <w:t>HAVING REGARD to Law No. 287 of October 10, 1990;</w:t>
      </w:r>
    </w:p>
    <w:p>
      <w:r>
        <w:t>HAVING REGARD to the D.P.R. No. 217 of April 30, 1998;</w:t>
      </w:r>
    </w:p>
    <w:p>
      <w:r>
        <w:t>HAVING REGARD to the communication made by the Parties, received on July 1, 2024;</w:t>
      </w:r>
    </w:p>
    <w:p>
      <w:r>
        <w:t>HAVING REGARD to the documentation on file;</w:t>
      </w:r>
    </w:p>
    <w:p>
      <w:r>
        <w:t>CONSIDERING the following</w:t>
      </w:r>
    </w:p>
    <w:p>
      <w:r>
        <w:t>I. THE PARTIES</w:t>
      </w:r>
    </w:p>
    <w:p>
      <w:r>
        <w:t>1. Fondo Italiano d’Investimento SGR S.p.A. (hereinafter, "Fondo Italiano") is a joint-stock company, based in Italy, established in 2010. Fondo Italiano is active in the field of private equity and offers investment management services on behalf of the Fondo Italiano Agri &amp; Food (hereinafter, "FIAF") which is a fund dedicated to investments in small and medium-sized enterprises operating in the agri-food sector.</w:t>
      </w:r>
    </w:p>
    <w:p>
      <w:r>
        <w:t>2. The control of Fondo Italiano is held by CDP Equity S.p.A., with a 55% stake. CDP Equity S.p.A. is in turn controlled by Cassa Depositi e Prestiti S.p.A.1.</w:t>
      </w:r>
    </w:p>
    <w:p>
      <w:r>
        <w:t>3. In 2023, the consolidated revenue generated in Italy by the Cassa Depositi e Prestiti group was approximately [30-40]* billion euros worldwide, of which approximately [20-30] billion euros in the European Union and [20-30] billion in Italy.</w:t>
      </w:r>
    </w:p>
    <w:p>
      <w:r>
        <w:t>4. Trinità S.p.A. - Meat Industry is the parent company of the Trinità Group (hereinafter and collectively "Trinità Group") which engages in the production and marketing of cured meat products. In particular, the Trinità Group is involved in the production and marketing of: (i) cooked ham; (ii) salami; (iii) pancetta; (iv) mortadella; (v) coppa; (vi) roast chicken/turkey; (vii) guanciale and (viii) other residual products. Currently, the share capital of the Trinità Group is held by seven individuals (hereinafter, "Current Members")2.</w:t>
      </w:r>
    </w:p>
    <w:p>
      <w:r>
        <w:t>1 Cassa Depositi e Prestiti S.p.A. is a publicly controlled company, 82.77% owned by the Ministry of Economy and Finance and 15.93% by banking foundations, configured as a non-banking financial intermediary.</w:t>
      </w:r>
    </w:p>
    <w:p>
      <w:r>
        <w:t>* In this version, some data are omitted, as elements of confidentiality or secrecy of the information were deemed to exist.</w:t>
      </w:r>
    </w:p>
    <w:p>
      <w:r>
        <w:t>2 [omitted], [omitted], [omitted], [omitted], [omitted], [omitted] and [omitted].</w:t>
      </w:r>
    </w:p>
    <w:p>
      <w:r>
        <w:t>BULLETIN NO. 32 OF AUGUST 12, 2024 101</w:t>
      </w:r>
    </w:p>
    <w:p>
      <w:r>
        <w:t>5. In 2023, the consolidated revenue generated in Italy by the Trinità Group was approximately [35-100] million euros mainly in the European Union, of which approximately [35-100] million in Italy.</w:t>
      </w:r>
    </w:p>
    <w:p>
      <w:r>
        <w:t>II. DESCRIPTION OF THE OPERATION</w:t>
      </w:r>
    </w:p>
    <w:p>
      <w:r>
        <w:t>6. The notified concentration (hereinafter, "Operation") consists of the acquisition of joint control of the parent company of the Trinità Group by Fondo Italiano, on behalf of the FIAF investment fund, and by the seven current individual members of the Trinità Group (see above).</w:t>
      </w:r>
    </w:p>
    <w:p>
      <w:r>
        <w:t>7. The Operation will be implemented through the establishment of a vehicle company, in the form of a limited liability company, created ad hoc by Fondo Italiano ("Newco") and indirectly controlled by it through another corporate vehicle, specifically established, which is in turn wholly owned by Fondo Italiano ("Topco").</w:t>
      </w:r>
    </w:p>
    <w:p>
      <w:r>
        <w:t>8. On the date of completion of the operation (i.e. closing), a shareholders' agreement will be signed between Fondo Italiano, as manager of the FIAF, and the seven individuals referred to in the previous point, which the Parties intend to regulate their respective rights and obligations as direct members of the parent company of the Trinità Group and as indirect members of its controlled companies, as well as certain aspects related to the organization and management of those companies.</w:t>
      </w:r>
    </w:p>
    <w:p>
      <w:r>
        <w:t>9. On the date of closing, the Target company will be subject to the joint control of Fondo Italiano, which will hold [75-80]% of the share capital, and the Current Members who will hold the following shares: (i) [omitted], which will hold [5-10%]; (ii) [omitted], which will hold [5-10%]; (iii) [omitted], which will hold [1-5%]; (iv) [omitted], which will hold [1-5%]; (v) [omitted], which will hold [1-5%]; (vi) [omitted], which will hold [1-5%]; and (vii) [omitted], which will hold [1-5%].</w:t>
      </w:r>
    </w:p>
    <w:p>
      <w:r>
        <w:t>10. As a result of the completion of the Operation, the Current Members of Trinità will hold a total stake of [20-25]% of the share capital. In this regard, the agreements contained in the shareholders' agreement provide that the majority of the Current Members have substantial veto rights on matters of strategic relevance for the management of the Trinità Group, including, at the board of directors, the approval and/or modification of the business plan3.</w:t>
      </w:r>
    </w:p>
    <w:p>
      <w:r>
        <w:t>11. A non-competition agreement is provided for the Target, whereby the Current Members commit, for a period of five years, to:</w:t>
        <w:br/>
        <w:t>- [omitted];</w:t>
        <w:br/>
        <w:t>- [omitted].</w:t>
      </w:r>
    </w:p>
    <w:p>
      <w:r>
        <w:t>12. A non-competition agreement is also provided exclusively for [omitted] and [omitted], under which they commit, for the entire duration of [omitted], to:</w:t>
        <w:br/>
        <w:t>- [omitted];</w:t>
        <w:br/>
        <w:t>- [omitted].</w:t>
      </w:r>
    </w:p>
    <w:p>
      <w:r>
        <w:t>13. Finally, a non-solicitation agreement is provided under which the Current Members, for the same duration as that provided for the non-competition agreement, commit [omitted].</w:t>
        <w:br/>
        <w:t>3 In this regard, the shareholders' agreement provides, [omitted].</w:t>
      </w:r>
    </w:p>
    <w:p>
      <w:r>
        <w:rPr>
          <w:b/>
        </w:rPr>
        <w:t>[Pages 100–102]</w:t>
      </w:r>
    </w:p>
    <w:p>
      <w:r>
        <w:t>102 BULLETIN NO. 32 OF AUGUST 12, 2024</w:t>
      </w:r>
    </w:p>
    <w:p>
      <w:r>
        <w:t>III. QUALIFICATION OF THE OPERATION</w:t>
      </w:r>
    </w:p>
    <w:p>
      <w:r>
        <w:t>14. The Operation, as it involves the acquisition of joint control of a company, constitutes a concentration pursuant to Article 5, paragraph 1, letter b), of Law No. 287/1990.</w:t>
      </w:r>
    </w:p>
    <w:p>
      <w:r>
        <w:t>15. It falls within the scope of Law No. 287/1990, as the conditions set out in Article 1 of Regulation (EC) No. 139/2004 are not met, and it is subject to the obligation of prior notification established by Article 16, paragraph 1, of the same law, as the total turnover achieved in the last financial year at the national level by the group of companies involved was over 567 million euros and the turnover achieved individually at the national level by at least two of the companies involved was over 35 million euros.</w:t>
      </w:r>
    </w:p>
    <w:p>
      <w:r>
        <w:t>16. To the extent that they maintain their position as controlling shareholders, the non-competition and non-solicitation agreements to which the Current Shareholders are bound, in favor of the joint venture, can be considered directly related to the realization of the concentration operation and necessary for the duration of the joint venture.</w:t>
      </w:r>
    </w:p>
    <w:p>
      <w:r>
        <w:t>IV. EVALUATION OF THE OPERATION</w:t>
      </w:r>
    </w:p>
    <w:p>
      <w:r>
        <w:t>IV.1 The relevant markets</w:t>
      </w:r>
    </w:p>
    <w:p>
      <w:r>
        <w:t>The product market</w:t>
      </w:r>
    </w:p>
    <w:p>
      <w:r>
        <w:t>17. From a product perspective, according to national guidelines, the sector affected by the Operation in question is that of the production and marketing of cured meat products, within which numerous segments can be defined, corresponding to the various cured meat products that, due to consumer perception and the specificities of the production process, may constitute distinct markets.</w:t>
      </w:r>
    </w:p>
    <w:p>
      <w:r>
        <w:t>18. In particular, considering the activities carried out by the Target, it is possible to distinguish the markets for the production and marketing of: (i) cooked ham; (ii) salami; (iii) bacon; (iv) mortadella; (v) coppa; (vi) roast chicken/turkey; (vii) guanciale, and (viii) other residual products. In principle, each of these products can constitute a distinct product market; however, since, as will be seen below (see infra), neither Fondo Italiano nor any of its subsidiaries are active in any of the national markets affected by the operation, a more precise definition of the relevant markets from a product perspective does not appear necessary for the purposes of this evaluation.</w:t>
      </w:r>
    </w:p>
    <w:p>
      <w:r>
        <w:t>The geographic market</w:t>
      </w:r>
    </w:p>
    <w:p>
      <w:r>
        <w:t>19. From a geographical perspective, based on the recent guidelines of the Authority, the aforementioned markets present a national dimension considering the specificity of consumption patterns, that is, the tastes and consumption habits of each State, as well as the fact that national consumption is largely satisfied by domestic production.</w:t>
      </w:r>
    </w:p>
    <w:p>
      <w:r>
        <w:t>20. For the purposes of this Operation, however, it does not appear necessary to arrive at an exact geographical delimitation of the markets as this would not affect its evaluation.</w:t>
      </w:r>
    </w:p>
    <w:p>
      <w:r>
        <w:t>IV.2 The effects of the Operation</w:t>
      </w:r>
    </w:p>
    <w:p>
      <w:r>
        <w:t>21. The Operation does not appear to be likely to produce distortive effects on competition. In fact, there are no horizontal overlaps, nor vertical relationships between the activities of the Parties. In particular, on one hand, the Target is active in the markets for cured meat products, while on the other hand, Fondo Italiano and its subsidiaries are not active in the aforementioned markets, in "upstream" or "downstream" markets.</w:t>
      </w:r>
    </w:p>
    <w:p>
      <w:r>
        <w:t>22. Furthermore, the shares of the Target in the aforementioned markets are limited - in any case below [1-5%] - and these markets are characterized by the presence of other operators with higher shares than that of the Target.</w:t>
      </w:r>
    </w:p>
    <w:p>
      <w:r>
        <w:t>23. In light of the above considerations, the concentration in question does not appear to significantly impede effective competition in the relevant markets or to result in the establishment or strengthening of a dominant position.</w:t>
      </w:r>
    </w:p>
    <w:p>
      <w:r>
        <w:t>CONSIDERING, therefore, that the operation in question does not significantly impede effective competition in the relevant markets pursuant to Article 6, paragraph 1, of Law No. 287/1990 and does not result in the establishment or strengthening of a dominant position;</w:t>
      </w:r>
    </w:p>
    <w:p>
      <w:r>
        <w:t>CONSIDERING, also, that the non-competition and non-solicitation clauses described above can be considered accessory to this operation only to the extent indicated and that the Authority reserves the right to evaluate,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provision will be published in the Bulletin of the Antitrust Authority.</w:t>
      </w:r>
    </w:p>
    <w:p>
      <w:r>
        <w:t>THE SECRETARY GENERAL THE PRESIDENT</w:t>
      </w:r>
    </w:p>
    <w:p>
      <w:r>
        <w:t>Guido Stazi Roberto Rustichelli</w:t>
      </w:r>
    </w:p>
    <w:p>
      <w:r>
        <w:t>104 BULLETIN NO. 32 OF AUGUST 12, 2024</w:t>
      </w:r>
    </w:p>
    <w:p>
      <w:r>
        <w:t>REPORTING AND CONSULTATIVE ACTIVITIES</w:t>
      </w:r>
    </w:p>
    <w:p>
      <w:r>
        <w:t>AS2027 - MUNICIPALITY OF TAGGIA (IM) – EXTENSION OF MARITIME STATE CONCESSIONS FOR TOURIST-RECREATIONAL PURPOSES</w:t>
      </w:r>
    </w:p>
    <w:p>
      <w:r>
        <w:t>Rome, July 2, 2024</w:t>
      </w:r>
    </w:p>
    <w:p>
      <w:r>
        <w:t>Municipality of Taggia</w:t>
      </w:r>
    </w:p>
    <w:p>
      <w:r>
        <w:t>With reference to the request for an opinion made by the Municipality of Taggia regarding the procedures for awarding maritime state concessions, the Antitrust Authority, in its meeting of June 26, 2024, deemed it appropriate to make the following considerations, pursuant to Article 22 of Law No. 287 of October 10, 1990.</w:t>
      </w:r>
    </w:p>
    <w:p>
      <w:r>
        <w:t>First of all, regarding the procedural model to be followed for the issuance of concessions, the Authority considers it desirable that procedural forms of ex officio initiation be provided rather than upon request of a party.</w:t>
      </w:r>
    </w:p>
    <w:p>
      <w:r>
        <w:t>In this regard, it should be noted that in its most recent rulings, the Council of State has repeatedly stated that the public evidence regime, resulting from the application of Article 12 of Directive 2006/123/EC (the so-called "Services Directive"), aims to pursue the objective of opening the market for maritime state concessions to competition and ensuring equal treatment among potentially interested parties.</w:t>
      </w:r>
    </w:p>
    <w:p>
      <w:r>
        <w:t>Conversely, where the Municipality opts for a selective procedure following a request from a party, the Authority considers it necessary to represent that the procedure must concretely satisfy the obligations of transparency, impartiality, respect for equal treatment, and competitive comparison, through an effective advertising mechanism and by resorting to specific investigative and motivational burdens. The selective procedure, in fact, impacting on scarce resources in a context where...</w:t>
      </w:r>
    </w:p>
    <w:p>
      <w:r>
        <w:rPr>
          <w:b/>
        </w:rPr>
        <w:t>[Pages 103–105]</w:t>
      </w:r>
    </w:p>
    <w:p>
      <w:r>
        <w:t>BULLETIN NO. 32 OF AUGUST 12, 2024 105</w:t>
      </w:r>
    </w:p>
    <w:p>
      <w:r>
        <w:t>of the market in which competitive dynamics are already weakened by the long duration of existing concessions and the continuous recourse to extensions, must be such as to guarantee a real and effective competitive comparison - and therefore the competitive chances of the contending companies - and not merely to superficially satisfy the aforementioned criteria of transparency, impartiality, publicity, and equal treatment.</w:t>
      </w:r>
    </w:p>
    <w:p>
      <w:r>
        <w:t>In light of the considerations just made, it is necessary that the procedure upon request for the selection of concessionaires is concretely respectful of the criteria indicated by the referenced jurisprudence and of the EU legislation and jurisprudence in this matter, a circumstance that cannot be found in the event that: i. adequate publicity is not provided for the notice and, therefore, for the initiation of the procedure and its conduct and completion (as in the case where the notice has only local publicity and the publicity of the notice is given for a period of less than thirty consecutive days); ii. the Administration hinders the actual competitive comparison through obstructive or dilatory behaviors towards potential competitors; or iii. in the case where the Municipality solicits, through a specific invitation addressed to the current concessionaires, the request for renewal of the concessions. In this last case, in fact, while defining the procedure as a "renewal" of the concessions and providing for publication in the official register, the Municipality actually initiates a procedure aimed at favoring the outgoing concessionaires to whom the invitation to submit an application is sent.</w:t>
      </w:r>
    </w:p>
    <w:p>
      <w:r>
        <w:t>In any case, it is deemed necessary that the Municipality clearly outlines from the act of initiation of the procedure, in an objective, transparent, non-discriminatory, and proportionate manner, all the criteria that it intends to evaluate in the assignment of maritime state concessions with the corresponding maximum score assignable, in line with the indications provided by the Plenary Assembly of the Council of State, as reported in Article 4 of Law No. 118/2022.</w:t>
      </w:r>
    </w:p>
    <w:p>
      <w:r>
        <w:t>As for the requirements related to the evaluation of professional experience, the Authority deems it appropriate to recall the competitive restrictions that may arise from the requirement concerning technical and professional capacity, where such a criterion does not provide for the possibility that the experience and professionalism in question have been acquired by the operator also in the performance of extra-concession activities. The requirement related to prior activity in the management of activities subject to concession or similar management activities of public assets, in fact, can be considered unjustifiably restrictive and lacking the characteristics of necessity and proportionality, as it precludes the possibility of participation in the procedure for new entrants and is suitable to integrate a preference in favor of operators already active in the market.</w:t>
      </w:r>
    </w:p>
    <w:p>
      <w:r>
        <w:t>Similar exclusions for new entrants may arise from the attribution of excessive points to prior professional experience.</w:t>
      </w:r>
    </w:p>
    <w:p>
      <w:r>
        <w:t>With specific regard to investments and any recognition of compensation to the outgoing concessionaire, while maintaining the legitimacy of the granting administration's choice to require the realization of even substantial investments (for example, aimed at qualifying a specific area or for the execution of works with low environmental impact), the Authority believes it must reiterate, in line with its previous positions, that, in order not to nullify the recourse to competitive assignment procedures, the duration of the concession should be commensurate with the value of the concession and its organizational complexity and should not exceed the time reasonably necessary for the recovery of the authorized investments and a fair remuneration of the invested capital.</w:t>
      </w:r>
    </w:p>
    <w:p>
      <w:r>
        <w:t>The value of any investments made by the outgoing manager and not yet amortized at the end of the concession, for which resale on a secondary market is not possible, may be placed as a basis for the auction in the subsequent selection procedure. In this way, the need to reimburse the unrecovered costs incurred by the outgoing concessionaire would be compatible with assignment procedures consistent with both the principles of competition and the incentives to make investments.</w:t>
      </w:r>
    </w:p>
    <w:p>
      <w:r>
        <w:t>In this regard, the Authority considers it necessary to signal the opportunity that the professional tasked with quantifying this value be a professional appointed by a third party with respect to the interested concessionaires (such as the granting Municipality) and that the quantification be carried out with expertise, as well as based on current, certain, and transparent evaluation parameters, to protect all parties, and also published by the granting entity in a timely manner so that potential participants can take it into account within the competitive procedure. In this way, in fact, the comparative procedure for the granting of concessions would be more transparent, fair, and objective.</w:t>
      </w:r>
    </w:p>
    <w:p>
      <w:r>
        <w:t>Finally, it is noted that the enhancement of an economic offer in the tender, through a possible increase in the base annual concession fee, could introduce an important competitive variable into the evaluation of the applications submitted, provided that the fee reflects the real economic and tourist value of the asset being entrusted. In this case, however, the municipal administration, as the granting entity, should identify methods that, according to the principles of transparency, fairness, non-discrimination, reasonableness, and proportionality, ensure the containment of costs for end users.</w:t>
      </w:r>
    </w:p>
    <w:p>
      <w:r>
        <w:t>The Authority invites the Municipality of Taggia to communicate, within thirty days from the receipt of this opinion, the initiatives taken regarding the highlighted competitive criticalities.</w:t>
      </w:r>
    </w:p>
    <w:p>
      <w:r>
        <w:t>This opinion will be published in the Bulletin of the Antitrust Authority. Any confidentiality needs must be expressed to the Authority within thirty days from the receipt of this opinion, specifying the reasons.</w:t>
      </w:r>
    </w:p>
    <w:p>
      <w:r>
        <w:t>THE PRESIDENT</w:t>
        <w:br/>
        <w:t>Roberto Rustichelli</w:t>
      </w:r>
    </w:p>
    <w:p>
      <w:r>
        <w:t>2021, in Bulletin 13/2021. In this report, the Authority hoped for a legislative amendment that would allow granting administrations to fully exploit the real value of the state asset subject to concession. In this sense, the Authority deemed it appropriate that the measure of concession fees also be subject to the competitive procedure for the selection of concessionaires, so that, as a result, it can reflect the real economic and tourist value of the asset being entrusted.</w:t>
      </w:r>
    </w:p>
    <w:p>
      <w:r>
        <w:rPr>
          <w:b/>
        </w:rPr>
        <w:t>[Pages 106–108]</w:t>
      </w:r>
    </w:p>
    <w:p>
      <w:r>
        <w:t>108 BULLETIN NO. 32 OF AUGUST 12, 2024</w:t>
        <w:br/>
        <w:t>AS2028 – MUNICIPALITY OF CORLETO PERTICARA (PZ) – INCENTIVES</w:t>
        <w:br/>
        <w:t>FOR EMPLOYMENT FOR COMPANIES, SELF-EMPLOYED WORKERS, AND FREELANCE PROFESSIONALS</w:t>
        <w:br/>
        <w:t>Rome, July 1, 2024</w:t>
        <w:br/>
        <w:t>Municipality of Corleto Perticara</w:t>
        <w:br/>
        <w:t>With reference to the request for an opinion, received on June 3, 2024, regarding the potential existence of competitive restrictions concerning the public call of this Municipality titled “Incentives for employment for companies, self-employed workers, and freelance professionals who establish an employment relationship with residents of the municipality of Corleto Perticara,” approved by Executive Determination of April 11, 2024, with the deadline for submission of applications set for July 1, 2024, the Antitrust Authority, in its meeting of June 26, 2024, observed the following, pursuant to Article 22 of Law No. 287 of October 10, 1990.</w:t>
        <w:br/>
        <w:t>In light of the information provided in the documentation attached to the request for an opinion, it is first of all commendable that this Municipality has decided to extend the benefits derived from its oil royalties to the productive system (companies, self-employed workers, and freelance professionals) of the Municipality of Guardia Perticara (albeit within the scope of the PIP area - Production Settlement Plan and not the entire municipal territory, given the substantial coincidence of the two areas concerning the location of economic operators).</w:t>
        <w:br/>
        <w:t>That said, however, it would be appropriate for the call in question to also provide for complete symmetry between the two Municipalities, not only in terms of companies but also of (future) workers, specifically including individuals residing in the Municipality of Guardia Perticara.</w:t>
        <w:br/>
        <w:t>The persistence of the requirement for workers to reside only in the Municipality of Corleto Perticara, in fact, could lead to distortive effects on the market (particularly the labor market).</w:t>
        <w:br/>
        <w:t>This is because, on the one hand, the number of individuals who could potentially be considered by companies interested in hiring is reduced - albeit not excessively, considering the number of inhabitants involved - in terms not only of numbers but also of professional profiles among which to make their choice; on the other hand, a citizen of this Municipality might reasonably prefer employment with a company in their own municipal territory rather than with companies located in another, albeit neighboring, Municipality, penalizing the latter.</w:t>
        <w:br/>
        <w:t>Finally, as a consequence of a more complete symmetry between this Municipality and the Municipality of Guardia Perticara, it would be appropriate for the scoring scale provided in the call (in its Article 10) to be restructured in such a way as to: a) eliminate the differences between the location of the company in Corleto and the location of the company in Guardia, as well as b) provide for the same scores for Guardia, derived from the residence of the hired worker, already provided for Corleto.</w:t>
        <w:br/>
        <w:t>In light of the considerations outlined above, the Authority hopes that this Municipality takes due account of the above specifications, in order to eliminate the identified competitive distortions. The Authority also invites this Municipality to communicate, within thirty days of receiving this opinion, the determinations that will be made regarding the highlighted competitive issues.</w:t>
        <w:br/>
        <w:t>This opinion will be published in the Bulletin of the Antitrust Authority. Any confidentiality needs must be expressed within thirty days of receiving this opinion, specifying the reasons.</w:t>
        <w:br/>
        <w:t>THE PRESIDENT</w:t>
        <w:br/>
        <w:t>Roberto Rustichelli</w:t>
      </w:r>
    </w:p>
    <w:p>
      <w:r>
        <w:t>110 BULLETIN NO. 32 OF AUGUST 12, 2024</w:t>
        <w:br/>
        <w:t>AS2029 - EXTENSION OF MARITIME, LAKE, AND RIVER PUBLIC CONCESSIONS FOR TOURISTIC, RECREATIONAL, AND SPORTS PURPOSES</w:t>
        <w:br/>
        <w:t>Rome, August 12, 2024</w:t>
        <w:br/>
        <w:t>Permanent Conference for Relations between the State, Regions, and Autonomous Provinces of Trento and Bolzano</w:t>
        <w:br/>
        <w:t>National Association of Italian Municipalities</w:t>
        <w:br/>
        <w:t>The Antitrust Authority, in its meeting of July 30, 2024, intended to make some considerations, pursuant to Articles 21 and 22 of Law No. 287 of October 10, 1990, regarding the main competitive issues encountered in the performance of its institutional activities concerning maritime, lake, and river public concessions for the exercise of touristic-recreational and sports activities, as well as to provide the addressed entities with some indications to ensure that the assignment of such concessions is based on criteria that respect the principles and regulations protecting competition and the market.</w:t>
        <w:br/>
        <w:t>Preliminarily, the Authority deems it necessary to recall its numerous interventions aimed at censuring both the unjustified extensions of existing concessions and the provisions contained in the selective procedures initiated for the assignment of new concessions that could prejudice fair competitive comparison.</w:t>
        <w:br/>
        <w:t>With specific reference to extensions, the Authority has repeatedly emphasized that the continued recourse to this instrument violates the principles of competition to the extent that it prevents competitive comparison for the market, which should be guaranteed in the awarding of services affecting scarce public resources, in a context where competitive dynamics are already particularly weakened due to the long duration of the currently existing concessions, and favors the distorting effects associated with unjustified position rents attributed to the concessionaires.</w:t>
        <w:br/>
        <w:t>1 The Authority has pointed out since 2018 the opportunity to promptly adopt legislation regarding beach concessions that provides for the immediate selection of concessionaires based on principles of competition, impartiality, transparency, and publicity, and that ensures the competent administration an efficient use of public resources and an adequate remuneration of the asset, such as to allow the transfer of a greater part of the rent to the community.</w:t>
        <w:br/>
        <w:t>2 See AS1730 - Proposals for competitive reform for the annual law on the market and competition for the year 2021. During the two-year period 2020-2021, the Authority also invited multiple municipal administrations to disapply the national legislation underlying the determinations for the extension of maritime public concessions for touristic-recreational purposes due to their conflict with Articles 49 and 56 TFEU and with Article 12 of Directive 2006/123/EC.</w:t>
      </w:r>
    </w:p>
    <w:p>
      <w:r>
        <w:rPr>
          <w:b/>
        </w:rPr>
        <w:t>[Pages 109–111]</w:t>
      </w:r>
    </w:p>
    <w:p>
      <w:r>
        <w:t>BULLETIN NO. 32 OF AUGUST 12, 2024 111</w:t>
      </w:r>
    </w:p>
    <w:p>
      <w:r>
        <w:t>During the first half of 2024, following the expiration on December 31, 2023, of the transitional period of effectiveness of the existing concessions, identified by the Plenary Assembly of the Council of State, the Authority adopted numerous reasoned opinions, issued pursuant to Article 21-bis of Law No. 287/1990, and some opinions, pursuant to Article 22 of the same law, regarding maritime state concessions for tourism and recreational purposes. These interventions concerned, on one hand, the measures adopted by the granting authorities aimed at extending the effectiveness of the concessions in question until December 31, 2024, in light of the amendments made to Law No. 118/2022 by Decree Law No. 29 of December 29, 2022, No. 198, converted with amendments by Law No. 14 of February 24, 2023, and, on the other hand, some considerations regarding the conduct of selective assignment procedures for maritime state concessions and the preparation of the related calls for tenders.</w:t>
      </w:r>
    </w:p>
    <w:p>
      <w:r>
        <w:t>On the extension of concessions</w:t>
      </w:r>
    </w:p>
    <w:p>
      <w:r>
        <w:t>a) The illegitimacy of extensions and the need to disapply the legislation in contrast with EU law</w:t>
      </w:r>
    </w:p>
    <w:p>
      <w:r>
        <w:t>As is known, with Law No. 14/2023 converting Decree Law No. 198/2022 (the so-called Milleproroghe decree), the legislator: i) amended Article 2 of Law No. 118/2022, extending to eleven months from the date of entry into force of the law the deadline for exercising the legislative delegation for the reorganization of the matter; it inserted at the end of Article 2 of Law No. 118/2022 a paragraph 4-bis, according to which “[u]ntil the adoption of the legislative decrees referred to in this article, granting authorities are prohibited from proceeding with the issuance of calls for the assignment of concessions and the relationships referred to in Article 3, paragraph 1, letters a) and b)”; iii) amended Article 3 of Law No. 118/2022, extending the effectiveness of the relationships concerning maritime, lacustrine, and riverine state assets from December 31, 2023, to December 31, 2024, with the possibility of further extending this deadline, particularly until December 31, 2025, in the event that the administrations are unable to complete the tender procedures within the deadlines for justified objective reasons. With Article 10-quater, paragraph 3, of the Milleproroghe decree, it was also established that “The concessions and relationships referred to in Article 3, paragraph 1, letters a) and b), of Law No. 118 of August 5, 2022, continue to be effective until the date of issuance of the new concession measures.”</w:t>
      </w:r>
    </w:p>
    <w:p>
      <w:r>
        <w:t>In light of the aforementioned norms, many administrations decided to adopt measures to extend the maritime state concessions in question until December 31, 2024. In summary, the most recurring reasons put forward by the interested entities in support of the extension concern: the complexity of the jurisprudential and regulatory framework; the impossibility of carrying out the procedures for tourism and recreational purposes, in Bulletins No. 41/2020; AS1729 - Municipality of Ginosa (TA) - Extension of maritime state concessions for tourism and recreational purposes, in Bulletin No. 13/2021. See also the reports adopted with reference, among others, to cases AS1725 - Municipality of Reggio Calabria - Extension of maritime state concessions for tourism and recreational purposes, in Bulletin No. 12/2021; AS1799 - Autonomous Region of Sardinia - Extension of maritime state concessions for tourism and recreational purposes, in Bulletin No. 43/2021.</w:t>
      </w:r>
    </w:p>
    <w:p>
      <w:r>
        <w:t>3 See Council of State, Plenary Assembly, November 9, 2021, No. 17, according to which state concessions, beyond December 31, 2023, “even in the absence of legislative regulation, […] will cease to produce effects, despite any possible further legislative extension that may intervene in the meantime, which would be considered ineffective because in contrast with the norms of the EU legal order.”</w:t>
      </w:r>
    </w:p>
    <w:p>
      <w:r>
        <w:t>4 See, among others, AS1973 - Municipality of Pietrasanta (LU) - Extension of maritime state concessions for tourism and recreational purposes, in Bulletin No. 22/2024; AS1993 - Municipality of Misano Adriatico (RN) - Extension of maritime state concessions for tourism and recreational purposes, in Bulletin No. 25/2024; AS2010 - Municipality of Finale Ligure (SV) - Extension of maritime state concessions for tourism and recreational purposes, in Bulletin No. 28/2024.</w:t>
      </w:r>
    </w:p>
    <w:p>
      <w:r>
        <w:t>112 BULLETIN NO. 32 OF AUGUST 12, 2024</w:t>
      </w:r>
    </w:p>
    <w:p>
      <w:r>
        <w:t>public evidence before the adoption of the reorganization decree regarding maritime state concessions and before uniform minimum criteria for conducting selective procedures are defined, in order to avoid disparities in treatment; the need to definitively clarify whether or not there is an obligation to assign concessions through a public evidence procedure due to the scarcity of the resource; the issues related to the interpretation of Article 49 of the Navigation Code and the possible recognition of compensation to the outgoing concessionaire.</w:t>
      </w:r>
    </w:p>
    <w:p>
      <w:r>
        <w:t>In its reasoned opinions, the Authority considered that the granting administrations should disapply the national legislation underlying the extension measures, due to its conflict with the principles and the EU regulations referred to in Article 49 TFEU and Article 12 of Directive 2006/123/EC (the so-called “Services Directive”), and proceed with the conduct of tender procedures that respect the principles of fairness, transparency, and non-discrimination. As is known, indeed, Member States are required to comply with the principles and provisions of EU law, and where domestic legislation conflicts with EU law, its disapplication is imposed.</w:t>
      </w:r>
    </w:p>
    <w:p>
      <w:r>
        <w:t>On numerous occasions, moreover, the Authority has contested the arguments put forward by the granting entities in support of the extension, considering their unfoundedness and, in any case, the impossibility of qualifying such arguments as valid objective reasons that, pursuant to Article 3, paragraph 3, of Law No. 118/2022, could justify the deferral of the duration of the concessions.</w:t>
      </w:r>
    </w:p>
    <w:p>
      <w:r>
        <w:t>It should be noted that the norm in question restricts the possibility of further deferring the duration of the concessions to entirely exceptional cases related to specific circumstances that prevent the conclusion of the selective procedure. According to the Authority, being a derogatory norm, paragraph 3 of Article 3 of the aforementioned Law No. 118/2022 can only be interpreted restrictively. Therefore, for the norm to apply, it is necessary that the selective procedure has been initiated and that there are objective reasons preventing the conclusion of the procedure and that are linked to the conduct of the procedure itself. Only in the presence of such circumstances is it legitimate to consider that the expiration date of the concessions can be deferred for the time strictly necessary to conclude the procedure.</w:t>
      </w:r>
    </w:p>
    <w:p>
      <w:r>
        <w:t>Conversely, in none of the cases examined by the Authority had the granting administrations initiated a selective procedure for the assignment of the concessions. Therefore, the Authority noted that the reference to the aforementioned norm resulted in an unjustified generalized extension of all existing concessions in a specific territorial area.</w:t>
      </w:r>
    </w:p>
    <w:p>
      <w:r>
        <w:t>Regarding the extensions, moreover, the Council of State has recently affirmed the principle that only the “technical” extension limited to the time strictly necessary for conducting the tenders can be considered compatible with EU law. According to the administrative judge, in particular, “[i]n order for them to legitimately benefit from such a technical extension without violating or circumventing EU law and Law No. 118/2022 itself, the competent administrative authorities - and, in particular, the municipal ones - must have already initiated the selective procedure or in any case have decided to initiate it in the very near future, issuing acts of direction in this sense and promptly starting the process for the preparation of the calls for tenders.” Article 3, paragraph 3, of Law No. 118/2022 “indeed allows for a technical extension, literally, only for the time strictly necessary ‘for the conclusion of the procedure,’ which must have been initiated and can be considered initiated, according to a reasonableness-inspired interpretation, in the presence of at least an act of direction aimed at finally calling the tenders, it being logically, even before chronologically, impermissible to grant a technical extension aimed at concluding a tender procedure that has not even been initiated, at least at a programmatic level.”</w:t>
      </w:r>
    </w:p>
    <w:p>
      <w:r>
        <w:t>Therefore, the Authority, as well as the national and European judges, consider it necessary, for the issuance of maritime state concessions for tourism and recreational purposes, that the granting administration resorts to public evidence procedures, in application of the general principles for the protection of competition expressed by Article 49 TFEU and Article 12, paragraphs 1 and 2, of the Services Directive.</w:t>
      </w:r>
    </w:p>
    <w:p>
      <w:r>
        <w:t>The extension in favor of the previous concessionaires, on the other hand, violates the aforementioned norms, as it evades the expiration on December 31, 2023, of the transitional period indicated by the Plenary Assembly of the Council of State (and subsequently by the legislator in Article 3 of Law No. 118/2022) and thus aims to prevent, or in any case delay, the application of EU legislation and the opening to competition of the market for maritime state concessions, thus preventing the benefits that would arise from the assignment through public evidence procedures.</w:t>
      </w:r>
    </w:p>
    <w:p>
      <w:r>
        <w:t>The absence of a comprehensive national legislative framework cannot, moreover, translate into a legitimate reason in support of the extension of the duration of the concessions, also considering the circumstance that the legislative delegation provided for in Article 4 of Law No. 118/2022 has expired without being exercised.</w:t>
      </w:r>
    </w:p>
    <w:p>
      <w:r>
        <w:t>b) On the scarcity of the state resource</w:t>
      </w:r>
    </w:p>
    <w:p>
      <w:r>
        <w:t>Regarding the scarcity of the resource, the Authority wishes to remind, in line with what has been stated by the Plenary Assembly of the Council of State, that the concept of scarcity must be interpreted in relative and not absolute terms, taking into account not only the “quantity” of the available good but also its qualitative aspects and, consequently, the demand that it is capable of generating from other potential competitors. This considering that, even today, the data from the Maritime State Property Information System - also referred to by the Plenary Assembly - attest to the existence of a very high percentage of occupation of the coasts, given the areas of free beach that do not...</w:t>
      </w:r>
    </w:p>
    <w:p>
      <w:r>
        <w:rPr>
          <w:b/>
        </w:rPr>
        <w:t>[Pages 112–114]</w:t>
      </w:r>
    </w:p>
    <w:p>
      <w:r>
        <w:t>114 BULLETIN NO. 32 OF AUGUST 12, 2024</w:t>
      </w:r>
    </w:p>
    <w:p>
      <w:r>
        <w:t>are available and taking into account the maximum quantitative limits of the coast that can be subject to concession as provided in many Regions8.</w:t>
      </w:r>
    </w:p>
    <w:p>
      <w:r>
        <w:t>In this context, the Authority shares the conclusions reached by the national administrative judge and the European Commission9, according to which the current situation of significant scarcity (in some cases non-existence) characterizing the public areas available to new operators is evident; a situation that is even more pronounced when considering municipal territorial areas or when taking smaller portions of the coast as a reference.</w:t>
      </w:r>
    </w:p>
    <w:p>
      <w:r>
        <w:t>In any case, as specified by the European Commission, even in the presence of a subset of cases where Article 12 of the Services Directive could not be deemed applicable due to the absence of the resource scarcity requirement, it would still be necessary to consider Article 49 TFEU, in line with the ruling of the Court of Justice Promoimpresa10. As also recalled by the Council of State, in fact, the national coastal heritage is certainly of cross-border interest (due to its configuration, geographical location, climatic conditions, and tourist vocation), thus exercising an undeniable attraction towards businesses from other Member States11.</w:t>
      </w:r>
    </w:p>
    <w:p>
      <w:r>
        <w:t xml:space="preserve">On selective procedures </w:t>
        <w:br/>
        <w:t xml:space="preserve">a) The procedural model </w:t>
        <w:br/>
        <w:t>With regard to the procedural model to be followed for the granting of concessions, the Authority considers it desirable that procedural forms of initiation ex officio are provided rather than upon request from a party12.</w:t>
      </w:r>
    </w:p>
    <w:p>
      <w:r>
        <w:t>In this regard, it is recalled that, in its most recent rulings, the Council of State has repeatedly stated that the regime of public evidence, resulting from the application of Article 12 of the Services Directive, aims to pursue the objective of opening the market for maritime public concessions to competition and ensuring equal treatment among potentially interested parties13.</w:t>
      </w:r>
    </w:p>
    <w:p>
      <w:r>
        <w:t>Conversely, where the granting authority opts for a selective procedure following a request from a party, the Authority deems it necessary to represent that the procedure must concretely satisfy the obligations of transparency, impartiality, respect for equal treatment, and competitive comparison, through an effective advertising mechanism and by resorting to specific investigative and motivational burdens14. The selective procedure, in fact, impacting scarce resources in a market context where competitive dynamics are already weakened by the long duration of existing concessions and the continuous recourse to extensions, must ensure a real and effective competitive comparison - and, therefore, the competitive chances of the contending businesses - and not merely satisfy the aforementioned criteria of transparency, impartiality, publicity, and equal treatment15.</w:t>
      </w:r>
    </w:p>
    <w:p>
      <w:r>
        <w:t>The Authority therefore considers it necessary that the procedure upon request from a party for the selection of concessionaires is concretely respectful of the criteria indicated by the aforementioned jurisprudence and of the EU legislation and jurisprudence in the matter. To this end, adequate publicity must be provided for the notice and, therefore, for the initiation of the procedure and its conduct and completion, a circumstance that cannot be found in the case of exclusively local publicity or for a limited period of time.</w:t>
      </w:r>
    </w:p>
    <w:p>
      <w:r>
        <w:t>Furthermore, the Administration must not hinder the actual competitive comparison through obstructive or dilatory behaviors towards potential competitors or aimed at favoring outgoing concessionaires, as in the case of specific invitations addressed by the granting authority to outgoing concessionaires to induce them to submit renewal applications for the concessions.</w:t>
      </w:r>
    </w:p>
    <w:p>
      <w:r>
        <w:t xml:space="preserve">b) The criteria </w:t>
        <w:br/>
        <w:t>The Authority considers it essential that the Municipality outlines from the very act of initiating the procedure, in an objective, transparent, non-discriminatory, and proportionate manner, all the criteria that it intends to evaluate in the assignment of maritime public concessions with the corresponding maximum score assignable, in line with the indications provided by the Plenary Assembly of the Council of State, as reported in Article 4 of Law No. 118/202216.</w:t>
      </w:r>
    </w:p>
    <w:p>
      <w:r>
        <w:t>13 Cf. Council of State, A.P. No. 17/2022. The rulings of the Council of State, May 20, 2024, No. 4479, No. 4480, and No. 4481, cited, also explicitly refer to "competitive procedures with public evidence".</w:t>
      </w:r>
    </w:p>
    <w:p>
      <w:r>
        <w:t>14 Cf. Council of State, December 9, 2020, No. 7837; Administrative Justice Council for the Sicilian Region, May 22, 2023, No. 350; Council of State, February 16, 2017, No. 688.</w:t>
      </w:r>
    </w:p>
    <w:p>
      <w:r>
        <w:t>15 In the report AS1894 - Municipality of Castiglione della Pescaia (GR) - Assignment of maritime public concessions, in Bulletin No. 26/2023, made to the Municipality of Castiglione della Pescaia, for example, the Authority pointed out the conflict with the legislation and principles aimed at protecting competition of the procedure announced by the Municipality for the assignment of two maritime public concessions for tourist-recreational purposes. According to the Authority, instead of initiating a real competition for the market, the Municipality specifically had conducted a procedure that only appeared to comply with the criteria of transparency, impartiality, publicity, and equal treatment required by Article 12 of the so-called Services Directive, effectively precluding access by new operators to the procedure, which saw the participation of only two subjects (including the current concessionaire). The Authority also took the opportunity to contest the position taken by the Municipality regarding the alleged legitimacy of the duration until December 31, 2033, of the maritime public concessions located in the territory of the local authority, thus reiterating considerations already made in numerous previous rulings.</w:t>
      </w:r>
    </w:p>
    <w:p>
      <w:r>
        <w:t>16 Lastly, recalled by the Council of State in the cited rulings No. 4479/2024, No. 4480/2024, and No. 4481/2024.</w:t>
      </w:r>
    </w:p>
    <w:p>
      <w:r>
        <w:t>116 BULLETIN NO. 32 OF AUGUST 12, 2024</w:t>
      </w:r>
    </w:p>
    <w:p>
      <w:r>
        <w:t>In this regard, however, the Authority finds it appropriate to remind the Municipality of the competitive restrictions that may arise from the participation requirement or from the evaluation criterion of the application related to technical and professional capacity, where the possibility is not provided for the experience and professionalism in question to have been acquired by the operator also in the performance of extra-concession activities. This requirement could indeed prove unjustifiably restrictive and lacking the characteristics of necessity and proportionality, as it precludes the possibility of participation in the procedure by new entrants and is suitable to integrate a preference in favor of operators already active in the market17.</w:t>
      </w:r>
    </w:p>
    <w:p>
      <w:r>
        <w:t>Similar exclusions for new entrants may arise from assigning excessive points to previous professional experience or in the case of a possible inclusion, among the selective criteria, of a right of first refusal in favor of the outgoing concessionaire. This latter criterion, in fact, reproduces the right of insistence already provided for in the text of Article 37 of the Navigation Code, now repealed, as it is incompatible with the community principles of equal treatment, equality, non-discrimination, adequate publicity, and transparency.</w:t>
      </w:r>
    </w:p>
    <w:p>
      <w:r>
        <w:t xml:space="preserve">c) The duration and the possible value of unamortized investments </w:t>
        <w:br/>
        <w:t>Assuming the legitimacy of the granting administration's choice to require the realization of even significant investments (for example, aimed at qualifying a specific area or for the execution of works with low environmental impact), the Authority reiterates18 that, in order not to nullify the recourse to competitive assignment procedures, the duration of the concession should be commensurate with its value and organizational complexity and should not exceed the time reasonably necessary for the recovery of authorized investments and a fair return on the invested capital.</w:t>
      </w:r>
    </w:p>
    <w:p>
      <w:r>
        <w:t>With regard to any compensation to the outgoing manager, in ongoing public evidence procedures, the Authority believes that, in order to protect the legitimate reliance of the outgoing concessionaire, where existing, the value of any investments made by them and not yet amortized at the end of the concession, for which secondary market sale is not possible, could be put as a base for bidding in the subsequent selective procedure19. In this way,</w:t>
      </w:r>
    </w:p>
    <w:p>
      <w:r>
        <w:t>17 Cf. AS1836 - Municipality of Rosignano Marittimo (LI) - Assignment of maritime public concession, in Bulletin No. 20/2022.</w:t>
      </w:r>
    </w:p>
    <w:p>
      <w:r>
        <w:t>18 AS1930, cited.</w:t>
      </w:r>
    </w:p>
    <w:p>
      <w:r>
        <w:t>19 In this regard, it is recalled that the Plenary Assembly of the Council of State in the twin rulings of 2021, recalling what was established by the Court of Justice in the ruling of July 14, 2016, Promoimpresa, C-458/14 and C-67/15, EU:C:2016:558, stated "with specific reference to the legitimate reliance of the holders of such authorizations, functional to amortizing the investments made by them, the Court of Justice found that 'Member States may take into account, in establishing the rules of the selection procedure, considerations related to imperative general reasons', specifying that such considerations may be taken into account 'only at the time of establishing the rules of the selection procedure for potential candidates and subject to, in particular, Article 12, paragraph, of that directive' and that, in any case, a case-by-case assessment is necessary to demonstrate that the holder of the authorization could legitimately expect the renewal of their authorization and made the related investments' (Promoimpresa ruling). The Court of Justice has, moreover, found this situation regarding a concession granted in 1984 'when it had not yet been declared that contracts with a certain cross-border interest could be subject to transparency obligations', requiring that 'the termination of such a concession be accompanied by a transitional period that allows the parties to the contract to dissolve their respective contractual relationships under acceptable conditions, particularly from an economic point of view' (cf. Promoimpresa ruling)".</w:t>
      </w:r>
    </w:p>
    <w:p>
      <w:r>
        <w:rPr>
          <w:b/>
        </w:rPr>
        <w:t>[Pages 115–117]</w:t>
      </w:r>
    </w:p>
    <w:p>
      <w:r>
        <w:t>BULLETIN NO. 32 OF AUGUST 12, 2024 117</w:t>
      </w:r>
    </w:p>
    <w:p>
      <w:r>
        <w:t>without prejudice to the provisions of Article 49 of the Navigation Code20, the need to reimburse the unrecovered costs incurred by the outgoing concessionaire would be compatible with awarding procedures consistent with both competition principles and incentives to make investments21.</w:t>
      </w:r>
    </w:p>
    <w:p>
      <w:r>
        <w:t>In this case, the Authority believes it is necessary to point out the opportunity for the professional tasked with quantifying this value to be appointed by a third party with respect to the interested concessionaires22 (such as the granting authority) and that the quantification be carried out with expertise, based on current23, certain, and transparent evaluation parameters, to protect all parties, as well as published by the granting authority in a timely manner so that potential participants can take it into account within the competitive procedure. In this way, in fact, the comparative procedure for the granting of concessions would be more transparent, fair, and objective.</w:t>
      </w:r>
    </w:p>
    <w:p>
      <w:r>
        <w:t>d) Valuation of the economic offer</w:t>
      </w:r>
    </w:p>
    <w:p>
      <w:r>
        <w:t>The Authority states that the valuation of the economic offer in the tender, through a possible increase in the annual base concession fee, could introduce an important competitive variable into the evaluation of the submitted applications, provided that the fee reflects the real economic and tourist value of the asset being entrusted24. In this case, however, the municipal administration, as the granting authority, should identify methods that, according to the principles of transparency, fairness, non-discrimination, reasonableness, and proportionality, ensure price containment and adequate accessibility for the various categories of end users.</w:t>
      </w:r>
    </w:p>
    <w:p>
      <w:r>
        <w:t>e) Timing</w:t>
      </w:r>
    </w:p>
    <w:p>
      <w:r>
        <w:t>Finally, regarding the timing of the procedures, the Authority believes it is necessary to urge the granting authorities to ensure that all selective procedures for the assignment of new concessions are carried out as soon as possible and that the assignment occurs no later than December 31, 2024.</w:t>
      </w:r>
    </w:p>
    <w:p>
      <w:r>
        <w:t>20 Recently, the Court of Justice, in its judgment of July 11, 2024, Società Italiana Imprese Balneari, C-598/22, EU:C:2024:597, held that “Article 49 TFEU must be interpreted as meaning that it does not preclude a national rule according to which, upon the expiration of a concession for the occupation of public land and unless otherwise agreed in the concession act, the assignee is required to immediately, free of charge and without compensation, transfer the non-removable works it has carried out in the granted area, even in the case of renewal of the concession.”</w:t>
      </w:r>
    </w:p>
    <w:p>
      <w:r>
        <w:t>21 As stated by the Council of State in the aforementioned twin judgments, “[t]he calling of competitive procedures for the assignment of concessions must, therefore, where the conditions are met, be supported by the recognition of compensation to protect any investments made by the outgoing concessionaires, as this mechanism is essential to protect their reliance.”</w:t>
      </w:r>
    </w:p>
    <w:p>
      <w:r>
        <w:t>22 See, with regard to the different context of tenders for large hydroelectric diversions, AS1137 - Proposals for competitive reform for the purposes of the annual law for the market and competition 2014, in Bulletin no. 27/2014.</w:t>
      </w:r>
    </w:p>
    <w:p>
      <w:r>
        <w:t>23 Similarly, the Authority has already expressed itself regarding the different context of the tenders to which highway concessionaires are subject pursuant to Article 37, paragraph 2, letter g), of Decree Law 201/2011 (see p. 8 of opinion AS1821 of March 15, 2022, relating to the Resolution of the Transport Regulatory Authority no. 174/2021).</w:t>
      </w:r>
    </w:p>
    <w:p>
      <w:r>
        <w:t>24 It is worth noting that the Authority has had the opportunity to point out how the reduced amount of fees, determined according to the criteria provided by Decree Law of October 5, 1993, no. 400, is also a cause of evident damage to public finances. In this regard, see AS1730 - Proposals for competitive reform for the purposes of the annual law for the market and competition Year 2021, in Bulletin no. 13/2021. In this report, the Authority hoped for a legislative change that would allow granting administrations to fully exploit the real value of the public asset subject to concession. In this sense, the Authority deemed it appropriate that the amount of concession fees also be subject to the competitive procedure for the selection of concessionaires, so that, ultimately, it can reflect the real economic and tourist value of the asset being entrusted.</w:t>
      </w:r>
    </w:p>
    <w:p>
      <w:r>
        <w:t>118 BULLETIN NO. 32 OF AUGUST 12, 2024</w:t>
      </w:r>
    </w:p>
    <w:p>
      <w:r>
        <w:t>* * *</w:t>
      </w:r>
    </w:p>
    <w:p>
      <w:r>
        <w:t>In conclusion, the Authority reiterates the importance of resorting to competitive assignment methods for maritime, lake, and river public concessions for the exercise of tourist-recreational and sports activities, avoiding further extensions and automatic renewals and, to this end, hopes that the observations made above will be duly considered.</w:t>
      </w:r>
    </w:p>
    <w:p>
      <w:r>
        <w:t>This report will be published in the Bulletin of the Antitrust Authority.</w:t>
      </w:r>
    </w:p>
    <w:p>
      <w:r>
        <w:t>THE PRESIDENT</w:t>
      </w:r>
    </w:p>
    <w:p>
      <w:r>
        <w:t>Roberto Rustichelli</w:t>
      </w:r>
    </w:p>
    <w:p>
      <w:r>
        <w:t>BULLETIN NO. 32 OF AUGUST 12, 2024 119</w:t>
      </w:r>
    </w:p>
    <w:p>
      <w:r>
        <w:t>UNFAIR COMMERCIAL PRACTICES</w:t>
      </w:r>
    </w:p>
    <w:p>
      <w:r>
        <w:t>PS12571 - FUNERARIA ROMA CAPITALE - FUNERAL SERVICES IN ROME</w:t>
      </w:r>
    </w:p>
    <w:p>
      <w:r>
        <w:t>Provision no. 31300</w:t>
      </w:r>
    </w:p>
    <w:p>
      <w:r>
        <w:t>THE ANTITRUST AUTHORITY</w:t>
      </w:r>
    </w:p>
    <w:p>
      <w:r>
        <w:t>IN ITS MEETING of July 23, 2024;</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no. 25411;</w:t>
      </w:r>
    </w:p>
    <w:p>
      <w:r>
        <w:t>VIEWED the communication of February 1, 2024, which initiated procedure PS12571 against the company Funeraria Roma Capitale S.r.l.;</w:t>
      </w:r>
    </w:p>
    <w:p>
      <w:r>
        <w:t>VIEWED the documents of the procedure;</w:t>
      </w:r>
    </w:p>
    <w:p>
      <w:r>
        <w:t>I. THE PARTY</w:t>
      </w:r>
    </w:p>
    <w:p>
      <w:r>
        <w:t>1. Funeraria Roma Capitale S.r.l., as a professional, pursuant to Article 18, paragraph 1, letter b), of the Consumer Code (hereinafter, also “FRC”; “Professional” or “Company”). The Company - with a single office in Rome, viale dello Scalo di San Lorenzo 42c - operates in the funeral services sector. FRC, in 2023, achieved a turnover of approximately 1,591,000 euros.</w:t>
      </w:r>
    </w:p>
    <w:p>
      <w:r>
        <w:t>II. THE CONDUCT SUBJECT TO THE PROCEDURE</w:t>
      </w:r>
    </w:p>
    <w:p>
      <w:r>
        <w:t>2. The procedure concerns the conduct carried out by FRC within the messages conveyed through the websites of which it is the owner (amaservizifunebricomunali.com; amafuneraliroma.it; amaonoranzefunebri.com; funerariaromacapitale.com).</w:t>
      </w:r>
    </w:p>
    <w:p>
      <w:r>
        <w:t>3. The Professional, in fact, presents itself as the “Official Agency of the Municipality of Rome,” using phrases such as “AMA ONORANZE FUNEBRI ROMA: OFFICIAL SITE” and “FUNERAL SERVICES ROME: OFFICIAL AGENCY OF THE MUNICIPALITY OF ROME,” as well as using the logo “SPQR” on its websites and signs, in addition to “transparent municipal rates,” thus implying that it operates on behalf of or in agreement with the Municipality of Rome.</w:t>
      </w:r>
    </w:p>
    <w:p>
      <w:r>
        <w:t>4. Furthermore, according to images extracted from the Company’s websites, amaservizifunebricomunali.com and amafuneraliroma.it - FRC has used the acronym “AMA” in multiple screens, as well as phrases such as “AMA ONORANZE FUNEBRI ROMA: OFFICIAL SITE” and indicates its corporate websites as “OFFICIAL AMA SITES,” implying that there is a supply relationship between FRC and the Municipal Environment Company S.p.A., also known as AMA S.p.A.</w:t>
      </w:r>
    </w:p>
    <w:p>
      <w:r>
        <w:rPr>
          <w:b/>
        </w:rPr>
        <w:t>[Pages 118–120]</w:t>
      </w:r>
    </w:p>
    <w:p>
      <w:r>
        <w:t>120 BULLETIN NO. 32 OF AUGUST 12, 2024</w:t>
      </w:r>
    </w:p>
    <w:p>
      <w:r>
        <w:t>5. It has emerged, then, the association between the name "AMA" and the Professional's sites on search engines, a circumstance also reported by the same Municipal Environment Company S.p.A. in February 20231.</w:t>
      </w:r>
    </w:p>
    <w:p>
      <w:r>
        <w:t>6. Finally, the site "amafuneraliroma.it" contains two opening videos in which the red shield with the "SPQR" logo appears.</w:t>
      </w:r>
    </w:p>
    <w:p>
      <w:r>
        <w:t>III. THE FINDINGS OF THE PROCEEDING</w:t>
      </w:r>
    </w:p>
    <w:p>
      <w:r>
        <w:t>III.1 The procedure process</w:t>
      </w:r>
    </w:p>
    <w:p>
      <w:r>
        <w:t>7. Based on information acquired for the application of the Consumer Code, on February 1, 2024, the initiation of the investigative procedure PS12571 against FRC was communicated, hypothesizing that the conduct consisting of using indications such as "Roma Capitale," "Municipal Funeral Services," "Official Agency of the Municipality of Rome," "AMA Funeral Services Rome," "AMA Funerals Rome," and "AMA Municipal Funeral Services Rome," as well as the graphic logo "SPQR" of Roma Capitale, on its sites could constitute an unfair commercial practice, in possible violation of Articles 20, 21, letter f), and 22 of the Consumer Code.</w:t>
      </w:r>
    </w:p>
    <w:p>
      <w:r>
        <w:t>8. Previously, with communication dated April 19, 2023, the Authority had invited, pursuant to Article 4, paragraph 5, of the Consumer Code, the Professional to remove the profiles of possible unfairness in its conduct, in order to avoid its ascertainment. However, despite an audition with the investigative offices and further subsequent discussions, in which the critical issues under examination were specifically indicated and the possible consequences of the initiation of an investigative procedure were highlighted, FRC did not follow up on the aforementioned invitation. Finally, the invitation was formally reiterated to the Professional with a letter dated October 11, 2023.</w:t>
      </w:r>
    </w:p>
    <w:p>
      <w:r>
        <w:t>9. Following the initiation of the procedure, on February 12, 2024, FRC requested access to the documents of the investigative file that took place electronically on the subsequent February 15, 2024.</w:t>
      </w:r>
    </w:p>
    <w:p>
      <w:r>
        <w:t>10. FRC responded to the request for information made in the initiation communication with a memorandum received on February 22, 2024.</w:t>
      </w:r>
    </w:p>
    <w:p>
      <w:r>
        <w:t>11. On March 18, 2024, the Professional submitted commitments, pursuant to Article 9 of the Regulation.</w:t>
      </w:r>
    </w:p>
    <w:p>
      <w:r>
        <w:t>12. On April 19, 2024, the Company was informed of the rejection of the proposed commitments, as the profiles of unfairness hypothesized in the initiation communication of February 1, 2024, had not been overcome, and there was, in this case, the Authority's interest in proceeding with the ascertainment of the infringement.</w:t>
      </w:r>
    </w:p>
    <w:p>
      <w:r>
        <w:t>13. On May 14, 2024, the date of conclusion of the investigative phase was communicated to FRC, pursuant to Article 16, paragraph 1, of the Regulation.</w:t>
      </w:r>
    </w:p>
    <w:p>
      <w:r>
        <w:t>14. On June 6, 2024, the final memorandum of the professional was received.</w:t>
      </w:r>
    </w:p>
    <w:p>
      <w:r>
        <w:t>15. The opinion to the Authority for Guarantees in Communications, requested on June 7, 2024, pursuant to Article 16, paragraphs 3 and 4, of the Regulation, was received on June 28, 20242.</w:t>
      </w:r>
    </w:p>
    <w:p>
      <w:r>
        <w:t>1 See report from AMA S.p.A. dated February 8, 2023, prot. 19621.</w:t>
        <w:br/>
        <w:t>2 See resolution 219/14/CONS of June 26, 2024.</w:t>
      </w:r>
    </w:p>
    <w:p>
      <w:r>
        <w:t>BULLETIN NO. 32 OF AUGUST 12, 2024 121</w:t>
      </w:r>
    </w:p>
    <w:p>
      <w:r>
        <w:t>III.2. The acquired evidence</w:t>
      </w:r>
    </w:p>
    <w:p>
      <w:r>
        <w:t>16. As emerges from the evidence acquired during the proceeding (Figures 1, 2, 3, 4, 5, and 6), the Professional advertises its funeral services through the corporate sites - amaservizifunebricomunali.com; amafuneraliroma.it; amaonoranzefunebriroma.com; funerariaromacapitale.com - using the phrases: "A.M.A. MUNICIPAL FUNERAL SERVICES ROME: OFFICIAL SITE Funeral Services Rome: Authorized Agency of the Municipality of Rome" or "AUTHORIZED AGENCY BY THE MUNICIPALITY OF ROME Official sites Ama," "AMA FUNERALS ROME," and also "AMA FUNERAL HOMES."</w:t>
      </w:r>
    </w:p>
    <w:p>
      <w:r>
        <w:t>Figure 1 - Page extracted from the corporate site of FRC, amaservizifunebricomunali.com</w:t>
      </w:r>
    </w:p>
    <w:p>
      <w:r>
        <w:t>122 BULLETIN NO. 32 OF AUGUST 12, 2024</w:t>
      </w:r>
    </w:p>
    <w:p>
      <w:r>
        <w:t>Figure 2 - Page extracted from the corporate site of FRC, amafuneraliroma.it</w:t>
      </w:r>
    </w:p>
    <w:p>
      <w:r>
        <w:t>Figure 3 - Page extracted from the corporate site of FRC, amaonoranzefunebri.com</w:t>
      </w:r>
    </w:p>
    <w:p>
      <w:r>
        <w:rPr>
          <w:b/>
        </w:rPr>
        <w:t>[Pages 121–123]</w:t>
      </w:r>
    </w:p>
    <w:p>
      <w:r>
        <w:t>BULLETIN NO. 32 OF AUGUST 12, 2024 123</w:t>
        <w:br/>
        <w:t>Figure 4 - Page extracted from the corporate website of FRC, funerariaromacapitale.com</w:t>
        <w:br/>
        <w:t>Figure 5 - Page extracted from the corporate website of FRC, amafuneraliroma.it</w:t>
      </w:r>
    </w:p>
    <w:p>
      <w:r>
        <w:t>124 BULLETIN NO. 32 OF AUGUST 12, 2024</w:t>
        <w:br/>
        <w:t>Figure 6 - Page extracted from the corporate website of FRC, amaservizifunebricomunali.com</w:t>
        <w:br/>
        <w:t>17. Furthermore, on the Professional's websites, videos frequently appear featuring the logo “SPQR” on a red shield, which is well-known as distinguishing the Municipality of Rome (Figure 7).</w:t>
        <w:br/>
        <w:t>Figure 7 - Page extracted from the corporate website of FRC, amafuneraliroma.it</w:t>
      </w:r>
    </w:p>
    <w:p>
      <w:r>
        <w:t>BULLETIN NO. 32 OF AUGUST 12, 2024 125</w:t>
        <w:br/>
        <w:t>18. Finally, the association between the name “ama” and the Professional's websites remains active, capable of distorting the results of consumers' online searches, also through possible sponsorships (Figure 8).</w:t>
        <w:br/>
        <w:t>Figure 8 - Extract from the Google search engine page, with the query “ama servizi funebri”</w:t>
        <w:br/>
        <w:t>19. The municipal company AMA S.p.A., commissioned by the Municipality of Rome for the management of the Capitolini Cemeteries, through the Directorate of Capitolini Cemeteries, indeed carries out the “Cemetery Management Service” for the eleven cemeteries of Rome Capital: this service, which is regulated by a Service Contract with Rome Capital, includes, among other things, the management of concessions (for niches and areas for private graves) and cemetery operations (burial/exhumation, interment/exhumation, cremation, other activities related to cemetery operations), while it does not include the provision of funeral services, which are offered on the free market by professionals in the sector3.</w:t>
        <w:br/>
        <w:t>20. Within the same Service Contract, AMA S.p.A. also provides so-called Charity Services, thereby ensuring a burial and a dignified service free of charge, upon notification by the competent Authorities, for lonely, abandoned individuals or those belonging to needy families4.</w:t>
        <w:br/>
        <w:t>III.3. The Defensive Arguments of the Party</w:t>
        <w:br/>
        <w:t>21. The Professional defended himself by arguing, preliminarily, that the use of the term “Roma Capitale,” corresponding to the company's name, responds to a purely territorial logic, aimed at informing the average consumer about the market area in which it operates. In fact, the Company has been conducting its commercial activity exclusively in the territory of the Municipality of Rome since 2017, and by choosing this name, it has therefore pursued the “strategic need, from a marketing perspective, to geographically circumscribe the market for funeral services and, consequently, the consumer base.” In this sense, FRC argues that</w:t>
        <w:br/>
        <w:t>3 Cf. www.cimitericapitolini.it/servizi/servizi-cimiteriali.</w:t>
        <w:br/>
        <w:t>4 Cf. website www.cimitericapitolini.it/onoranze-funebri/servizi-in-beneficenza.</w:t>
      </w:r>
    </w:p>
    <w:p>
      <w:r>
        <w:rPr>
          <w:b/>
        </w:rPr>
        <w:t>[Pages 124–126]</w:t>
      </w:r>
    </w:p>
    <w:p>
      <w:r>
        <w:t>126 BULLETIN NO. 32 OF AUGUST 12, 2024</w:t>
        <w:br/>
        <w:t>there is no "intention to associate the funeral activity, territorially carried out in the municipality of Rome, with the Municipality of Rome Capital, as a public entity"5.</w:t>
      </w:r>
    </w:p>
    <w:p>
      <w:r>
        <w:t>22. Similarly, regarding the use, on its websites, of the wording "Official Agency of the Municipality of Rome," the Company argues that this should be understood as "operating officially in the territory of the Municipality of Rome" with the authorizations/licenses for funeral services. Furthermore, the Professional, starting from March 18, 2024, has replaced on its websites "the aforementioned wording 'Official Agency of the Municipality of Rome' with the different 'Agency Authorized by the Municipality of Rome'"6.</w:t>
      </w:r>
    </w:p>
    <w:p>
      <w:r>
        <w:t>23. Regarding the use of the "SPQR" logo, FRC stated that, since it is a "symbol of Roman tradition and not of the Municipality of Rome Capital," its use does not imply any association between the commercial activity of the funeral agency and this public entity, nor any unfair/deceptive commercial practice. Moreover, the "SPQR" logo has been removed from the shop sign for over three years, replaced by a similar red shield with the initials S.F.R.7.</w:t>
      </w:r>
    </w:p>
    <w:p>
      <w:r>
        <w:t>24. The Professional also argued that the alleged "commercial" association with AMA cannot be classified as an unfair commercial practice, as AMA S.p.A. does not offer funeral services, as stated by the municipal company itself8.</w:t>
      </w:r>
    </w:p>
    <w:p>
      <w:r>
        <w:t>25. FRC finally highlighted that, since the price lists are present on all the websites of the funeral agencies, the user has the opportunity to freely choose the agency based on the prices offered, emphasizing that it itself "has always published, on its websites, the prices of the services offered, thus allowing the consumer to compare them with the market and choose consciously"9.</w:t>
      </w:r>
    </w:p>
    <w:p>
      <w:r>
        <w:t>26. Lastly, FRC requested that its willingness to comply with the Authority's prescriptions, through the immediate implementation of the commitments presented, be considered for the calculation of any monetary sanction10.</w:t>
      </w:r>
    </w:p>
    <w:p>
      <w:r>
        <w:t>III.4. Modifications to the conduct carried out during the investigation</w:t>
        <w:br/>
        <w:t>27. In a memorandum dated February 22, 202411, the Professional communicated that it had removed the "SPQR" logo from the shop sign even before the initiation of the procedure, replacing it with a logo containing the corporate initials S.F.R. (Servizi Funebri Comunali), always on a red heraldic shield.</w:t>
      </w:r>
    </w:p>
    <w:p>
      <w:r>
        <w:t>28. Furthermore, FRC reported that it has proceeded to the spontaneous implementation of the commitments presented pursuant to Article 9 of the Regulation12 to the extent that it has removed from its corporate websites (www.funerariaromacapitale.com, www.amafuneraliroma.it, www.amaonoranzefunebriroma.com and www.amaservizifunebricomunali.com) the wording "Official Agency of the Municipality of Rome," replacing it with the wording "Agency Authorized by the Municipality of Rome."</w:t>
      </w:r>
    </w:p>
    <w:p>
      <w:r>
        <w:t>IV. OPINION OF THE AUTHORITY FOR GUARANTEES IN COMMUNICATIONS</w:t>
        <w:br/>
        <w:t>29. Since the conduct subject to this provision was carried out via the internet, on June 7, 2024, the opinion of the Authority for Guarantees in Communications was requested, pursuant to Article 27, paragraph 6, of the Consumer Code.</w:t>
      </w:r>
    </w:p>
    <w:p>
      <w:r>
        <w:t>30. In an opinion received on June 28, 2024, the aforementioned Authority deemed that the means of communication and purchase used in relation to the service offered by the Company is suitable for developing a significant impact on consumers who, based on the information present on the website used by the Company, could be led to make a commercial decision that they would not otherwise have made, thus concretely developing the full potential of the promotional and sales methods used.</w:t>
      </w:r>
    </w:p>
    <w:p>
      <w:r>
        <w:t>V. EVALUATION OF THE CONDUCT</w:t>
        <w:br/>
        <w:t>31. Preliminary, it is noted that the Authority had offered FRC the opportunity to spontaneously remove the profiles of possible misleadingness found in the messages disseminated by it through an intervention of moral suasion pursuant to Article 4, paragraph 5, of the Consumer Code. FRC, despite having had repeated opportunities for discussion with the Authority's investigative offices, also benefiting from significantly extended deadlines to comply with the received indications, did not adequately modify its advertising communications. This led to the initiation of the present procedure.</w:t>
      </w:r>
    </w:p>
    <w:p>
      <w:r>
        <w:t>32. The procedure concerns the commercial practice carried out by FRC consisting of using on its corporate websites, amaservizifunebricomunali.com, amafuneraliroma.it, amaonoranzefunebriroma.com, and funerariaromacapitale.com, acronyms, wording, and graphic symbols, all of which are capable, both individually considered and, above all, due to the message they collectively convey, of generating in consumers the false belief that the Professional is directly connected with the Municipality of Rome or with the public municipal company (AMA S.p.A.), or that it is an entity operating on behalf of the same AMA S.p.A. or the municipal administration.</w:t>
      </w:r>
    </w:p>
    <w:p>
      <w:r>
        <w:t>33. In fact, the use of the acronym "AMA," as well as wording such as "AMA ONORANZE FUNEBRI ROMA: OFFICIAL SITE," "OFFICIAL AMA SITES," "A.M.A. SERVIZI FUNEBRI COMUNALI ROMA," "AGENCY AUTHORIZED BY THE MUNICIPALITY OF ROME OFFICIAL AMA SITES," "AMA FUNERALI ROMA," and also "FUNERAL SERVICES AMA," are suitable to imply that there is a supply relationship between FRC and the Municipality of Rome and/or the Municipal Environment Company S.p.A., also known as AMA S.p.A. The constant reference on FRC's websites to "transparent municipal rates" also contributes to generating the misunderstanding in question, as the funeral services of the professional are offered on the free market and are not subject to any tariff regulation by the Municipality of Rome.</w:t>
      </w:r>
    </w:p>
    <w:p>
      <w:r>
        <w:t>34. In light of the overall misleading references to the public entity Municipality of Rome and the public company AMA S.p.A., the replacement of the wording "Official Agency of the Municipality of Rome" with the phrase "Agency Authorized by the Municipality of Rome" does not, by itself, remedy the confusing effect overall caused by the other described indications present on the professional's websites. Similarly, FRC has limited itself to replacing the heraldry with the "SPQR" logo on the shop window, with a similar red shield and the writing "SFR," and, moreover, it has emerged that, even after the initiation of the procedure, the Professional has continued to use on some corporate websites such as, for example, amafuneraliroma.it, videos in which the red shield with the "SPQR" logo, symbol of the Municipality of Rome, appears.</w:t>
      </w:r>
    </w:p>
    <w:p>
      <w:r>
        <w:t>35. Finally, from the latest official findings, the association between the name AMA and the Professional's websites continues to emerge, distorting the results of consumers' online searches, also through possible sponsorships, since when a search is made on the internet for "ama funeral services" or "ama funeral honors," the Professional's websites continue to appear among the top results.</w:t>
      </w:r>
    </w:p>
    <w:p>
      <w:r>
        <w:t>36. In reality, the municipal company A.M.A. S.p.A. - commonly known by the acronym AMA or A.M.A. - as specified by AMA S.p.A. itself, has not offered funeral services to the general public since 2017, limiting itself to providing essential services to indigent citizens, but is exclusively concerned with the management of cemetery sites located in the municipal territory of Rome, and has not entered into collaboration agreements with operators offering funeral services13.</w:t>
      </w:r>
    </w:p>
    <w:p>
      <w:r>
        <w:t>37. Consequently, the use of acronyms, names, and graphic symbols of the type mentioned, on FRC's corporate websites, constitutes a misleading commercial practice, as it is capable of misleading the consumer regarding the relationship between the professional and the municipal company AMA S.p.A., to which the Municipality of Rome has entrusted the management of the cemetery areas present in the municipal territory.</w:t>
      </w:r>
    </w:p>
    <w:p>
      <w:r>
        <w:t>38. The described methods of presenting funeral services on the Professional's corporate websites, as they are capable of misleading the average consumer regarding the nature and qualifications of the operator and omitting relevant information that the consumer needs to make an informed decision, therefore constitute a violation of Articles 20, 21, letter f), and 22 of the Consumer Code, as they induce the consumer to the false belief that it is an operator carrying out its activity on behalf of the Municipality of Rome and/or its service companies.</w:t>
      </w:r>
    </w:p>
    <w:p>
      <w:r>
        <w:t>39. Specifically, the undue references to the Municipality of Rome and to AMA S.p.A. contained in the Professional's corporate websites suggest the existence of forms of collaboration between these entities and FRC itself, generating in consumers the presumption of formal and substantial guarantees typical of operators linked to the public system by a direct collaboration relationship or by forms of agreement.</w:t>
      </w:r>
    </w:p>
    <w:p>
      <w:r>
        <w:t>40. Such misleading methods used in the presentation of the Professional's corporate internet pages are suitable to "capture" the attention of those experiencing a bereavement and may, therefore, be in conditions of particular vulnerability. The consumer can, in fact, be misled by the belief that they are dealing with companies connected to AMA S.p.A. or the Municipality of Rome and that they would apply municipal and/or regulated rates or, in any case, be dealing with companies directly connected to the municipal administration.</w:t>
      </w:r>
    </w:p>
    <w:p>
      <w:r>
        <w:rPr>
          <w:b/>
        </w:rPr>
        <w:t>[Pages 127–129]</w:t>
      </w:r>
    </w:p>
    <w:p>
      <w:r>
        <w:t>BULLETIN NO. 32 OF AUGUST 12, 2024 129</w:t>
      </w:r>
    </w:p>
    <w:p>
      <w:r>
        <w:t>VI. QUANTIFICATION OF THE SANCTION</w:t>
      </w:r>
    </w:p>
    <w:p>
      <w:r>
        <w:t>41. Pursuant to Article 27, paragraph 9, of the Consumer Code, with the provision that prohibits the unfair commercial practice, the Authority imposes an administrative pecuniary sanction ranging from 5,000 to 10,000,000 euros, taking into account the severity and duration of the violation.</w:t>
      </w:r>
    </w:p>
    <w:p>
      <w:r>
        <w:t>42. Regarding the quantification of the sanction, account must be taken, where applicable, of the criteria identified by Article 11 of Law No. 689/1981,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43. With regard to the severity of the violation, consideration is given in the case at hand to the specificity of the internet network, which is inherently capable of reaching a multitude of users, as well as the type of consumers who benefit from the services in question, characterized by being victims of a recent bereavement and consequently in a condition of particular vulnerability.</w:t>
      </w:r>
    </w:p>
    <w:p>
      <w:r>
        <w:t>44. Furthermore, account is taken of the economic size of the Professional, who, in the fiscal year 2023, achieved a turnover of 1,591,34314.</w:t>
      </w:r>
    </w:p>
    <w:p>
      <w:r>
        <w:t>45. As for the actions taken by the agent, the request by FRC to value, for the purpose of calculating the sanction, the alleged cooperation provided by the same during the proceedings cannot be accepted. The cooperative attitude of the party can, in fact, be relevant for the quantification of the sanction only where it goes beyond what is required by legal obligations and must also manifest itself in a particularly effective manner, a circumstance that is excluded in the present case. In fact, as highlighted above, the initiatives taken by FRC, in addition to having occurred after the initiation of the proceedings, despite the Authority having promoted the removal of the misleading profiles in question, pursuant to Article 4, paragraph 5, of the Consumer Code, were not suitable to remedy the confusing effects described above.</w:t>
      </w:r>
    </w:p>
    <w:p>
      <w:r>
        <w:t>46. Regarding the duration of the violation, from the available evidence in the records, it appears that the conduct in question has been carried out at least since February 202315, and is still ongoing.</w:t>
      </w:r>
    </w:p>
    <w:p>
      <w:r>
        <w:t>47. In light of these elements, it is deemed appropriate to determine the amount of the applicable administrative pecuniary sanction at 30,000 euros (thirty thousand euros).</w:t>
      </w:r>
    </w:p>
    <w:p>
      <w:r>
        <w:t>CONSIDERING, therefore, that the commercial practice consisting of the use by Funeraria Roma Capitale S.r.l. of phrases such as “AMA ONORANZE FUNEBRI ROMA: SITO UFFICIALE”, “SITI UFFICIALI AMA”, on its corporate websites, (www.funerariaromacapitale.com, www.amafuneraliroma.it, www.amaonoranzefunebriroma.com and www.amaservizifunebricomunali.com), as well as the use on the same sites of the logo “SPQR” on heraldry with a red shield and the association between the name “AMA” and the Professional's sites on search engines, based on the aforementioned considerations and taking into account the opinion of the Authority for Guarantees in Communications, is deemed unfair pursuant to Articles 20, 21 letter f) and 22 of the Consumer Code;</w:t>
      </w:r>
    </w:p>
    <w:p>
      <w:r>
        <w:t>14 Cf. final defensive memorandum, annex 2, cited.</w:t>
      </w:r>
    </w:p>
    <w:p>
      <w:r>
        <w:t>15 Cf. AMA report, cited.</w:t>
      </w:r>
    </w:p>
    <w:p>
      <w:r>
        <w:t>130 BULLETIN NO. 32 OF AUGUST 12, 2024</w:t>
      </w:r>
    </w:p>
    <w:p>
      <w:r>
        <w:t>RESOLVES</w:t>
      </w:r>
    </w:p>
    <w:p>
      <w:r>
        <w:t>a) that the commercial practice described in point II of this provision, relating to the use of phrases such as “AMA ONORANZE FUNEBRI ROMA: SITO UFFICIALE”, “SITI UFFICIALI AMA”, “A.M.A. SERVIZI FUNEBRI COMUNALI ROMA”, “AGENZIA AUTORIZZATA DAL COMUNE DI ROMA Siti ufficiali AMA”, “AMA FUNERALI ROMA” and “POMPE FUNEBRI AMA”, on its corporate websites, (www.amaservizifunebricomunali.com, www.funerariaromacapitale.com, www.amafuneraliroma.it, www.amaonoranzefunebriroma.com), as well as the use on its sites of the logo “SPQR” on heraldry with a red shield and the association between the name “AMA” and the Professional's sites on search engines, carried out by the company Funeraria Roma Capitale S.r.l., constitutes, for the reasons and within the limits set out in the motivation, an unfair commercial practice pursuant to Articles 20, 21 letter f) and 22 of the Consumer Code, and prohibits its continuation;</w:t>
      </w:r>
    </w:p>
    <w:p>
      <w:r>
        <w:t>b) to impose on the company Funeraria Roma Capitale S.r.l. an administrative pecuniary sanction of 30,000 euros (thirty thousand euros);</w:t>
      </w:r>
    </w:p>
    <w:p>
      <w:r>
        <w:t>c) that the professional communicates to the Authority, within ninety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Guarantee of Competition and the Market.</w:t>
      </w:r>
    </w:p>
    <w:p>
      <w:r>
        <w:t>BULLETIN NO. 32 OF AUGUST 12, 2024 131</w:t>
      </w:r>
    </w:p>
    <w:p>
      <w:r>
        <w:t>Pursuant to Article 27, paragraph 12, of the Consumer Code, in case of non-compliance with the provision, the Authority applies an administrative pecuniary sanction ranging from 10,000 to 10,000,000 euros. In cases of repeated non-compliance, the Authority may order the suspension of business activities for a period not exceeding thirty days.</w:t>
      </w:r>
    </w:p>
    <w:p>
      <w: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rPr>
          <w:b/>
        </w:rPr>
        <w:t>[Pages 130–132]</w:t>
      </w:r>
    </w:p>
    <w:p>
      <w:r>
        <w:t>132 BULLETIN NO. 32 OF AUGUST 12, 2024</w:t>
        <w:br/>
        <w:t>IP367 – MULPOR - INTERNATIONAL FAIRS DIRECTORY</w:t>
        <w:br/>
        <w:t>Notice of extension of the deadline for the conclusion of the procedure and replacement of the person responsible for the procedure</w:t>
        <w:br/>
        <w:t>ANTITRUST AUTHORITY</w:t>
        <w:br/>
        <w:t>Notice of extension of the deadline for the conclusion of the procedure, pursuant to Article 19, paragraphs 2 and 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IP367 - MULPOR - INTERNATIONAL FAIRS DIRECTORY.</w:t>
        <w:br/>
        <w:t>The publication of this communication in the weekly bulletin of the Antitrust Authority is made pursuant to and for the effects of Article 19, paragraphs 2 and 3, of the Regulation, given the unsuccessful outcome of the attempt to transmit to the company IBCM International Business Convention Management Ltd the initiation of the procedure, carried out on December 14, 2023, by requesting collaboration from the Embassy of Italy in Nicosia (Cyprus). The Embassy has indicated that it was not possible to notify the act at the company's registered office.</w:t>
        <w:br/>
        <w:t>For any communication addressed to the Authority regarding the case in question, please refer to the Directorate for credit, insurance, postal services, tourism, and sports of the Consumer Protection Department – 2 and the reference IP367.</w:t>
        <w:br/>
        <w:t>---</w:t>
        <w:br/>
        <w:t>IP367 - MULPOR - INTERNATIONAL FAIRS DIRECTORY</w:t>
        <w:br/>
        <w:t>Communication of extension of the deadline for the conclusion of the procedure and replacement of the person responsible for the procedure</w:t>
        <w:br/>
        <w:t>SUBJECT: extension of the deadline for the conclusion of procedure IP/367, pursuant to Article 7, paragraph 3,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and change of the person responsible for the procedure.</w:t>
        <w:br/>
        <w:t>With reference to the procedure in question, initiated on November 28, 2023, against Mulpor Company s.r.l. and IBCM International Business Convention Management Ltd., it is communicated that the Authority, in its meeting of July 23, 2024, has resolved to extend the deadline for the conclusion of the procedure by 59 days, considering the newly arisen investigative needs.</w:t>
        <w:br/>
        <w:t>Therefore, the deadline for the conclusion of the procedure is extended to September 20, 2024.</w:t>
      </w:r>
    </w:p>
    <w:p>
      <w:r>
        <w:t>BULLETIN NO. 32 OF AUGUST 12, 2024 133</w:t>
        <w:br/>
        <w:t>It is also communicated that, due to newly arisen organizational needs, the person responsible for the procedure, Dr. Elena Pauri, is replaced by Dr. Marina Monteleone.</w:t>
      </w:r>
    </w:p>
    <w:p>
      <w:r>
        <w:t>134 BULLETIN NO. 32 OF AUGUST 12, 2024</w:t>
        <w:br/>
        <w:t>PS12666 - BCUBE AGENCY - SALE OF LIKES</w:t>
        <w:br/>
        <w:t>Notice of extension of the deadline for the conclusion of the procedure</w:t>
        <w:br/>
        <w:t>THE ANTITRUST AUTHORITY</w:t>
        <w:br/>
        <w:t>Notice of extension of the deadline for the conclusion of the procedure,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in relation to procedure PS/12666.</w:t>
        <w:br/>
        <w:t>I. THE PARTY</w:t>
        <w:br/>
        <w:t>BCUBE Agency S.A.R.L. (hereinafter, BCUBE), as a professional pursuant to Article 18, letter b) of Legislative Decree No. 206 of September 6, 2005 and subsequent amendments, containing the “Consumer Code.” The company, based in France, provides services related to social media marketing in Italy through the website https://www.bcubeagency.com/it/, offering for sale various types of “interactions/likes” (fans/likes, followers, likes, comments, video/reels/stories views, friends, etc.), and “comments” among users, intended for most existing digital social media platforms (Instagram, Facebook, Twitter, YouTube, Spotify, TikTok, and Twitch).</w:t>
        <w:br/>
        <w:t>II. NOTICE</w:t>
        <w:br/>
        <w:t>Hereby, the Party is informed that the deadline for the conclusion of the procedure is extended by sixty days, in order to grant BCUBE a reasonable period for the exercise of the right of defense, following the Communication of the deadline for the conclusion of the investigative phase1, set for September 2, 2024, as well as to allow the completion of further procedural obligations.</w:t>
        <w:br/>
        <w:t>Therefore, the new deadline for the conclusion of the procedure is set for November 4, 2024.</w:t>
        <w:br/>
        <w:t>The publication of this notice in the weekly bulletin of the Antitrust Authority is made pursuant to and for the effects of Article 19, paragraph 2 of the Regulation, given the lack of responses to the attempts to transmit the Communication assigning the burden of proof (prot. 0045281 of May 3, 2024), carried out on May 3, 2024, by international courier. In this case, in fact, BCUBE Agency S.A.R.L. was found to be unreachable at the physical address (40 Bd Jean Moulin, 83700 Saint-Raphael, France) still indicated on its website (https://www.bcubeagency.com/it/) as well as in the Registre National Des Enterprises (https://data.inpi.fr/), to which the Communication initiating the procedure (prot. 0100990 of December 5, 2023) and the request for information (prot. 0022893 of February 16, 2024) had been correctly delivered by courier.</w:t>
        <w:br/>
        <w:t>1 This investigative act was transmitted to the Company by international courier on July 16, 2024, and is recorded as delivered; furthermore, the same act was published in the Authority's Bulletin of July 22, 2024 (no. 29/24).</w:t>
      </w:r>
    </w:p>
    <w:p>
      <w:r>
        <w:rPr>
          <w:b/>
        </w:rPr>
        <w:t>[Pages 133–134]</w:t>
      </w:r>
    </w:p>
    <w:p>
      <w:r>
        <w:t>BULLETIN NO. 32 OF AUGUST 12, 2024 135</w:t>
      </w:r>
    </w:p>
    <w:p>
      <w:r>
        <w:t>international to the same physical address. Consequently, the aforementioned investigative act, as well as the subsequent ones, have been published in the Authority's Bulletin2.</w:t>
      </w:r>
    </w:p>
    <w:p>
      <w:r>
        <w:t>For any communication addressed to the Authority regarding the case in question, please cite the Digital Platforms and Communications Directorate of the Department for Consumer Protection - 1 and the reference PS/12666.</w:t>
      </w:r>
    </w:p>
    <w:p>
      <w:r>
        <w:t>2 In particular, the Communication assigning the burden of proof was published in Bulletin no. 21 of May 27, 2024, the previous extension of the deadline for concluding the proceedings in Bulletin no. 26 of July 1, 2024, and the Communication of the deadline for concluding the investigative phase in Bulletin no. 29 of July 22, 2024.</w:t>
      </w:r>
    </w:p>
    <w:p>
      <w:r>
        <w:t>Antitrust Authority Weekly Bulletin</w:t>
      </w:r>
    </w:p>
    <w:p>
      <w:r>
        <w:t>of competition and the market Year XXXIV - No. 32 - 2024</w:t>
      </w:r>
    </w:p>
    <w:p>
      <w:r>
        <w:t>Editorial coordination Giulia Antenucci</w:t>
      </w:r>
    </w:p>
    <w:p>
      <w:r>
        <w:t>Editorial staff Angela D’Auria, Valerio Ruocco, Manuela Villani</w:t>
      </w:r>
    </w:p>
    <w:p>
      <w:r>
        <w:t>Antitrust Authority</w:t>
      </w:r>
    </w:p>
    <w:p>
      <w:r>
        <w:t>Document management, protocol and statistical services Directorate</w:t>
      </w:r>
    </w:p>
    <w:p>
      <w:r>
        <w:t>Piazza Giuseppe Verdi, 6/a - 00198 Rome</w:t>
      </w:r>
    </w:p>
    <w:p>
      <w:r>
        <w:t>Tel.: 06-858211 Fax: 06-85821256</w:t>
      </w:r>
    </w:p>
    <w:p>
      <w:r>
        <w:t>Web: https://www.agcm.it</w:t>
      </w:r>
    </w:p>
    <w:p>
      <w:r>
        <w:t>Graphic realization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