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https://www.agcm.it/dotcmsdoc/bollettini/2025/32-25.pdf</w:t>
      </w:r>
    </w:p>
    <w:p>
      <w:r>
        <w:t>Pages translated : 234</w:t>
      </w:r>
    </w:p>
    <w:p/>
    <w:p>
      <w:r>
        <w:rPr>
          <w:b/>
        </w:rPr>
        <w:t>[Pages 1–3]</w:t>
      </w:r>
    </w:p>
    <w:p>
      <w:r>
        <w:t>Bulletin</w:t>
        <w:br/>
        <w:t>Weekly</w:t>
        <w:br/>
        <w:t>Year XXXV - No. 32</w:t>
        <w:br/>
        <w:t>Published on the website www.agcm.it</w:t>
        <w:br/>
        <w:t>August 18, 2025</w:t>
      </w:r>
    </w:p>
    <w:p>
      <w:r>
        <w:t>SUMMARY</w:t>
        <w:br/>
        <w:t>AGREEMENTS AND ABUSE OF DOMINANT POSITION 5</w:t>
        <w:br/>
        <w:t>A557 - ENEL X WAY AND EWIVA/ABUSIVE CONDUCT IN THE ELECTRIC CHARGING SERVICES MARKET</w:t>
        <w:br/>
        <w:t>Decision No. 31646 5</w:t>
        <w:br/>
        <w:t>A568B - TRAVEL AGENCIES/RYANAIR FLIGHT BOOKINGS - INFORMATION PROVIDED</w:t>
        <w:br/>
        <w:t>Decision No. 31647 76</w:t>
        <w:br/>
        <w:t>I869 - AMA VEHICLE MAINTENANCE TENDER</w:t>
        <w:br/>
        <w:t>Decision No. 31654 117</w:t>
        <w:br/>
        <w:t>CONCENTRATION OPERATIONS 123</w:t>
        <w:br/>
        <w:t>C12722 - PHARMACY OPERATORS COOPERATIVE/UNICO THE PHARMACY OF PHARMACISTS/NEWCO</w:t>
        <w:br/>
        <w:t>Decision No. 31648 123</w:t>
        <w:br/>
        <w:t>C12725 - MEDIOBANCA–BANK OF FINANCIAL CREDIT/BANCA GENERALI</w:t>
        <w:br/>
        <w:t>Decision No. 31649 195</w:t>
        <w:br/>
        <w:t>C12730 - UNIPOL INSURANCE/CRONOS LIFE INSURANCE ASSET</w:t>
        <w:br/>
        <w:t>Decision No. 31650 208</w:t>
        <w:br/>
        <w:t>C12735 - MARIGLIANO/ENERGIA ITALIA</w:t>
        <w:br/>
        <w:t>Decision No. 31651 213</w:t>
        <w:br/>
        <w:t>C12741 - OVS/GOLDENPOINT</w:t>
        <w:br/>
        <w:t>Decision No. 31652 217</w:t>
        <w:br/>
        <w:t>C12742 - UNES MAXI/BRANCHES OF GREEN MARKET-SPEEDY MARKET</w:t>
        <w:br/>
        <w:t>Decision No. 31653 221</w:t>
        <w:br/>
        <w:t>REPORTING AND CONSULTATIVE ACTIVITIES 226</w:t>
        <w:br/>
        <w:t>AS2096 - MUNICIPALITY OF FLORENCE - MANAGEMENT OF LOCAL PUBLIC SERVICES OF ECONOMIC RELEVANCE 226</w:t>
        <w:br/>
        <w:t>UNFAIR TRADE PRACTICES 230</w:t>
        <w:br/>
        <w:t>PS10684B - VODAFONE-DISTANCE CONTRACTS/EXECUTION DURING WITHDRAWAL PERIOD-REDETERMINATION OF SANCTION</w:t>
        <w:br/>
        <w:t>Decision No. 31655 230</w:t>
      </w:r>
    </w:p>
    <w:p>
      <w:r>
        <w:t>BULLETIN NO. 32 OF AUGUST 18, 2025 5</w:t>
        <w:br/>
        <w:t>AGREEMENTS AND ABUSE OF DOMINANT POSITION</w:t>
        <w:br/>
        <w:t>A557 - ENEL X WAY AND EWIVA/ABUSIVE CONDUCT IN THE ELECTRIC CHARGING SERVICES MARKET</w:t>
        <w:br/>
        <w:t>Decision No. 31646</w:t>
        <w:br/>
        <w:t>THE ANTITRUST AUTHORITY</w:t>
        <w:br/>
        <w:t>IN ITS MEETING of July 29, 2025;</w:t>
        <w:br/>
        <w:t>HEARD the Rapporteur, President Roberto Rustichelli;</w:t>
        <w:br/>
        <w:t>HAVING REGARD to Article 102 of the Treaty on the Functioning of the European Union;</w:t>
        <w:br/>
        <w:t>HAVING REGARD to Regulation (EC) No. 1/2003 of the Council of December 16, 2002;</w:t>
        <w:br/>
        <w:t>HAVING REGARD to Law No. 287 of October 10, 1990;</w:t>
        <w:br/>
        <w:t>HAVING REGARD to the Presidential Decree No. 217 of April 30, 1998;</w:t>
        <w:br/>
        <w:t>HAVING REGARD to its resolution of April 4, 2023, No. 30576, which initiated an investigation pursuant to Article 14 of Law No. 287/1990, against Enel X Way Italia S.r.l., Enel X Way S.r.l. and Ewiva S.r.l., to ascertain the existence of possible violations of Article 102 of the TFEU;</w:t>
        <w:br/>
        <w:t>HAVING REGARD to the participation requests submitted on April 17, 2023, by the companies Be Charge S.r.l. and Be Power S.p.A. pursuant to Article 7, paragraph 1, letter b), of Presidential Decree No. 217/98 and subsequently accepted;</w:t>
        <w:br/>
        <w:t>HAVING REGARD to the communications of September 13, 2023, in which Enel X Way Italia S.r.l., Enel X Way S.r.l. and Ewiva S.r.l. submitted commitments pursuant to Article 14-ter of Law No. 287/90;</w:t>
        <w:br/>
        <w:t>HAVING REGARD to its resolution of October 24, 2023, No. 30842, which ordered the rejection of the commitments submitted by Enel X Way Italia S.r.l., Enel X Way S.r.l. and Ewiva S.r.l.;</w:t>
        <w:br/>
        <w:t>HAVING REGARD to its resolutions of May 28, 2024, No. 31221 and November 26, 2024, No. 31383, which ordered subsequent extensions of the deadline for concluding the proceeding, due to the complexity of the case analyzed, also in light of the embryonic stage of the relevant markets and the resulting scarcity of information and lack of previous economic and competitive analyses related to them;</w:t>
        <w:br/>
        <w:t>HAVING REGARD to its resolution of May 13, 2025, No. 31549, which ordered the continuation of the proceeding against the companies Enel X S.r.l., in which as of January 1, 2025, Enel X Way S.r.l. was merged by incorporation;</w:t>
        <w:br/>
        <w:t>HAVING REGARD to the Communication of the Investigative Findings and the deadline for closing the evidence acquisition phase, sent to the Parties on May 30, 2025;</w:t>
        <w:br/>
        <w:t>HAVING REGARD to the submissions made by the companies Route220 S.r.l., on July 4, 2025, Enel X S.r.l., Enel X Way Italia S.r.l. and Ewiva S.r.l., on July 5, 2025;</w:t>
      </w:r>
    </w:p>
    <w:p>
      <w:r>
        <w:rPr>
          <w:b/>
        </w:rPr>
        <w:t>[Pages 4–6]</w:t>
      </w:r>
    </w:p>
    <w:p>
      <w:r>
        <w:t>6 BULLETIN NO. 32 OF AUGUST 18, 2025</w:t>
      </w:r>
    </w:p>
    <w:p>
      <w:r>
        <w:t>HEARD in the final hearing, on July 15, 2025, the representatives of the companies Enel X S.r.l., Enel X Way Italia S.r.l., Ewiva S.r.l. and Route220 S.r.l. who had requested it;</w:t>
      </w:r>
    </w:p>
    <w:p>
      <w:r>
        <w:t>SEEN the acts of the proceeding and the documentation acquired during the investigation;</w:t>
      </w:r>
    </w:p>
    <w:p>
      <w:r>
        <w:t>CONSIDERED the following:</w:t>
      </w:r>
    </w:p>
    <w:p>
      <w:r>
        <w:t>1. THE PARTIES</w:t>
        <w:br/>
        <w:t>1. Enel X Way Italia S.r.l. (hereinafter, "Enel X Way Italia" or "EXWI"; VAT No. 16645681004) is the company of the Enel Group dedicated, among other things, to the installation and management of publicly accessible electric vehicle charging infrastructures throughout the national territory (role of so-called "CPO", see infra). The company was established on March 28, 2022 (with business activity starting on April 1, 2022). Previously, the Enel Group carried out the same activities through different corporate vehicles1. EXWI is currently 100% controlled by Enel X S.r.l., which is itself wholly controlled by Enel S.p.A. Until December 31, 2024, EXWI was controlled by Enel X Way S.r.l., a company active as MSP for the group until that date (a role subsequently taken over, as further specified later, by Enel X S.r.l.). EXWI generated revenue of approximately [44-100]* million euros in 2024.</w:t>
      </w:r>
    </w:p>
    <w:p>
      <w:r>
        <w:t>2. Enel X Way S.r.l. (hereinafter, "Enel X Way" or "EXW"; VAT No. 16645661006) was, until December 31, 2024, an additional company dedicated to the activities of the Enel Group in the electric mobility sector, wholly controlled by the parent company Enel S.p.A. and also established on March 28, 2022 (with business activity starting on April 1, 2022). In particular, the company, during the period of interest for the conduct subject to the investigation, acted as the so-called "MSP" for the Enel Group (see infra). Enel X Way has been merged into Enel X S.r.l. as of January 1, 2025, which has continued its activities as MSP for the group. Enel X S.r.l. is in turn 100% controlled by the parent company Enel S.p.A. EXW generated revenue of approximately [44-100] million euros in 2024.</w:t>
      </w:r>
    </w:p>
    <w:p>
      <w:r>
        <w:t>3. Enel X S.r.l. (hereinafter, "Enel X", VAT No. 09945270966) has succeeded Enel X Way in carrying out its activities and as a party to this proceeding following the merger by incorporation, as formalized by the Authority's provision of May 13, 2025. Enel X therefore currently plays the role of MSP for the Enel Group in the electric mobility sector. Enel X generated revenue of approximately [100-440] million euros in 2024.</w:t>
      </w:r>
    </w:p>
    <w:p>
      <w:r>
        <w:t>4. Ewiva S.r.l. (hereinafter, "Ewiva" or the "JV"; VAT No. 16223171006) is a joint venture equally owned by Enel X S.r.l. and Volkswagen Finance Luxembourg S.A., a company of the Volkswagen Group (hereinafter also "Volkswagen"). Ewiva operates in the electric mobility sector, particularly through the installation, commissioning, and management, as a CPO, of high-power charging points (hereinafter, "HPC"). Ewiva was established on June 10, 2021, with business activity starting on December 30, 20212. The Enel Group's stake in Ewiva was previously held, until December 31, 2024, by Enel X Way S.r.l. Ewiva generated revenue of approximately [1-10] million euros in 2024.</w:t>
      </w:r>
    </w:p>
    <w:p>
      <w:r>
        <w:t>Reporting Party</w:t>
        <w:br/>
        <w:t>5. Route220 S.r.l. (hereinafter, "Route220"; VAT No. 08671940966), the reporting party in this proceeding, is a company that has been operating in electric vehicle charging services since 2014, initially using a licensed European app and subsequently, starting in 2016, through its own app and under the registered trademark "evway." More specifically, Route220 operates in the electric mobility supply chain essentially as an MSP, thus offering charging services to customers (and ancillary services), based on the signing of interoperability agreements with various CPOs3.</w:t>
      </w:r>
    </w:p>
    <w:p>
      <w:r>
        <w:t>Third Parties Involved</w:t>
        <w:br/>
        <w:t>6. Be Charge S.r.l. (hereinafter, "Be Charge", controlled company; VAT No. 09957510960) and Be Power S.p.A. (hereinafter, "Be Power", controlling company, VAT No. 09950180969, which is itself wholly owned by ENI Plenitude S.p.A. Società Benefit) are companies belonging to the ENI group active in the electric mobility sector, both as CPOs and MSPs, which have requested and obtained participation in this proceeding. The companies communicated on July 2, 2025, that, effective July 1, 2025, they have changed their corporate name to "Plenitude On The Road S.r.l."</w:t>
      </w:r>
    </w:p>
    <w:p>
      <w:r>
        <w:t>2. THE INVESTIGATIVE PROCEEDING</w:t>
        <w:br/>
        <w:t>7. Route220 reported the progressive increase in wholesale rates charged to MSPs accessing the Enel Group's charging infrastructure network to offer services to end customers (so-called roaming rates, provided for in the so-called "interoperability contracts" between CPOs and MSPs), which, when compared to the retail prices charged by Enel X Way directly to end customers on its app, appeared to integrate a phenomenon of margin squeeze by the dominant entity (hereinafter also "margin squeeze," or "MS").</w:t>
      </w:r>
    </w:p>
    <w:p>
      <w:r>
        <w:t>8. The first complaint from the reporting company, received on December 2, 2022, was subsequently supplemented several times, also following a specific request for information from the Investigation Directorate on December 16, 2022, on January 13, 7, 8, and 14 and 16, 20234.</w:t>
      </w:r>
    </w:p>
    <w:p>
      <w:r>
        <w:t>9. On April 4, 2023, the Authority initiated an investigative proceeding against Enel X Way Italia, Enel X Way, and Ewiva, companies of the Enel Group at that time active in the electric mobility sector (in the case of the JV, as mentioned, in a situation of joint control with the Volkswagen Group), to ascertain possible violations of Article 102 TFEU5.</w:t>
      </w:r>
    </w:p>
    <w:p>
      <w:r>
        <w:t>10. On April 13, 2023, inspections were carried out at the premises of the companies EXW, EXWI, and Ewiva, recipients of the initiation provision, as well as at the companies Be Charge and Be Power6, third parties deemed possibly in possession of useful elements for the investigation, subsequently admitted, following their request, to participate in the proceeding (as communicated to them on May 10, 20237).</w:t>
      </w:r>
    </w:p>
    <w:p>
      <w:r>
        <w:t>11. On June 27 and 30, 2023, requests for an extension of the deadline for the submission of any commitments8 were received, respectively from EXW/EXWI (jointly represented and defended in the proceeding) and from Ewiva. These requests were accepted, as communicated to the companies on July 12, 20239.</w:t>
      </w:r>
    </w:p>
    <w:p>
      <w:r>
        <w:t>12. On September 13, 2023, forms for the submission of commitments pursuant to Article 14-ter of Law No. 287/1990 were received from the companies EXW/EXWI and Ewiva, which were then supplemented on October 16, 202310. The Authority rejected the commitments by resolution of October 24, 2023, deeming them not sufficiently resolutive of the competitive issues raised at the outset and considering that the interest in proceeding with the ascertainment of the infringement in an innovative sector remained.</w:t>
      </w:r>
    </w:p>
    <w:p>
      <w:r>
        <w:t>13. During the proceeding, the Directorate made numerous requests for information, both to the Parties12 regarding the pricing policies subject to the investigation and the related underlying economic data, as well as to the consistency, location, and volumes of the charging infrastructures managed by the group, and to third-party companies active in the sector13, deemed to possess useful elements to deepen the market context and the habits of electric drivers in an innovative sector not previously subject to investigations by the Authority, as well as to collect further data regarding the location and volumes provided by electric charging infrastructures throughout the national territory. Further requests for information were then directed to the sector regulator ARERA14 and to the trade association MOTUS-E15, in this case always to integrate the database available regarding the location and volumes provided by charging infrastructures throughout the territory.</w:t>
      </w:r>
    </w:p>
    <w:p>
      <w:r>
        <w:t>5 See docs. 11, 113, and 313.</w:t>
        <w:br/>
        <w:t>6 See docs. 16, 116, and 219, inspection reports.</w:t>
        <w:br/>
        <w:t>7 See doc. 323.</w:t>
        <w:br/>
        <w:t>8 See docs. 343 and 349.</w:t>
        <w:br/>
        <w:t>9 See docs. 352 and 353.</w:t>
        <w:br/>
        <w:t>10 See docs. 362, 363, 365, and 366.</w:t>
        <w:br/>
        <w:t>11 See docs. 369, 370, and 371.</w:t>
        <w:br/>
        <w:t>12 See docs. 16, 391, 393, 397, 400, 446, 447, 487, 489, 583 and related responses, docs. 319, 394, 396, 401, 408, 453, 454, 458 bis, 513, 517, and 599.</w:t>
        <w:br/>
        <w:t>13 These include, in addition to the companies Route220, Be Charge, and Be Power involved in this proceeding, the companies A2A S.p.A., Acea Energia S.p.A., Atlante S.r.l., Axpo Italia S.p.A., Duferco Energia S.p.A., Electrip Italy S.r.l., Enerhub S.r.l., Gardauno S.p.A., Gasgas S.r.l., Hera Comm S.p.A., Ionity GmbH, Neogy S.r.l., Porsche Italia S.p.A., Repower S.p.A., Tesla Italy S.r.l., TheF Charging S.r.l., and Unicoenergia S.r.l. (see docs. 382, 417, 426, 443, 444, 445, 448, 449, 481/500 and related responses received, docs. 390, 421, 428, 452, 455, 457, 458, 469, 502, 504/512, 514/516, 522).</w:t>
        <w:br/>
        <w:t>14 See docs. 442 and related response, docs. 462 and 466.</w:t>
        <w:br/>
        <w:t>15 See doc. 450 and related response, docs. 463, 478, and 479.</w:t>
      </w:r>
    </w:p>
    <w:p>
      <w:r>
        <w:rPr>
          <w:b/>
        </w:rPr>
        <w:t>[Pages 7–9]</w:t>
      </w:r>
    </w:p>
    <w:p>
      <w:r>
        <w:t>BULLETIN NO. 32 OF AUGUST 18, 2025 9</w:t>
      </w:r>
    </w:p>
    <w:p>
      <w:r>
        <w:t>national level. On May 6, 202516, the Directorate then made a specific request for information to the Parties regarding the corporate restructuring that involved the merger by incorporation of Enel X Way into Enel X, previously mentioned. Lastly, on June 25, 2025, further requests for information were sent to the Parties regarding their revenue data17.</w:t>
      </w:r>
    </w:p>
    <w:p>
      <w:r>
        <w:t>14. During the proceedings, hearings were held with: the Parties Ewiva, on January 17, 2024, and EXWI/EXW, on January 18, 2024; third parties participating in the Route220 proceeding, on September 7, 2023, and BeCharge/BePower, on December 14, 2023, and March 27, 2024; other companies active in the electric mobility sector Duferco Energia S.p.A., on March 26, 2024, Hera Comm S.p.A. and Ressolar S.r.l., on March 28, 2024, Neogy S.r.l., on April 5, 2024, and A2A S.p.A. on May 2, 2024; the trade association MOTUS-E, on July 23, 202418.</w:t>
      </w:r>
    </w:p>
    <w:p>
      <w:r>
        <w:t>15. On December 19, 2023, due to unforeseen organizational needs, the Authority decided to replace the official responsible for the proceeding19.</w:t>
      </w:r>
    </w:p>
    <w:p>
      <w:r>
        <w:t>16. The investigative procedure was extended on May 28 and November 26, 202420, due to the complexity of the case under analysis, also in light of the embryonic stage of development of the affected markets and the rapid evolution of their characteristics, as well as the need to collect data useful for reconstructing certain technical, organizational, and economic characteristics of the affected sector, with a final deadline set for July 31, 2025.</w:t>
      </w:r>
    </w:p>
    <w:p>
      <w:r>
        <w:t>17. On May 13, 2025, after becoming aware of the merger by incorporation of Enel X Way into Enel X, the Authority decided to continue the proceedings against the incorporating company, as communicated to the Parties on May 19, 202521.</w:t>
      </w:r>
    </w:p>
    <w:p>
      <w:r>
        <w:t>18. On May 28, 2025, the Authority decided that the Communication of the Investigative Findings drafted by the Offices (hereinafter, "CRI") was not manifestly unfounded, which was subsequently transmitted to the Parties on May 30, 202522.</w:t>
      </w:r>
    </w:p>
    <w:p>
      <w:r>
        <w:t>19. On June 17, 2025, Ewiva requested full access to the economic data used in the CRI, simultaneously requesting an extension of the deadline for the submission of briefs, to allow for the examination of such data. Access to these documents was organized on June 23, 2025, according to the so-called data room procedure, due to the confidential nature of the information contained in these documents23. The Authority, on June 24, 2025, rejected the request for an extension of the procedural deadline submitted by Ewiva, as communicated to the company on the same date, considering that the broad exercise of the company's defense rights was already guaranteed. Enel X and Enel X Way Italia also had similar access to the data room on the same day of June 23, having been informed by the Offices of its organization. Representatives of Be Charge and Be Power also participated, as holders of some of the data included in the data room and following their specific request, to verify the correctness of the procedures followed.</w:t>
      </w:r>
    </w:p>
    <w:p>
      <w:r>
        <w:t xml:space="preserve">16 See doc. 518 and related response, doc. 519.  </w:t>
        <w:br/>
        <w:t xml:space="preserve">17 See docs. 579 and 580, and related responses, docs. 599 and 604.  </w:t>
        <w:br/>
        <w:t xml:space="preserve">18 See hearing minutes, docs. 361, 382, 391, 393, 417, 419, 423, 424, 425, 426, and 450.  </w:t>
        <w:br/>
        <w:t xml:space="preserve">19 See docs. 383/386.  </w:t>
        <w:br/>
        <w:t xml:space="preserve">20 See docs. 429/432 and 470/473.  </w:t>
        <w:br/>
        <w:t xml:space="preserve">21 See docs. 523/526.  </w:t>
        <w:br/>
        <w:t xml:space="preserve">22 See docs. 541/545.  </w:t>
        <w:br/>
        <w:t>23 See docs. 572/575, data room minutes (in confidential and non-confidential versions).</w:t>
      </w:r>
    </w:p>
    <w:p>
      <w:r>
        <w:t>10 BULLETIN NO. 32 OF AUGUST 18, 2025</w:t>
      </w:r>
    </w:p>
    <w:p>
      <w:r>
        <w:t>20. On July 4 and 5, 2025, the final briefs from Route220, Enel X/Enel X Way Italia, and Ewiva24 were received. On July 15, 2025, the final hearing of the representatives of these companies, who had requested it, was held before the Board25.</w:t>
      </w:r>
    </w:p>
    <w:p>
      <w:r>
        <w:t>21. During the proceedings, all the companies involved repeatedly accessed the documents of the investigative file.</w:t>
      </w:r>
    </w:p>
    <w:p>
      <w:r>
        <w:t>3. THE PRE-INVESTIGATIVE AND INVESTIGATIVE FINDINGS</w:t>
      </w:r>
    </w:p>
    <w:p>
      <w:r>
        <w:t>3.1 The pre-investigative findings</w:t>
      </w:r>
    </w:p>
    <w:p>
      <w:r>
        <w:t>3.1.1 The pricing policies of the Enel group companies reported by the notifier</w:t>
      </w:r>
    </w:p>
    <w:p>
      <w:r>
        <w:t>22. From the evidence provided by the notifier, the following summary schemes of the prices practiced at that time by the Enel Group companies active as CPO (Enel X Way Italia and Ewiva) emerged, from which the reported practice seemed to emerge, particularly by comparing the roaming prices (“wholesale”) to the MSPs (see Table 1) and the retail prices to final customers practiced by the Enel Group on its app (see Table 2). In addition to the consumer prices for recharging (so-called “PPU” - Pay Per Use), the notifier also highlighted that for retail prices only, so-called “flat” or “package” offers were available, with which Enel X Way offered the possibility of recharging by paying advance monthly fees that entitled the user to withdraw up to a certain amount of kWh in the reference month (see Table 3). Regarding Table 3, the unit price indicated by the notifier referred to the possibility of using the totality of the kWh included in the offer, but the practice of margin compression also appeared conceivable considering an average use lower than 100%.</w:t>
      </w:r>
    </w:p>
    <w:p>
      <w:r>
        <w:t xml:space="preserve">Table 1: so-called roaming prices (“wholesale”) applied by CPOs at the time of launch - VAT EXCLUDED  </w:t>
        <w:br/>
        <w:t xml:space="preserve">€/kWh  </w:t>
        <w:br/>
        <w:t xml:space="preserve">Roaming Operator  </w:t>
        <w:br/>
        <w:t xml:space="preserve">AC DC &lt;99 DC 100&lt;149 HPC ≥ 150  </w:t>
        <w:br/>
        <w:t xml:space="preserve">ENEL X P2P PCPI 0.550 0.550  </w:t>
        <w:br/>
        <w:t>EWIVA P2P PCPI 0.700 0.700 0.700</w:t>
      </w:r>
    </w:p>
    <w:p>
      <w:r>
        <w:t xml:space="preserve">24 See docs. 586, 587, and 589.  </w:t>
        <w:br/>
        <w:t>25 See docs. 612/615.</w:t>
      </w:r>
    </w:p>
    <w:p>
      <w:r>
        <w:t>BULLETIN NO. 32 OF AUGUST 18, 2025 11</w:t>
      </w:r>
    </w:p>
    <w:p>
      <w:r>
        <w:t xml:space="preserve">Table 2: retail prices for consumption (so-called “PPU”) practiced by the Enel Group on its app – VAT INCLUDED (until March 26, 2023)  </w:t>
        <w:br/>
        <w:t xml:space="preserve">€/kWh  </w:t>
        <w:br/>
        <w:t xml:space="preserve">Roaming Operator  </w:t>
        <w:br/>
        <w:t xml:space="preserve">AC DC &lt;99 DC 100&lt;149 HPC ≥ 150  </w:t>
        <w:br/>
        <w:t>ENEL X P2P PCPI 0.580 0.890 0.990 0.990</w:t>
      </w:r>
    </w:p>
    <w:p>
      <w:r>
        <w:t xml:space="preserve">Table 3: monthly fees for Enel X for so-called packages or “flat” offers – VAT INCLUDED (until March 26, 2023)  </w:t>
        <w:br/>
        <w:t xml:space="preserve">FLAT PRICE  </w:t>
        <w:br/>
        <w:t xml:space="preserve">Operator Monthly fee € kWh WITHDRAWABLE  </w:t>
        <w:br/>
        <w:t xml:space="preserve">€/kWh  </w:t>
        <w:br/>
        <w:t xml:space="preserve">ENEL X (“LARGE”) 45.00 145 0.31  </w:t>
        <w:br/>
        <w:t>ENEL X (“SMALL”) 25.00 70 0.36</w:t>
      </w:r>
    </w:p>
    <w:p>
      <w:r>
        <w:t>23. The roaming prices were typically expressed in contracts between CPOs and MSPs excluding VAT (see Table 1 above), while the retail prices to customers were indicated including VAT (see Tables 2 and 3 above), and thus, the notifier had produced an additional comparison scheme in which the VAT value was also added to the roaming prices practiced to MSPs, to facilitate comparison and better highlight the reported practice (see Table 4 below).</w:t>
      </w:r>
    </w:p>
    <w:p>
      <w:r>
        <w:t xml:space="preserve">Table 4: comparison of wholesale and retail prices ALL VAT INCLUDED (until March 26, 2023)  </w:t>
        <w:br/>
        <w:t xml:space="preserve">Prices €/kWh on  </w:t>
        <w:br/>
        <w:t xml:space="preserve">Operator Prices €/kWh CPO Prices €/kWh on app  </w:t>
        <w:br/>
        <w:t xml:space="preserve">app FLAT (min-max)  </w:t>
        <w:br/>
        <w:t xml:space="preserve">ENEL X + EWIVA roaming PPU  </w:t>
        <w:br/>
        <w:t xml:space="preserve">AC 0.671 0.580 0.31-0.36  </w:t>
        <w:br/>
        <w:t xml:space="preserve">DC 0.671 0.890 0.31-0.36  </w:t>
        <w:br/>
        <w:t>HPC 0.854 0.990 0.31-0.36</w:t>
      </w:r>
    </w:p>
    <w:p>
      <w:r>
        <w:t>24. Also with reference to the pricing policies of the Enel Group at the time of the initiation of the proceedings, the pre-investigative evidence revealed a change in the rates practiced at</w:t>
      </w:r>
    </w:p>
    <w:p>
      <w:r>
        <w:rPr>
          <w:b/>
        </w:rPr>
        <w:t>[Pages 10–12]</w:t>
      </w:r>
    </w:p>
    <w:p>
      <w:r>
        <w:t>12 BULLETIN NO. 32 OF AUGUST 18, 2025</w:t>
      </w:r>
    </w:p>
    <w:p>
      <w:r>
        <w:t>from Enel X Way through its app, effective from March 27, 2023 (while the so-called wholesale "roaming" rates had not changed compared to the complaint). In particular, regarding the consumption rates (so-called PPU), as of that date, the rates for AC charging infrastructures had increased from €0.58/kWh to €0.69/kWh, while the rates for DC and HPC infrastructures remained unchanged. Regarding the "flat" or "package" offers, the "Small" plan, renamed "City," included 80 kWh (up from the previous 70) and was made available by EXW at a price of €39 (for a unit equivalent of about €0.49/kWh); the "Large" plan, renamed "Travel," included 160 kWh (up from the previous 145) and was made available by EXW at a price of €69 (for a unit equivalent of about €0.43/kWh); finally, an additional "Travel Plus" package was created, which included 320 kWh/month and was made available by EXW at a price of €99 (for a unit equivalent of about €0.31/kWh)26.</w:t>
      </w:r>
    </w:p>
    <w:p>
      <w:r>
        <w:t>25. In addition to the representation of wholesale and retail price levels for electric charging services, from which the alleged margin compression behavior appeared to emerge, Route220 also produced data regarding the consistency of the various charging infrastructure networks in the national territory, to assess the market position of the various CPOs. Based on this data – along with the consideration of other relevant factors, suitable to corroborate the position of the Enel Group as a market leader – the Authority deemed the existence of a dominant position held by the companies of the Enel Group in the various segments into which the upstream market appeared to be divided, with specific reference to the relevant markets identified by previous sector precedents.</w:t>
      </w:r>
    </w:p>
    <w:p>
      <w:r>
        <w:t>3.1.2 The economic activities involved and the provisional definition of the relevant markets derived from sector precedents</w:t>
      </w:r>
    </w:p>
    <w:p>
      <w:r>
        <w:t>26. As mentioned, for the purposes of this proceeding, the activities of installation and management of charging infrastructures carried out by so-called charging point operators (“CPO”), as well as the downstream activity of providing charging services to end users, carried out by so-called mobility service providers (“MSP”) or e-mobility providers (“EMP”), are relevant.</w:t>
      </w:r>
    </w:p>
    <w:p>
      <w:r>
        <w:t>27. The CPO is, more specifically, the entity responsible for identifying and acquiring the appropriate site for the installation of the charging infrastructure, designing the system, obtaining all necessary permits for the use of the site, as well as constructing and commissioning the charging point and managing and maintaining it. It is also the entity that holds the electricity supply contract for charging.</w:t>
      </w:r>
    </w:p>
    <w:p>
      <w:r>
        <w:t>28. The MSP is the entity that provides the charging service to the end user and thus intermediates the access of electric vehicles to the charging points. For their activity, MSPs enter into interoperability agreements with CPOs (either directly or through third-party platforms27), in order to provide access to the respective networks. In addition to the electric vehicle charging service, offered by providing the user with a specific app or a card (so-called RFID card) that interacts with the individual charging point enabling it to deliver electricity under the previously established economic conditions, the MSP generally offers customers a range of other ancillary services28.</w:t>
      </w:r>
    </w:p>
    <w:p>
      <w:r>
        <w:t>29. The activities of CPOs and MSPs can be carried out by the same entity (even vertically integrated) or by distinct entities. The most common business model appears to be one in which the same company or corporate group acts both as a CPO and as an MSP (this is the case of the Enel Group, active as both a CPO and an MSP, through its app "Enel X Way"). An additional business model sees companies active only as MSPs offering the service without holding their own charging points (or holding a limited number, as is the case with the notifier).</w:t>
      </w:r>
    </w:p>
    <w:p>
      <w:r>
        <w:t>30. Recently, in compliance with an express provision contained in the so-called AFIR Regulation29, at publicly accessible charging points, operators must provide end users with the possibility to carry out a so-called "ad hoc charging" of their electric vehicle, meaning a charging service purchased by an end user without the need for them to register, conclude a written contract, or establish a commercial relationship with the operator that goes beyond the mere purchase of the charging service (and, therefore, through the use of common payment instruments). This provision, effective from April 13, 2024, for new infrastructures (with a transition period for existing infrastructures, with certain power characteristics, until January 1, 2027), appears capable of modifying the prevailing business models and, potentially, opening a direct relationship between CPOs and end customers, intermediated to a lesser extent by the MSP figure. The behaviors subject to the proceeding, however, focus on a previous period (see infra), in which, on the contrary, in the absence of this obligation, the prevailing business model was one where the CPO maintained downstream relationships with MSPs, integrated or not, and the latter offered the electric charging service to end customers.</w:t>
      </w:r>
    </w:p>
    <w:p>
      <w:r>
        <w:t>31. Regarding the type of charging infrastructures, the behaviors under examination concern charging points on public land or otherwise accessible to the public, which represent only one of the possible modes of charging electric vehicles.</w:t>
      </w:r>
    </w:p>
    <w:p>
      <w:r>
        <w:t>32. The other options are charging at private locations for individual use (e.g., home) or for restricted collective use (condominiums or businesses), as well as infrastructures reserved only for the customers of certain commercial establishments. Regarding private charging, the mode that consists of simply using the domestic power outlet is still very common, although with specific charging equipment (so-called wall box). The customer, generally, when holding a home charging system, owns it and is the holder of the POD (point of delivery) that supplies it and, therefore, also of the electricity supply contract. The POD, in such cases, can be unique for other uses, or a dedicated one can be created to power the charging station30. In such situations, therefore, the customer does not use the charging services offered by specialized operators and there is no significant difference compared to the normal supply of electricity. For these reasons, the world of private charging has traditionally been excluded from the definition of relevant markets specific to the electric mobility sector.</w:t>
      </w:r>
    </w:p>
    <w:p>
      <w:r>
        <w:t>33. Charging infrastructures are distinguished – in addition to their location and consequent accessibility – also based on the charging power offered, from which the different duration of vehicle charging times depends, according to the specific technological endowment of the car. All circulating electric cars can be charged in alternating current (AC), which typically allows for slower charging, while only a portion is enabled for charging in direct current (DC), characterized by a higher power of the sockets (typically from 43 kW onwards), with faster charging times.</w:t>
      </w:r>
    </w:p>
    <w:p>
      <w:r>
        <w:t>34. From the perspective of the power delivered, the following types of charging points (also Charging Points or “CP”) were descriptively highlighted at the outset: (a) CP with power up to 22 kW (so-called regular or quick) with estimated charging times between four and five hours; (b) CP with power between 22 and 100 kW (so-called fast) with charging times of about two hours; and (c) CP with power equal to or greater than 100 kW (so-called ultra-fast or HPC - High Power Charging), with charging times of less than an hour. In any case, the initiation provision, resuming previous European and national practices31, and for the purposes of defining the relevant markets, identified a clearer distinction between low power, including infrastructures with power up to 99 kW, and high power, including infrastructures with power equal to or greater than 100 kW (a distinction that, moreover, is also reflected in the business division operated between EXWI and Ewiva). This conclusion derived, in addition to the demand side, from the difference in charging time, and from the supply side, from the greater technical complexity and higher investments that characterize HPC CPs.</w:t>
      </w:r>
    </w:p>
    <w:p>
      <w:r>
        <w:t>35. As an additional element of segmentation, regarding the CPO activity for charging infrastructures on public land, it was initially assessed, in line with the mentioned national and European precedents, that the performance of the same in service areas identified a distinct market compared to that in urban or non-highway extra-urban areas. This is because the specific access modalities to the CPO activity on highways, intermediated by the role of highway concessionaires, create a regulatory and factual context that is entirely peculiar, differentiating it from the performance of the same activity outside highway service areas32. In the proceeding, therefore, considering the activities of the involved companies, only the market for the installation and management of public charging infrastructures – in its segments based on power – on non-highway land was taken as a reference.</w:t>
      </w:r>
    </w:p>
    <w:p>
      <w:r>
        <w:t>36. As for the relevant market of CPOs from a geographical perspective, initially, based on the cited precedents, it was considered national, with elements of local competition. More specifically, it was assessed that the modalities (homogeneous on a national basis) of access to the CPO activity in service areas create a distinct market compared to that in urban or non-highway extra-urban areas. The Authority has deemed it appropriate to consider the market of so-called "regular" and "fast" infrastructures as a unitary one, reserving the possibility of further in-depth analysis on the matter during the investigation phase. It is anticipated that the evidence emerged, regarding the clear predominance – in this group – of charging infrastructures at 22 kW, appears to allow for the assessment, even as a result of the investigation, of this further unnecessary segmentation.</w:t>
      </w:r>
    </w:p>
    <w:p>
      <w:r>
        <w:rPr>
          <w:b/>
        </w:rPr>
        <w:t>[Pages 13–15]</w:t>
      </w:r>
    </w:p>
    <w:p>
      <w:r>
        <w:t>BULLETIN NO. 32 OF AUGUST 18, 2025 15</w:t>
      </w:r>
    </w:p>
    <w:p>
      <w:r>
        <w:t>national) of defining the price for the use of charging points and the signing of unique contracts at the national level with representatives of direct demand (the MSPs) could lead to a preliminary assumption that the market had a national dimension. At the same time, it was already observed that the attractiveness for MSPs of the service offered by each CPO depends on the ability to meet the needs of end customers, who can be presumed not to be generally willing to search for public charging points far outside the local area in which they are located, similar to what happens in the market for traditional fuel supply. Therefore, it was already considered that different local situations can confer elements of market power, which, if present in a considerable number of local areas, could reflect on the conditions for setting the national price. This aspect was the subject of further investigation during the inquiry (see subsequent §3.2.3).</w:t>
      </w:r>
    </w:p>
    <w:p>
      <w:r>
        <w:t>37. As for the market for the provision of charging services to end customers (MSP market or EMP), in which these entities are active on the supply side and end users holding an electric vehicle on the demand side, it was initially attributed a national geographical dimension, in line with the precedents of the Authority and the European Commission, considering among other things the scope of activity and pricing policies of the operators33.</w:t>
      </w:r>
    </w:p>
    <w:p>
      <w:r>
        <w:t>3.2 The regulatory and sectoral framework of reference</w:t>
      </w:r>
    </w:p>
    <w:p>
      <w:r>
        <w:t>3.2.1 The relevant regulatory and legislative framework for the conduct subject to the proceeding</w:t>
      </w:r>
    </w:p>
    <w:p>
      <w:r>
        <w:t>38. The relevant European framework for the conduct subject to the proceeding was represented by Directive 2014/94/EU on the establishment of an infrastructure for alternative fuels34, transposed into our legal system by Legislative Decree No. 257 of December 16, 2016, which introduced measures to promote and develop electro-mobility, concerning both private and public infrastructure.</w:t>
      </w:r>
    </w:p>
    <w:p>
      <w:r>
        <w:t>39. With specific regard to publicly accessible charging points, Article 4 of the aforementioned decree provided for certain provisions regarding interoperability and accessibility of charging points which, in implementation of the corresponding provisions of Directive 2014/94/EU, introduced a general obligation of non-discrimination on the part of charging point operators, expressly stating that the prices charged by operators of publicly accessible charging points must be reasonable, easily and clearly comparable, transparent, and non-discriminatory36.</w:t>
      </w:r>
    </w:p>
    <w:p>
      <w:r>
        <w:t>40. The subsequent Regulation (EU) 2023/1804 of the European Parliament and of the Council on the establishment of an infrastructure for alternative fuels (the so-called "AFIR Regulation"), which came into force on October 12, 2023, and applicable from April 13, 2024, and which repealed Directive 2014/94/EU, introduced an explicit reference to a prohibition of discrimination for charging point operators against mobility service providers37.</w:t>
      </w:r>
    </w:p>
    <w:p>
      <w:r>
        <w:t>41. From a regulatory perspective, the service of charging electric vehicles is not subject to tariff regulation38 and must develop under competitive conditions among different operators, with a price intended to form based on market dynamics39. The power of tariff regulation is limited to components covering network costs and general system charges40.</w:t>
      </w:r>
    </w:p>
    <w:p>
      <w:r>
        <w:t>42. Since 2010, ARERA has introduced, with incentivizing purposes, a definition of such regulated components specific to the electric mobility sector (the so-called "BTVE tariff" - Low Voltage Electric Vehicle), particularly providing the possibility, for low voltage users connected exclusively for the supply of electric vehicle charging points in publicly accessible locations, to request the application of such dedicated fees, which are expressed in a single form and only based on the electricity consumed (c€/kWh)41.</w:t>
      </w:r>
    </w:p>
    <w:p>
      <w:r>
        <w:t>36 See Article 4, paragraph 10, of Directive 2014/94/EU and Article 4, paragraph 11, Legislative Decree No. 257/2016.</w:t>
      </w:r>
    </w:p>
    <w:p>
      <w:r>
        <w:t>37 See Article 5, paragraph 3, of the AFIR Regulation, of September 13, 2023, "The prices charged by operators of publicly accessible charging points are reasonable, easily and clearly comparable, transparent, and non-discriminatory. Operators of publicly accessible charging points do not discriminate, through the prices charged, between end users and mobility service providers nor between different mobility service providers. However, the level of prices may be differentiated, but only if the differentiation is proportionate and objectively justified."</w:t>
      </w:r>
    </w:p>
    <w:p>
      <w:r>
        <w:t>38 The electric charging service is not a service subject to regulatory power, not falling, "at the moment, among the 'public utility services' referred to in Law No. 481/1995" (ARERA, consultation document 449/2022/R/EEL, p. 38).</w:t>
      </w:r>
    </w:p>
    <w:p>
      <w:r>
        <w:t>39 See Recital 30 of Directive 2014/94/EU (according to which the creation and operation of charging points "should be inspired by the principles of a competitive market with open access to all stakeholders in the development or operation of charging infrastructures"), also reiterated in Recital 32 of the AFIR Regulation and ARERA, doc. 449/2022/R/EEL, cited, p. 39.</w:t>
      </w:r>
    </w:p>
    <w:p>
      <w:r>
        <w:t>40 See Article 23 of Decree-Law No. 144 of September 23, 2022, which amends Article 57, paragraph 12, of Decree-Law No. 76 of July 16, 2020.</w:t>
      </w:r>
    </w:p>
    <w:p>
      <w:r>
        <w:t>41 See initially Resolution ARG/elt 242/2010. The absence of fixed components or power quotas (€/point/year or c€/kW/year) makes this tariff particularly favorable for the opening of new charging points along roads in publicly accessible areas, as it eliminates the burden of annual fixed costs on the charging service operator. However, it should be considered that, given the necessity for these users to also contribute to covering the costs of network services (transport and meter management) and general system charges, in light of the elimination of fixed tariff quotas, the variable components based on the electricity consumed (expressed in c€/kWh) show higher values than those applicable to users with BT tariffs for other uses of equal power; this tariff structure is therefore advantageous as long as the volume of electricity consumed remains overall contained (from the information acquired during the proceeding, the BTVE tariff appears to be generally requested by operators and applied in Italy to most charging infrastructures that meet the required criteria for its application). ARERA has maintained the BTVE contractual type in its previous form until the end of 2024 (see Resolution 616/2023/R/eel), anticipating (see Resolution 634/2023/R/eel) that subsequent measures could introduce updates in the definition of this contractual type and in the tariff structures applicable to the withdrawal points that pertain to it, which may gradually come into force during 2025 and be fully operational from 2026.</w:t>
      </w:r>
    </w:p>
    <w:p>
      <w:r>
        <w:t>BULLETIN NO. 32 OF AUGUST 18, 2025 17</w:t>
      </w:r>
    </w:p>
    <w:p>
      <w:r>
        <w:t>3.2.2 The electric mobility sector in Italy</w:t>
      </w:r>
    </w:p>
    <w:p>
      <w:r>
        <w:t>43. The conduct subject to this proceeding concerns the electric mobility sector and, in particular, the offering of electric charging services through charging infrastructures located in public or publicly accessible places.</w:t>
      </w:r>
    </w:p>
    <w:p>
      <w:r>
        <w:t>44. Electric mobility has experienced significant development in recent years, also relevant for achieving the decarbonization objectives defined at the European level, aimed at mitigating the environmental impact in the transport sector42. The spread of hybrid and electric vehicles - also thanks to national subsidy policies - has grown significantly in recent years, recording a significant average annual growth rate between 2018 and 2021, although in the last 2-3 years it has shown less brilliant results, only partially attributable to a general decline in overall car registrations in Italy43. With reference to the total circulating fleet as of December 31, 2024, fully electric vehicles (so-called battery electric vehicles, or "BEV") amount to approximately 280,000, out of a total of about 40.6 million circulating cars44.</w:t>
      </w:r>
    </w:p>
    <w:p>
      <w:r>
        <w:t>45. The spread of electric vehicles is closely linked to the establishment of a widespread and capillary network of charging points, capable of supporting consumption choices towards the new form of mobility45.</w:t>
      </w:r>
    </w:p>
    <w:p>
      <w:r>
        <w:t>46. Regarding the consistency of the charging infrastructure network in the national territory, according to data available prior to the start of the proceeding, relating to the end of 2022, the number of publicly accessible charging infrastructures installed in the national territory was 19,334, for approximately 36,772 charging points46. In terms of power, at the end of 2022, 88% of the installed charging points were in alternating current (AC), while 12% were in direct current (DC).</w:t>
      </w:r>
    </w:p>
    <w:p>
      <w:r>
        <w:t>47. At the end of 2023, the installed charging infrastructures (charging stations) were 26,997, corresponding to almost 50,678 charging points, of which 41,587 were already active, and about 85% were in alternating current (AC) and about 15% in direct current (DC). Figure 1 shows the distribution of charging points among the Italian regions. Lombardy is the region with the highest number of infrastructures.</w:t>
      </w:r>
    </w:p>
    <w:p>
      <w:r>
        <w:t>42 In particular, the so-called "Fit-for-55%" European package presented in 2021 included, among other things, a target of "zero emissions" for new vehicles circulating from 2035. The PNIEC ("National Integrated Plan for Energy and Climate") for 2030, in the latest edition of June 2024, updates the framework of national measures for sustainable mobility, which include, by way of example, the so-called "ecobonus" or incentives for the purchase of electric, plug-in hybrid, or low-emission vehicles, as well as measures for strengthening the charging infrastructure network (financed through funds from the National Recovery and Resilience Plan - so-called PNRR).</w:t>
      </w:r>
    </w:p>
    <w:p>
      <w:r>
        <w:t>43 Since 2022, there has been a general decline in overall car registrations (approximately 1.3 million, down 9.7% compared to 2021; in 2023 and 2024, the number of registrations rose to around 1.6 million vehicles in both years). In light of the total registrations for 2024, full-electric vehicles (so-called "BEV") recorded 65,626 new registrations (equal to 4.2% of the total, a figure substantially stable compared to the previous year) and plug-in hybrid vehicles ("PHEV") saw 52,496 new registrations (equal to 3.4%, down compared to the previous year). Data: UNRAE.</w:t>
      </w:r>
    </w:p>
    <w:p>
      <w:r>
        <w:t>44 Source: UNRAE, "Analysis of the automotive market in Italy," March 5, 2025.</w:t>
      </w:r>
    </w:p>
    <w:p>
      <w:r>
        <w:t>45 It is known that the very existence of a capillary network represents one of the main drivers of consumer choice when purchasing an electric vehicle, reducing the so-called range anxiety, which constitutes one of the obstacles to the development of the sector.</w:t>
      </w:r>
    </w:p>
    <w:p>
      <w:r>
        <w:t>46 The charging station ("SdR") may comprise one or more charging infrastructures ("IdR"), the so-called 'charging columns', which may, in turn, present one or more charging points ("PdR" or "CP" - Charging Points). More charging stations may then be present in the same "location." In the terminology adopted in the sector, a "station" often refers to the individual column and "location" to the group of columns.</w:t>
      </w:r>
    </w:p>
    <w:p>
      <w:r>
        <w:rPr>
          <w:b/>
        </w:rPr>
        <w:t>[Pages 16–18]</w:t>
      </w:r>
    </w:p>
    <w:p>
      <w:r>
        <w:t>18 BULLETIN NO. 32 OF AUGUST 18, 2025</w:t>
      </w:r>
    </w:p>
    <w:p>
      <w:r>
        <w:t xml:space="preserve">of charging stations installed (almost 20% of the total), followed by Veneto, Campania, Piemonte, and Lazio. These five regions represent more than 50% of the charging stations installed in Italy.  </w:t>
        <w:br/>
        <w:t xml:space="preserve">Figure 1: Distribution of charging infrastructures in Italy, December 31, 2023  </w:t>
        <w:br/>
        <w:t>Source: AGCM processing on MotusE data</w:t>
      </w:r>
    </w:p>
    <w:p>
      <w:r>
        <w:t>48. By the end of 2024, the number of publicly accessible charging infrastructures installed is approximately 64,391 charging points (+27% compared to December 2023) in 33,414 stations, of which about 54,093 points are already active (approximately 84%, an increase compared to the previous year, thus highlighting a corresponding decrease in the number of installed but not yet activated charging points47)48. In terms of power, 78% of the installed charging points are still alternating current (AC), while 22% are direct current (DC). The DC points are increasing more than proportionally (+47% compared to 2023)49.</w:t>
      </w:r>
    </w:p>
    <w:p>
      <w:r>
        <w:t>49. In comparison with other European countries, Italy currently ranks sixth in terms of the absolute number of publicly accessible charging points, with a substantial gap from the main European economies. However, this gap in absolute numbers does not necessarily correspond to a deficiency in the number of infrastructures when compared to the current circulating fleet of vehicles in Italy, as the data on the number of electric vehicles in circulation is significantly worse than in the main European economies. Reasoning in relative terms, Italy has more charging points per circulating vehicle than the United Kingdom, France, Germany, and Norway. When focusing the analysis solely on fast DC charging points, Italy ranks even second, after Spain. These trends do not confirm a substantial lack of available infrastructures in the national territory, but rather indicate an urgent need to increase the Italian BEV fleet in parallel with the growth of charging points.</w:t>
      </w:r>
    </w:p>
    <w:p>
      <w:r>
        <w:t>3.2.3 The structure of charging infrastructures and the usage methods by users</w:t>
      </w:r>
    </w:p>
    <w:p>
      <w:r>
        <w:t xml:space="preserve">50. The network of publicly accessible charging infrastructures in Italy is characterized by significant heterogeneity in terms of power and types of dispensers, linked to the different usage methods by motorists, as well as their location along the road network. Regarding this latter aspect, as previously mentioned, this investigation concerns only the infrastructural network located outside the highway premises.  </w:t>
        <w:br/>
        <w:t>Even when limited to non-highway infrastructures, they can still have very heterogeneous locations, being found in central streets or squares of urban centers as well as on long-distance roads other than highways. Such different locations correspond, obviously, to different types of usage by motorists, both in terms of required charging times and the frequency and habitual nature of charging50.</w:t>
      </w:r>
    </w:p>
    <w:p>
      <w:r>
        <w:t>51. The charging speed depends, in addition to the characteristics of the vehicle's battery, on the power of the dispenser used. It can vary greatly, with technological solutions available that dispense from a few kWh (such as, for example, dispensers of 3.7 kW) to hundreds of kWh (such as the relatively common 300 kW dispensers, or even more powerful ones).</w:t>
      </w:r>
    </w:p>
    <w:p>
      <w:r>
        <w:t>52. According to a recent study51, charging infrastructures located on public land with low power alternating current, up to 22 kW, require several hours for charging, generally between 4 and 8 hours. The direct current infrastructures, with higher power ranging from 25 kW to 150 kW, should generally allow for shorter charging times within an hour, while ultra-fast infrastructures, even more powerful and mainly located along long-distance communication routes, should allow for charging in even shorter times, for example, on the order of 30 minutes.</w:t>
      </w:r>
    </w:p>
    <w:p>
      <w:r>
        <w:t xml:space="preserve">53. From the data provided by the trade association, it can be noted that the vast majority of low-power dispensers (up to 99 kW) installed in Italy are represented by 22 kW dispensers. During the hearing, the reason was explained why this power level has become, starting from a certain period, a de facto standard among low-power charging stations52. Figure 2 shows the distribution of low-power dispensers by maximum theoretical power level. From the figure, it is immediately evident that almost 80% of the installed dispensers have a power of 22 kW.  </w:t>
        <w:br/>
        <w:t xml:space="preserve">Figure 2: Distribution by power level of low-power charging points as of December 31, 2023  </w:t>
        <w:br/>
        <w:t>Source: AGCM processing on MotusE data</w:t>
      </w:r>
    </w:p>
    <w:p>
      <w:r>
        <w:t xml:space="preserve">54. Among the higher power dispensers, from 100 kW onwards, there are some more common types of sockets, such as those of 110 kW, 150 kW, or 300 kW, but there is no absolute prevalence of a single type that can be considered the de facto standard for high-power charging, similarly to what occurs for the 22 kW dispenser in the context of low-power charging (see Figure 3).  </w:t>
        <w:br/>
        <w:t>52 See doc. 393.</w:t>
      </w:r>
    </w:p>
    <w:p>
      <w:r>
        <w:rPr>
          <w:b/>
        </w:rPr>
        <w:t>[Pages 19–21]</w:t>
      </w:r>
    </w:p>
    <w:p>
      <w:r>
        <w:t>BULLETIN NO. 32 OF AUGUST 18, 2025</w:t>
      </w:r>
    </w:p>
    <w:p>
      <w:r>
        <w:t xml:space="preserve">Figure 3: Distribution by power level of high-power charging points as of December 31, 2023  </w:t>
        <w:br/>
        <w:t>Source: AGCM elaborations on MotusE data</w:t>
      </w:r>
    </w:p>
    <w:p>
      <w:r>
        <w:t>55. With reference to the substitutability for consumers of the various charging infrastructures (and, therefore, indirectly, for any intermediaries such as MSPs aiming to serve such consumers), the Commission has considered in its practice that the market at the CPO level has strong local elements, while recognizing the possibility that some national elements may remain. Lastly, not being crucial to reach a conclusion, the Commission has nevertheless left open the definition regarding the geographical dimension of the market53.</w:t>
      </w:r>
    </w:p>
    <w:p>
      <w:r>
        <w:t>56. The available evidence regarding the pricing policies of entities active as CPOs and MSPs in the Italian market does not allow for observing distinctions in the commercial policies of a given operator based on geographical areas or local competitive situations, despite the absence of regulatory or legal constraints regarding such possibility. Several CPOs have stated, during hearings, that this circumstance depends on the embryonic phase that still characterizes the Italian market, but that it could change if the market or competitive situations justified such a level of differentiation54. It should be noted, however, that almost all CPOs active in Italy in non-highway charging hold a network of charging infrastructures that is already locally concentrated, while the operators whose operations could be more subject to a variety of local articulations - and with it to different local pricing policies - are precisely the companies that are parties to the proceeding (i.e., the companies belonging to the Enel and Eni groups).</w:t>
      </w:r>
    </w:p>
    <w:p>
      <w:r>
        <w:t>57. In the context of a recent exploratory investigation conducted by the German competition authority (Bundeskartellamt), which utilized specific insights (such as interviews with CPOs), analysis of precedents, and other sources, this authority concluded by stating that, with reference to charging infrastructures with a power of 22 kW or less, the relevant geographical market is of a local dimension and could be identified using a radius ranging from 1 km to 4 km from a given facility. This is because, due to charging times, most users utilize this type of charging near their home or workplace or, in any case, at the specific destination they wish to reach and where they intend to spend a certain number of hours. In the same investigation, the German authority states that, for infrastructures with higher power but not of the highway type, a reference radius suitable for describing the geographical dimension of the competitive scope and substitutability for consumers should not exceed a distance of around 20 km55.</w:t>
      </w:r>
    </w:p>
    <w:p>
      <w:r>
        <w:t>58. In turn, within the present proceeding, the Offices sent a specific questionnaire asking the main CPOs active in the Italian territory to provide an estimate of what the "spatial distance within which electric motorists would be willing to move from the station they usually use in case the latter is not available" is, taking into account the habits and usage methods of users and the charging and waiting times, separately for infrastructures with a power of 22 kW and for high-power infrastructures (defined as a range of 100-350 kW), and indicating, for each of these types, possible responses to choose from56.</w:t>
      </w:r>
    </w:p>
    <w:p>
      <w:r>
        <w:t>59. These questions were answered by 16 of the 21 consulted CPOs. Regarding the question about the distance within which a user might be willing to move from the 22 kW charging station they usually use, 7 respondents indicated a reference of equal to or less than 1 km, one respondent estimated this distance as "at least 1 km," another answered "1 or 2 km," one indicated 2 km, and the remaining 6 stated they did not have sufficient information to formulate their conjecture on the matter. With reference to the similar question regarding higher power infrastructures (100-350 kW), 5 respondents indicated a distance equal to or less than 5 km, one indicated a distance of "5 or 10 km," two indicated a distance of 10 km, and 8 stated they did not have sufficient information to formulate a conjecture on the matter.</w:t>
      </w:r>
    </w:p>
    <w:p>
      <w:r>
        <w:t>60. Regarding the activities of MSPs, they consist, in addition to the intermediation of charging services for end users, in the provision of additional services (such as, for example, mapping of available stalls, payment services, and, sometimes, reservation, route advice, and charging points) through the App and the user activated by the clientele. The number of MSPs active in the Italian territory is quite variable, as it is a service with low entry and investment costs, not comparable to the costs of infrastructure operators such as CPOs. In fact, the assets necessary to carry out the commercial activity of MSPs, in addition to agreements with CPOs for access to infrastructures (or, alternatively, with roaming platforms that mediate contacts with CPOs), essentially consist of an App made available to users in App Stores.</w:t>
      </w:r>
    </w:p>
    <w:p>
      <w:r>
        <w:t>61. In general, operators tend to have differing perceptions of the scope and future relevance of this level of the supply chain, considering various factors of unpredictable effect such as, on the one hand, the introduction of the possibility for users to charge by paying directly to CPOs and, on the other hand, the increasingly pervasive development of telematic commercial activities57. In any case, to date, a large part of MSPs are in fact integrated subjects and belong to the same group as the CPO, although different groups may have greater or lesser presence in this segment. Some entities, including, for example, the complainant or the Ressolar-Wroom group, have a marginal presence at the CPO level and crucially need roaming agreements with the main active players in this segment. Multi-utility groups can also use the MSP level to offer commercial services to their clientele, sometimes differentiated from users of other markets served by such groups (for example, those of domestic electricity or gas supply).</w:t>
      </w:r>
    </w:p>
    <w:p>
      <w:r>
        <w:t>3.2.4 The market structure, the operators present, and the position of the Parties</w:t>
      </w:r>
    </w:p>
    <w:p>
      <w:r>
        <w:t>62. Considering the above in terms of the distinction of roles and activities in the sector, it is possible to represent the market position of CPO operators during the period of the contested conduct, using data provided by the trade association Motus-E (collected by this association from the operators) relating to the year 2023, as well as the dataset provided by the complainant and used at the start (transmitted at the beginning of 2023). Motus-E began collecting disaggregated data regarding charging infrastructures starting from that year58. Using both of these databases, so-called catchment areas ("c.a.") were constructed around the infrastructures of EXWI and those of Ewiva, to represent the market positions of these operators respectively in the markets for managing low-power and high-power charging infrastructures in non-highway settings.</w:t>
      </w:r>
    </w:p>
    <w:p>
      <w:r>
        <w:t>63. More specifically, the c.a. (the definition of which is described in greater detail in the Appendix to this document) were centered on each group of charging infrastructures ("location") of these operators and include all facilities of each relevant market included within the radii of 1 km and 4 km for the low-power market and within the radii of 5 km and 10 km with reference to the high-power market.</w:t>
      </w:r>
    </w:p>
    <w:p>
      <w:r>
        <w:rPr>
          <w:b/>
        </w:rPr>
        <w:t>[Pages 22–24]</w:t>
      </w:r>
    </w:p>
    <w:p>
      <w:r>
        <w:t>24 BULLETIN NO. 32 OF AUGUST 18, 2025</w:t>
      </w:r>
    </w:p>
    <w:p>
      <w:r>
        <w:t>64. Once the catchment areas (c.a.) were identified, the position of the operators was computed, in a first version, in terms of the number of dispensers (or charging points, also referred to as PDR), corresponding to the number of stalls available for charging electric vehicles within the c.a. The c.a. were then identified in which the share of EXWI and Ewiva in their respective markets, in terms of charging points, is at least 50% of the total. Finally, among the c.a. of this latter set, those were identified in which the share of EXWI and Ewiva is at least 10% higher than that of the second operator in the c.a. and those in which EXWI and Ewiva are the only operators in the c.a. (and thus hold 100% of the charging points included therein). Summary statistics on the number of c.a. thus identified are represented in the following table (see Table 5).</w:t>
      </w:r>
    </w:p>
    <w:p>
      <w:r>
        <w:t>Table 5 - Position of EXWI and Ewiva in the catchment areas around their charging groups (or locations) in terms of the number of PDR: summary</w:t>
      </w:r>
    </w:p>
    <w:p>
      <w:r>
        <w:t xml:space="preserve">No. of c.a. with No. of c.a. </w:t>
        <w:br/>
        <w:t xml:space="preserve">Radius No. of c.a. with </w:t>
        <w:br/>
        <w:t xml:space="preserve">Dataset Power No. of c.a. &gt;50% of PDR and with 100% </w:t>
        <w:br/>
        <w:t xml:space="preserve">Km &gt;50% of PDR </w:t>
        <w:br/>
        <w:t xml:space="preserve">distance &gt; 10% of PDR </w:t>
        <w:br/>
        <w:t xml:space="preserve">MotusE Low 1 6985 5922 5900 4559 </w:t>
        <w:br/>
        <w:t xml:space="preserve">MotusE Low 4 6985 5261 5197 2150 </w:t>
        <w:br/>
        <w:t xml:space="preserve">MotusE High 5 277 209 208 157 </w:t>
        <w:br/>
        <w:t xml:space="preserve">MotusE High 10 277 165 165 115 </w:t>
        <w:br/>
        <w:t xml:space="preserve">Segnalante Low 1 7511 6601 6568 4946 </w:t>
        <w:br/>
        <w:t xml:space="preserve">Segnalante Low 4 7511 5937 5899 2167 </w:t>
        <w:br/>
        <w:t xml:space="preserve">Segnalante High 5 333 281 281 214 </w:t>
        <w:br/>
        <w:t>Segnalante High 10 333 228 227 156</w:t>
      </w:r>
    </w:p>
    <w:p>
      <w:r>
        <w:t>65. The following figures (see Figures 4-5) represent the c.a. in which EXWI holds such a position in the national territory.</w:t>
      </w:r>
    </w:p>
    <w:p>
      <w:r>
        <w:t>BULLETIN NO. 32 OF AUGUST 18, 2025</w:t>
      </w:r>
    </w:p>
    <w:p>
      <w:r>
        <w:t>Figure 4 – Market shares of the Parties in the low power CPO markets – radius 1 km</w:t>
      </w:r>
    </w:p>
    <w:p>
      <w:r>
        <w:t>BULLETIN NO. 32 OF AUGUST 18, 2025</w:t>
      </w:r>
    </w:p>
    <w:p>
      <w:r>
        <w:t>Figure 5 – Market shares of the Parties in the low power CPO markets – radius 4 km</w:t>
      </w:r>
    </w:p>
    <w:p>
      <w:r>
        <w:t>66. Similarly, an attempt was made to obtain an estimate of the position of the operators in terms of volumes dispensed. For this purpose, in the absence of direct data59, the estimate of the position of the Parties in terms of</w:t>
      </w:r>
    </w:p>
    <w:p>
      <w:r>
        <w:t>59 For the period covered by the contested conduct, in fact, there was no database of the dispensed data of the individual charging stations. The only data that somewhat related to the overall dispensing is that available to ARERA, which, however, only includes a subset of the charging infrastructures (and, in particular, those related to the PODs that use the so-called BTVE tariff), of which the weight in relation to the total volumes is not known (nor easily determinable). Another crucial issue with such data is that, being related to the PODs, they cannot be attributed to the individual infrastructures of</w:t>
      </w:r>
    </w:p>
    <w:p>
      <w:r>
        <w:rPr>
          <w:b/>
        </w:rPr>
        <w:t>[Pages 25–27]</w:t>
      </w:r>
    </w:p>
    <w:p>
      <w:r>
        <w:t>BULLETIN NO. 32 OF AUGUST 18, 2025 27</w:t>
      </w:r>
    </w:p>
    <w:p>
      <w:r>
        <w:t>The volume data was obtained by attributing, thanks to the use of the delivery data from 2023 provided by some of the main CPOs (including the Parties themselves), an "average delivery" figure for each type of provider, taking into account the power, the geographical location of the provider, and the CPO. More specifically, as illustrated in greater detail in the Appendix, for the low-power market, only 22 kW providers were considered (which, as mentioned, constitute by far the predominant power "cut" in this relevant market), for which it was possible, thanks to the sufficient number of data collected from individual CPOs, to obtain average delivery values per municipality and per CPO. Regarding the high-power market, on the other hand, 100 kW, 150 kW, and 300 kW providers were used, which are very common in the market and for which delivery data provided by Ewiva is available.</w:t>
      </w:r>
    </w:p>
    <w:p>
      <w:r>
        <w:t>67. By proceeding in this way, estimates of the shares of operators within the catchment areas expressed in terms of estimated volumes were obtained using the MotusE dataset. They allow, therefore, in relation to the share expressed in terms of the number of providers, to take into account, at least, the possible average differences between power, location, and CPO that could be relevant in determining the level of delivered volumes. Summary statistics on the market shares thus obtained and on the presence of the Parties, in analogy to what was illustrated for the shares calculated in terms of the number of charging points, are contained in the table that follows (see Table 6)60.</w:t>
      </w:r>
    </w:p>
    <w:p>
      <w:r>
        <w:t>Table 6 – Position of EXWI and Ewiva in the catchment areas around their charging groups (or locations) in terms of estimated volumes: summary</w:t>
      </w:r>
    </w:p>
    <w:p>
      <w:r>
        <w:t>No. of catchment areas with &gt;50% of estimated volumes</w:t>
        <w:br/>
        <w:t>No. of catchment areas with</w:t>
        <w:br/>
        <w:t>Radius Estimated volumes</w:t>
        <w:br/>
        <w:t>Dataset Power No. of catchment areas &gt;50% of volumes with 100%</w:t>
        <w:br/>
        <w:t>Km estimated and distance &gt;10%</w:t>
        <w:br/>
        <w:t>MotusE Low 1 6698 5907 5816 4294</w:t>
        <w:br/>
        <w:t>MotusE Low 4 6895 5379 5297 2091</w:t>
        <w:br/>
        <w:t>MotusE High 5 221 203 201 186</w:t>
        <w:br/>
        <w:t>MotusE High 10 226 199 198 162</w:t>
      </w:r>
    </w:p>
    <w:p>
      <w:r>
        <w:t>68. Regarding the MSP market, in response to a specific request from the Offices, EXWI (which is the main Italian CPO) identified 29 operators that, based on their information, have operations spread across all regions, 14 of which would be, based on these estimates, active in all provinces. In addition to the MSPs with widespread operations, there are others that have, in fact, locally concentrated clientele and are active in only one or a few Italian regions or provinces61.</w:t>
      </w:r>
    </w:p>
    <w:p>
      <w:r>
        <w:t>69. The Offices also asked EXWI and Ewiva to estimate the percentage of MSPs that have intermediated recharges on their infrastructures in the recent reference periods. Based on this information, as well as other publicly available information, among the main operators in the MSP market are EXW, Be Charge, DCS, A2A, NewMotion (Shell group), GES, Route220. The market shares of MSPs within the charging services provided by EXWI and Ewiva (which, as discussed, are estimated to represent approximately half of the national total) show, in all cases, that EXW clearly represents the leading operator and that in 2023 (the only year for which EXWI provided such an estimate) it intermediated over half of the recharges of EXWI. Ewiva provided this information separately for the years 2022 and 2023, and from it, it emerges that even in this case EXW represented the MSP that intermediated over half of the recharges in 2022, remaining in 2023 by far the leading operational MSP with the charging services of Ewiva62.</w:t>
      </w:r>
    </w:p>
    <w:p>
      <w:r>
        <w:t>3.3 The conduct of the Parties to the proceeding</w:t>
        <w:br/>
        <w:t>3.3.1 The pricing trends of EXWI, Ewiva, and EXW</w:t>
      </w:r>
    </w:p>
    <w:p>
      <w:r>
        <w:t>70. As anticipated, the report and the initiation of the proceeding originated from the observation of the combined trend of the wholesale prices requested by the CPO companies of the Enel group (EXWI and Ewiva) and those practiced at retail by EXW, the MSP of the group. In particular, at the time of the complaint, at the end of 2022, the wholesale price (so-called roaming) of EXWI had been increased to the level of €0.55 per kWh excluding VAT, corresponding to approximately €0.671 including VAT. During the same period, as mentioned, the price practiced by Ewiva had also been increased and had reached a level of €0.70 per kWh excluding VAT, corresponding to €0.854 per kWh including VAT.</w:t>
      </w:r>
    </w:p>
    <w:p>
      <w:r>
        <w:t>71. The roaming prices of EXWI appear to have been modified following the initiation of the investigation. In particular, [omitted]63. [omitted]64. Regarding Ewiva, this company communicated, during the hearing, that [omitted].</w:t>
      </w:r>
    </w:p>
    <w:p>
      <w:r>
        <w:t>72. Regarding the retail prices practiced by EXW to end users, as already represented, the PPU price at the time of initiation was, for AC recharges, €0.58/kWh, subsequently increased to €0.69/kWh, while the price for DC recharges up to 99 kW was set at €0.89/kWh and that for DC recharges at higher power was set at €0.99/kWh. Regarding the "flat" or "package" offers, initially, as already illustrated, EXW offered until March 2023 a plan of 70 kWh at the price of €25 (for a unit equivalent of approximately €0.36/kWh) and one of 145 kWh at the price of €45 (for a unit equivalent of approximately €0.31/kWh). From March 2023, they were replaced with a plan of 80 kWh at the price of €39 (for a unit equivalent of approximately €0.49/kWh), one of 160 kWh at the price of €69 (for a unit equivalent of approximately €0.43/kWh), and an additional package of 320 kWh at the price of €99 (for a unit equivalent of approximately €0.31/kWh)65.</w:t>
      </w:r>
    </w:p>
    <w:p>
      <w:r>
        <w:t>73. In response to a specific request made during the inspection, EXW also transmitted information regarding the level and actual utilization rate of its PPU and flat offers, as well as the corporate (B2B) and B2G rates applied in the period from January 2022 to March 2023, including an analysis of the margins of these offers67. From this information, it emerges that, regarding the PPU rates, the same for all customers (whether end consumers or business clients or public organizations), the unit rate of type "AC" (which concerns the majority of charging infrastructures) was found to be lower than the cost of recharging through the "Enel CPO" in the period from October 2022 to March 2023. The following figure (see Figure 6) illustrates the unit profitability of the types of PPU rates adopted by EXW in the cited period.</w:t>
      </w:r>
    </w:p>
    <w:p>
      <w:r>
        <w:t>Figure 6 – Analysis of profitability of PPU rates</w:t>
        <w:br/>
        <w:t>[omitted]</w:t>
      </w:r>
    </w:p>
    <w:p>
      <w:r>
        <w:t>74. With reference to the flat rates for end consumers, EXW's analyses confirm an average saturation rate of [70-75%] for the "small" package (70 kWh) and [75-80%] for the "large" package (145 kWh). The analysis of the margins of these packages, illustrated in the following figures (see Figures 7 and 8), shows a negative margin from October 2022 until the last observed month (March 2023) for the "small" package and from February 2022 to the last observed month (March 2023) for the "large" package.</w:t>
      </w:r>
    </w:p>
    <w:p>
      <w:r>
        <w:t>Figure 7 – Analysis of profitability of flat rate "small"</w:t>
        <w:br/>
        <w:t>[omitted]</w:t>
      </w:r>
    </w:p>
    <w:p>
      <w:r>
        <w:t>Figure 8 – Analysis of profitability of flat rate "large"</w:t>
        <w:br/>
        <w:t>[omitted]</w:t>
      </w:r>
    </w:p>
    <w:p>
      <w:r>
        <w:t>75. Regarding the business (or corporate) segments and offers for public administrations, EXW's documents state that [omitted]68.</w:t>
      </w:r>
    </w:p>
    <w:p>
      <w:r>
        <w:t>3.3.2 The margins of EXW for charging services</w:t>
      </w:r>
    </w:p>
    <w:p>
      <w:r>
        <w:t>76. In response to a specific request from the Authority, subsequently supplemented with further specifications69, EXW provided information regarding the economic results of the sales of charging services carried out in the period from January 2022 to August 2023, which represents</w:t>
      </w:r>
    </w:p>
    <w:p>
      <w:r>
        <w:rPr>
          <w:b/>
        </w:rPr>
        <w:t>[Pages 28–30]</w:t>
      </w:r>
    </w:p>
    <w:p>
      <w:r>
        <w:t>30 BULLETIN NO. 32 OF AUGUST 18, 2025</w:t>
      </w:r>
    </w:p>
    <w:p>
      <w:r>
        <w:t>the central period in which the possibility of an exclusionary conduct is investigated70. The information provided concerns revenues, costs (both of the energy supplied for recharges and of other types) and volumes of recharges carried out by EXW, calculated monthly and broken down by type of tariff (PPU and "other tariffs") and by originating CPO (that is, based on the CPO from whose infrastructure the recharge itself is carried out, distinguishing in particular between EXWI, Ewiva, and other CPOs). The data covers a time horizon from January 2022 to August 2023, corresponding to one year and eight months, a period that, in a recently established sector and in the initial phase of its technological development and evolution, is characterized by a great variability of the values reported in the provided dataset, with a strongly increasing trend that reflects the development of the sector71.</w:t>
      </w:r>
    </w:p>
    <w:p>
      <w:r>
        <w:t>77. In the methodological note accompanying the information provided, EXW states that [omissis] based on certain criteria illustrated in the same note. Firstly, it is noted that the data provided by EXW and EXWI are less detailed with respect to the first four months of the observation period. In particular, for the first four months of 2022, EXW stated that it had no possibility of distinguishing the revenues and costs of the energy sold among the different types of offers and regarding the different CPO subjects. The information available for each of these months, therefore, concerns only total revenues, total costs of the energy sold, commissions72, and non-distinguishable fixed costs, divided into customer operation RoE costs, customer operation Italy73 costs, App development costs, and costs for internal resources. The unavailability of such disaggregations means that comparisons between costs and revenues (useful for the analysis of the conducts subject to the proceeding), for these four months, can only be based on such information, less disaggregated than that available for the remaining months, and will therefore be less detailed than those relating to the subsequent months.</w:t>
      </w:r>
    </w:p>
    <w:p>
      <w:r>
        <w:t>78. With regard to revenues, it is not possible to establish what percentage of them is attributable to revenues from energy sold for recharge services and what, instead, to "revenues from cards and penalties," that is, those deriving from the sale of recharge cards and from imposing penalties on users for occupying the recharge socket beyond the maximum allowed time. [omissis]. In any case, even without breaking down any amount from total revenues, for each of those months, the difference between total revenues and the only cost of energy sold for recharge services (that is, what EXW has paid to the CPOs for access to the respective charging stations) is already negative. Similarly, and even more so, this difference is negative when considering the costs of commissions and non-distinguishable fixed costs.</w:t>
      </w:r>
    </w:p>
    <w:p>
      <w:r>
        <w:t>79. For the subsequent months, the information has instead been provided with a greater level of disaggregation: revenues, costs, and quantities of energy sold are therefore distinguishable for each type of offer (PPU or other offers, [omissis]74) and among CPOs (EXW, Ewiva, and other CPOs, distinguishing the latter into further subcategories for AC, DC, and HPC type infrastructures). In this time horizon, it is therefore possible to make more detailed and articulated comparisons between costs and revenues, also taking into account the types of costs and revenues, the types of offers, and the identity of the CPOs.</w:t>
      </w:r>
    </w:p>
    <w:p>
      <w:r>
        <w:t>Data on revenues and costs that EXW has not broken down by type of tariff and by CPO also appear, including revenues and costs related to the management of cards and penalties, costs of commissions, and "non-distinguishable" fixed costs (articulated as already illustrated in customer operation RoE fixed costs, customer operation Italy fixed costs, App development costs, and costs for internal resources). Both the revenue data and the cost data provided by EXW have been expressed net of VAT, as specified by the company in response to a request for clarification arising from a doubt raised by Ewiva (see infra)75. The types of revenue and cost for which EXW has provided information are represented in the tables that follow (see Tables 7 and 8)76.</w:t>
      </w:r>
    </w:p>
    <w:p>
      <w:r>
        <w:t>Table 7 – Revenues provided by EXW, period January 2022 – August 2023</w:t>
        <w:br/>
        <w:t>[omissis]</w:t>
      </w:r>
    </w:p>
    <w:p>
      <w:r>
        <w:t>Table 8 – Costs provided by EXW, period January 2022 – August 2023</w:t>
        <w:br/>
        <w:t>[omissis]</w:t>
      </w:r>
    </w:p>
    <w:p>
      <w:r>
        <w:t>80. Considering the comparisons between costs and revenues of EXW in aggregate terms, without distinguishing by CPO and by type of tariffs, in analogy to what can be done for the first months of the observation period (from January to April 2022), it is observed that, from July 2022 to August 2023, the revenues from recharge services sold to final customers are lower than the costs of the energy sold, even when including "card and penalties revenues" among them and the corresponding variable costs (as well as the costs for commissions). Including the so-called customer operation costs, the margin of EXW is negative from June 2022 to August 2023.</w:t>
      </w:r>
    </w:p>
    <w:p>
      <w:r>
        <w:t>81. In any case, considering the disaggregation of the data provided, it is possible to carry out, for the period from May 2022 to August 2023, comparisons between costs and revenues of EXW associated with the recharge services provided by this MSP through the infrastructures of EXWI, those of Ewiva, and those of the other CPOs grouped by power bands (AC, DC, and HPC).</w:t>
      </w:r>
    </w:p>
    <w:p>
      <w:r>
        <w:t>82. Preliminary observations of the disaggregated information provided show that the weight of EXWI in the total recharges carried out with EXW is predominant, although it has decreased over time77. This reduction in intra-group recharges appears, moreover, to derive mainly from the percentage reduction compared to the total intra-group recharges of the PPU type78.</w:t>
      </w:r>
    </w:p>
    <w:p>
      <w:r>
        <w:t>83. Conversely, the weight of Ewiva in relation to the total recharges carried out with EXW appears to be increasing over time, [omissis]. Furthermore, more generally, over time, there is a growth in HPC recharges compared to non-HPC ones (which could reflect the different rate of development of the infrastructure endowment, much more embryonic in the case of HPC recharges).</w:t>
      </w:r>
    </w:p>
    <w:p>
      <w:r>
        <w:t>84. Overall, the weight of PPU offers, in terms of volumes of energy sold, has decreased during the observation period, going from about [omissis] in May 2022 to about [omissis] in April 2023, and then slightly increasing again to reach [omissis] in August 2023.</w:t>
      </w:r>
    </w:p>
    <w:p>
      <w:r>
        <w:t>85. Such "weights," understood as the volumes supplied by EXW for each CPO and tariff type, can still be used month by month to carry out a breakdown of the revenue and cost items that, unlike the sales and purchases of energy for recharge services, do not present such a level of disaggregation but are more aggregated, in order to compare revenues and costs of EXW in relation to each CPO and tariff type. In this way, the revenue items "Card and penalties revenues" and the cost items "Card and penalties costs," "Commissions," and the fixed cost items can be allocated among the different CPOs and tariff modalities79.</w:t>
      </w:r>
    </w:p>
    <w:p>
      <w:r>
        <w:t>86. In addition to this, it should be taken into account what EXW stated regarding the transactions actually carried out in the national territory. The company, in fact, clarified that [omissis]. Therefore, the values of revenues and costs considered refer only to the percentage of them attributable to operations concerning services performed in Italy.</w:t>
      </w:r>
    </w:p>
    <w:p>
      <w:r>
        <w:t>The margin of EXW with low power recharges</w:t>
      </w:r>
    </w:p>
    <w:p>
      <w:r>
        <w:t>87. That said, with reference to the recharge services attributable to the low power market (including recharges carried out through EXWI, those carried out by other AC type CPOs, including or not also those carried out by other DC type CPOs)80 offered by EXW, the difference between only revenues and costs of energy is negative in all months from November 2022 to March 2023 for the only PPU offers81 and from June 2022 to August 2023 (the last month of the considered time horizon) for the "other tariffs." A similar margin is reached by calculating the difference between revenues and costs of energy related solely to the recharges carried out by EXW through EXWI infrastructures82. Considering instead the total of low power recharge services offered by EXW regardless of the type of offer (that is, summing revenues and costs for each type of offer), this difference takes on a negative value between July 2022 and August 2023. Limiting to the recharges carried out through EXWI infrastructures, the margin is negative from July 2022 to July 2023, only returning to be positive in the last month.</w:t>
      </w:r>
    </w:p>
    <w:p>
      <w:r>
        <w:t>79 More specifically, this can be obtained by multiplying the monthly amount of each of these items by the percentage of energy sold with the considered CPO and tariff modality compared to the total energy sold in that month.</w:t>
      </w:r>
    </w:p>
    <w:p>
      <w:r>
        <w:t>80 DC type recharges can either have power levels below 100 kWh, defined as "low power," or power levels between 100 and 150 kWh, defined as "high power." The margin related to such sales has therefore been grouped, in different versions of the exercise, both with "low power" sales and those definable as "high power," with minimal and non-substantial differences in the observed results.</w:t>
      </w:r>
    </w:p>
    <w:p>
      <w:r>
        <w:t>81 Where the balances related to DC type recharges are excluded, this margin is already negative in October 2022.</w:t>
      </w:r>
    </w:p>
    <w:p>
      <w:r>
        <w:t>82 Even in this case, the margin is negative for PPU offers already in October 2022, in line with the level set for the AC type PPU tariff, lower than the wholesale price of EXWI.</w:t>
      </w:r>
    </w:p>
    <w:p>
      <w:r>
        <w:rPr>
          <w:b/>
        </w:rPr>
        <w:t>[Pages 31–33]</w:t>
      </w:r>
    </w:p>
    <w:p>
      <w:r>
        <w:t>BULLETIN NO. 32 OF AUGUST 18, 2025 33</w:t>
      </w:r>
    </w:p>
    <w:p>
      <w:r>
        <w:t xml:space="preserve">observed83. By way of example, the following graph shows the values taken by such differences, in percentage relative to the costs of energy sold for the recharges, in the case where the calculation of the margin includes recharges made through third-party CPOs of type AC and DC (see Figure 9).  </w:t>
        <w:br/>
        <w:t xml:space="preserve">Figure 9 – Difference between energy revenues and energy costs – low power recharges (including third-party CPOs of type DC)  </w:t>
        <w:br/>
        <w:t xml:space="preserve">[omissis]  </w:t>
        <w:br/>
        <w:t xml:space="preserve">88. Instead, by calculating the difference between total revenues (including in this case also revenues from card management and penalties) and variable costs (including in this case also the costs that EXW itself defines as "variable," related to card management and penalties and commission costs, allocated by CPO and tariff type according to the criteria described previously), negative balances are obtained in the same months in which the difference between only revenues and costs of energy sold for recharge services is negative84. By way of example, the following graph shows the values taken by such differences, in percentage relative to the costs of energy sold, in the case where the calculation of the margin includes recharges made through third-party CPOs of type AC and DC (see Figure 10).  </w:t>
        <w:br/>
        <w:t xml:space="preserve">Figure 10 – Difference between revenues and variable costs – low power recharges (including third-party CPOs of type DC)  </w:t>
        <w:br/>
        <w:t xml:space="preserve">[omissis]  </w:t>
        <w:br/>
        <w:t xml:space="preserve">89. Finally, considering a balance that includes fixed costs that can more easily have an incremental nature (i.e., those of customer operation Italy, excluding the costs of App development and the cost of internal resources, as well as those of customer operation RoE), in all three sets of CPOs considered for the evaluation of EXW's margin in the low power market, the balance between revenues and costs takes on a negative value from May 2022 to May 2023 for PPU offers, from June 2022 to August 2023 for other offers, and from June 2022 to August 2023 considering all types of offers collectively. By way of example, the following graph shows the values taken by such differences, in percentage relative to the costs of energy sold, in the case where the calculation of the margin includes recharges made through third-party CPOs of type AC and DC (see Figure 11).  </w:t>
        <w:br/>
        <w:t xml:space="preserve">83 As already discussed, in internal margin analyses from Enel (see doc. no. 319), graphs showing margins by tariff type for each month from January 2022 to March 2023 are found. The information present in these graphs is consistent with that resulting from such analyses. From them, a negative margin for PPU tariffs is inferred starting from October 2022, an overall negative margin for the "Flat Small" tariff starting from September 2022, and an overall negative margin for the "Flat Large" tariff starting already from February 2022. EXW itself, already during the hearing, acknowledged that its prices were, for a certain period of time, lower than input costs, see doc. no. 393.  </w:t>
        <w:br/>
        <w:t>84 Therefore, for PPU tariffs, EXW's margin is negative from October 2022 to March 2023 considering only the items attributable to recharges made through EXWI and also considering those made through third-party CPOs of type AC, while it is negative from November 2022 to March 2023 including also the items related to recharges made through third-party CPOs of type DC; for the "other tariffs," such margins are negative, in all three respects, from June 2022 to August 2023; for the overall tariffs, EXW's margin is negative from July 2022 to August 2023 considering also the items related to recharges made with third-party CPOs (including or not those of type DC) and from July 2022 to July 2023 considering only those related to recharges made with EXWI.</w:t>
      </w:r>
    </w:p>
    <w:p>
      <w:r>
        <w:t xml:space="preserve">34 BULLETIN NO. 32 OF AUGUST 18, 2025  </w:t>
        <w:br/>
        <w:t xml:space="preserve">Figure 11 – Difference between revenues and incremental costs of low power – low power recharges (including third-party CPOs of type DC)  </w:t>
        <w:br/>
        <w:t xml:space="preserve">[omissis]  </w:t>
        <w:br/>
        <w:t xml:space="preserve">EXW's margin with high power recharges  </w:t>
        <w:br/>
        <w:t xml:space="preserve">90. Regarding the charging services offered by EXW attributable to the high power market (including recharges made through Ewiva, those made by other CPOs of type HPC, including or not also those made by other CPOs of type DC), EXW's margins (calculated in the various ways described previously) show very similar trends to those observed regarding low power recharges, particularly concerning the months in which such margins take on negative values. By way of example, including all tariff types and considering the recharges that EXW has made with third-party CPOs of type HPC, the difference between only revenues and costs of energy and that between total revenues and more clearly variable costs (thus including the revenue and cost balances related to card management and penalties and commission costs) take on negative values from August 2022 to August 2023, while including also the share of the so-called customer operation Italy costs, the margins are negative from June 2022 to August 2023.  </w:t>
        <w:br/>
        <w:t xml:space="preserve">3.4 Relevant inspection findings regarding the conduct under investigation  </w:t>
        <w:br/>
        <w:t xml:space="preserve">3.4.1 Evidence regarding the distribution of roles among the various companies of the ENEL group active in the electric mobility sector  </w:t>
        <w:br/>
        <w:t xml:space="preserve">91. The inspection findings collected at EXW and EXWI have primarily allowed for a better delineation of the distribution of roles among the various companies of the Enel group operating in the examined supply chain at the time of the inspections (April 2023), a structure that nonetheless appears to be relevant for the conduct focused on in this proceeding. In this regard, while maintaining what is already known in the pre-investigation regarding the fact that EXW played the role of MSP and EXWI that of CPO for the Enel group, excluding the segment of high power infrastructures in which the JV Ewiva is active, for the first company the findings have allowed for the reconstruction that it was active as an MSP on a global scale, representing the sub-holding of a specific business line created by the group to manage worldwide the various activities in the electric mobility sector (the related App, similarly named "Enel X Way"85, allowed access to the various networks of charging infrastructures present in 16 countries), while the subsidiary EXWI managed as CPO the charging infrastructures only on national territory and also operated as a so-called Technology Service Provider (TSP), that is, provided development, production (through third parties), and sale of electric charging infrastructures and related software to other entities (including also the JV).  </w:t>
        <w:br/>
        <w:t xml:space="preserve">92. EXW and EXWI have been operational since April 1, 2022 (in the case of EXW, until December 31, 2024, as already mentioned, while EXWI is still active). Before that date, the companies Enel X Mobility S.r.l. (active, among other things, as CPO) and Enel X Italia S.r.l. (active, among other things, as MSP)86 operated in the electric mobility sector in Italy for the ENEL group. The inspection findings account for a complex scheme of intra-group contractual relationships, through which some legacies from the transition from the previous corporate structure to the subsequent one were also managed. In particular, for example, it appears that Enel X Mobility (also, "EXM") remained the owner of the charging infrastructures on national territory (except for those HPC transferred to Ewiva), which Enel X Way Italia managed as CPO by virtue of a specific mandate contract conferred by the first company87. Similarly, EXM also remained the holder of the POD for the supply of electricity to non-HPC charging sites and, as such, maintained contractual relationships with the other company of the Enel group, Enel Energia S.p.A., for the related supply88.  </w:t>
        <w:br/>
        <w:t xml:space="preserve">93. Regarding this framework of the various legal entities active for the group in the examined sector, the findings attest to an operational commingling in the various interconnected business areas related to electric mobility, which is also inferred from other elements, in addition to the complex scheme of the existing inter-company contracts. In several inspection documents, for example, especially presentations/reporting documents of the group's activities and economic results in the sector, the relevant contents are presented collectively for the various companies. In particular, the economic results of EXW and EXWI are often presented jointly, and in some of these documents, there is express mention of "elisions" to indicate that certain economic items must indeed be eliminated as revenues of one company towards the other89.  </w:t>
        <w:br/>
        <w:t xml:space="preserve">3.4.2 Evidence regarding the operation of the JV Ewiva  </w:t>
        <w:br/>
        <w:t xml:space="preserve">94. From the inspection documentation, it has been possible to reconstruct further details of the relationship between Ewiva and the other companies of the ENEL group dedicated to electric mobility, and in particular the related contractual ties. More specifically, the inspection documents attest, regarding the initial phase of Ewiva's operation, the existence of a mandate contract under which the HPC sites  </w:t>
        <w:br/>
        <w:t xml:space="preserve">86 "The Enel Group, in order to consolidate its leadership in the electric mobility sector and to ensure operational excellence of the service offered to customers, has created a new business line called Global e-Mobility. In this context, the companies Enel X Way S.r.l., directly owned by Enel S.p.A., were also established, to which the companies of the Group operating in this sector, both in Italy and abroad, were transferred, and Enel X Way Italia S.r.l., owned by Enel X Way, a company dedicated to the development of electric mobility services in the Italian territory. In particular, Enel X Way Italia S.r.l. was established, effective April 1, 2022, as a result of two simultaneous corporate operations of the transfer of business branches. The first transfer was made by Enel X Mobility S.r.l., and concerned the assets of the CPO (Charge Point Operator) division, related to the assets connected to the installation, maintenance, and operations (control room and customer care) of electric charging infrastructures and the provision of charging services for MSPs (Mobility Service Providers). The second transfer was made by Enel X Italia S.r.l. and the assets subject to transfer are represented by the TSP (Technology Service Provider) division, related to the assets concerning the development, production (through third parties), and sale of electric charging infrastructures and related software" (doc. 51, slide 2).  </w:t>
        <w:br/>
        <w:t xml:space="preserve">87 See docs. 40, 50, 51, 55, 57. At the level of economic items, [omissis].  </w:t>
        <w:br/>
        <w:t xml:space="preserve">88 In particular, the contractual relationships between Enel X Mobility and Enel Energia ("EE") for the supply of electricity to non-HPC charging infrastructures on national territory consisted of a physical energy supply contract renewed annually and a related five-year fixed-price financial contract for the period 2023/2027, in the form of a two-way contract for differences (so-called "CFD") with respect to a value of the PUN (National Single Price of electricity negotiated on the spot market) agreed upon between the Parties that serves as a strike price, at least for part of the energy needs of the purchasing company (see docs. 16, 55, 57, 61, 71, 110). From the inspection documents, it then appears that [omissis].  </w:t>
        <w:br/>
        <w:t>89 See among others docs. 47, 49, 52, 63 (by way of example, on slide 72 of doc. 52, in the section related to CPO and MSP activities, it reads "Intercompany rev are isolated using Elisions," emphasis added).</w:t>
      </w:r>
    </w:p>
    <w:p>
      <w:r>
        <w:rPr>
          <w:b/>
        </w:rPr>
        <w:t>[Pages 34–36]</w:t>
      </w:r>
    </w:p>
    <w:p>
      <w:r>
        <w:t>36 BULLETIN NO. 32 OF AUGUST 18, 2025</w:t>
      </w:r>
    </w:p>
    <w:p>
      <w:r>
        <w:t>existing assets that passed into the ownership of the JV continued to be managed as CPO for several months by wholly owned subsidiaries of the ENEL group (specifically by Enel X Mobility first, from December 2021 to March 2022, and then by EXWI, from April to July 2022)90. By virtue of this contract, the two companies effectively carried out the CPO activity on behalf of Ewiva and remitted the related revenues to the JV, net of a management fee [omissis].</w:t>
      </w:r>
    </w:p>
    <w:p>
      <w:r>
        <w:t>95. Even in a later phase of greater operational activity of the JV, and still at the time of the inspections (April 2023), the evidence collected confirms the existence of another contract (in this case called Turn-Key Agreement or “TKA”), under which EXWI acted at least until the end of 2023 (contract extended from a previous deadline set for 31.12.2022) as a so-called “general contractor” for Ewiva, taking care of all the technical aspects necessary for the exercise of CPO activity for HPC networks, namely the activities of site scouting, construction, installation, and maintenance of charging infrastructures (while Ewiva directly managed the commercial aspect and relationships with the various MSPs accessing its network to offer electric charging services to the final customers)91.</w:t>
      </w:r>
    </w:p>
    <w:p>
      <w:r>
        <w:t>96. From the documentation collected, it also emerges that the electricity for providing charging services through the managed charging stations was supplied, also for the JV, by another company of the Enel Energia group92.</w:t>
      </w:r>
    </w:p>
    <w:p>
      <w:r>
        <w:t>3.4.3 Evidence confirming the market leadership position of CPOs</w:t>
      </w:r>
    </w:p>
    <w:p>
      <w:r>
        <w:t>97. The inspection evidence also confirms a market share of Enel X Way Italia in the segment of non-high-power charging infrastructures (therefore, with installed power below 100 kW) of approximately 50% of the national market, hypothesized at the outset and further subject to in-depth investigations for local segmentations, as already shown. In particular, by way of example, in an acquired document, data related to the infrastructures installed as of December 2022 are represented, a relevant moment for the scrutinized conduct, where, against a total quantity of approximately 33,500 charging points in the national territory (often referred to as “CP”, from the English Charging Points), EXWI claims to have installed 17,500 CPs93. In this document, however, all types of charging infrastructures are reported, and the data must then be related to the differentiation between relevant markets identified at the outset.</w:t>
      </w:r>
    </w:p>
    <w:p>
      <w:r>
        <w:t>98. Further inspection documents confirm EXWI's market share in the specific sector of non-HPC infrastructures, which remained substantially stable in the two-year period 2022-2023 relevant for the conduct under investigation and equal to a share of approximately 50% (e.g. “the Market Share EXW PDR for public use &lt;100 kW is almost 50% based on the most recent available source MOTUS-E as of 30/09/2022”, emphasis added94).</w:t>
      </w:r>
    </w:p>
    <w:p>
      <w:r>
        <w:t>3.4.4 Evidence demonstrating ENEL group's awareness of the antitrust criticality of its pricing schemes</w:t>
      </w:r>
    </w:p>
    <w:p>
      <w:r>
        <w:t>99. From the documentation acquired during the inspection, it also emerges the full awareness of the ENEL group companies regarding the antitrust criticality of their pricing system in the relationship between wholesale and retail prices practiced by the group companies for electric charging services, as highlighted by the present proceeding. This is particularly supported by some inspection documents acquired at EXW and EXWI. In the first, from March 202395, representatives of the operating companies active in the electric mobility sector discuss with various centralized cross-functional departments of the ENEL group (e.g. Legal, Regulatory and Antitrust, etc.) the new retail pricing scheme adopted by EXW effective from March 27, 2023. In the email exchange in question, one employee in particular writes: “The proposed pricing changes that are intended to be applied from the end of March have a positive impact on the possible antitrust relevance aspects analyzed together in recent months. In particular:</w:t>
        <w:br/>
        <w:t>all pay-per-use (PPU) rates will ensure a positive margin for the MSP compared to sourcing costs from CPO;</w:t>
        <w:br/>
        <w:t>the Flat City and Flat travel rates with the regulated price guarantee a positive margin even considering the conservatively indicated saturation rates (respectively equal to 80% and 70%) and the promotional period is limited solely to 4 months;</w:t>
        <w:br/>
        <w:t>The only rate for which some of the previously highlighted points of attention still remain is the Flat travel plus which, however, as we have been informed, given its size, will have limited diffusion compared to the other offers in the portfolio” (emphasis added).</w:t>
      </w:r>
    </w:p>
    <w:p>
      <w:r>
        <w:t>100. In other words, from the above, it appears that there is a clear internal awareness within the Enel group regarding the fact that the so-called retail PPU rates until March 2023 appeared to integrate hypotheses of true negative margins for the MSPs compared to wholesale prices, whereas the same, as modified from the end of March, would imply a positive margin (albeit extremely reduced); as for the so-called flat or “package” rates, the positive margin would only be guaranteed by some of them (excluding, as indicated by the same internal representative, the larger package known as “Flat travel plus”, which remained at that date the most critical from an antitrust perspective) and only starting from August 2023, while the levels that EXW had presented as “promotional” and remained in effect from March 27, 2023 to the end of July 2023 would continue to integrate (as well as the previous packages) retail prices for which the margin available for the entities active in providing charging services to customers, namely the MSPs, once the wholesale cost towards the CPO was incurred, appeared to be outright negative.</w:t>
      </w:r>
    </w:p>
    <w:p>
      <w:r>
        <w:t>101. Further inspection documents also reveal the clear awareness mentioned above, for example, as the ENEL group in various PowerPoint presentations acquired during the inspection</w:t>
      </w:r>
    </w:p>
    <w:p>
      <w:r>
        <w:t>94 See doc. 55 (see also further docs. 41, 49, 52). Also regarding the segment of high-power charging infrastructures, in which the JV Ewiva is active, some inspection documents have allowed for the extraction of information related to the consistency of Ewiva's HPC network in the national territory, even in some cases with comparative data regarding the position of competitor entities active as CPO in this segment (see docs. 120 and 124).</w:t>
      </w:r>
    </w:p>
    <w:p>
      <w:r>
        <w:t>95 See doc. 21.</w:t>
      </w:r>
    </w:p>
    <w:p>
      <w:r>
        <w:t>37 BULLETIN NO. 32 OF AUGUST 18, 2025</w:t>
      </w:r>
    </w:p>
    <w:p>
      <w:r>
        <w:t>it appears necessary to monitor the market and compare the various CPO and MSP rates practiced by the group's companies and competitors; from these schemes, it is already graphically evident that in some cases the wholesale price practiced by EXWI to various MSPs is outright higher than the corresponding retail price offered by EXW to the final customers96.</w:t>
      </w:r>
    </w:p>
    <w:p>
      <w:r>
        <w:t>102. Also significant, in terms of awareness of the critical nature of its pricing policies, is another email exchange contained in another inspection document97, in which, again regarding the modification of retail tariff schemes decided by EXW effective from March 27, 2023, a representative of the ENEL group writes: “Let's be clear... before we were very much below cost on half the portfolio, it's not that people didn't know it” (emphasis added)98.</w:t>
      </w:r>
    </w:p>
    <w:p>
      <w:r>
        <w:t>4. THE ARGUMENTS OF THE PARTIES</w:t>
      </w:r>
    </w:p>
    <w:p>
      <w:r>
        <w:t>4.1 The defensive arguments of EXW and EXWI99</w:t>
      </w:r>
    </w:p>
    <w:p>
      <w:r>
        <w:t>Procedural exceptions</w:t>
      </w:r>
    </w:p>
    <w:p>
      <w:r>
        <w:t>103. At the procedural level, EX and EXWI have argued that certain anomalies characterized the conduct of the investigation and negatively impacted the full exercise of the companies' right of defense. In particular, the phase of acquiring evidence, which lasted over two years, would have experienced a long period of substantial inactivity between September 2024 and April 2025, while some requests for crucial information would have been sent only close to the CRI. The extended duration of the proceeding, in the absence of actual investigative needs, would have particularly unjustly placed EX and EXWI in a condition of prolonged uncertainty, with an inevitable impact on the commercial strategy and the full and effective operation of the companies in the market.</w:t>
      </w:r>
    </w:p>
    <w:p>
      <w:r>
        <w:t>104. Secondly, there would have also been a compression of the right of defense due to the granting of a term, to respond to the CRI, of only 35 calendar days from the date of notification of the same, a term absolutely inadequate for the Parties both considering the overall duration of the investigation and the new elements contained in the CRI compared to the initiation order (especially with reference to the geographical definition of the relevant markets). Finally, the further legal and economic analyses necessary to adequately respond to the CRI in a defensive manner would have been fully feasible only after access to the data room, which occurred on June 23, 2025, at a time therefore further close to the deadline for the submission of final submissions.</w:t>
      </w:r>
    </w:p>
    <w:p>
      <w:r>
        <w:t>The state of development of the electric mobility market in Italy</w:t>
      </w:r>
    </w:p>
    <w:p>
      <w:r>
        <w:t>105. The companies have emphasized that the transition to electric mobility by users requires the presence of adequate infrastructure, which must therefore precede the purchasing decisions of electric vehicles. Nevertheless, the data on the registrations of electric vehicles and on</w:t>
      </w:r>
    </w:p>
    <w:p>
      <w:r>
        <w:rPr>
          <w:b/>
        </w:rPr>
        <w:t>[Pages 37–39]</w:t>
      </w:r>
    </w:p>
    <w:p>
      <w:r>
        <w:t>BULLETIN NO. 32 OF AUGUST 18, 2025</w:t>
      </w:r>
    </w:p>
    <w:p>
      <w:r>
        <w:t>39. The data on the registration of electric vehicles and the circulating fleet show that Italy is lagging significantly behind the main European countries. In fact, there would be a strong uncertainty accompanying the consumer at the moment of the choice - irreversible in the medium to long term - of purchasing an electric car compared to a combustion car, as well as the belief that no economic benefits would be found in such a choice100. The data on registrations would be even more discouraging when compared to the level of infrastructure for charging services in the country, which, also thanks to the efforts made by EXWI and more recently by other operators, would see Italy well positioned among the main European countries. According to EX and EXWI, in such an embryonic stage of market development, a margin squeeze scenario would not even be conceivable. The same observation period would also be too short since any profitability analysis, especially for start-up markets, could not disregard a medium to long-term assessment, as per the established decision-making practice of the competition authorities.</w:t>
      </w:r>
    </w:p>
    <w:p>
      <w:r>
        <w:t>The business model</w:t>
      </w:r>
    </w:p>
    <w:p>
      <w:r>
        <w:t>106. Although there are no obligations, EXWI would have decided from the outset to ensure total interoperability on fair and non-discriminatory terms of its public charging infrastructures for interested third parties. EXWI would therefore have ensured maximum accessibility of charging points throughout the national territory and maximum freedom of choice for end users among the numerous active MSPs.</w:t>
      </w:r>
    </w:p>
    <w:p>
      <w:r>
        <w:t>107. As for pricing decisions, EXWI's pricing would consist of a variable component and a one-time fixed component required from the MSP at the time of signing the interoperability contract. [omissis].</w:t>
      </w:r>
    </w:p>
    <w:p>
      <w:r>
        <w:t>108. Regarding the MSP side price, Enel X Way's pricing includes two types of tariffs, pay per use (PPU) and flat monthly rates, [omissis].</w:t>
      </w:r>
    </w:p>
    <w:p>
      <w:r>
        <w:t>The factual context</w:t>
      </w:r>
    </w:p>
    <w:p>
      <w:r>
        <w:t>109. The companies emphasized that in 2022 there was an unpredictable increase in energy prices. This scenario would inevitably have impacted the electric mobility market in Italy: in 2022, registrations of electric vehicles would have experienced a significant contraction - compared to previous years - entirely unpredictable in relation to the expected growth trend. In light of this scenario, on the CPO side, EXWI would have been forced to make upward price adjustments in February and October 2022, [omissis]. At the same time, in response to the significant and general increase in energy costs, on the MSP side, EXW would have adopted a pricing policy aimed at reassuring potential users, avoiding disorienting price signals.</w:t>
      </w:r>
    </w:p>
    <w:p>
      <w:r>
        <w:t>110. Throughout 2022, however, the rates charged by EXW would have been in line with the market. In particular, during the period in question, there were lower PPU rates on the market (e.g., Telepass, Be Charge, A2A) and equivalent or even more convenient flat rates (for example, for low mileage, the rate proposed by A2A, and for high mileage, the rate proposed by Be Charge). In the period from March to August 2023 – following the repricing adopted by EXW – there would have been more convenient rates on the market for both low and medium mileage (A2A and Be Charge), while EXW's rate would have been temporarily the most convenient only for high mileage. Finally, after the repricing in August 2023, EXW's offers would have been the most expensive on the market for both low and high mileage, while they would have been positioned in the mid-high range for medium mileage. This competitive context would demonstrate the untimeliness of the AGCM's intervention, as it would appear evident that in a market still in an embryonic state like that of mobility, it is physiological for operators to adopt offering strategies aimed at supporting the creation of structured demand for the services provided.</w:t>
      </w:r>
    </w:p>
    <w:p>
      <w:r>
        <w:t>Considerations on the rationality of conduct</w:t>
      </w:r>
    </w:p>
    <w:p>
      <w:r>
        <w:t>111. The companies then emphasized the rationality of pricing conduct on both the CPO and MSP sides. [omissis]. The CPO could also have set access costs to its network higher than those established, but this was not done in order to support demand for mobility services in this initial phase of market development. To prove this, it would suffice to analyze the pricing applied by different CPOs and note that EXWI's price would be, compared to those set by other CPOs, absolutely median. The Parties argued that the pricing decisions they adopted are rational and have no exclusionary purpose. The price increases at the CPO level have indeed been justified by the rise in electricity prices which, as is known, characterized the market during the period of interest, a phenomenon whose significance also emerges from the inspection documentation. The companies of the Enel group have nonetheless sought to contain the growth of CPO prices, which indeed are positioned in a median position compared to those of other CPOs.</w:t>
      </w:r>
    </w:p>
    <w:p>
      <w:r>
        <w:t>112. Enel X Way on the MSP side would also have adopted a completely rational strategy, aimed at supporting demand in relation to the choice of a durable good by the consumer which, once made, is irreversible in itself and stratifies the demand for charging services for years to come. A different strategy would have resulted in a substantial and irretrievable loss of demand, [omissis]. The pricing strategy adopted by EXW would find its rationality also in order to expand the user base of the electric mobility market, [omissis]. Prices at the MSP level have increased but to a lesser extent or have remained unchanged. This latter decision stems from the circumstance that, contrary to what the Offices claimed, there are studies that show that energy prices are fundamental to incentivizing consumers to purchase electric vehicles101, as evidenced, in this case as well, by the inspection documentation.</w:t>
      </w:r>
    </w:p>
    <w:p>
      <w:r>
        <w:t>113. In this regard, the Parties cited the Commission's guidelines on exclusionary abuses102 in which allegedly abusive conduct may be justified where the following conditions are met: (i) it is likely that efficiencies will arise from the behavior adopted by the dominant firm; (ii) such efficiencies outweigh the likely negative effects on competition and consumer welfare; (iii) competition, actual or potential, is not suppressed, even in part; and (iv) the behavior adopted by the dominant firm is necessary to achieve the expected efficiencies, in the sense that there are no less restrictive alternative behaviors. According to the Parties, all these conditions would be satisfied in the case at hand. The first condition would be met as registrations increased in 2023 following the tariffs under scrutiny and not in 2024, following the subsequent price increase by the companies, while the second and third conditions are satisfied as competition in the market has clearly persisted. Regarding the last condition, the Parties observe that a reduction in prices at the CPO level would have led to possible allegations of predatory pricing in the upstream markets at the CPO level, in which the Authority sees a dominant position held by the group. Furthermore, a containment of prices at the CPO level might not have achieved the desired result of containing the prices charged by MSPs to end users but could instead have simply been pocketed by MSPs as additional margin, as has been observed in some cases.</w:t>
      </w:r>
    </w:p>
    <w:p>
      <w:r>
        <w:t>114. The theory that its pricing conduct would fall within an exclusionary strategy would not be consistent with the fact that other integrated operators, such as Be Charge or A2A or Neogy, also dominant in numerous relevant local markets at the CPO level, have practiced similar pricing policies during the same period. The widespread application of such pricing policies would rather reflect the willingness to encourage the purchase of electric vehicles despite the rising energy costs.</w:t>
      </w:r>
    </w:p>
    <w:p>
      <w:r>
        <w:t>The relevant market and the dominant position</w:t>
      </w:r>
    </w:p>
    <w:p>
      <w:r>
        <w:t>115. During the proceedings, the companies stated that the Authority's reconstruction in the initiation act regarding the dominant position held by EXWI, based solely on the number of installed and managed charging points, would not be correct. In fact, this data, more than reflecting the actual market power held by a CPO, would evidence the more or less significant investment made by it. On the contrary, the volumes of services provided would certainly be more indicative of the market power held by an operator103. Even considering the number of installed infrastructures, however, the market would be characterized by numerous and qualified operators holding increasingly significant market shares, growing in the last period at a significantly faster rate than EXWI104.</w:t>
      </w:r>
    </w:p>
    <w:p>
      <w:r>
        <w:t>116. Regarding the geographical definition of the CPO market, EX and EXWI stated that the definition of the relevant market as having a local dimension by the German competition authority would actually derive from legal peculiarities related to German legislation and not applicable in Italy. In this regard, the companies state that, while agreeing that the demand from MSPs is derived, it would have its specificities and autonomous drivers.</w:t>
      </w:r>
    </w:p>
    <w:p>
      <w:r>
        <w:t>117. EX and EXWI noted that the survey conducted by the Authority regarding the radius within which users consider the charging infrastructures interchangeable would have been incorrectly directed at CPOs which, unlike MSPs, do not interface directly with users.</w:t>
      </w:r>
    </w:p>
    <w:p>
      <w:r>
        <w:rPr>
          <w:b/>
        </w:rPr>
        <w:t>[Pages 40–42]</w:t>
      </w:r>
    </w:p>
    <w:p>
      <w:r>
        <w:t>42 BULLETIN NO. 32 OF AUGUST 18, 2025</w:t>
      </w:r>
    </w:p>
    <w:p>
      <w:r>
        <w:t>the end users, for whom they do not have adequate elements to define uses, preferences, and consumption habits of the latter. EX and EXWI also highlighted that only a few CPOs have actually provided their estimates in response to the questionnaire sent by the Authority.</w:t>
      </w:r>
    </w:p>
    <w:p>
      <w:r>
        <w:t>118. Regarding the radii considered by the Authority, EX and EXWI observe that it deviated from the approach of the Bundeskartellamt, which would have considered distances from 1 to 4 km only for infrastructures with a power of up to 22 kWh and not for infrastructures with higher power. The Authority, on the contrary, would have applied such radii to all infrastructures with a power of less than 100 kWh, despite the differences in charging times.</w:t>
      </w:r>
    </w:p>
    <w:p>
      <w:r>
        <w:t>119. Again with reference to the dominant position, EX and EXWI argued that it is unstable, as the market position of the group companies has decreased over time. Furthermore, the Parties stated that many of the local areas where the Authority attributes a dominant position to EXWI are actually areas where the diffusion of electric vehicles and the volumes supplied are very low, and the very presence of the Enel group is motivated not by commercial reasons but rather by the desire to reassure electric mobility users by ensuring infrastructural coverage throughout the national territory105. The presence of the Enel group in such local contexts, therefore, would represent more than a dominant position a "market failure"106. In this sense, the use of catchment areas would taint the reliability of the analysis because, diverting attention from a comprehensive assessment capable of capturing competitive dynamics at a broader territorial level, it also focuses on areas where the penetration index of electric mobility is virtually zero and which are therefore entirely irrelevant for a competitive analysis.</w:t>
      </w:r>
    </w:p>
    <w:p>
      <w:r>
        <w:t>The conduct and effects</w:t>
      </w:r>
    </w:p>
    <w:p>
      <w:r>
        <w:t>120. EX and EXWI also argued that the pricing conduct associated with flat rates would not be attributable to them, as the actual unit price of such rates for consumers is determined only ex-post based on the usage rate of the package by the consumers themselves. Specifically, the companies did not expect and had not anticipated, during the period in question, such high usage rates. The companies once again cite the Commission's Guidelines which, regarding this aspect, state that prices charged in good faith cannot be contested107.</w:t>
      </w:r>
    </w:p>
    <w:p>
      <w:r>
        <w:t>121. EX and EXWI also observed that it is incorrect to assert that the contested pricing strategies would have been overall sustainable and not loss-making for the group, due to the compensations between MSP losses and CPO profits. CPO prices, in fact, have not been particularly high but in line with those of other CPOs present in the market and have not allowed for an overall positive margin for the group, which, had it wanted to pursue a margin squeeze strategy, would have increased them to a greater extent.</w:t>
      </w:r>
    </w:p>
    <w:p>
      <w:r>
        <w:t>122. The companies then stated that the calculation of EXW's margin is not sufficient to configure the contested exclusionary strategy, as the ability to exclude a competitor is not automatic but also depends on further contextual elements. For example, in this specific case, there would be no significant barriers to entry in the MSP market and users would enjoy the broadest contractual freedom to change operators at any time, also using multiple MSPs simultaneously. Moreover, the Parties observe that, in fact, there is no evidence of any exclusion but rather the number of MSPs has increased. In this regard, EX and EXWI lament that the Authority did not specify the possible further reasons that may have explained the growth of MSPs during the considered period, despite the allegedly exclusionary conduct of the Parties. EX and EXWI also emphasized that they are present in the MSP market that practices retail prices lower than those practiced by the Enel group MSP.</w:t>
      </w:r>
    </w:p>
    <w:p>
      <w:r>
        <w:t>123. The Parties also argued that both the scope of the conduct (which according to the companies would only concern sales in PPU with AC technology) and its duration (which for the Parties would be limited to the 5 months during which PPU rates for AC charging services were set at levels below costs) would be excessively limited for it to constitute an effective exclusionary strategy. In this regard, EX and EXWI state that there is no evidence of an exclusionary intent by the Enel group in the documentation on file and that the conduct, contrary to what the Authority claimed, would have ceased at the unilateral initiative of the Parties, through commercial decisions made prior to the initiation of the proceeding, which ended the short period of prices below costs aimed at reassuring final consumers.</w:t>
      </w:r>
    </w:p>
    <w:p>
      <w:r>
        <w:t>Severity, duration, and possible sanctions</w:t>
      </w:r>
    </w:p>
    <w:p>
      <w:r>
        <w:t>124. Furthermore, EX and EXWI argue that in assessing the severity of a possible violation, the absence of exclusionary effects and the spontaneous implementation of some of the commitments proposed by the Parties and rejected by the Authority during the proceeding should be taken into account. Moreover, according to these companies, the willingness to encourage the transition to electric mobility by containing prices for end users should be viewed favorably by the Authority. Finally, the Parties reiterated that in any case, the duration of the conduct should at most be limited to the period during which AC PPU rates were set at levels below costs and should not be based on the levels of margin calculated also taking into account flat rates.</w:t>
      </w:r>
    </w:p>
    <w:p>
      <w:r>
        <w:t>125. Finally, with regard to the relevant turnover to be considered for a possible sanction, EX and EXWI specified that the Authority should limit itself to considering only the sales made by the Enel group in the MSP market, which represents, in this case, the market "subject to the infringement." This interpretation would be consistent with the Authority's precedents. Moreover, in this specific case, prices in the CPO market have no abusive characteristics (for example, excessive or discriminatory). Finally, the Parties conclude that even if the turnover achieved at the CPO level is also taken into account, it should be netted of the value of sales in the catchment areas where EXWI does not have a dominant position and those where there is a "market failure" situation and the duplication of turnover between CPO and MSP of the group.</w:t>
      </w:r>
    </w:p>
    <w:p>
      <w:r>
        <w:t>4.2 The defensive arguments of Ewiva108</w:t>
      </w:r>
    </w:p>
    <w:p>
      <w:r>
        <w:t>Procedural exceptions</w:t>
      </w:r>
    </w:p>
    <w:p>
      <w:r>
        <w:t>126. Ewiva first raised procedural exceptions related to various aspects that emerged during the investigation: the Authority would have proceeded with a selective treatment of the report received, which concerned conduct also of other operators active as CPO; access to documents would not have been granted promptly; the time allowed for submitting final submissions would have been entirely insufficient, and the Offices would have further infringed Ewiva's rights of defense by not granting a second access in the data room to the confidential economic data underlying the CRI as requested by the company. The failure to grant the Authority an intra-procedural extension of the deadline for the investigation phase would also have been detrimental. According to Ewiva, the duration of the proceeding would have been excessive, compared to the limited investigative activity conducted, and requests for crucial information would have been sent only close to the submission of the CRI. Finally, in more general terms, the Authority would have adopted an inconsistent approach with the embryonic and innovative nature of the market, where it would have been more appropriate to open an inquiry into the sector rather than a sanctioning proceeding.</w:t>
      </w:r>
    </w:p>
    <w:p>
      <w:r>
        <w:t>Absence of the prerequisites to qualify a dominant position for Ewiva</w:t>
      </w:r>
    </w:p>
    <w:p>
      <w:r>
        <w:t>127. The data provided by the notifier, on which the initiation provision is also based, would be partial and incomplete (for example, in one of the presentations produced during the proceeding, the HPC segment would have been artificially limited to only PdRs with power greater than 150 kW). Furthermore, the analysis of Ewiva's position should take into account the fact that the market is very young, volatile, and constantly evolving, while dominance requires a certain stability (for example, the HPC PdRs in Italy increased from 538 in December 2021 to about 3,396 in September 2023; moreover, the market as a whole would have been destined to grow also due to the PNRR, while Ewiva's business plan foresees a predetermined number of installations).</w:t>
      </w:r>
    </w:p>
    <w:p>
      <w:r>
        <w:t>128. Ewiva's market position should then be evaluated in relation to that of competitors, as numerous operators would be active capable of exerting significant competitive pressure on the JV. The market would also appear characterized by the continuous entry of new industrial and financial players, including foreign ones, potentially interested particularly in the development of the HPC network (such as car manufacturers, entities already active in other capacities in the electricity supply chain, owners of potentially interesting sites such as fuel distributors, large-scale distribution companies, or motorway concessionaires).</w:t>
      </w:r>
    </w:p>
    <w:p>
      <w:r>
        <w:t>Non-existence of the hypothesis of abuse: absence of vertical integration and conduct</w:t>
      </w:r>
    </w:p>
    <w:p>
      <w:r>
        <w:t>129. According to Ewiva, the hypothesis of abuse put forward by the Authority would be unfounded as the conduct of margin compression would presuppose the dominant company's ability to leverage prices both upstream and downstream to restrict competitors' margins of action. This assumption would not exist in this case, as Ewiva: is not vertically integrated nor active in the downstream MSP market; has always charged the same price to</w:t>
      </w:r>
    </w:p>
    <w:p>
      <w:r>
        <w:rPr>
          <w:b/>
        </w:rPr>
        <w:t>[Pages 43–45]</w:t>
      </w:r>
    </w:p>
    <w:p>
      <w:r>
        <w:t>BULLETIN NO. 32 OF AUGUST 18, 2025</w:t>
      </w:r>
    </w:p>
    <w:p>
      <w:r>
        <w:t>45. all MSPs, including EXW; would autonomously determine its own pricing policies and would not interfere in any way with those of EXW in the downstream market.</w:t>
      </w:r>
    </w:p>
    <w:p>
      <w:r>
        <w:t>130. More specifically, regarding the absence of vertical integration of Ewiva, it would be noted that: its commercial decisions would be made exclusively in its own interest [omissis]; the commercial relationships with the Enel group would occur in all cases under market conditions (for example, the energy supply contracts were concluded following a competitive procedure); the policies defined by the partners in the articles of association would ensure that no conduct could be implemented to the advantage of a specific MSP, as Ewiva's interest as a CPO would be to maximize the use of its charging stations by all interested parties.</w:t>
      </w:r>
    </w:p>
    <w:p>
      <w:r>
        <w:t>131. Ewiva, precisely considering the fact that it is not integrated with any company active as an MSP, would not have engaged in the conduct contested by the Offices in the CRI, having no way to act on downstream prices, an element evidenced by the duration of the conduct as reconstructed by the Offices, which ceases without any active behavior being implemented by Ewiva itself (whose prices, therefore, before and after this alleged conclusion of the abuse, would have remained unchanged). Ultimately, the only element on which the company's involvement in the alleged infringement is based is its link with the Enel Group, which alone is entirely insufficient, also for the reasons mentioned regarding the nature of the relationships governed by market conditions, to attribute to Ewiva the alleged abuse contested by the CRI.</w:t>
      </w:r>
    </w:p>
    <w:p>
      <w:r>
        <w:t>Absence of intent or interest to harm MSPs</w:t>
      </w:r>
    </w:p>
    <w:p>
      <w:r>
        <w:t>132. The absence of intent or interest to harm MSPs would also emerge from the inspection documentation, particularly with reference to the documents demonstrating that Ewiva has always aimed to ensure equivalent conditions for all parties active in using its charging infrastructure [omissis]109.</w:t>
      </w:r>
    </w:p>
    <w:p>
      <w:r>
        <w:t>133. It would therefore be entirely inconsistent for Ewiva, on the one hand, to be concerned about protecting the role of MSPs and facilitating their access to its network and, on the other hand, to "conspire" as claimed by the CRI with the companies of the ENEL group to exclude them from the market.</w:t>
      </w:r>
    </w:p>
    <w:p>
      <w:r>
        <w:t>Relevant markets, dominant position, marginality analysis, and effects</w:t>
      </w:r>
    </w:p>
    <w:p>
      <w:r>
        <w:t>134. Ewiva has argued that the product market definition adopted by the Authority for the CPO market inappropriately overlooks the substitutability between high-power charging provided by Ewiva and that provided by highway charging infrastructures. On the contrary, the latter exert a certain degree of competition with high-power infrastructures located outside the highway premises such as those of Ewiva, as both types of infrastructures would be designed for extra-urban charging over long distances. In support of this thesis, Ewiva mentions the ASPI tenders for infrastructure that would require a uniform price from the successful bidders who will install the infrastructures, compared to those practiced outside the highway premises.</w:t>
      </w:r>
    </w:p>
    <w:p>
      <w:r>
        <w:t>135. Ewiva has also stated that it does not agree with the identification of a local geographical dimension for the CPO market, as the currently prevailing prices are in fact articulated on a national basis and the activities of MSPs are not geographically bound at the local level. The company also cites some CPOs heard in hearings by the Authority who would have expressed, for the moment, a national perception of the market. In this regard, Ewiva adds, it is not correct to state that the market has a local dimension because local differences could become relevant in future evolutionary stages of the sector. In this regard, the conclusions of the German Authority would not be applicable to the Italian market because the German electric mobility market is at a much more advanced stage of development and in that country CPOs also interface directly with end users.</w:t>
      </w:r>
    </w:p>
    <w:p>
      <w:r>
        <w:t>136. Ewiva has also added that it does not hold a dominant position at the national level, not even during the period to which the contested conduct dates back, during which the company had, based on its calculations, a market share of less than 40%110. Furthermore, the company states that the market shares of the Parties are not stable and, according to case law, should be evaluated dynamically, especially in an early-stage market.</w:t>
      </w:r>
    </w:p>
    <w:p>
      <w:r>
        <w:t>137. Moreover, Ewiva emphasizes that the Authority itself approved the operation through which the company was established, not finding in that case the creation of a dominant position. In this assessment, moreover, the Authority was already aware, based on the company's development plans, that Ewiva's market share would be decreasing111.</w:t>
      </w:r>
    </w:p>
    <w:p>
      <w:r>
        <w:t>138. Regarding the extension of the geographical market for high power, Ewiva complains that, although the sector investigation by the Bundeskartellamt proposes "an indicative radius of 20-30 minutes of driving around the charging point as a starting point for defining the relevant market, corresponding approximately to 20 km," the Authority adopts a radius of 5-10 km in constructing the catchment areas for high-power markets. In this regard, Ewiva notes that its market share could vary significantly using a different radius than the 5-10 km used by the Authority for identifying the catchment areas and that by extending the radius from 5 to 50 km, the number of areas where Ewiva holds 100% of the charging points decreases progressively. Essentially, Ewiva states, similarly to EX and EXWI, that the number of catchment areas in which Ewiva is dominant tends to reflect the sparse distribution of infrastructures in the territory. For this reason, by increasing the radius, the number of critical catchment areas decreases.</w:t>
      </w:r>
    </w:p>
    <w:p>
      <w:r>
        <w:t>139. With reference to the estimation of market shares in terms of volumes, Ewiva believes that the approach taken by the Authority is poorly robust, as it is based on a series of unverifiable (and unverified) assumptions. In particular:</w:t>
        <w:br/>
        <w:t>a. in the analysis period considered (May 2022-August 2023), the CPO market is still characterized by a phase of strong development, with variation in the number of active charging points on a monthly basis. The use of an annual average of the volumes supplied can therefore overestimate or underestimate the market positions of the various operators, depending on the timing of installation and activation of the charging points;</w:t>
        <w:br/>
        <w:t>b. the Authority has solely used the database provided by Ewiva to determine the average energy supplied for each combination of power output and municipality where the charging point is located (or province, in case municipal data were not available). The Authority, therefore, calculates the average energy supplied annually for each power and municipality – or province – where Ewiva has active charging points and applies the annual averages to the charging points of other active operators in each catchment area having power corresponding to those operated by Ewiva. In the case of charging points with powers different from those operated by Ewiva (different from 100, 150, or 350 kW), the Authority assigns a supplied power equal to zero. This means that although active and present in the catchment area, some competing operators are not considered in the calculation of market shares based on volumes, artificially increasing the market share of the CPOs included in the calculation.</w:t>
      </w:r>
    </w:p>
    <w:p>
      <w:r>
        <w:t>140. Ewiva then complains that its market position has been assessed regardless of the market shares held in the catchment areas by other operators, unlike the practice of competition authorities.</w:t>
      </w:r>
    </w:p>
    <w:p>
      <w:r>
        <w:t>141. As for the marginality analysis, the company states that [omissis] and that the results of the marginality analysis carried out by the Authority could vary - with the effect of reducing the duration of the conduct - if the costs provided by EX and EXWI had been expressed, unlike revenues, gross of VAT.</w:t>
      </w:r>
    </w:p>
    <w:p>
      <w:r>
        <w:t>142. Finally, Ewiva emphasizes that there are no significant barriers to entry in the relevant markets under examination, especially for that of MSPs - a market in which excluding effects would occur - but also for the CPO market itself. The company also observes that MSPs can use and in fact use the services of multiple CPOs simultaneously and, therefore, the services of a CPO cannot be considered essential.</w:t>
      </w:r>
    </w:p>
    <w:p>
      <w:r>
        <w:t>4.3 The position of Route220</w:t>
      </w:r>
    </w:p>
    <w:p>
      <w:r>
        <w:t>143. Route220, the reporting entity, has provided the set of pre-investigation information already reconstructed, as well as further updates during the proceeding. In particular, during the investigative hearing112, it provided data regarding the consistency of the charging network of EXWI and Ewiva, updated to July 2023, aimed at confirming, according to the company, the surpassing of the relevant dominance thresholds to warrant antitrust attention on the reported conduct (stating that these data should be accompanied by other factors, such as significant investment policies and the economic and brand strength of the Enel group as an incumbent and former monopolist in the electricity sector, to confirm the existence of the dominance hypothesis). The company also provided, on the same occasion, a reconstruction of the prices applied by the Parties from September 2018 to August 2023, both with reference to the so-called roaming prices on the CPO side and the retail prices applied to the end customers using the electric charging services on the MSP side. According to Route220, these updated market data were intended to demonstrate that the reported behaviors, which had given rise to the initiation of the proceeding by the Authority, were still ongoing at that time113.</w:t>
      </w:r>
    </w:p>
    <w:p>
      <w:r>
        <w:t>112 See doc. 361.</w:t>
        <w:br/>
        <w:t>113 Route220 also provided feedback to a specific request for information made by the Office during the proceeding, aimed at reconstructing some aspects useful for better understanding the dynamics of the affected markets (particularly regarding the charging habits of electric motorists, in terms of the distance they are willing to travel to charge their electric car in case their usual charging station is unavailable, for the various types of power) (see docs. 497 and 505).</w:t>
      </w:r>
    </w:p>
    <w:p>
      <w:r>
        <w:rPr>
          <w:b/>
        </w:rPr>
        <w:t>[Pages 46–48]</w:t>
      </w:r>
    </w:p>
    <w:p>
      <w:r>
        <w:t>48 BULLETIN NO. 32 OF AUGUST 18, 2025</w:t>
      </w:r>
    </w:p>
    <w:p>
      <w:r>
        <w:t>144. Lastly, in its final memorandum114, Route220 further reiterated its position, stating that the abusive conduct reported by the companies included in the Enel Group would have produced strongly distorting effects not only in terms of the progressive erosion of the market shares held by Route220 but also in terms of the deterioration of competitive dynamics, with a systematic detriment to innovation in the sector to the detriment of final consumers. More specifically, the sustainability of the offer of so-called "flat" or "package" rates by the Enel group would, according to Route220, be based on the hope that users would not consume the entire amount of energy purchased, a risk condition sufficient to increase the number of registered users at its MSP to the detriment of other non-integrated operators who could not compete with similar rates, having to sell the charging service on the Enel CPO charging infrastructure at a loss.</w:t>
      </w:r>
    </w:p>
    <w:p>
      <w:r>
        <w:t>145. The choice to adopt such a pricing policy despite the lower margins for the Enel group compared to other retail rates, according to the company, could only be economically supported by vertically integrated energy companies in the relevant territory, and with financial coverage sufficient to create a market distortion for the acquisition of MSP market shares to the detriment of independently structured companies. With specific reference to Route220's market position, the contested margin squeeze practice in the proceeding would have resulted in a significant contraction of the customer base coinciding with the application of wholesale access rates that are not economically sustainable in relation to the retail offers practiced by the Enel Group on its direct channel.</w:t>
      </w:r>
    </w:p>
    <w:p>
      <w:r>
        <w:t>4.4 The position of Be Charge and Be Power</w:t>
      </w:r>
    </w:p>
    <w:p>
      <w:r>
        <w:t>146. As mentioned, the companies Be Charge and Be Power submitted a request, which was subsequently accepted, to participate in the proceeding. During the investigative hearings held, the representatives of the companies provided the Offices with useful elements to understand the dynamics of the relevant markets and their evolution, both with reference to the CPO activity and the MSP activity, which are carried out at an integrated level115.</w:t>
      </w:r>
    </w:p>
    <w:p>
      <w:r>
        <w:t>147. Be Charge then responded to some information requests made by the Office during the proceeding, always aimed at reconstructing aspects useful for better understanding the dynamics of the relevant markets (such as, by way of example, the charging habits of electric motorists, in terms of the distance they are willing to travel to recharge their electric car in case of unavailability of their usual charging station, for the various power types)116.</w:t>
      </w:r>
    </w:p>
    <w:p>
      <w:r>
        <w:t>5. EVALUATIONS</w:t>
      </w:r>
    </w:p>
    <w:p>
      <w:r>
        <w:t>5.1 Preliminary considerations regarding procedural observations</w:t>
      </w:r>
    </w:p>
    <w:p>
      <w:r>
        <w:t>148. With reference, first of all, to the procedural exceptions raised by the Parties and previously mentioned, they do not appear to be shareable. The proceeding has been conducted in all its phases in full compliance with the defense rights of the companies involved and the relevant regulations, including the timelines and procedural obligations provided therein. More specifically, with reference to the selective treatment of the report, it should be noted that the Authority has full discretion in delimiting, starting from a received complaint, the scope of the allegations it deems worthy of further investigation. Regarding the allegedly excessive duration and the discontinuous investigative activities according to the Parties, it is noted that the extensions were justified by the complexity of the analyses required in an innovative sector, not subject to previous investigative interventions for violations of competition protection regulations by the Authority, and that, during the contested "vacuum" period (between September 2024 and April 2025), the collection and subsequent analysis and processing of data obtained mainly from ARERA and the trade association Motus–E took place, used to respond to the methodological objection raised by the Parties during the hearings regarding the fact that market shares had been calculated in the initiation provision only in terms of the number of electric charging points and not also in terms of energy volumes (data received between September and October 2024). Subsequently, the preparation of the Communication of the investigative findings took place, which was then sent to the Parties in May 2025.</w:t>
      </w:r>
    </w:p>
    <w:p>
      <w:r>
        <w:t>149. Furthermore, with reference to the additional procedural exceptions raised by the Parties, it should be noted that: the defense rights were fully guaranteed at every stage of the investigation, including the 45 calendar days between the notification of the CRI and the end of the investigative phase required by D.P.R. 217/98 as last amended; access to documents was always granted promptly and in compliance with the prescribed deadlines; the data room was requested (only by Ewiva) more than two weeks after the sending of the CRI (June 17, 2025) and was promptly organized (June 23, 2025); a second data room was not granted to Ewiva on the same identical document set as no new need justified the new access, nor had the consultants represented the incompleteness of the analysis carried out (on the contrary, the related final report had already been produced and sent to the company); finally, the compressions of the defense right in the concluding phase of the proceeding and regarding the time for the memoranda available after access in data room mode were also lamented by Enel X and Enel X Way Italia, when the companies did not submit any independent request for access in that mode (but only requested to participate in the data room organized at the request of Ewiva) nor for an extension of the intra-procedural deadlines.</w:t>
      </w:r>
    </w:p>
    <w:p>
      <w:r>
        <w:t>5.2 The relevant markets and the dominant position of the Enel group</w:t>
      </w:r>
    </w:p>
    <w:p>
      <w:r>
        <w:t>5.2.1 The relevant markets involved</w:t>
      </w:r>
    </w:p>
    <w:p>
      <w:r>
        <w:t>150. As mentioned, the case at hand concerns the electric mobility sector, particularly the segment related to public charging (or private land open to the public). Two relevant markets are identified in this segment: the upstream market for the construction and management of public charging infrastructures (so-called CPO market) and the vertically connected downstream market for the provision of charging services to final customers (so-called MSP or EMP market). More specifically, as previously mentioned, MSPs carry out the activity of providing charging services using the charging infrastructures of one or (typically) more CPOs, with which they maintain specific contractual relationships (so-called interoperability contracts) or interface through specialized platforms. The two figures may or may not coexist in the same company (or corporate group). In any case, the two activities are complementary but not overlapping, nor does it appear essential for them to be carried out in an integrated manner117.</w:t>
      </w:r>
    </w:p>
    <w:p>
      <w:r>
        <w:t>The market for the construction and management of public charging infrastructures (CPO market)</w:t>
      </w:r>
    </w:p>
    <w:p>
      <w:r>
        <w:t>151. In this market, on the supply side, companies dedicated to the design, installation, and management of publicly accessible electric charging infrastructures (CPO) operate, and on the demand side, charging service operators who mediate access to the charging stations for final customers (MSP) operate. The latter generally have an interest in offering their customers access to as extensive a network of charging points as possible, establishing the greatest number of interoperability agreements with the various CPOs active in the territory or, in any case, accessing their infrastructures through roaming platforms118. Only recently (starting from 2024) has the obligation been introduced, for certain types of infrastructures, to ensure the possibility for final users to directly offer charging services to final users, without the intermediation of any MSP119.</w:t>
      </w:r>
    </w:p>
    <w:p>
      <w:r>
        <w:t>152. As an additional element of segmentation, regarding the CPO activity for public charging infrastructures, the performance of the same in highway service areas identifies a distinct market compared to that in urban or non-highway extra-urban areas. This is because, as already mentioned, the specific access modalities to CPO activity on highways, intermediated by the role of highway concessionaires, create a regulatory and factual context not comparable to that of performing the same activity outside highway service areas. In this case, for the market position expressed by the companies of the Enel Group, only the activities of installation and management of public charging infrastructures on non-highway land have been taken into account.</w:t>
      </w:r>
    </w:p>
    <w:p>
      <w:r>
        <w:t>117 See mainly concentration cases, at the European level (COMP/M.8870-E.ON/Innogy, decision of September 17, 2019) and national level (C12224 - Dolomiti energia-Alperia/Alperia Smart Mobility and C12404 - Enel X-Volkswagen Finance Luxembourg/JVC, respectively decided with a non-initiation provision of June 5, 2019, and an authorization provision of December 9, 2021).</w:t>
      </w:r>
    </w:p>
    <w:p>
      <w:r>
        <w:t>118 It may also happen that the MSP has defined roaming agreements with another MSP, which in turn has concluded a roaming agreement with the CPO (this is a second-level roaming, often adopted in relationships between MSPs belonging to different States, in order to offer pan-European or international charging services).</w:t>
      </w:r>
    </w:p>
    <w:p>
      <w:r>
        <w:t>119 The operational segment that could arise as a result of this provision does not, however, concern the period to which the contested conduct refers.</w:t>
      </w:r>
    </w:p>
    <w:p>
      <w:r>
        <w:rPr>
          <w:b/>
        </w:rPr>
        <w:t>[Pages 49–51]</w:t>
      </w:r>
    </w:p>
    <w:p>
      <w:r>
        <w:t>BULLETIN NO. 32 OF AUGUST 18, 2025</w:t>
      </w:r>
    </w:p>
    <w:p>
      <w:r>
        <w:t>153. In this regard, the objection raised by Ewiva, which argues for the necessity to include charging infrastructures located on highway premises within the same relevant product market, does not appear to be shareable. The distinction between highway and non-highway infrastructures, in fact, unlike other issues related to the definition of the relevant market, is widely accepted in national, community, and other Member States' practices. In fact, in addition to the market entry procedures for operators (which generally remain different, contrary to what Ewiva claims regarding the provisions of certain tenders), the conditions of use of the service remain fundamentally and clearly distinct. It is particularly difficult to imagine that high-power infrastructures located outside highway premises (such as, for example, those of Ewiva) could be constrained by the possible presence nearby of infrastructures of similar power within the highways, as it is entirely implausible that users would access the highway solely to refuel at hypothetically competing electric charging infrastructures located outside the premises.</w:t>
      </w:r>
    </w:p>
    <w:p>
      <w:r>
        <w:t>154. Regarding the CPO market, an additional segmentation has been identified in national and European precedents based on the different power offered by charging infrastructures, from which the different duration of vehicle charging times depends and, consequently, the modes of service utilization (as well as, in some cases, the type of rechargeable vehicle). In particular, as already reconstructed, that of infrastructures with power equal to or greater than 100 kW appears to represent a distinct market compared to that of the construction and management of public charging infrastructures with power below this threshold. This conclusion arises, from the demand side, from the difference in charging time, which is much shorter with ultra-fast charges, and from the supply side due to the greater technical complexity and higher investments that characterize HPC CPs.</w:t>
      </w:r>
    </w:p>
    <w:p>
      <w:r>
        <w:t>155. The Commission had left the question open as to whether, among the charging infrastructures on non-highway premises, those with power below 100 kW should be further distinguished between "regular" and "fast" or constitute a single market. The Authority, already at the outset, had provisionally grouped these infrastructures into a single market. This position can be considered confirmed, as no elements have emerged during the investigation that would support such a distinction and, moreover, during the investigation it was learned that the majority of providers with power less than 100 kW have a power of 22 kW (which would represent the "border" value between the hypothesized sub-segmentations).</w:t>
      </w:r>
    </w:p>
    <w:p>
      <w:r>
        <w:t>156. As for the relevant market under analysis, from a geographical point of view, in the Authority's precedents (as well as, provisionally, in the decision to initiate the present case), it has been considered national, with elements of local competition, while the Commission, although hypothesizing strong elements of local competition with some elements of national competition, had not taken a definitive position on the matter. Other European authorities, such as the German one, have instead clearly recognized the local dimension of CPO activities.</w:t>
      </w:r>
    </w:p>
    <w:p>
      <w:r>
        <w:t>157. More specifically, although the commercial policies of CPOs currently appear homogeneous on a national basis, operators believe that this circumstance may be the temporary effect of the embryonic nature of the charging services market (and generally of the electric mobility sector), which would currently make it unnecessary to resort to locally articulated pricing policies. Furthermore, such decisions could also depend on the current configuration of the operators present and the market structure, in which, moreover, there are very few entities that hold well-distributed networks of charging infrastructures at the national level and for which, therefore, an articulation of territorial commercial policies could be more relevant.</w:t>
      </w:r>
    </w:p>
    <w:p>
      <w:r>
        <w:t>158. In reality, upon closer analysis of the type of service offered by CPOs and the competitive constraints they can exert, one cannot ignore the local dimension of this market. For example, it would not be conceivable that infrastructures located at opposite ends of the country could represent a mutual competitive constraint, as they have no substitutability for the users who utilize them, nor can this circumstance be negated due to the presence of intermediaries such as MSPs (which, in fact, offer complementary services to those of actual charging, which, moreover, could – and in some cases must necessarily – be offered directly by the CPO to the user, similar to what occurs in the traditional fuel sector). The attractiveness of an MSP's services for users, in fact, depends on the needs they have in terms of the geographical location of charging infrastructures, needs that are intrinsically local in nature.</w:t>
      </w:r>
    </w:p>
    <w:p>
      <w:r>
        <w:t>159. In this sense, the objections of the Parties that the adoption of a local dimension for CPO markets would not be adequately founded do not appear to be shareable. Firstly, it is noted that both EX and EXWI acknowledge that the demand from MSPs is substantially a derived demand from that of consumers, which obviously has intrinsically local characteristics. It is then noted that what these companies claim regarding the reasons that led the German Authority to adopt a local market definition for CPOs, which would be linked to specificities of German legislation, is not shareable, as the sector inquiry of the Bundeskartellamt is instead very explicit and clear in stating that it is the modes of use by consumers – linked to dynamics that are intrinsically local, although with variable extension also based on the type of infrastructure and charging times – that confer a local dimension to these markets.</w:t>
      </w:r>
    </w:p>
    <w:p>
      <w:r>
        <w:t>160. In this regard, it is observed that the hypothetical differences between the Italian and German contexts cannot undermine the observation of the local nature of the charging service, which is evidently valid for both countries. In any case, the Authority conducted a survey among Italian operators to obtain their assessment of the substitutability of infrastructures. Contrary to what Ewiva claimed, no CPO heard in the hearing (or that responded to the questionnaire sent by the Authority) denied the presence of possible local competitive dynamics but, rather, some of them acknowledged that there are currently insufficient reasons to articulate commercial policies at the local level.</w:t>
      </w:r>
    </w:p>
    <w:p>
      <w:r>
        <w:t>161. Finally, it is noted that, contrary to what Ewiva claimed, the Authority does not deduce the local dimension of the market from the possibility that it may evolve in the future towards locally differentiated commercial policies, but from intrinsic characteristics of the service already present in the period under investigation. The mere observation of uniform commercial policies by operators, in fact, does not demonstrate that the market is national but may simply be the result of similar market structures or competitive dynamics – or not sufficiently differentiated to justify geographically articulated pricing – in the different local areas, also considering the size and stage of development of the market. In the presence of an intrinsically local service (such as the refueling of vehicles), for which there are no obstacles to practicing geographically differentiated commercial policies, it is correct that competitive assessments are made taking into account the likely existing substitutability constraints, although this aspect does not necessarily find a visible manifestation in the form of differentiated prices.</w:t>
      </w:r>
    </w:p>
    <w:p>
      <w:r>
        <w:t>162. As for the detailed determination of this local dimension, one can first consider the characteristics of the charging services and the corresponding modes of use by users. Low-power charges (up to 99 kW and mostly with a power of 22 kW) require long charging times and, consequently, waiting times, estimated to be on the order of several hours. Therefore, unlike what happens with traditional fuel distributors, which the user might want to reach specifically to refuel or which might be selected within a route taken by the motorist, low-power charging infrastructures should be located near a point that the motorist considers, for several hours, to be their destination. This proximity should be such as to allow reaching the destination without the aid of the car, left at the charging infrastructure stall. Therefore, the infrastructures that can be considered substitutable by each user tend to be located at very short distances from each other which, based on currently available evidence, could be on the order of hundreds of meters or very few kilometers. Conversely, higher-power charging infrastructures, which allow charging in less than an hour and sometimes within 20 or 30 minutes, are necessary for refuels that motorists make "on the go," for example, during long-distance trips and, although they do not allow refueling within a few minutes as with traditional fuels, they are compatible with charging that occurs with shorter waiting times, corresponding to shorter and casual activities (such as shopping, lunch, or a simple ad hoc break) and can, in principle, be selected by users with greater freedom and therefore be substitutable among themselves at greater distances.</w:t>
      </w:r>
    </w:p>
    <w:p>
      <w:r>
        <w:t>163. The conclusions of the German competition authority in its inquiry are consistent with these considerations, as they arrive at a spatial distance ranging from 1 to 4 km for low-power infrastructures and a distance defined less sharply but still not exceeding 20 km for higher-power non-highway charging infrastructures.</w:t>
      </w:r>
    </w:p>
    <w:p>
      <w:r>
        <w:t>164. Finally, the information obtained from the survey conducted among the main Italian CPOs in the context of this investigation leads to confirm this approach. In particular, as illustrated, the operators who provided a response were largely in agreement in indicating a distance within which users perceive low-power charging infrastructures as substitutable as equal to or less than 1 km, indicating, at most, distances of 2 km. As for substitutability for users for higher-power infrastructures, the indications provided by the CPOs were ranges of about 5 km or, at most, 10 km. The indicated ranges could be emphasized that the vast majority of CPOs already have, in fact, a local operation or are mostly concentrated in specific geographical areas and therefore, regarding these operators, it makes little sense to talk about national commercial policies. In general, while the presence of differentiated prices can be a clear indication that they are different markets, it cannot be presumed that equal prices demonstrate the presence of the same market.</w:t>
      </w:r>
    </w:p>
    <w:p>
      <w:r>
        <w:rPr>
          <w:b/>
        </w:rPr>
        <w:t>[Pages 52–54]</w:t>
      </w:r>
    </w:p>
    <w:p>
      <w:r>
        <w:t>54 BULLETIN NO. 32 OF AUGUST 18, 2025</w:t>
      </w:r>
    </w:p>
    <w:p>
      <w:r>
        <w:t>therefore constitute plausible references for the breadth of the local geographic market for CPO activities related, respectively, to low and high power infrastructures on non-highway sites.</w:t>
      </w:r>
    </w:p>
    <w:p>
      <w:r>
        <w:t>165. In conclusion, although the Authority has already preliminarily quantified the position of the Parties at the national level, finding the prerequisites for a dominant position even within this perimeter, based on what emerged during the investigation regarding the geographic dimension of the market, it must be more adequately assessed at the local level, that is, considering the actual substitutability of charging infrastructures for end users. This approach leads to the necessity of appreciating the market positions of operators within traceable catchment areas, in principle, around each infrastructure or group of infrastructures (location). In particular, for non-highway low power infrastructures (up to 99 kW), an appropriate radius may be equal to 1 km, or at most limited to a few km (for example, the maximum limit of 4 km adopted by the Bundeskartellamt in its sector inquiry), while for non-highway higher power infrastructures (equal to or greater than 100 kW), this radius appears to need to be traced in the order of 5 or 10 km based on the information that has emerged.</w:t>
      </w:r>
    </w:p>
    <w:p>
      <w:r>
        <w:t>166. The criticisms raised by the Parties, for which the survey conducted by the Authority would be flawed as it was directed at CPOs, who do not interact directly with consumers and therefore do not monitor their habits, cannot be shared in this sense. It should be noted that the habits and preferences of electric motorists appear to be among the most relevant factors for the choice of the type and positioning of charging stations, a choice made precisely by the CPOs124. The approach taken by the Authority in delineating the geographic market of CPOs is, moreover, in line with the practices followed by other competition authorities, such as the Bundeskartellamt itself. The German authority indeed turned to CPOs to gather useful elements for the geographic delineation of this market both in the context of the sector inquiry and during a merger investigation125.</w:t>
      </w:r>
    </w:p>
    <w:p>
      <w:r>
        <w:t>167. Furthermore, the Parties' observation that the Authority would have attributed radii for low power that are inconsistent with the set of powers that fall within this category is not decisive. On one hand, the low power charging market includes infrastructures that, while slightly differing in charging power, involve substantially comparable usage modes, and on the other hand, 22 kW infrastructures represent the vast majority of low power infrastructures, to the point of constituting somewhat the standard for this segment, as shown. Moreover, despite a question calibrated on the typical 22 kW infrastructure, it is noted that the responses from the interviewed operators have almost always settled around very low radii, quite close to the minimum value of 1 km suggested by the Bundeskartellamt. There are no elements, therefore, to consider plausible that the few low power infrastructures - but with slightly higher power than 22 kW - could be substitutable within radii greater than 4 km. Finally,</w:t>
      </w:r>
    </w:p>
    <w:p>
      <w:r>
        <w:t>124 The aforementioned sector inquiry by the Bundeskartellamt provides a clear example of this: “about 94% of the CPOs surveyed in the sector inquiry stated that they only consider competitors' charging points up to a maximum distance of 5 km when evaluating a location for normal charging points” (pages 60-61). In addition to the indications on radii, Italian CPOs expressed interest and attention to the behaviors of end users during the hearings, as evidenced by the cited position of A2A (see supra, note n. 50).</w:t>
      </w:r>
    </w:p>
    <w:p>
      <w:r>
        <w:t>125 “These results of the sector inquiry have also been confirmed in the context of practice investigations. In the survey conducted by the Bundeskartellamt for the inquiry in this merger proceeding, 86% of the CPOs surveyed stated that they took into account competitors' charging points up to 4 km away when choosing the location.” (see Bundeskartellamt inquiry, page 61).</w:t>
      </w:r>
    </w:p>
    <w:p>
      <w:r>
        <w:t>BULLETIN NO. 32 OF AUGUST 18, 2025 55</w:t>
      </w:r>
    </w:p>
    <w:p>
      <w:r>
        <w:t>as shown, EXWI's market position in low power local markets varies little with changes in radius.</w:t>
      </w:r>
    </w:p>
    <w:p>
      <w:r>
        <w:t>168. Furthermore, the criticism from Ewiva cannot be shared, which claims that the Authority identified the catchment areas for high power markets using radii of 5-10 km, lower than those identified by the German Authority in its inquiry. In this regard, it should be noted that the radius of 20 km cited by Ewiva is actually mentioned by the Bundeskartellamt as a maximum limit for substitutability between infrastructures and not as the most likely or indicative value. Moreover, the radii used by the Authority, of 5 and 10 km, correspond to the indications provided by the responses to the questionnaire submitted to Italian operators126.</w:t>
      </w:r>
    </w:p>
    <w:p>
      <w:r>
        <w:t>The market for the provision of charging services to end customers (MSP or EMP market)</w:t>
      </w:r>
    </w:p>
    <w:p>
      <w:r>
        <w:t>169. As mentioned several times, access for electric vehicle holders to public charging stations has, until now, typically been intermediated by third parties (so-called EMPs or MSPs, which represent the supply in this market), who offer the charging service to users holding an electric vehicle (who represent the demand), along with other ancillary functionalities (e.g., remote payment methods, provision of aids for locating and reserving refueling points, navigation services, possibility of charging on networks of various CPOs, etc.).</w:t>
      </w:r>
    </w:p>
    <w:p>
      <w:r>
        <w:t>170. The market for the provision of services by MSPs to end users for access to public charging points has been attributed a national geographic dimension in the precedents of the Authority and the Commission, considering, among other things, the radius of activity and the pricing policies of the operators active therein. Furthermore, a decisive element is considered to be the very characteristics of the services offered specifically by MSPs, in addition to the charging services they intermediate but which are actually made available by CPOs, consisting of software-type functionalities that have no reason to have local limitations or delineations. In any case, even where there are some MSPs that focus their activities more on specific local areas, the conduct of the Parties, considering their degree of operation, is likely to have exclusionary effects throughout the national territory. It is also not appropriate, in this market, to further segment it in terms of the power of charging infrastructures, as - as evidenced by the complaint received - MSPs provide a complete offer to customers, which includes access to all available charging infrastructures based on existing agreements with various CPOs.</w:t>
      </w:r>
    </w:p>
    <w:p>
      <w:r>
        <w:t>171. At the start of the proceeding, the Authority reserved the right to assess whether the provision of MSP services to individual private end customers, on the one hand, and to businesses/business customers, on the other hand, could constitute distinct relevant markets. In particular, this latter segment appeared to present some specific characteristics (for example, sometimes requiring both the installation of charging stations on private land, local or company parking lots, and the provision of charging services on public land, as well as potentially being characterized by different pricing policies from those applied to the general consumer clientele) that could justify its distinct identification. In the Authority's (and the European Commission's) precedents up to this point, however, such segmentation has not been delineated, also given the overall nascent nature of the electric mobility sector and, therefore, the progressive definition of roles still underway. The evidence that emerged during the investigation does not appear to have provided elements supporting such a development and diversification of the offer towards customers that would necessitate this further segmentation of the market. On the contrary, the significant similarity of the commercial policies adopted (including, primarily, the adoption of the same PPU rates, which represent a large part of the consumption of the business segment and the presence, in the residual flat offers, of comparable pricing modes and saturation rates) suggests that this distinction is of little relevance. It is therefore deemed appropriate to maintain a definition of the market for electric charging services to customers as unitary.</w:t>
      </w:r>
    </w:p>
    <w:p>
      <w:r>
        <w:t>5.2.2 The dominant position of the Enel group</w:t>
      </w:r>
    </w:p>
    <w:p>
      <w:r>
        <w:t>172. The application presupposition of Article 102 TFEU is, as is known, the existence of a dominant position held by the undertaking that engages in the conduct deemed abusive. In particular, in cases of margin squeeze, dominance must be established in the upstream market, that is, the market for the input whose wholesale supply price to non-integrated competitors, in relation to the price charged by the dominant undertaking at retail in the related downstream market, appears capable of determining the phenomenon of margin compression that characterizes the abusive conduct127. In this specific case, therefore, dominance must be established in the local geographic markets for the installation and management of electric charging infrastructures (CPO markets, upstream), while the conduct and potential exclusionary abusive effects manifest in the market for the provision of electric charging services to customers (MSP market, downstream).</w:t>
      </w:r>
    </w:p>
    <w:p>
      <w:r>
        <w:t>173. In this sense, as shown, adopting any radius among those considered to delineate the catchment areas128 and with both available datasets, and finally, also taking into account, as far as possible, the different level of volumes supplied by each type of facility, there are numerous catchment areas, spread throughout the Italian territory, in which EXWI and Ewiva hold a dominant position. In particular, EXWI holds a dominant position in over 5000 catchment areas in the low power CPO market, understood as a market share of at least 50% calculated both in terms of the number of charging points (or dispensers) pertaining to the relevant market and in terms of estimated volumes supplied (see supra Tables 5, 6 and Figures 4-7). Similarly, for high power infrastructures, for both radii considered and also taking into account the average differences in supply between power levels, EXWI and Ewiva are estimated to hold a market share of at least 50% in a significant number of catchment areas (approximately 200, in various configurations) also concerning the entire national territory (see supra Tables 5, 6 and Figures 4-7). This number decreases very little even when considering, both for low power and high power, only the catchment areas in which the second operator has a market share lower by at least 10% and even those in which EXWI and Ewiva are found to hold the</w:t>
      </w:r>
    </w:p>
    <w:p>
      <w:r>
        <w:t>127 According to relevant case law, in fact, there is an MS conduct contrary to Article 102 TFEU when, along with other conditions, “a vertically integrated undertaking sells a product or service to competitors in an upstream market in which it is dominant and competes with those undertakings in a downstream market for which the product or service is an input” (Council of State, May 15, 2015, n. 247, case A428 - Wind-Fastweb/Telecom Italia Conducts, para. 9.2; TAR Lazio, section I, September 15, 2021, n. 9803, case A500 - Business Services Prices, para. 11).</w:t>
      </w:r>
    </w:p>
    <w:p>
      <w:r>
        <w:t>128 Moreover, due to the widespread presence of EXWI and Ewiva infrastructures in the national territory, it is not taken for granted that the market share of these companies decreases as the radius adopted increases.</w:t>
      </w:r>
    </w:p>
    <w:p>
      <w:r>
        <w:rPr>
          <w:b/>
        </w:rPr>
        <w:t>[Pages 55–57]</w:t>
      </w:r>
    </w:p>
    <w:p>
      <w:r>
        <w:t>BULLETIN NO. 32 OF AUGUST 18, 2025</w:t>
      </w:r>
    </w:p>
    <w:p>
      <w:r>
        <w:t>57</w:t>
        <w:br/>
        <w:t>100% of the relevant market share129. The table below (see Table 9) summarizes the position of EXWI and Ewiva in the catchment areas around their charging groups (or locations) with the MotusE database.</w:t>
      </w:r>
    </w:p>
    <w:p>
      <w:r>
        <w:t>Table 9 – Position of EXWI and Ewiva in the catchment areas around their charging groups (or locations), MotusE database</w:t>
        <w:br/>
        <w:t>No. of c.a. No. of</w:t>
        <w:br/>
        <w:t>No. of c.a. with &gt;50% of c.a. with</w:t>
        <w:br/>
        <w:t>Power Radius Km No. of c.a.</w:t>
        <w:br/>
        <w:t>&gt;50% of PDR PDR and distance 100%</w:t>
        <w:br/>
        <w:t>&gt; 10% of PDR</w:t>
        <w:br/>
        <w:t>Position in terms of number of dispensers</w:t>
        <w:br/>
        <w:t>Low 1 6985 5922 5900 4559</w:t>
        <w:br/>
        <w:t>Low 4 6985 5261 5197 2150</w:t>
        <w:br/>
        <w:t>High 5 277 209 208 157</w:t>
        <w:br/>
        <w:t>High 10 277 165 165 115</w:t>
        <w:br/>
        <w:t>Position in terms of estimated volumes</w:t>
        <w:br/>
        <w:t>Low 1 6698 5907 5816 4294</w:t>
        <w:br/>
        <w:t>Low 4 6895 5379 5297 2091</w:t>
        <w:br/>
        <w:t>High 5 221 203 201 186</w:t>
        <w:br/>
        <w:t>High 10 226 199 198 162</w:t>
      </w:r>
    </w:p>
    <w:p>
      <w:r>
        <w:t>174. Regarding the estimation of market positions in terms of volumes, Ewiva's objections concerning the accuracy of the estimate do not appear decisive for the following reasons. Firstly, the fact that the number of PDR/Idr may vary on a monthly basis, even if it may lead to an underestimation of the average volume dispensed by a dispenser on an annual basis, does not imply any over/underestimation of the market position of the various operators. This is because the approach followed by the Authority assigns the same estimated average volume, for each socket of 100, 150, or 300 kW, to both the party and its competitors, and from this, by definition, no over/underestimation of the market position of Ewiva or its competitors can arise130. Regarding the use of estimated average volumes for only the power sockets of 100, 150, or 300 kW, which, by attributing zero volumes to operators with (high) power sockets of different types, could lead to an overestimation of Ewiva's market position, it is noted that these sockets represent over 63% of the total high-power dispensers and that, in any case, this analysis has been conducted with the information available solely to complement that in terms of dispensers, which considers all high-power sockets of all operators, and that in certain situations (catchment area radius of 5 km) highlights a number of catchment areas in which Ewiva holds a dominant position greater than that indicated by the analysis in terms of volumes.</w:t>
      </w:r>
    </w:p>
    <w:p>
      <w:r>
        <w:t>175. Therefore, with each of the possible estimation methods considered for the market shares of the parties, the presence of such a widespread preeminence throughout the entire Italian territory, starting from the summation of numerous c.a. in which a dominant position is found, makes EXWI and Ewiva undoubtedly essential counterparts for MSPs wishing to operate, respectively, in the provision of low and high power charging services, or they would certainly be so for any MSP with national aspirations or that is not aimed solely at serving an extremely local clientele. This presence is also reflected in the significant shares held by EXWI and Ewiva at the national level during the period covered by the conduct under investigation, already indicated in the initiation measure corresponding, respectively, to about 50% and more than 40% of the market, which would allow, together with the other factors subsequently specified, to consider the group dominant in the market for the management of electric charging infrastructures (CPO market) even when maintaining a national perspective.</w:t>
      </w:r>
    </w:p>
    <w:p>
      <w:r>
        <w:t>176. The same sector study commissioned by the European Commission and cited by the parties for defensive purposes131 (as it would highlight a decline in EXWI's market share over time, following the entry of new players) actually testifies, at the time of the conduct scrutinized by this proceeding, to the absolute preeminence of the Enel group even adopting the national perspective. In particular, the data presented in the study, relating to October 2022, a moment falling within the timeframe of the contested conduct, attest to an overall market share of the Enel group at the national level still equal to about 55%, and the same study defines the level of concentration in the CPO market in Italy as "high" at that time132.</w:t>
      </w:r>
    </w:p>
    <w:p>
      <w:r>
        <w:t>177. As mentioned, the parties, and in particular EX/EXWI, have raised objections regarding the impossibility of ascertaining the dominant position with reference to a dynamic sector, in which the market shares of active operators would be in deep evolution and, therefore, would not show the stability necessary to characterize the dominant position itself. On this point, it is noted that, firstly, it is at least partly physiological that shares are not stable in an emerging market, and this cannot, however, lead to the absolute impossibility of identifying a dominant position and assessing the conduct of those who hold it under Article 102 TFEU, while the specific conditions of the relevant market must be taken into account. With reference to the case at hand and regarding the CPO market in Italy, it is also observed that, even in an innovative sector with a growing presence of other operators, the possibility of identifying the Enel group as a market leader appears constant in recent years and, given that the contested conduct refers to a previous period, even as of today, the Enel group appears at the national level as the first operator.</w:t>
      </w:r>
    </w:p>
    <w:p>
      <w:r>
        <w:t>131 See European Commission: Directorate-General for Competition, CRA Charles Rivers Associate, Hensel-Roth, T., Latham, O., Glotzer, E. et al., Competition analysis of the electric vehicle recharging market across the EU27 + the UK – Market for the provision of publicly accessible recharging infrastructure and related services, Publications Office of the European Union, 2023, https://data.europa.eu/doi/10.2763/396082.</w:t>
      </w:r>
    </w:p>
    <w:p>
      <w:r>
        <w:t>132 See Table 9: “Overview of national concentration levels”, pp. 70-71 and Chapter 7.2 “In-depth market review for Italy”, from p. 132.</w:t>
      </w:r>
    </w:p>
    <w:p>
      <w:r>
        <w:t>BULLETIN NO. 32 OF AUGUST 18, 2025</w:t>
      </w:r>
    </w:p>
    <w:p>
      <w:r>
        <w:t>59</w:t>
        <w:br/>
        <w:t>178. The observation made by the parties that in many c.a. they would be the only active operator in many local markets, where there is not enough demand to justify a market offer of charging services for electric mobility does not appear relevant. Firstly, this circumstance does not contradict the existence of a dominant position, and moreover, it is not the dominant position as such that is being contested but its abuse. In any case, reducing the absolute count of competitively critical c.a. does not diminish the weight of the parties in the market services and their role as essential counterparts for MSPs.</w:t>
      </w:r>
    </w:p>
    <w:p>
      <w:r>
        <w:t>179. In addition to considering only market shares, the position of the Enel Group as a market leader in the electric mobility sector can also be derived from other significant factors. In particular, the same Group through Enel X Way Italia (and, in co-participation with VW, also through the JV Ewiva) undoubtedly represents an entity that has pursued and is pursuing massive investment policies in the sector, as well as participation in tenders for public funding for the installation of charging infrastructures even at the European level (thus, even from a dynamic perspective, the market position of the group appears destined to remain significant and has remained preeminent in recent years, despite the strengthening of other operators).</w:t>
      </w:r>
    </w:p>
    <w:p>
      <w:r>
        <w:t>180. Additionally, there is the economic and brand strength it holds throughout the electric supply chain, given its nature as a historical incumbent former monopolist in the sector. For example, in particular, as a distributor over approximately 85% of the national territory, the companies of the Enel Group could have a competitive advantage in obtaining the necessary electrical grid connections required and preliminary to the installation of charging infrastructures in the territory133, as well as a possible competitive advantage arising from established relationships with Local Authorities, which can be leveraged in the procedures leading to obtaining the necessary authorizations for the installation of charging infrastructures on public land, which smaller operators do not enjoy. These elements constitute possible additional barriers to entry into the CPO market for the development of alternative charging networks, in addition to the need to make significant investments, especially by smaller operators.</w:t>
      </w:r>
    </w:p>
    <w:p>
      <w:r>
        <w:t>181. It is therefore believed that, based on the entirety of these elements, a dominant position can be configured for the Enel Group (through the companies with which it operates as CPO in the electric mobility sector in Italy) in numerous local markets upstream of the installation and management of electric charging infrastructures of various powers on non-highway land at the national level, which correspond in each of the power segments to a significant portion of the Italian territory, allowing to assert that the dominance emerging from the analysis at the local level would also be present when adopting a national perspective.</w:t>
      </w:r>
    </w:p>
    <w:p>
      <w:r>
        <w:t>182. These considerations, together with the nature of the relevant input (the network of charging stations), which is not replicable at sustainable costs for smaller operators wishing to operate as MSPs, mean that EXWI and Ewiva can be considered as holders of</w:t>
      </w:r>
    </w:p>
    <w:p>
      <w:r>
        <w:t>133 As already mentioned, during the investigation it was learned that there is still a significant misalignment between installed charging infrastructures and infrastructures actually active and usable by customers (for example, at the end of 2023, the installed charging infrastructures were 26,997, corresponding to almost 50,678 charging points, of which 41,587 already active). The difference between installed and activated charging points arises from the difficulties that may arise during the activation process, especially concerning the connection phase to the grid by the local distributor.</w:t>
      </w:r>
    </w:p>
    <w:p>
      <w:r>
        <w:rPr>
          <w:b/>
        </w:rPr>
        <w:t>[Pages 58–60]</w:t>
      </w:r>
    </w:p>
    <w:p>
      <w:r>
        <w:t>60 BULLETIN NO. 32 OF AUGUST 18, 2025</w:t>
      </w:r>
    </w:p>
    <w:p>
      <w:r>
        <w:t>an essential input towards the same MSPs and can effectively subject them to abusive conduct such as margin squeeze, which is the subject of this investigation.</w:t>
      </w:r>
    </w:p>
    <w:p>
      <w:r>
        <w:t>183. Finally, it should be noted that the awareness of the competitive criticality of its pricing conduct, which emerged during the investigation, as illustrated in the factual part (see §3.4.4), also testifies to the awareness of the companies of the Enel group of their dominant position in the market, a fundamental prerequisite for antitrust scrutiny of such cases, an element that further corroborates the existence of a dominant position as a prerequisite for contesting an abuse such as that which is the subject of this proceeding.</w:t>
      </w:r>
    </w:p>
    <w:p>
      <w:r>
        <w:t>5.3 The conduct of the Enel group companies</w:t>
      </w:r>
    </w:p>
    <w:p>
      <w:r>
        <w:t>5.3.1 The replicability of offers and the as-efficient competitor test</w:t>
      </w:r>
    </w:p>
    <w:p>
      <w:r>
        <w:t>184. According to the practice and case law of both EU and national law, a margin squeeze occurs when the difference between the retail prices charged by a dominant company to final customers and the wholesale prices charged by the same company to competitors, so that they can offer comparable services, is negative or insufficient to cover the specific costs that those competitors incur to provide the services in question in the downstream markets134.</w:t>
      </w:r>
    </w:p>
    <w:p>
      <w:r>
        <w:t>185. In particular, "margin squeeze is a pricing infringement that can only be committed by a vertically integrated company, that is, by an entity active at multiple stages of the production chain, which sells wholesale the input necessary for the production of a specific final good/service, and then competes in the corresponding retail market. These are cases where the dominant entity is, at the same time, a supplier and a competitor of other companies [...]. The abuse occurs when the price differential between the intermediate input [...] and the final good/service [...] is negative or so reduced that it does not allow competitors to compete"135.</w:t>
      </w:r>
    </w:p>
    <w:p>
      <w:r>
        <w:t>186. The Court of Justice has also clarified that the abusive nature of such conduct is linked to the very existence of a margin squeeze and that "it is not at all necessary to ascertain that the wholesale price [...] or the retail prices [...] to final customers are in themselves abusive considering their character, depending on the case, excessive or predatory"136. In other words, in the case of margin squeeze, EU case law has recognized that the abusive conduct (and with it the antitrust violation) arises from a combination of reduced retail price and/or excessive wholesale price to such an extent that the potential margin left to competitors in the market is insufficient to cover the specific costs they must incur to provide goods or services to final customers.</w:t>
      </w:r>
    </w:p>
    <w:p>
      <w:r>
        <w:t>187. Furthermore, the anticompetitive foreclosure is usually present only when the behavior in question has already hindered or is likely to hinder competition from competitors that are considered as efficient as the dominant company, although in certain circumstances even an excluding behavior towards a less efficient competitor may result in anticompetitive foreclosure.</w:t>
      </w:r>
    </w:p>
    <w:p>
      <w:r>
        <w:t>188. The as-efficient competitor test is the methodology adopted and recognized in the practice and case law of both national and EU law to assess the abusiveness of such conduct. It is, in particular, a theoretical exercise that consists of verifying whether the vertically integrated dominant company can operate profitably in the downstream market considering, from the cost side, the price of the intermediate input that it sells to competitors in the downstream market and the other costs it incurs for the provision of the product/service and, from the revenue side, the price of the product/service sold in the downstream market. When the margin between wholesale level and retail level is negative, the effect on competition is potentially exclusionary since a competitor as efficient as the dominant company would be forced to sell the product/service at a loss in the downstream market to replicate the offering profile of the vertically integrated dominant company137.</w:t>
      </w:r>
    </w:p>
    <w:p>
      <w:r>
        <w:t>189. Therefore, the conduct of margin squeeze falls within the prohibition of Article 102 TFEU to the extent that it is capable of compromising the competitive capacity of competitors that are as efficient as the same dominant operator. Such conduct, ultimately, consists of imposing additional efficiency constraints in the provision of the product/service in the downstream market compared to those of the dominant company, by artificially raising the costs for the acquisition of intermediate inputs for competitors in the downstream market of a vertically integrated company. Such additional costs will not be borne by the vertically integrated dominant company considering the different economic conditions applied to its internal divisions by the vertically integrated company compared to those applied to competitors in the downstream market (internal external discrimination) or because within the same corporate group those same items ultimately represent mere accounting transfers. In this sense, such conduct appears capable of harming the competitive level in the downstream market by leveraging the dominant position in the wholesale market138.</w:t>
      </w:r>
    </w:p>
    <w:p>
      <w:r>
        <w:t>190. The cost reference for conducting the as-efficient competitor test is linked to the concept of incremental costs. A competitor as efficient as the dominant company (with the possible exception of the wholesale price of the intermediate input), in fact, will not be able to operate profitably in the downstream market where the retail price of the products or services offered in the downstream market is lower than the average incremental costs associated with the production of such products or services. The Commission has particularly used, as a parameter to assess the costs of the as-efficient competitor, the long-term average incremental cost of the dominant company.</w:t>
      </w:r>
    </w:p>
    <w:p>
      <w:r>
        <w:t>191. For a single product or service, this parameter represents the average of all costs (fixed and variable) that the company incurs to produce that particular product/service. If part of the costs is common to multiple products/services, the long-term average incremental cost for a single product/service expresses the difference between the total costs that the company incurs for its entire production, including the single product under analysis, and the total costs that the same company would incur if the production of the latter were set to zero, holding the output of all other products constant. It thus includes, in addition to the fixed and variable costs directly and entirely attributable to the production of the product/service in question, any increase in common costs attributable to that activity139.</w:t>
      </w:r>
    </w:p>
    <w:p>
      <w:r>
        <w:t>192. By adopting an even more cautious and pro parte concept of average incremental cost, it is also possible to calculate the short-term average incremental costs, which concern only the short-term variable incremental costs, that is, those costs that are more directly and immediately attributable to the provision of the specific product or service to which the price refers, without including the other incremental costs associated with that provision (such as, for example, commercial or assistance costs)140.</w:t>
      </w:r>
    </w:p>
    <w:p>
      <w:r>
        <w:t>193. In this case, since EXW purchased energy from EXWI to offer charging services at the same wholesale price that that company charged to third-party MSPs, the as-efficient competitor test consists of assessing whether the prices charged by EXW were or were not lower than the incremental costs taken as a reference. Nevertheless, the conduct under evaluation remains in all respects a case of margin squeeze and not a predatory conduct, due to the vertical integration of EXWI and EXW (and, moreover, the direct control relationship between those companies). The presence of vertical integration means that, unlike a case of predatory pricing, where inputs are purchased from third-party suppliers and therefore a predatory strategy implies short-term losses for the company that implements it, in cases of margin squeeze, since both the upstream and downstream companies belong to the same group, a retail price charged to end users lower than the costs (including the cost of the input acquired from the upstream integrated company) would not necessarily result in a loss for the group as a whole, not even in the short term, but could represent solely an accounting loss for the company positioned downstream in the supply chain, to the benefit of the one positioned upstream.</w:t>
      </w:r>
    </w:p>
    <w:p>
      <w:r>
        <w:t>194. European case law regarding margin squeeze scenarios has also recognized, endorsing the position adopted by the European Commission, that it is not necessary in such cases to demonstrate the indispensability of the upstream input to ascertain the abusive practice141. The European Commission and the Court of Justice of the European Union, while concluding that this requirement is not necessary, state that where a regulatory obligation is imposed on the dominant company at the legislative level, it must be taken into account.</w:t>
      </w:r>
    </w:p>
    <w:p>
      <w:r>
        <w:rPr>
          <w:b/>
        </w:rPr>
        <w:t>[Pages 61–63]</w:t>
      </w:r>
    </w:p>
    <w:p>
      <w:r>
        <w:t>BULLETIN NO. 32 OF AUGUST 18, 2025 63</w:t>
      </w:r>
    </w:p>
    <w:p>
      <w:r>
        <w:t xml:space="preserve">supply, this element already shows an assessment by public authorities regarding the necessity of the resource even regardless of the requirements of the Bronner judgment.  </w:t>
        <w:br/>
        <w:t xml:space="preserve">195. In this case, it is also believed that the indispensability of the charging infrastructure network managed by the Enel group company operating as CPO for the operation of MSPs in the downstream market exists, although it is not necessary to qualify the case. This is demonstrated both by the nature of the input, essential for providing the charging service to the final customer and not replicable at sustainable costs for smaller operators wishing to operate as MSPs, and by the data emerged in the investigation regarding the clear preponderance of the charging infrastructures managed by the group's CPOs at the national level and in the relevant geographical segments considered by the proceeding. All the more so, following the interpretative line outlined by the Commission and the Court of Justice mentioned earlier, the configurability of the margin squeeze practice in this case also emerges from the reading of the applicable regulatory framework, where the sectoral regulation, starting from the DAFI Directive and even more so in an evolutionary perspective through the AFIR Regulation already under discussion at the time of the scrutinized conduct, appears to indicate a clear necessity for CPOs to allow access to the charging infrastructures they manage, under fair and non-discriminatory conditions for both users and operators active in the downstream market.  </w:t>
        <w:br/>
        <w:t xml:space="preserve">5.3.2 The replicability of the charges offered by EXW  </w:t>
        <w:br/>
        <w:t xml:space="preserve">196. That said regarding the theoretical framework of the case and the price test necessary for its evaluation, in this case, regarding the charging services offered by EXW through low-power charging stations, using the infrastructures of EXWI and third-party CPOs, from the comparison between the revenues of the charging services and the costs of the energy sold, which undoubtedly represent short-term incremental costs (which coincide precisely with the costs incurred by third-party MSPs to obtain from EXWI the input subject to the hypothesized margin squeeze conduct), although not being the only costs of this type for EXW and similar operators, selling prices of energy for charging are found to be lower than the average purchase costs of the same in the period between July 2022 and August 2023 (see supra, Figure 11). Considering solely the margin of EXW related to the charges made through EXWI, it returns to a positive value in August 2023.  </w:t>
        <w:br/>
        <w:t xml:space="preserve">197. This outcome is also corroborated by the fact that, as acknowledged by the company itself, in the months between October 2022 and March 2023, EXW conducted a pricing policy explicitly lower than the cost even for PPU sales, for which the comparability between the selling price and the purchase cost of the energy sold is immediately evident ex-ante and does not depend in any way on consumer behavior (see supra Figures 8 and 11). In addition to this, the non-replicability of the offers from the Enel group companies by MSPs other than EXW also concerns the "other rates," those different from PPU (including, for example, flat rates) and, overall, is found for the total of the offers considered in their entirety (see supra, Figure 11).  </w:t>
        <w:br/>
        <w:t xml:space="preserve">198. Regarding the "package" rates, it was already hypothesized at the outset that their non-replicability was based not only on the maximum number of kWh made available in the various packages but also considering a non-full utilization rate of the packages by users. The non-replicability of such offers was then confirmed in the investigation by the information regarding actual usage provided by EXW itself. Moreover, the internal margin analyses provided by Enel also attest to the overall negative margin of both "flat" rates, taking into account the actual utilization rate by users, during most of 2022 until the end of the period considered by such analyses (March 2023) (see supra Figures 9 and 10). Finally, as mentioned, the non-replicability of such offers is clearly evidenced by the aforementioned comparison between revenues and costs related to the item "other rates," which reflects the actual utilization rates of such offers by users observed ex-post in the considered period142.  </w:t>
        <w:br/>
        <w:t xml:space="preserve">199. The pricing conduct of EXW regarding low-power charges is entirely analogous even when considering additional variable costs, such as costs for commissions and for managing user cards and penalties paid by them in case of exceeding the allowed parking times in the charging station stalls, even where the items related to such activities are, consistently, taken into account also from the revenue side (and thus increase the overall unit price against which the as-efficient test is conducted).  </w:t>
        <w:br/>
        <w:t xml:space="preserve">200. Finally, when considering pro-rata also additional costs, such as customer operation costs related to the Italian market, which, concerning contact center activities, billing, and credit are nonetheless incremental costs, the average revenues of low-power charges from EXW are found to be lower than the respective costs already in June 2022 and until August 2023, the last month included in the observation horizon (see supra, Figure 13).  </w:t>
        <w:br/>
        <w:t xml:space="preserve">201. The margin analysis conducted with reference to charges made through high-power infrastructures, as shown, indicates similar results. Since, however, the Authority does not consider the involvement of the JV Ewiva in the abusive conduct sufficiently proven (see infra), the margin squeeze conduct is contested only concerning the input provided by the EXWI company, coming from low-power infrastructures, which moreover represent the clearly predominant part of the existing charging infrastructures in the national territory.  </w:t>
        <w:br/>
        <w:t xml:space="preserve">202. Moreover, even when no distinction is made between CPO and type of charging, the margin of EXW is negative in the period between July 2022 and August 2023 comparing revenues and costs of energy and revenues and variable costs and from June 2022 to August 2023 taking into account also the customer operation costs in Italy. It is finally recalled that the perimeter of the costs considered as having an incremental nature is particularly favorable to the Party, concerning only the cost items that are more closely related to the services subject to the conduct.  </w:t>
        <w:br/>
        <w:t xml:space="preserve">203. The objection of EX and EXWI regarding the circumstance that the results of the replicability analysis should not take into account the effect of sales made through package sales and should therefore be limited to comparing the margins of EXW with reference to PPU rates cannot be shared. In fact, the flat-rate sales form is itself, in essence, a sales mode, which cannot become an easy evasive tool for the application of Article 102 TFEU in the name of the unpredictability of the actual prices associated with it. In this case, the package rates have proven to be widely below cost for many consecutive months, during a period in which the Enel group had full awareness of the antitrust criticalities of its pricing policies (awareness that emerges both from the inspection documentation and from the circumstance that the group was simultaneously practicing also explicitly below-cost unit prices). Therefore, the objection that the duration of the conduct should be confined to the only months in which the AC-type PPU rates were found to be below cost and not based on the analysis of actual margins has no foundation.  </w:t>
        <w:br/>
        <w:t xml:space="preserve">204. In conclusion, the non-replicability of EXW's offers therefore represents an element that entails for a third-party MSP wishing to provide final users with competitive offers compared to those of EXW the necessity to operate at a loss (or, alternatively, the impossibility of matching the offers of the Enel group MSP), in line with the margin squeeze case contested against the Parties. The following Table (see Table 10) contains a summary of the results of the various versions of the replicability test for a competitor equally efficient compared to EXW conducted, indicating, in each case, the minimum period143 in which EXW's offers were overall non-replicable.  </w:t>
        <w:br/>
        <w:t xml:space="preserve">Table 10 – Summary of replicability test results  </w:t>
        <w:br/>
        <w:t xml:space="preserve">Test conducted  </w:t>
        <w:br/>
        <w:t xml:space="preserve">revenues from charging services - energy costs  </w:t>
        <w:br/>
        <w:t xml:space="preserve">non-replicability: July 2022 - August 2023  </w:t>
        <w:br/>
        <w:t xml:space="preserve">revenues from charging services - energy costs + revenues from card management and penalties - costs of card management and penalties - commission costs  </w:t>
        <w:br/>
        <w:t xml:space="preserve">non-replicability: July 2022 – August 2023  </w:t>
        <w:br/>
        <w:t xml:space="preserve">revenues from charging services - energy costs + revenues from card management and penalties - costs of card management and penalties - commission costs - customer operation costs Italy  </w:t>
        <w:br/>
        <w:t xml:space="preserve">non-replicability: June 2022 – August 2023  </w:t>
        <w:br/>
        <w:t xml:space="preserve">5.3.3 Conclusions on margin squeeze conduct  </w:t>
        <w:br/>
        <w:t xml:space="preserve">205. In conclusion, in light of the investigative analyses, the conduct carried out by the Enel group companies in the electric mobility sector constitutes a violation of Article 102 TFEU in the form of a margin squeeze, to the detriment of competing MSPs. In particular,  </w:t>
        <w:br/>
        <w:t>143 These periods correspond to a precautionarily favorable evaluative criterion for the Parties, as the contestation focuses on the only months between May 2022 and August 2023 in which there is abundant availability of evidence and disaggregated data with which to assess the existence of the conduct. However, it cannot be excluded that they may have begun earlier and ceased later than this time horizon.</w:t>
      </w:r>
    </w:p>
    <w:p>
      <w:r>
        <w:rPr>
          <w:b/>
        </w:rPr>
        <w:t>[Pages 64–66]</w:t>
      </w:r>
    </w:p>
    <w:p>
      <w:r>
        <w:t>66 BULLETIN NO. 32 OF AUGUST 18, 2025</w:t>
      </w:r>
    </w:p>
    <w:p>
      <w:r>
        <w:t>also adopting the most favorable cost references for the Parties and therefore excluding the fixed cost shares that are likely incremental in nature – and in any case limiting to the costs and revenues of energy for the sold recharges only – EXW's offers are not replicable by an equally efficient competitor in light of the wholesale price charged to EXW (and to third-party MSPs) by EXWI for the period between July 2022 and August 2023. In six of those months, moreover, the pricing adopted downstream by EXW was explicitly below cost, as the same unit price of the most common retail PPU recharge was lower than the corresponding wholesale price charged by EXWI.</w:t>
      </w:r>
    </w:p>
    <w:p>
      <w:r>
        <w:t>In any case, considering the variable nature of the items related to cards and commissions and the incremental nature of customer operation costs, which are essentially incremental and linked to the level of the company's operations, the most appropriate test appears to be the one inclusive of such costs.</w:t>
      </w:r>
    </w:p>
    <w:p>
      <w:r>
        <w:t>206. Such conduct is therefore likely to penalize the margins of independent MSPs, inducing them to operate at a loss concerning the recharges made through the Enel group's CPOs (which, as argued, undoubtedly represent indispensable counterparts for a wide array of MSP service providers and constitute a substantial percentage of the recharges that each MSP realistically intermediates) and is therefore likely to lead to their commercial marginalization or possible exit from the market, benefiting instead the integrated MSP.</w:t>
      </w:r>
    </w:p>
    <w:p>
      <w:r>
        <w:t>207. The observation of EXW and EXWI that there has been no actual exclusion and that the number of MSPs has instead increased over time in recent years, and ultimately that there is an absolute lack of exclusionary suitability of the contested conduct, is not shareable on this point. As already illustrated, in fact, to prove an exclusionary abuse, it is not necessary for exclusion to have actually occurred, nor does a true exclusion of competitors constitute a prerequisite for the conduct of margin squeeze, while it is sufficient to demonstrate the potentially harmful nature of the competition from the combination of wholesale and retail prices, which are inadequate to allow – not even for an equally efficient competitor – to operate profitably in the downstream market, as is the case here144. The Commission itself, in the draft guidelines on the application of Article 102 TFEU to exclusionary abuses, currently being updated, states that “in cases where the price-cost test reveals a negative margin, margin squeeze is highly likely to produce exclusionary effects on competition and such effects may be presumed” and that “if the dominant undertaking demonstrates that the behavior is not capable of producing exclusionary effects on competition”145, the Commission/the Competition Authority will evaluate such evidence.</w:t>
      </w:r>
    </w:p>
    <w:p>
      <w:r>
        <w:t>144 “To ascertain the abusiveness of the margin squeeze practice, its anti-competitive effect on the market must exist, but it does not have to be necessarily concrete, as it is sufficient to demonstrate a potential anti-competitive effect capable of hindering market access for competitors with at least equal efficiency to the dominant undertaking.” Therefore, “if a dominant undertaking actually engages in a pricing practice that, by compressing the margins of its equally efficient competitors, aims to exclude them from the relevant market, the fact that the pursued result, namely the exclusion of its competitors, is not actually achieved cannot exclude the qualification of abuse under Article 102 TFEU” (Council of State, August 7, 2023, No. 7608, A500B - Telecom Italia - Business informational SMS).</w:t>
      </w:r>
    </w:p>
    <w:p>
      <w:r>
        <w:t>145 See draft of new “Guidelines on the application of Article 102 of the Treaty on the Functioning of the European Union to the abusive behavior of dominant undertakings aimed at excluding competition,” 2023.</w:t>
      </w:r>
    </w:p>
    <w:p>
      <w:r>
        <w:t>BULLETIN NO. 32 OF AUGUST 18, 2025 67</w:t>
      </w:r>
    </w:p>
    <w:p>
      <w:r>
        <w:t>208. In this case, the companies have argued as evidence of the inadequacy of the conduct to produce exclusionary effects the fact that exclusion did not occur, but rather the number of MSPs during the period of the scrutinized conduct even increased. In reality, the variation in the number of MSPs, especially in an embryonic market, can depend on multiple reasons other than the conduct, primarily the significant and physiological growth rates of the electric mobility market. Nor does this element unequivocally demonstrate that, in the absence of the contested abuse, MSPs could not further increase or expand their market share146. The conduct of the Enel group companies ultimately appears capable, especially if maintained over time, of altering the development dynamics of the MSP market and consolidating the group's strong position even at this level of the supply chain.</w:t>
      </w:r>
    </w:p>
    <w:p>
      <w:r>
        <w:t>209. Finally, the considerations regarding the indispensability of the charging infrastructure network held by the ENEL group to offer electric charging services in the downstream market (MSP market), a requirement not necessary to configure the margin squeeze practice itself, as already mentioned, can further indicate that the scrutinized conduct has exclusionary harmful potential necessary to ascertain the existence of an abuse of dominant position.</w:t>
      </w:r>
    </w:p>
    <w:p>
      <w:r>
        <w:t>210. In conclusion, regarding the issue of the effects of the abuse, the defensive arguments concerning the fact that, in practice, the abusive practices attributed to the Parties have had limited impacts on the market, also due to the cessation of conduct by the companies after a period not spanning several years, will be taken into account in the quantification of the sanction, but the exclusionary harmful potential of the contested conduct is widely proven in this case, a necessary prerequisite, according to established jurisprudence already mentioned, for the ascertainment of abuse.</w:t>
      </w:r>
    </w:p>
    <w:p>
      <w:r>
        <w:t>211. The defensive assertion of EXWI, that the company in its role as CPO treats all the various MSPs with which it has contractual relationships for access to its charging network equally, both the MSP company of the group and third parties, is also not relevant. It is indeed true that the relevant interoperability contracts may differ in marginal aspects agreed upon between the counterparts, but not in the fundamental aspects including the economic conditions for access to the charging infrastructure network (i.e., the “wholesale prices” or “roaming prices” for MSPs). However, if, as also evidenced by the findings regarding EXWI and EXW, the amounts invoiced from one company to another constitute mere intra-group transfers, this circumstance does not carry the decisive weight that the Parties would like in refuting what is contested against them in this investigation. In other words, while other operators incur actual economic losses resulting from the margin squeeze practice, for the Enel group, the negative margin downstream of the supply chain generated by the increase in wholesale prices is compensated by higher revenues upstream, constituting precisely an intra-group transfer. Thus, the equivalence of economic and contractual conditions towards all MSPs does not constitute an element capable of denying the existence of the abusive margin squeeze practice contested here.</w:t>
      </w:r>
    </w:p>
    <w:p>
      <w:r>
        <w:t>146 See the judgment of the Court of Justice of the European Union of February 25, 2025, in case C-233/23 in the so-called “Android Auto” case, which was initiated by the Authority in 2019 at the request of the same Enel group companies active in the electric mobility sector at that time (judgment of the Court of Justice of the European Union in the context of a preliminary ruling by the Italian Council of State).</w:t>
      </w:r>
    </w:p>
    <w:p>
      <w:r>
        <w:t>68 BULLETIN NO. 32 OF AUGUST 18, 2025</w:t>
      </w:r>
    </w:p>
    <w:p>
      <w:r>
        <w:t>212. The margin squeeze practice is relevant in this case as, although it relates to a time frame not spanning several years, it has been implemented in an emerging and innovative market, where, conversely, in the absence of the Authority's intervention, the contested anti-competitive conduct could have led to a form of pre-emption in the market by the dominant entity, compromising the possibilities for a proper competitive development according to principles of pluralism and coexistence of multiple operators capable of competing effectively, to the full advantage of end consumers. In this sense, it is also relevant that the margin squeeze conduct appears to have ceased following the initiation of the procedure by the Authority, although the decisions to modify the level of retail prices were prior (but occurred following specific complaints from MSP entities such as the complainant).</w:t>
      </w:r>
    </w:p>
    <w:p>
      <w:r>
        <w:t>213. The justification of the Parties that they deemed it necessary, or in any case optimal, to increase the price at the CPO level while not increasing the price charged to users at the same level, in order to incentivize the development of electric mobility, cannot be accepted either. In this regard, it should first be noted that it is by no means taken for granted that a motorist's decision to switch to an electric vehicle, which represents a long-term investment for the user and a lasting and difficult-to-reverse change in habits and modes of transport, could crucially depend on pricing strategies adopted by operators during a certain period. The same study cited by the Parties and included in the final hearing minutes shows that the comparison of charging costs represents only the third “most relevant variable” that could induce users to switch to electric mobility147. Moreover, it should be considered that the phase of rising energy prices mentioned by the Parties has, as is known, also affected the prices of traditional fuels used for transportation, which represent the main alternative to electric mobility. In light of this, it seems difficult to imagine that the pricing policies of only the Enel group MSP for a certain time frame could have significantly influenced the transition to electric mobility or, in any case, the existence and relevance of such a causal link seems far from being demonstrated or quantified by the Parties, as would be appropriate in a true justification of efficiency148. Furthermore, it is noted that, even if the Parties had demonstrated that such efficiencies were indeed achieved as a result of their conduct, which they did not, they have not demonstrated that the conduct observed by the Authority represented the least restrictive or most effective way to achieve them149.</w:t>
      </w:r>
    </w:p>
    <w:p>
      <w:r>
        <w:t>214. Finally, particularly significant in terms of the group's awareness of the antitrust criticality of the combination of its wholesale and retail prices are some</w:t>
      </w:r>
    </w:p>
    <w:p>
      <w:r>
        <w:rPr>
          <w:b/>
        </w:rPr>
        <w:t>[Pages 67–69]</w:t>
      </w:r>
    </w:p>
    <w:p>
      <w:r>
        <w:t>BULLETIN NO. 32 OF AUGUST 18, 2025</w:t>
      </w:r>
    </w:p>
    <w:p>
      <w:r>
        <w:t>69. inspection documents150, as shown, which are relevant in assessing the behaviors scrutinized by this proceeding, which, however, emerge analytically from the profitability and replicability analysis conducted. The companies involved, aware of the potential anticompetitive nature of the pricing schemes on the CPO side and the MSP side, may ultimately have taken a calculated risk of incurring antitrust proceedings and potential sanctions in light of their desire to further expand their business in the segment of offering charging services to customers (i.e., MSP market), starting from the possibility of leveraging their position as obligated contractors for MSPs in the upstream market (i.e., CPO market) given the prominence of their own charging infrastructure network in the national territory.</w:t>
      </w:r>
    </w:p>
    <w:p>
      <w:r>
        <w:t>5.3.4 Evaluative considerations regarding the position of Ewiva</w:t>
      </w:r>
    </w:p>
    <w:p>
      <w:r>
        <w:t>215. In application of the principles regarding the attribution of anticompetitive conduct and in light of the investigative results, it is believed that the abuse of a dominant position in the form of an unlawful margin squeeze should be attributed solely to Enel X Way S.r.l. (now Enel X S.r.l.) and Enel X Way Italia S.r.l., as the companies that directly engaged in the complex of anticompetitive behaviors contested in this instance. In particular, the involvement of Ewiva in defining a common commercial strategy with Enel X Way S.r.l. and Enel X Way Italia S.r.l. does not appear to be sufficiently proven.</w:t>
      </w:r>
    </w:p>
    <w:p>
      <w:r>
        <w:t>6. HARM TO INTRA-EUROPEAN TRADE</w:t>
      </w:r>
    </w:p>
    <w:p>
      <w:r>
        <w:t>216. The contested behaviors fall within the scope of European competition law and, in particular, within the scope of Article 102 TFEU, concerning the prohibition of abuse of a dominant position, being potentially capable of harming intra-European trade. According to the European Commission, the concept of harm to intra-European trade must be interpreted taking into account the direct or indirect, actual or potential influence on trade flows between Member States. According to these guidelines, "agreements that extend throughout the territory of a Member State have, by their nature, the effect of consolidating the compartmentalization of markets at the national level, thereby hindering the economic integration desired by the Treaty"151.</w:t>
      </w:r>
    </w:p>
    <w:p>
      <w:r>
        <w:t>217. In this regard, it is worth noting that the alleged abusive conduct concerns the entire national territory, both in terms of the summation of relevant local markets on the upstream CPO side and at the level of a single relevant national market on the MSP side, downstream, and appears capable of producing effects on both Italian and foreign operators, active or interested in entering the markets for the provision of electric vehicle charging services in Italy.</w:t>
      </w:r>
    </w:p>
    <w:p>
      <w:r>
        <w:t>150 See, for example, docs. 21, 34, 105.</w:t>
        <w:br/>
        <w:t>151 See Commission Communication 2004/C 101/07, "Guidelines on the notion of harm to trade between Member States under Articles 81 and 82 of the Treaty," in OJ C 101/81 of April 27, 2004.</w:t>
      </w:r>
    </w:p>
    <w:p>
      <w:r>
        <w:t>70 BULLETIN NO. 32 OF AUGUST 18, 2025</w:t>
      </w:r>
    </w:p>
    <w:p>
      <w:r>
        <w:t>7. SEVERITY AND DURATION OF THE INFRINGEMENT</w:t>
      </w:r>
    </w:p>
    <w:p>
      <w:r>
        <w:t>218. According to established EU and national case law152, in assessing the severity of an infringement, various factors must be taken into account, the nature and importance of which vary depending on the type of infringement and its particular circumstances. Among these factors, the nature of the contested behaviors, the role and market representation of the companies involved, as well as the context in which the infringements were carried out, are particularly relevant.</w:t>
      </w:r>
    </w:p>
    <w:p>
      <w:r>
        <w:t>219. The contested conduct consists of an exclusionary abuse, particularly in the form of a squeeze on the margins of equally efficient competitors, the potential effects of which impact the market structure, potentially hindering the development and maintenance of effective competition in the provision of electric charging services to end customers holding an electric vehicle, including by non-integrated entities in the management of charging infrastructures, as well as potentially hindering the associated innovation in the sector of services related to electric mobility.</w:t>
      </w:r>
    </w:p>
    <w:p>
      <w:r>
        <w:t>220. The notoriety and economic relevance of the Enel group are indisputable, in the sustainable mobility sector as well as throughout the entire electricity supply chain, starting from the role of national incumbent ex-monopolist of the entire sector, as already reconstructed in the section regarding the existence of a dominant position as a prerequisite for contesting unlawful conduct.</w:t>
      </w:r>
    </w:p>
    <w:p>
      <w:r>
        <w:t>221. With regard to the intentionality or otherwise of the infringement of competition protection rules, established case law holds that awareness on the part of companies of violating such rules is not necessary, considering it sufficient that they could not ignore the restrictive purpose of their conduct153. In this case, it is noted that the companies of the Enel group involved in the proceeding possess the legal and economic knowledge necessary to assess the anticompetitive consequences of the behavior undertaken and, moreover, very often have internally had – as shown by the evidence collected – full awareness of the antitrust criticality of their pricing decisions.</w:t>
      </w:r>
    </w:p>
    <w:p>
      <w:r>
        <w:t>222. Furthermore, an additional element to consider is the existence of precedents that have clarified the purpose of applying Article 102 TFEU, and it is noted that in national and European precedents, it has been concluded on numerous occasions for the application of said article in cases of margin squeeze154.</w:t>
      </w:r>
    </w:p>
    <w:p>
      <w:r>
        <w:t>223. The market context in which the contested conduct of the Enel group companies active in the electric mobility sector is situated is characterized by strong innovation and rapid evolution. Moreover, the sectors in which the contested conduct is capable of producing effects are those of the provision of charging services and related services for electric mobility to end users, also through dedicated apps. These are sectors of significant importance, both current and prospective, destined to grow in the future and on which the "green" and digital development plans of the European Union economy are also based. Finally, the overall nascent nature of the electric mobility market suggests considering the scrutinized conduct as an attempt at preemption, even in this innovative segment, by the historically integrated operator throughout the supply chain.</w:t>
      </w:r>
    </w:p>
    <w:p>
      <w:r>
        <w:t>152 See, inter alia, Council of State, judgments no. 896 of February 9, 2011, and 5171 and 5172 of September 16, 2011, regarding case I694 - Pasta price list.</w:t>
        <w:br/>
        <w:t>153 See, for example, Council of State, July 18, 2014, no. 3849, regarding case A422 - Sky Italia/Auditel.</w:t>
        <w:br/>
        <w:t>154 Regarding the Authority's cases, see, inter alia: A428 - Wind-Fastweb/Telecom Italia Conducts, cited; A357 - Tele 2/Tim-Vodafone-Wind, decision no. 17131 of August 3, 2007, in Bulletin no. 29/2007, and A500A - Vodafone business information SMS, cited. For the European Commission's cases, see, for example: decision of July 4, 2007, COMP/38.784 - Wanadoo Espana v. Telefonica and decision of October 15, 2014, in case COMP/39.523 - Slovak Telekom.</w:t>
      </w:r>
    </w:p>
    <w:p>
      <w:r>
        <w:t>BULLETIN NO. 32 OF AUGUST 18, 2025</w:t>
      </w:r>
    </w:p>
    <w:p>
      <w:r>
        <w:t>71</w:t>
      </w:r>
    </w:p>
    <w:p>
      <w:r>
        <w:t>224. In consideration of what has been noted regarding the nature of the conduct, the role and market representation of the Parties, as well as the reference context, it must be considered that the conduct contested against Enel X Way (now Enel X) and Enel X Way Italia constitutes a serious violation of the rules established to protect competition. The arguments of the Parties aimed at reconciling the rationality of the conduct with the need to support demand in this sector are not acceptable, as it has been shown that such an objective, even if genuinely underlying the pricing decisions, could have been achieved through less restrictive means of competition. Therefore, it does not appear that such arguments can lead to reclassifying the contested conduct as not serious.</w:t>
      </w:r>
    </w:p>
    <w:p>
      <w:r>
        <w:t>225. Regarding the duration of the infringement, it is believed that it occurred from June 2022 to August 2023, during which the offers of EXW were not replicable by an equally efficient competitor at least with reference to low-power charging services.</w:t>
      </w:r>
    </w:p>
    <w:p>
      <w:r>
        <w:t>8. DETERMINATION OF THE SANCTION</w:t>
      </w:r>
    </w:p>
    <w:p>
      <w:r>
        <w:t>226. Article 15, paragraph 1-bis, of Law No. 287/1990 provides that the Authority, in cases of serious infringements, taking into account their severity and duration, shall impose an administrative pecuniary sanction of up to ten percent of the turnover achieved by each company or business association in the last financial year closed prior to the notification of the warning.</w:t>
      </w:r>
    </w:p>
    <w:p>
      <w:r>
        <w:t>227. In order to quantify the sanction, it is necessary to take into account the provisions of Article 11 of Law No. 689/1981, as recalled by Article 31 of Law No. 287/1990, as well as the interpretative criteria outlined in the Guidelines on the application of the criteria for quantifying administrative pecuniary sanctions imposed by the Authority in application of Article 15, paragraph 1-bis, of Law No. 287/1990155 ("Guidelines").</w:t>
      </w:r>
    </w:p>
    <w:p>
      <w:r>
        <w:t>228. Regarding the turnover relevant for the purpose of the sanction, the Guidelines provide that sanctions "…must be calculated starting from the value of the sales of goods or services that are the subject, directly or indirectly, of the infringement, made by the company in the relevant market(s) in the last full year of participation in the same infringement (hereinafter, value of sales)" and that "If the data relating to turnover, referring to the last full year of participation in the infringement, is not made available by the company or is not reliable or sufficiently representative or, in any case, otherwise not determinable, the Authority will take into consideration any other information that it deems relevant or appropriate" (points 8 and 9).</w:t>
      </w:r>
    </w:p>
    <w:p>
      <w:r>
        <w:t>229. According to the Guidelines, the base amount of the sanction is obtained by applying to the value of the sales of goods or services affected by the infringement a percentage determined based on the level of severity of the infringement and the duration of each company's participation in the infringement itself. In particular, this percentage must be set at a level that can reach 30% of the value of sales (point 11).</w:t>
      </w:r>
    </w:p>
    <w:p>
      <w:r>
        <w:t>155 See Guidelines on the application of the criteria for quantifying administrative pecuniary sanctions imposed by the Authority in application of Article 15, paragraph 1-bis, of Law No. 287/1990, adopted by the Authority on February 25, 2025.</w:t>
      </w:r>
    </w:p>
    <w:p>
      <w:r>
        <w:rPr>
          <w:b/>
        </w:rPr>
        <w:t>[Pages 70–72]</w:t>
      </w:r>
    </w:p>
    <w:p>
      <w:r>
        <w:t>72 BULLETIN NO. 32 OF AUGUST 18, 2025</w:t>
      </w:r>
    </w:p>
    <w:p>
      <w:r>
        <w:t>230. As for the value of sales, it is observed that the conduct in question involves a practice of margin squeeze that consists of applying a differential between the wholesale price of energy used for electric recharges at charging infrastructures and the retail prices of the recharging service to end users, such as to determine a loss for a competitor in the downstream market that is equally efficient. Therefore, since the conduct takes place in the determination of the wholesale transfer conditions of the energy used for electric recharges at charging infrastructures in order to exclude or marginalize the MSP operators present in the downstream market, in accordance with national precedents regarding margin squeeze156 and accepting the arguments of EX and EXWI, the value of sales to be considered for the calculation of the penalty will refer to the market for the provision of recharging services to end users.</w:t>
      </w:r>
    </w:p>
    <w:p>
      <w:r>
        <w:t>231. Regarding the reference period, since the conduct is attributable to the period from June 2022 to August 2023, it concerns almost symmetrically the years 2022 and 2023, without one of these years being significantly more representative than the other. The issue of the reference year is particularly significant in this case where, being a nascent market, revenues vary significantly. In light of these considerations, in order to give appropriate weight to both years, a sales value will be used that consists of the arithmetic mean of the sales values attributable to the years 2022 and 2023. The value thus obtained amounts to [10-32 million] Euros157.</w:t>
      </w:r>
    </w:p>
    <w:p>
      <w:r>
        <w:t>232. According to the Guidelines, the percentage to be applied to the value of sales to which the infringement refers will be determined based on the degree of severity of the violation and will not exceed 30% of the value of sales. According to the Authority's practice, in accordance with EU and national guidelines, the assessment of the severity of the infringement is determined by a plurality of elements that must be taken into account, such as the nature of the conduct, the importance of the company, and the context in which the behavior was carried out.</w:t>
      </w:r>
    </w:p>
    <w:p>
      <w:r>
        <w:t>233. In this regard, it is noted that the behaviors carried out by Enel X Way S.r.l. (now Enel X S.r.l.) and Enel X Way Italia S.r.l. constitute a case of exclusionary abuse, as established by EU and national antitrust law, likely to hinder competition in the downstream market for the provision of recharging services to end users and capable of preventing access to the market for equally efficient competitors in a phase of market development, in violation of Article 102 TFEU. In consideration of these elements, it is believed that the conduct in question constitutes a serious violation of competition law.</w:t>
      </w:r>
    </w:p>
    <w:p>
      <w:r>
        <w:t>234. Based on the above, it is deemed appropriate to identify a percentage of the value of sales based on the severity of the infringement equal to 10% of the value of sales.</w:t>
      </w:r>
    </w:p>
    <w:p>
      <w:r>
        <w:t>235. The duration of the infringement has an impact on the detrimental consequences of the infringement and, therefore, deserves to be valued in determining the appropriate amount of the penalty according to the Guidelines, which provide that "for fractions of a year, the duration will be calculated based on the actual months and days of participation in the infringement." As previously illustrated, the period of the infringement is identified as being at least between June 2022 and August 2023 (equal to 1 year and 3 months).</w:t>
      </w:r>
    </w:p>
    <w:p>
      <w:r>
        <w:t>236. For these reasons, the base amount of the penalty - calculated by applying the percentage of 10% to the value of sales based on the severity of the infringement and multiplying this value by the duration of 1 year and 3 months - amounts to €2,305,102.35.</w:t>
      </w:r>
    </w:p>
    <w:p>
      <w:r>
        <w:t>237. Point 19 of the Guidelines provides that the base amount of the penalty, determined as described in the preceding paragraphs, may be increased to take into account specific circumstances that aggravate (aggravating circumstances) or mitigate (mitigating circumstances) the liability of the author of the infringement.</w:t>
      </w:r>
    </w:p>
    <w:p>
      <w:r>
        <w:t>238. With reference to aggravating and mitigating circumstances, pursuant to points 19 to 24 of the Guidelines, in this case, there are no aggravating circumstances, nor mitigating circumstances concerning Enel X S.r.l. and Enel X Way Italia S.r.l. Regarding the alleged spontaneous implementation of the commitments proposed by these companies, it is noted that such alleged implementation occurred during a period in which the conduct was already deemed interrupted and was, in any case, modified after a certain period of time. Similarly, the request not to impose any penalty or to limit it to a symbolic penalty considering the stimulation of demand through low final prices and Enel's role in leading the electric recharging infrastructure of the country cannot be accepted, as these circumstances are invoked in a generic manner and not adequately documented (as already argued, in the first case, during the assessment of the conduct), in light of a conduct with established exclusionary characteristics.</w:t>
      </w:r>
    </w:p>
    <w:p>
      <w:r>
        <w:t>239. Therefore, the amount of the penalty calculated in the manner indicated above amounts to €2,305,102.35.</w:t>
      </w:r>
    </w:p>
    <w:p>
      <w:r>
        <w:t>240. The statutory limit of 10% of the turnover achieved by the economic entity to which the infringement is attributed in the last financial year closed prior to the notification of the warning, as provided for by Article 15 of Law No. 287/1990, to be calculated following the merger by incorporation as the sum of the turnovers achieved by Enel X S.r.l. and Enel X Way S.r.l., as well as by Enel X Way Italia S.r.l., is not exceeded. Moreover, the statutory limit would not be exceeded even considering the turnovers separately. The company Enel X S.r.l., in fact, achieved a turnover of approximately [100-440] million euros in 2024, while the company Enel X Way S.r.l. achieved, in the same year, a turnover of approximately [44-100] million euros and Enel X Way Italia S.r.l. achieved a turnover of approximately [44-100] million euros in 2024158.</w:t>
      </w:r>
    </w:p>
    <w:p>
      <w:r>
        <w:t>241. Enel X Way Italia S.r.l., as already mentioned, is a company 100% controlled by Enel X S.r.l. and therefore belongs to the same economic entity. As prescribed by point 32 of the Sanctions Guidelines, the aforementioned companies are jointly liable for the imposed penalty.</w:t>
      </w:r>
    </w:p>
    <w:p>
      <w:r>
        <w:t>All of the above having been stated and considered:</w:t>
      </w:r>
    </w:p>
    <w:p>
      <w:r>
        <w:t>RESOLVES</w:t>
      </w:r>
    </w:p>
    <w:p>
      <w:r>
        <w:t>a) that the conduct carried out by Enel X Way S.r.l. (then merged into Enel X S.r.l.) and Enel X Way Italia S.r.l., consisting of a margin squeeze conduct, with possible exclusionary effects on competing operators in the market for the provision of recharging services to end users (MSP or EMP), constitutes an abuse of a dominant position in violation of Article 102 TFEU;</w:t>
      </w:r>
    </w:p>
    <w:p>
      <w:r>
        <w:t>b) that the infringement referred to in point a) is attributable to Enel X S.r.l. (into which Enel X Way S.r.l. merged, following incorporation as of January 1, 2025) and to Enel X Way Italia S.r.l.;</w:t>
      </w:r>
    </w:p>
    <w:p>
      <w:r>
        <w:t>c) that the cited companies refrain in the future from engaging in behaviors similar to those subject to the infringement established in the preceding points;</w:t>
      </w:r>
    </w:p>
    <w:p>
      <w:r>
        <w:t>d) that, due to what is indicated in the motivation, an administrative pecuniary sanction of €2,305,102.35 (two million three hundred five thousand one hundred two/35 Euros) be imposed on Enel X S.r.l. and Enel X Way Italia S.r.l., jointly and severally.</w:t>
      </w:r>
    </w:p>
    <w:p>
      <w:r>
        <w:t>The administrative penalty referred to in the previous letter d) must be paid within ninety days from the notification of this provision, using the attached model F24 with identifying elements, as per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persons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penalty is increased by one-tenth for each semester starting from the day after the payment deadline until the role is transmitted to the collection agent; in this case, the increase absorbs the late payment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penalty.</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w:t>
      </w:r>
    </w:p>
    <w:p>
      <w:r>
        <w:rPr>
          <w:b/>
        </w:rPr>
        <w:t>[Pages 73–75]</w:t>
      </w:r>
    </w:p>
    <w:p>
      <w:r>
        <w:t>BULLETIN NO. 32 OF AUGUST 18, 2025 75</w:t>
      </w:r>
    </w:p>
    <w:p>
      <w:r>
        <w:t>or an extraordinary appeal may be filed with the President of the Republic, pursuant to Article 8, paragraph 2, of the Decree of the President of the Republic of November 24, 1971, no. 1199, within the term of one hundred and twenty days from the date of notification of the provision itself.</w:t>
      </w:r>
    </w:p>
    <w:p>
      <w:r>
        <w:t>THE SECRETARY GENERAL THE PRESIDENT</w:t>
        <w:br/>
        <w:t>Guido Stazi Roberto Rustichelli</w:t>
      </w:r>
    </w:p>
    <w:p>
      <w:r>
        <w:t>76 BULLETIN NO. 32 OF AUGUST 18, 2025</w:t>
      </w:r>
    </w:p>
    <w:p>
      <w:r>
        <w:t>A568B - TRAVEL AGENCIES/RYANAIR FLIGHT BOOKINGS - INFORMATION PROVIDED</w:t>
      </w:r>
    </w:p>
    <w:p>
      <w:r>
        <w:t>Provision no. 31647</w:t>
      </w:r>
    </w:p>
    <w:p>
      <w:r>
        <w:t>THE ANTITRUST AUTHORITY</w:t>
      </w:r>
    </w:p>
    <w:p>
      <w:r>
        <w:t>IN ITS MEETING of July 29, 2025;</w:t>
      </w:r>
    </w:p>
    <w:p>
      <w:r>
        <w:t>HEARD the Rapporteur, Saverio Valentino;</w:t>
      </w:r>
    </w:p>
    <w:p>
      <w:r>
        <w:t>HAVING REGARD to Law No. 287 of October 10, 1990, and in particular, Article 14, paragraph 5, letter d), according to which "the Authority imposes an administrative pecuniary sanction of up to 1 percent of the total worldwide turnover achieved during the previous financial year if, intentionally or through negligence:</w:t>
        <w:br/>
        <w:t>[…];</w:t>
        <w:br/>
        <w:t>d) in response to a request for information pursuant to paragraph 2 of this article, companies […] provide inaccurate, incomplete, or misleading information or fail to provide the information within the established deadline";</w:t>
      </w:r>
    </w:p>
    <w:p>
      <w:r>
        <w:t>HAVING REGARD to Law No. 689 of November 24, 1981;</w:t>
      </w:r>
    </w:p>
    <w:p>
      <w:r>
        <w:t>HAVING REGARD to the D.P.R. No. 217 of April 30, 1998;</w:t>
      </w:r>
    </w:p>
    <w:p>
      <w:r>
        <w:t>HAVING REGARD to its resolution of September 14, 2023, no. 30772, with which an investigation was initiated, pursuant to Article 14 of Law No. 287/1990, against Ryanair DAC, to ascertain a possible abuse of dominant position in violation of Article 3 of Law No. 287/1990 and/or Article 102 TFEU, consisting of obstructing purchases by travel agencies, both physical and/or online, of Ryanair tickets through its website and offering worse conditions through GDS, thus preventing and/or hindering the agencies themselves in selling the airline's tickets - which typically represent the "point of access" for the sale of additional services - in order to favor direct sales of airline tickets on its website and thus harming the conduct of effective competition in the markets for the sale of tourism services, to the detriment of travel agencies and with negative effects on the welfare of consumers who rely on such operators (proceeding A568 - Travel Agencies/Ryanair Flight Bookings);</w:t>
      </w:r>
    </w:p>
    <w:p>
      <w:r>
        <w:t>HAVING REGARD to the first request for information and, in particular, the third question contained therein, formulated on October 31, 2023, to Ryanair DAC, during the aforementioned investigative proceeding, pursuant to Article 14 of Law No. 287/1990 and Article 9 of D.P.R. No. 217/1998;</w:t>
      </w:r>
    </w:p>
    <w:p>
      <w:r>
        <w:t>HAVING REGARD to the response provided by Ryanair DAC in response to the aforementioned question from the above-mentioned first request for information, received within the extended deadline of December 9, 2023;</w:t>
      </w:r>
    </w:p>
    <w:p>
      <w:r>
        <w:t>HAVING REGARD to the request for clarifications regarding the response to the aforementioned question sent to Ryanair DAC on December 14, 2023, within the framework of the aforementioned investigative proceeding and based on the same legal basis as the request for information of October 31, 2023;</w:t>
      </w:r>
    </w:p>
    <w:p>
      <w:r>
        <w:t>HAVING REGARD to the response from Ryanair DAC, received on December 19, 2023;</w:t>
      </w:r>
    </w:p>
    <w:p>
      <w:r>
        <w:t>HAVING REGARD to its resolution of January 16, 2024, no. 31027, with which the proceeding was subjectively extended to Ryanair Holdings Plc;</w:t>
      </w:r>
    </w:p>
    <w:p>
      <w:r>
        <w:t>BULLETIN NO. 32 OF AUGUST 18, 2025 77</w:t>
      </w:r>
    </w:p>
    <w:p>
      <w:r>
        <w:t>HAVING REGARD to the inspection findings carried out on March 8, 2024, by the Irish competition authority - Competition and Consumer Protection Commission (hereinafter, "CCPC") - on behalf of the Authority, pursuant to Article 22 of Regulation (EC) No. 1/2003 and Article 24 of Directive (EU) No. 1/2019, at the premises of Ryanair Holdings Plc and Ryanair DAC in Dublin (hereinafter, where necessary, collectively referred to as Ryanair);</w:t>
      </w:r>
    </w:p>
    <w:p>
      <w:r>
        <w:t>HAVING REGARD to the order of the Council of State no. 4535 of November 29, 2024, which, reforming order no. 4540 of October 9, 2024, with which the Lazio TAR had accepted the precautionary request presented in the first instance by Ryanair DAC and Ryanair Holdings Plc, allowed the Authority only from that moment to use and possibly make accessible to third parties the documentation acquired during the inspection, except for that for which the aforementioned companies raised exceptions related to legal professional privilege;</w:t>
      </w:r>
    </w:p>
    <w:p>
      <w:r>
        <w:t>HAVING REGARD to the inspection documentation subject to exceptions related to legal professional privilege, transmitted in proceeding A568, in fully or partially redacted form, on February 6, 2025, by Ryanair DAC and Ryanair Holdings Plc;</w:t>
      </w:r>
    </w:p>
    <w:p>
      <w:r>
        <w:t>HAVING REGARD to its resolution of February 11, 2025, no. 31454, with which the Authority contested to Ryanair DAC the violation of Article 14, paragraph 5, letter d), of Law No. 287/1990, for failing to provide in the main proceeding A568 - Travel Agencies/Ryanair Flight Bookings the requested internal documentation, actually in its possession, and consequently providing inaccurate, incomplete, or misleading information regarding the drafting of internal strategic and market documentation prepared during the reference period;</w:t>
      </w:r>
    </w:p>
    <w:p>
      <w:r>
        <w:t>HAVING REGARD to the memorandum from Ryanair DAC received on April 1, 2025;</w:t>
      </w:r>
    </w:p>
    <w:p>
      <w:r>
        <w:t>HAVING REGARD to the Statement of Objections and clarification of charges, sent to Ryanair DAC on May 15, 2025;</w:t>
      </w:r>
    </w:p>
    <w:p>
      <w:r>
        <w:t>HAVING REGARD to the final memorandum from Ryanair DAC received on June 23, 2025;</w:t>
      </w:r>
    </w:p>
    <w:p>
      <w:r>
        <w:t>HEARD in final hearing, on July 1, 2025, the representatives of Ryanair DAC;</w:t>
      </w:r>
    </w:p>
    <w:p>
      <w:r>
        <w:t>HAVING REGARD to the acts of the proceeding and the documentation acquired;</w:t>
      </w:r>
    </w:p>
    <w:p>
      <w:r>
        <w:t>CONSIDERED the following:</w:t>
      </w:r>
    </w:p>
    <w:p>
      <w:r>
        <w:t>THE PARTY</w:t>
      </w:r>
    </w:p>
    <w:p>
      <w:r>
        <w:t>1. Ryanair DAC is a low-cost airline under Irish law engaged in the provision of air transport services on national and international routes. It is controlled by Ryanair Holdings plc, at the head of the eponymous group of companies operating scheduled air transport in Europe and in Italy, both through Ryanair DAC itself and through the carriers Ryanair Sun S.A. (hereinafter, "Buzz"), Lauda Europe Limited ("Lauda"), Malta Air Limited (hereinafter, "Malta Air") and Ryanair U.K. Limited (hereinafter, "Ryanair UK").</w:t>
      </w:r>
    </w:p>
    <w:p>
      <w:r>
        <w:rPr>
          <w:b/>
        </w:rPr>
        <w:t>[Pages 76–78]</w:t>
      </w:r>
    </w:p>
    <w:p>
      <w:r>
        <w:t>78 BULLETIN NO. 32 OF AUGUST 18, 2025</w:t>
      </w:r>
    </w:p>
    <w:p>
      <w:r>
        <w:t>2. Ryanair DAC achieved a revenue of €13.44 billion in the fiscal year ending March 31, 2024, which represents almost the entire consolidated revenue of the group1.</w:t>
      </w:r>
    </w:p>
    <w:p>
      <w:r>
        <w:t>II. THE PROCEEDING</w:t>
      </w:r>
    </w:p>
    <w:p>
      <w:r>
        <w:t>3. By decision of February 11, 2025, no. 31454 (hereinafter also referred to as the "Decision"), notified to the Party on February 14, 2025, the Authority decided to contest to Ryanair DAC the violation of Article 14, paragraph 5, letter d), of Law No. 287/1990, for having provided, during the aforementioned proceeding A568, inaccurate, incomplete, or misleading information in response to the requests for information dated October 31 and December 14, 2023.</w:t>
      </w:r>
    </w:p>
    <w:p>
      <w:r>
        <w:t>4. On February 17 and 24, 2025, Ryanair DAC accessed the documents of this proceeding, following requests submitted, respectively, on the same dates, first by the company's attorney general and then by another external lawyer.</w:t>
      </w:r>
    </w:p>
    <w:p>
      <w:r>
        <w:t>5. On February 27, 2025, Ryanair DAC submitted a reasoned request for an extension of the deadline for submitting observations until March 31, 2025, which was accepted with communication on February 28, 2025.</w:t>
      </w:r>
    </w:p>
    <w:p>
      <w:r>
        <w:t>6. Ryanair DAC then submitted, within the new granted deadline, its observations on the proceeding in question (hereinafter also referred to as "Observations"). In the Observations, it expressed its willingness "to provide further information and clarifications during a hearing."</w:t>
      </w:r>
    </w:p>
    <w:p>
      <w:r>
        <w:t>7. On April 8, 2025, the Directorate therefore summoned Ryanair DAC for an investigative hearing to agree on a date among those proposed of April 13 and 17, 2025.</w:t>
      </w:r>
    </w:p>
    <w:p>
      <w:r>
        <w:t>8. On April 9, 2025, Ryanair DAC represented to the College and the Secretary General both the inadequate timing proposed by the Offices for the investigative hearing - close to the Easter holidays - and the infringement of its right of defense, which could clearly only be exercised within a hearing before the College, as the sub-proceeding in question is governed by D.P.R. No. 217/1998, also referenced in the preamble of the initiation decision. Ryanair DAC, therefore, reiterated "its initial request" to be heard directly by the College, as "the two types of hearing are not at all equivalent in terms of the effective and full exercise of defense rights"2.</w:t>
      </w:r>
    </w:p>
    <w:p>
      <w:r>
        <w:t>9. On April 14, 2025, the Directorate clarified that "the summons for a hearing before the Offices was limited to accepting the availability generically offered by this Company in the conclusions to the Observations received on April 1, 2025 [...] to 'provide further information and clarifications regarding the above, also during a hearing'" and noted that, in the communication of April 9, 2025, Ryanair DAC intended "to request solely to be heard before the College," highlighting that the request would be evaluated by the College. The hearing of the representatives of Ryanair DAC with the Offices, proposed by the latter, therefore did not take place.</w:t>
      </w:r>
    </w:p>
    <w:p>
      <w:r>
        <w:t>1 See the last two approved financial statements of Ryanair, for the fiscal year ending, respectively, on March 31, 2024 and 2025, doc. 28.</w:t>
      </w:r>
    </w:p>
    <w:p>
      <w:r>
        <w:t>2 Ryanair DAC emphasized that "in one case the College listens directly and without filters to the oral defenses of the accused company, with the possibility of asking questions and requesting clarifications, if deemed appropriate; while in the other case the College is limited to receiving the brief report prepared by the Offices following the hearing, as approved by the party, along with the proposal of the Offices themselves regarding the resolution of the sub-proceeding."</w:t>
      </w:r>
    </w:p>
    <w:p>
      <w:r>
        <w:t>BULLETIN NO. 32 OF AUGUST 18, 2025</w:t>
      </w:r>
    </w:p>
    <w:p>
      <w:r>
        <w:t>10. On May 14, 2025, the Communication of Allegation and specification of charges (hereinafter also CRI)3 was sent to Ryanair DAC.</w:t>
      </w:r>
    </w:p>
    <w:p>
      <w:r>
        <w:t>11. The following day, Ryanair DAC submitted a request to the College, asking for urgent intervention to prevent the Offices from granting third parties access to the documents and the CRI. The request was responded to with a letter from the Authority dated June 5, 2025, noting the absence of third parties participating in this proceeding and, a fortiori, of requests for access to the documents from these latter4.</w:t>
      </w:r>
    </w:p>
    <w:p>
      <w:r>
        <w:t>12. Ryanair DAC again accessed the documents of file A568B on June 11, 2025, in acceptance of the request submitted the previous day.</w:t>
      </w:r>
    </w:p>
    <w:p>
      <w:r>
        <w:t>13. On June 23, 2025, Ryanair DAC submitted its memorandum (hereinafter also referred to as "Final Memorandum") and was heard, as requested, by the College on July 1, 2025.</w:t>
      </w:r>
    </w:p>
    <w:p>
      <w:r>
        <w:t>III. THE INVESTIGATIVE FINDINGS</w:t>
      </w:r>
    </w:p>
    <w:p>
      <w:r>
        <w:t>14. Below, the evidence in the documents will be reported.</w:t>
      </w:r>
    </w:p>
    <w:p>
      <w:r>
        <w:t>a) The events subject to the main proceeding</w:t>
      </w:r>
    </w:p>
    <w:p>
      <w:r>
        <w:t>15. By the aforementioned resolution of September 14, 2023, no. 30772, the Authority initiated proceeding A568 against Ryanair DAC, deemed dominant in the markets of passenger air transport concerning Italian airports, to ascertain a possible violation of Article 3 of Law No. 287/1990 and/or Article 102 of the TFEU, through a series of conduct capable of preventing and/or hindering travel agencies, both physical and/or online, also by offering worse conditions through GDS, in the sale of the airline's tickets - which typically represent the "point of access" for the sale of additional tourist and/or ancillary services - in order to favor direct sales of airline tickets and these additional services on its website. In this way, the conduct of Ryanair DAC appeared capable of harming the conduct of effective competition in the markets for the sale of tourist services, to the detriment of travel agencies and, ultimately, consumers who rely on such operators.</w:t>
      </w:r>
    </w:p>
    <w:p>
      <w:r>
        <w:t>16. On October 31, 2023, a request for information (hereinafter also referred to as "RFI 1")5 was sent to Ryanair DAC, pursuant to Article 14, paragraph 2, of Law No. 287/1990 and Article 9 of D.P.R. No. 217/1998, aimed at reconstructing the characteristics, structure, and operations of the Ryanair Group in Italy, also in comparison with other European countries, and in which it was specifically requested, in point 3, to "provide the Business Plans related to Italy prepared by the Ryanair group for the period 2021-2023"6. The deadline for the response was set for November 25, 2023.</w:t>
      </w:r>
    </w:p>
    <w:p>
      <w:r>
        <w:t>3 See doc. 21.</w:t>
      </w:r>
    </w:p>
    <w:p>
      <w:r>
        <w:t>4 See docs. 22 and 23.</w:t>
      </w:r>
    </w:p>
    <w:p>
      <w:r>
        <w:t>5 See doc. 91 of file A568, acquired as an attachment to doc. 13 of file A568B.</w:t>
      </w:r>
    </w:p>
    <w:p>
      <w:r>
        <w:t>6 It is noted that the first request for information (RFI 1) was articulated in 7 questions, aimed at reconstructing the characteristics, structure, and operations of the Ryanair Group in Italy, also in comparison with other European countries. In particular, factual elements were requested on: group structure (question 1); scope of operations of flights and commercial (question 2); "Business Plan for Italy for the period 2021-2023" (question 3); positioning of the companies of the Ryanair group, distinguishing Italy from the rest of Europe, regarding the number of bases, flights, aircraft, etc. (question 4); the sale, finally, of airline tickets, through OTAs and with the verification procedure (questions 5-7).</w:t>
      </w:r>
    </w:p>
    <w:p>
      <w:r>
        <w:t>80 BULLETIN NO. 32 OF AUGUST 18, 2025</w:t>
      </w:r>
    </w:p>
    <w:p>
      <w:r>
        <w:t>17. On November 11, 2023, Ryanair DAC submitted a request for an extension of the aforementioned deadline, asking for it to be postponed to December 9, 2023; the request was accepted. In the response received on December 11, 2023, Ryanair DAC limited itself to stating, regarding point 3, that "Ryanair does not prepare Business Plans for Italy, nor for other countries to which it flies"7.</w:t>
      </w:r>
    </w:p>
    <w:p>
      <w:r>
        <w:t>18. On December 14, 2023, a second request for information (hereinafter also referred to as "RFI 2") was sent to Ryanair DAC, having the same legal basis as the previous one, in which:</w:t>
        <w:br/>
        <w:t>(i) it was requested to "specify whether the companies of the Ryanair Group prepare business plans or documents of strategic planning however named and in any form prepared that concern - even in part - the activities of the companies of the Ryanair Group in Italy. In the event that the companies of the Ryanair Group prepare such documents, provide a complete copy of such documents prepared in the period 2021-2023" (emphasis added);</w:t>
        <w:br/>
        <w:t>(ii) it was indicated that the name of the documents was irrelevant ("By way of non-exhaustive example: strategic plan, operational plan, etc.") and the form in which they were prepared ("By way of non-exhaustive example: presentations and documents provided to the Board of Directors, information transcribed in the minutes of the Board of Directors, internal documents prepared by operational directors or other internal divisions, etc.");</w:t>
        <w:br/>
        <w:t>(iii) it was indicated that the requested documents could also concern only in part Italy ("[a] non-exhaustive example: decisions to purchase new aircraft to be allocated in part for Italy, analysis of Ryanair's positioning in Italy, strategic decisions regarding flight operations, opening/closing of Italian operational bases, etc.")8.</w:t>
      </w:r>
    </w:p>
    <w:p>
      <w:r>
        <w:t>19. On December 19, 2023, Ryanair DAC confirmed the previous response, stating that "Ryanair is a dynamic and rapidly evolving carrier that [...] does not prepare formal business plans at the network level, nor at the level of individual countries to which it flies. It would be very complex to prepare such documents, considering the scope and the continuously evolving nature of the carrier's operations. Decisions regarding business planning are made by management continuously and dynamically, without being formally documented. Only the most important strategic decisions are formalized in documents that require the approval of shareholders/investors," of which Ryanair DAC provided two publicly available examples on the Group's website9 (emphasis added). These are, in particular, the Circular to shareholders presented for approval during the annual meeting of September 14, 2023, regarding the purchase of Boeing 737-MAX-10, and the presentation during the Capital Markets Day in September 2023 (hereinafter also referred to, respectively, as "Circular" and "CMD Presentation").</w:t>
      </w:r>
    </w:p>
    <w:p>
      <w:r>
        <w:t>20. Following the responses to the two requests for information, therefore, Ryanair DAC declared the total absence of both internal strategic and operational business planning and the preparation and sharing of detailed and structured market information, limited only to sporadic instances.</w:t>
      </w:r>
    </w:p>
    <w:p>
      <w:r>
        <w:t>7 See doc. 122 of file A568, acquired as an attachment to doc. 13 of file A568B.</w:t>
      </w:r>
    </w:p>
    <w:p>
      <w:r>
        <w:t>8 See doc. 126 of file A568. In RFI 2 (ii) it was also specified that for the Ryanair Group, "it is jointly understood as Ryanair Holdings plc and its subsidiaries (Ryanair DAC, Buzz - Ryanair Sun S.A., Lauda Europe Limited, Malta Air Limited, and Ryanair U.K. Limited)."</w:t>
      </w:r>
    </w:p>
    <w:p>
      <w:r>
        <w:t>9 See doc. 130 of file A568, acquired as an attachment to doc. 13 of file A568B and mistakenly indicated in the initiation decision as document 04_130.</w:t>
      </w:r>
    </w:p>
    <w:p>
      <w:r>
        <w:rPr>
          <w:b/>
        </w:rPr>
        <w:t>[Pages 79–81]</w:t>
      </w:r>
    </w:p>
    <w:p>
      <w:r>
        <w:t>BULLETIN NO. 32 OF AUGUST 18, 2025</w:t>
      </w:r>
    </w:p>
    <w:p>
      <w:r>
        <w:t>81</w:t>
        <w:br/>
        <w:t>decisions on planning particularly relevant for the approval of shareholders and investors.</w:t>
        <w:br/>
        <w:t>21. After the subjective extension of proceeding A568 to Ryanair Holdings Plc, with resolution of January 16, 2024, no. 31027, on March 8, 2024, the Irish Competition Authority (CCPC) conducted, on behalf of the Authority and pursuant to Article 22 of Regulation (EC) No. 1/2003 and Article 24 of Directive (EU) No. 1/2019, inspection checks at the headquarters of Ryanair Holdings Plc and Ryanair DAC in Dublin.</w:t>
        <w:br/>
        <w:t>22. The evidence collected during the inspection was transmitted by the CCPC to the Authority pursuant to Regulation (EC) No. 1/2003, with a transmission letter registered by the Authority on March 9, 202410.</w:t>
        <w:br/>
        <w:t>23. In light of the legal action brought by Ryanair11 in Ireland against the CCPC and the Authority regarding the conduct of the inspection, the Authority immediately committed not to review or use in any way the documentation acquired in copy. This commitment lasted uninterruptedly until May 21, 2024, the date on which the Irish High Court published the ruling accepting the jurisdictional objection raised by the Authority.</w:t>
        <w:br/>
        <w:t>24. On May 21, 2024, Ryanair then filed an appeal against the request for assistance addressed by the Authority to the CCPC pursuant to Article 22 of Regulation (EC) No. 1/2003, with a simultaneous request for the adoption of monocratic measures pursuant to Article 56 of the Administrative Procedure Code to the President of the Lazio Regional Administrative Court, in which it is stated that the prerequisites of extreme seriousness and urgency were found in the "imminent" risk that the Authority (with the ruling of the High Court on jurisdiction) could access the inspection material from that date. With monocratic presidential decree no. 2067 of May 22, 2024, the precautionary request presented by Ryanair was accepted "until the matter is discussed in the council chamber, scheduled for June 12 of this year," which was then postponed several times. With the order of the Lazio Regional Administrative Court of October 10, 2024, no. 4540, the precautionary phase was finally exhausted, referring the merits of Ryanair's appeal for the annulment of the Authority's request for assistance to the CCPC and "maintaining in the meantime the suspension of the contested act, already ordered with decree no. 2067 of May 22, 2024"12.</w:t>
        <w:br/>
        <w:t>25. The Authority appealed this last ruling before the Council of State, which, with order of November 29, 2024, no. 4535, finally rejected the precautionary request proposed by Ryanair DAC against the request for investigative assistance addressed by the Authority to the CCPC. From that date, therefore, the Authority had concrete and effective access to the inspection documentation (except for documents allegedly covered by legal privilege)13.</w:t>
        <w:br/>
        <w:t>10 See doc. 177 of file A568.</w:t>
        <w:br/>
        <w:t>11 In this provision, the term "Ryanair" refers to both Ryanair DAC and Ryanair Holdings Plc and/or the eponymous group.</w:t>
        <w:br/>
        <w:t>12 For completeness, it should be noted that the Lazio Regional Administrative Court, with ruling no. 8507 of May 2, 2025, rejected Ryanair's appeal in its entirety.</w:t>
        <w:br/>
        <w:t>13 In this provision, any reference to inspection documents shall be understood as excluding those for which Ryanair had raised in whole or in part issues of legal professional privilege.</w:t>
      </w:r>
    </w:p>
    <w:p>
      <w:r>
        <w:t>82 BULLETIN NO. 32 OF AUGUST 18, 2025</w:t>
      </w:r>
    </w:p>
    <w:p>
      <w:r>
        <w:t>b) The inspection documents supporting this allegation</w:t>
        <w:br/>
        <w:t>26. Some documents acquired during the inspection checks are particularly relevant for this allegation.</w:t>
        <w:br/>
        <w:t>27. Specifically, copies of two paper documents titled "Ryanair Group working capital memorandum" (hereinafter also "Memorandum") were acquired, which are actually consecutive parts (sections) of the same document, the first (doc. no. 177.219) containing summary elements and the second (doc. 177.220) with more detailed analysis14. These documents, lacking the first three pages, cover the fiscal year 2023 ("FY23", from April 1, 2022, to March 31, 202315), with forecasts for the following two fiscal years ("FY24" - April 2023/March 2024 - and "FY25" - April 2024/March 2025).</w:t>
        <w:br/>
        <w:t>28. The Memorandum was prepared by the summer of 2023 ("This summer (2023)")16, after the closure of the fiscal year 2023 and before the decision to purchase Boeing aircraft made in 2023 was approved by the shareholders ("Subject to shareholder approval of the 2023 Boeing Contract")17: several sections refer to data recorded as of March 31, 2023 ("at March 31, 2023")18 and June 30, 2023 ("at June 30, 2023")19. Furthermore, the end of July 2023 is indicated as a future deadline ("these loans will be fully repaid before the end of July 2023"20).</w:t>
        <w:br/>
        <w:t>29. The Memorandum contains forecasts for the following two years, often referring to a period "up to March 31, 2025" ("period to March 31, 2025")21, as well as analyses of forecasts for FY24 and FY25 ("3. Summary of FY24 Forecast" and "4. Summary of FY25 Forecast"), in addition to that of the comparison between revenues and budget forecasts ("Forecasting History. Budget V Actual results history), which compares "Actual" values in FY23 and "Forecast" in FY2422. The Memorandum records the correspondence of initial forecasts on some strategic variables (passenger volumes, load factor, employees, etc.) with the original "two-year planning" ("the basic forecast … remained consistent with the original 2-year plan")23. The two documents of the Memorandum thus have a planning/projection time horizon of two years.</w:t>
        <w:br/>
        <w:t>14 Doc. 177.219 goes from section 1.2 to section 7.1 (thus sections 1 and 1.1 are missing) and doc. 177.220 from section 7.2 to section 10 in addition to balance sheet data as of August 2023 and forecast for 2024.</w:t>
        <w:br/>
        <w:t>15 It should be noted that, in Ryanair's documents, the fiscal year runs from April 1 of each year to March 31 of the following year: therefore, fiscal year 2023 ("FY23") includes a good part of the results of 2022 and so on.</w:t>
        <w:br/>
        <w:t>16 For example, doc. 177.219, page 19 of the inspection document acquired in copy (indicated as page 22 in the document itself), section 5.</w:t>
        <w:br/>
        <w:t>17 See doc. 177.219, sections 1.4 and 1.6.</w:t>
        <w:br/>
        <w:t>18 For example, doc. 177.219, page 2 section 1.2, page 21 section 6, etc. Doc. 177.220, page 6 section 10, considers the annual financial results "for the year to March 31, 2023" (our annual financial results for the year to March 31, 2023").</w:t>
        <w:br/>
        <w:t>19 For example, doc. 177.219, page 2 section 1.2, page 5 section 1.7, page 21 section 6, etc.</w:t>
        <w:br/>
        <w:t>20 See doc. 177.219, page 22, section 6.2; doc. 177.220, page 9, reports the provisional consolidated balance sheet as of August 31, 2023 ("as at August 31, 2023 (unaudited)").</w:t>
        <w:br/>
        <w:t>21 See doc. 177.219, page 2 section 1.2; page 3 section 1.4 speaks of "period analyzed up to March 31, 2025" ("the period under review in this Memorandum (to March 31, 2025)", "In the two fiscal years under review to March 31, 2025").</w:t>
        <w:br/>
        <w:t>22 See doc. 177.219, sections 3 and 4, and doc. 177.220, sections 8 and following.</w:t>
        <w:br/>
        <w:t>23 See doc. 177.220, pages 1 and 7. It should be noted that doc. 177.220 consists of a photocopy of a series of paper documents. Therefore, reference is made to the first of the copied paper documents, corresponding to pages 1-7 of the pdf file.</w:t>
      </w:r>
    </w:p>
    <w:p>
      <w:r>
        <w:t>BULLETIN NO. 32 OF AUGUST 18, 2025</w:t>
      </w:r>
    </w:p>
    <w:p>
      <w:r>
        <w:t>83</w:t>
        <w:br/>
        <w:t>30. The titles of these documents explicitly refer to the designation "Business Plan," to certain international standards followed for their drafting, and to long-term planning. In particular, the document includes sections titled: "summary comment of the business plan" and "the accounting policies underlying the business plan." (Figure 1)</w:t>
        <w:br/>
        <w:t>Figure 1 - Excerpts from doc. 177.219 (section 1.7) and doc. 177.220 (section 10).*</w:t>
        <w:br/>
        <w:t>31. Another section of doc. 177.220 indicates that, in terms of long-term planning, "the annual budget has proven to be an accurate forecast of revenues but not of costs," thus linking the importance of the budget for good long-term planning (Figure 2).</w:t>
        <w:br/>
        <w:t>Figure 2 - Excerpt from doc. 177.220 (section 9).</w:t>
        <w:br/>
        <w:t xml:space="preserve">32. Among the key assumptions of the analysis, the Memorandum indicates (referring to the detailed description in section 3 of the same document) in particular the expected growth of total revenues from a given value in fiscal year 2023 to the minimum expected in fiscal year 2025, the expected growth rates of ancillary revenues per passenger for FY24 and FY25, as well as the hypothesized method for financing the purchase of Boeing aircraft ("Total Revenues to grow from € [omitted] in FY23 to over € [omitted] in FY25 […]; Ancillary revenues per pax are expected to increase [omitted]%"). </w:t>
        <w:br/>
        <w:t>* In this version, some data are omitted, as it was deemed that there were elements of confidentiality or secrecy of the information.</w:t>
      </w:r>
    </w:p>
    <w:p>
      <w:r>
        <w:rPr>
          <w:b/>
        </w:rPr>
        <w:t>[Pages 82–84]</w:t>
      </w:r>
    </w:p>
    <w:p>
      <w:r>
        <w:t>84 BULLETIN NO. 32 OF AUGUST 18, 2025</w:t>
      </w:r>
    </w:p>
    <w:p>
      <w:r>
        <w:t>in FY24 and [omissis]% in FY25 […]; Ryanair expects to finance aircraft purchases […]”, etc24. The section 3, in fact, “Detailed Discussion and Analysis of Forecast for FY24” compares the actual revenues and losses for FY23 (“Actual”) with the forecasted figures for FY24 (“Forecast”), in addition to the variation in value and percentage, detailing in sections 3.3-3.6 also the operating costs (fuel, staff, airport charges, marketing, etc.), the balance sheet, and cash flow.</w:t>
      </w:r>
    </w:p>
    <w:p>
      <w:r>
        <w:t>33. Over the three fiscal years considered (“FY23”, “FY24”, “FY25”), the Memorandum describes and evaluates the pros and cons of four possible projected scenarios (“1.5 Scenario Analysis”), namely: A) a situation with lower yields; B) competitive threat reducing the load factor; C) a combination of the two previous scenarios; D) a significant event that will result in significantly different outcomes (see infra Figure 1)25.</w:t>
      </w:r>
    </w:p>
    <w:p>
      <w:r>
        <w:t>Figure 3 - Excerpt from doc. 177.219, p. 4.</w:t>
      </w:r>
    </w:p>
    <w:p>
      <w:r>
        <w:t>34. The purpose of the Memorandum, prepared by Management to illustrate to the Board the financial situation of Ryanair for the two-year period ending March 31, 2025 (“management has prepared a Memorandum for the Board setting out the working capital position and financing requirements for the 2-year period ended March 31, 2025”) is to allow the Directors to consider Ryanair's financial position up to FY25 and to cover the costs it will incur during that period, including financing the Boeing 2023 contract (“including € […] commitments under the 2023 Boeing Contract”)26.</w:t>
      </w:r>
    </w:p>
    <w:p>
      <w:r>
        <w:t>The Memorandum includes: “Forecast March 31, 2025 based on our most recent estimates. A summary of the competitive environment that Ryanair is currently trading in. Sensitivity analysis on the assumptions underlying the forecast covering A) a competitive threat, B) an economic slowdown, C) a major adverse event, and D) rising [omissis] prices […]”,</w:t>
      </w:r>
    </w:p>
    <w:p>
      <w:r>
        <w:t xml:space="preserve">24 See doc. 177.219, section 1.3. </w:t>
        <w:br/>
        <w:t xml:space="preserve">25 See doc. 177.219, p. 4. The doc. 177.220 (p. 1-7) contains a detailed analysis of each of these scenarios, as well as detailed data at the Group level for 2023 (revenues and losses, cost base, etc.) and forecasts for 2024. </w:t>
        <w:br/>
        <w:t>26 See doc. 177.219. Section 2.1 continues with a warning to the Directors about the possibility of choosing from other options available to them and not included in any projection (“The Directors should consider that a variety of options would be available to the Group which are not incorporated in any of the projections. These would include: - significantly reducing costs and retrenchment of activities […], the closure of routes and bases […]”.</w:t>
      </w:r>
    </w:p>
    <w:p>
      <w:r>
        <w:t>BULLETIN NO. 32 OF AUGUST 18, 2025 85</w:t>
      </w:r>
    </w:p>
    <w:p>
      <w:r>
        <w:t>up to the fiscal year 2025, as well as an assessment of key risks (“Key Risks”) and “Detailed Discussion and Analysis of Forecast for FY24” and “for FY25”27.</w:t>
      </w:r>
    </w:p>
    <w:p>
      <w:r>
        <w:t>35. Finally, the same document dedicates section 5 to the analysis of competition in the European airline industry (“Competition in the European industry. Overall Marketplace”) for summer 2023 (“This summer (2023), Ryanair will operate our largest ever schedule”), with a focus also on competitive conditions in the Italian market. Within the document, Ryanair emphasizes that it expects European airlines to continue consolidating their position without major changes, deploying their capacity “in a disciplined manner” (“Ryanair expects European airlines will continue to consolidate over the next 2 years and it seems likely they will deploy capacity in a disciplined manner”) and also analyzes the details of the operating costs of such operators, with market shares and earned differentials compared to them28. The following figure represents, in particular, Ryanair's internal analysis of its market positioning in Italy and some other European markets, based on the occupied seats departing in summer 2023 compared to the summer season (IATA) 2019.</w:t>
      </w:r>
    </w:p>
    <w:p>
      <w:r>
        <w:t>Figure 4 - Excerpt from doc. 177.219, p. 19.</w:t>
      </w:r>
    </w:p>
    <w:p>
      <w:r>
        <w:t>36. Sections 7.2 to 8 of doc. 177.220 resume the detailed analysis of each of the four scenarios described above, in the actual situation (2023, which ended on March 31, 2023) and prospective (for FY24 and FY25, that is, the fiscal years starting from April 1, 2023). Again, detailed analyses and projections of the four scenarios already identified in the first document are carried out. The analyses extend to March 31, 2025, and the completion of the fleet renewal operation and acquisition of new aircraft until 2034.</w:t>
      </w:r>
    </w:p>
    <w:p>
      <w:r>
        <w:t>37. An excel file named “FY25 BUDGET”29 has also been obtained, created to be shared with the Board, attached to an internal email dated February 22, 2024, but created, according to the properties of the document itself, by the Chief Commercial Officer (CCO) of Ryanair DAC on January 17, 2023, and finalized on February 22, 2024, the day of sending the aforementioned email. In particular, the document reflects data collected necessarily at a time when the consolidated data for December 2023 was not yet available. In fact, the starting hypothesis of the various analyses conducted present in numerous excel sheets of the document considers the delivery of new aircraft on a monthly basis in the period September 2022 - July 2023, marking in green the months in which the delivery was made (up to January 2023) and in orange the month in which such delivery was “at risk” (February 2023), leaving blank the months in which deliveries had not yet been made. Therefore, the creation of the document cannot be temporally placed beyond the date of the last delivery (made or expected) recorded, that is, February 202330.</w:t>
      </w:r>
    </w:p>
    <w:p>
      <w:r>
        <w:t>Figure 5: Hypothesis of delivery of new aircraft contained in document 177.159</w:t>
      </w:r>
    </w:p>
    <w:p>
      <w:r>
        <w:t>38. The “Assumptions” table appears in six of the eight sheets that make up the document in question, in which Ryanair DAC elaborates hypotheses of average fares (“Avg fare”) of tickets sold through OTAs, even during the “shutdown” period (“OTA off”).</w:t>
      </w:r>
    </w:p>
    <w:p>
      <w:r>
        <w:t>39. Furthermore, as can be seen in the following Figure 6, the document was still being drafted during the period when Ryanair DAC was responding to RFI 1 and 231. In particular, assumptions were made about revenues for the period of December 2023 and the following months, up to the fiscal year 2025. This is evident by comparing the individual excel sheets present in the file, containing different hypotheses of</w:t>
      </w:r>
    </w:p>
    <w:p>
      <w:r>
        <w:t xml:space="preserve">29 See doc. 177.159 of file A568. </w:t>
        <w:br/>
        <w:t xml:space="preserve">30 See the tables with “Assumptions. Assumes 51x8-200 a/c delivered from Sept ’22 to Jul’23” present in many excel sheets of doc. 177.159 of file A568. </w:t>
        <w:br/>
        <w:t>31 It is noted that the response to RFI1 was received on December 9, 2023, and the response to RFI 2 was received on December 19, 2023.</w:t>
      </w:r>
    </w:p>
    <w:p>
      <w:r>
        <w:rPr>
          <w:b/>
        </w:rPr>
        <w:t>[Pages 85–87]</w:t>
      </w:r>
    </w:p>
    <w:p>
      <w:r>
        <w:t>BULLETIN NO. 32 OF AUGUST 18, 2025 87</w:t>
      </w:r>
    </w:p>
    <w:p>
      <w:r>
        <w:t>rates. Each hypothesis corresponds to a prospective assessment of the impact of the "shutdown" of Online Travel Agencies - OTA ("OTA off") on average revenues ("Avg Fare"), formulated starting from December 202332, as highlighted in the document by the yellow part of the FY24 column, which starts from the values of December (2023) and goes up to those of March (2024), accompanied by the indication of the budget assumptions ("Assumes same LF as FY25 budget").</w:t>
      </w:r>
    </w:p>
    <w:p>
      <w:r>
        <w:t>Figure 6 – Extract from document 177.159.</w:t>
      </w:r>
    </w:p>
    <w:p>
      <w:r>
        <w:t>40. Since the data for December 2023 varies depending on the hypotheses (with and without "OTA Off"), this file must necessarily have been created before the actual data for December 2023 was available (enriched with prospective assessments between the end of November and December 2023 and further revised between January and February 2024, as evidenced by various sheets of the Excel document in question).</w:t>
      </w:r>
    </w:p>
    <w:p>
      <w:r>
        <w:t>41. In Table 1 below, data on revenues/rates contained in four sheets of doc. 177.159 are reported, from April 2023 to March 2024 for the fiscal year 2024 and from April 2024 to March 2025 for the fiscal year 2025. From the table, it is evident that the rates indicated monthly in each sheet (each corresponding to a different hypothesis), between April and November 2023 (highlighted in green), are always the same, while they begin to change, in the various hypotheses, starting from December 2023 (corresponding to the values in red) and continuing throughout the fiscal year 2025. Therefore, doc. 177.159,</w:t>
      </w:r>
    </w:p>
    <w:p>
      <w:r>
        <w:t>32 It should be noted that the fiscal year 2024 begins on April 1, 2023, and therefore, December of the fiscal year 2024 is December 2023.</w:t>
      </w:r>
    </w:p>
    <w:p>
      <w:r>
        <w:t>88 BULLETIN NO. 32 OF AUGUST 18, 2025</w:t>
      </w:r>
    </w:p>
    <w:p>
      <w:r>
        <w:t>containing hypotheses of revenues/rates also for the 2023 period, cannot necessarily have been fully developed in 2024.</w:t>
      </w:r>
    </w:p>
    <w:p>
      <w:r>
        <w:t>Table 1: AGCM elaborations on various sheets with average rates from doc. 177.159</w:t>
      </w:r>
    </w:p>
    <w:p>
      <w:r>
        <w:t>42. A similar document is represented by the Excel file attached to the email with the subject "FY25 BUDGET PAX"33, containing results and forecasts for the fiscal year 2025 (April 2024-March 2025) and data relating to the fiscal year 2024 (April 2023-March 2024). Although the Excel file is attached to an email dated January 8, 2024, checking the properties of the document, it appears to have been created on November 14, 2023, and completed on the day of sending the aforementioned internal transmission email. The document, in a single Excel sheet, contains data for the fiscal year 2024 (March 2023-April 2024), actual only for part of the year and with forecast data for the remaining part (as indicated by the wording "FY24 Actual/Forecast"). However, the document does not present elements (such as, for example, the aforementioned "Assumptions" table or different colorations for the forecast part or other elements) that allow it to be definitively traced back to 2023.</w:t>
      </w:r>
    </w:p>
    <w:p>
      <w:r>
        <w:t>43. A copy of the 2023 presentation titled "Customer base breakdown"34 was then obtained from the marketing manager's office at Ryanair. This document analyzes the results for each fiscal year (which, it should be noted, begins on April 1 of each year and ends on March 31 of the following year) from 2021 to 2023 and forecasts for FY2435, in terms of volume and consumer shares (i.e., bookings) in twelve national markets, including Italy, present in the tables on pages 4 and 5 of the document, and at the bases of Turin and Fiumicino (respectively TRN and FCO) indicated on pages 13, 14, and 20 of the same. In particular, the graph titled "TOTAL CUSTOMERS BOOKED FY19-FY24" represents on a monthly basis the trend of bookings from April 1, 2023, to April 1, 2024 (FY24) with different colors and strokes for each fiscal year considered within that range. For the fiscal year 2024, the graph shows both actual data (with a solid line) and forecast data (with a dashed line)36. The actual data stops on September 1, 2023, the date on which the dashed line begins, indicating the forecast data. For each previous year (2019-2023), the data depicted in the graph is marked only with a solid line. This allows for placing the document's elaboration around September 202337. The document in question also contains forecasts regarding retention and acquisition strategies for new customers ("Acquisition &amp; Retention"), again for each fiscal year from 2021 to 2024 (updated and forecast), regarding which Ryanair conducts a careful analysis of various customer behavior variables ([omissis]) and the channel chosen for booking ("booking source"). Communication is also viewed both from a historical perspective, from late 2022 to mid-2023, and from a dynamic perspective, identifying actions to be taken to increase future customer acquisition and the internal divisions responsible for implementing them ("Next Steps to Go Live").</w:t>
      </w:r>
    </w:p>
    <w:p>
      <w:r>
        <w:t>44. Furthermore, from the CEO's office of the company, a paper copy of a communication sent to the Board on February 18, 2022, with internal protocol number ("CB/105607"), was obtained, in which the CEO transmits the note from the Head of the Commercial Division (author of the Affidavit produced in the final memorandum, see infra), which compares the performance of Ryanair and one of its competitors in Italy for traffic, capacity, load factor, aircraft, and for the weekly frequency of flights planned for the upcoming summer season 2022 on competing routes. This note was then transmitted by the Head of that internal Division to the CEO and from him to the Board with a cover letter dated February 18, 2022, in which the CEO comments on the positive results achieved compared to competitors in Italy38. However, the only element related to the future programming of the document in question falling within the period 2021-2023, as requested in the RFIs, concerns the weekly frequency of flights on competing domestic routes for the upcoming summer season ("S22"). This could simply be the result of what carriers already define in December of the previous year for the following summer season according to the IATA calendar and therefore may not have a genuine forecasting value.</w:t>
      </w:r>
    </w:p>
    <w:p>
      <w:r>
        <w:t>45. Finally, it is necessary to consider the decision-making process highlighted by Ryanair itself in the "Meeting" section of the various Group Annual Reports, in which it emphasizes each time the importance of timely and preventive sharing of decisions with the Board, "whose approval is necessary for many matters," demonstrating that the management of the company is in solid hands ("Detailed Board papers are circulated in advance so that Board members have adequate time</w:t>
      </w:r>
    </w:p>
    <w:p>
      <w:r>
        <w:t>36 See doc. 177.67, p. 3, of file A568.</w:t>
        <w:br/>
        <w:t>37 See p. 3 of doc. 177.67 of file A568.</w:t>
        <w:br/>
        <w:t>38 See doc. 177.197, pages 4-7, of file A568. It should be noted that doc. 177.197 consists of a photocopy of a series of paper documents also relating to periods subsequent to the Authority's information requests. Therefore, reference is made only to the documents sent to the Board in February 2022, namely pages 1-3 and 7 of the pdf file.</w:t>
      </w:r>
    </w:p>
    <w:p>
      <w:r>
        <w:rPr>
          <w:b/>
        </w:rPr>
        <w:t>[Pages 88–90]</w:t>
      </w:r>
    </w:p>
    <w:p>
      <w:r>
        <w:t>90 BULLETIN NO. 32 OF AUGUST 18, 2025</w:t>
      </w:r>
    </w:p>
    <w:p>
      <w:r>
        <w:t>and information to be able to participate fully at the meeting. The holding of detailed Board meetings and the fact that many matters require Board approval demonstrates that the running of the Company is firmly in the hands of the Board,” (emphasis added), also accounting for the existence of numerous annual meetings and the related preparatory documentation (“Detailed Board papers”)39.</w:t>
      </w:r>
    </w:p>
    <w:p>
      <w:r>
        <w:t>IV. THE ARGUMENTS OF THE PARTY</w:t>
      </w:r>
    </w:p>
    <w:p>
      <w:r>
        <w:t>46. This section illustrates the main defenses put forward by Ryanair DAC in its submissions and during the final hearing40.</w:t>
      </w:r>
    </w:p>
    <w:p>
      <w:r>
        <w:t>a) Procedural issues: the alleged lateness of the initiation</w:t>
      </w:r>
    </w:p>
    <w:p>
      <w:r>
        <w:t>47. In the Final Memorandum, in response to the CRI, Ryanair raised for the first time the alleged lateness of the present proceeding, which it believes was initiated after one hundred and fifty-two days or, in the best-case scenario, after 105 days from the inspection, thus well beyond the ninety days provided for the contestation by Article 14, paragraph 2, of Law No. 689/1981. The sanctioning proceeding would therefore be entirely illegitimate.</w:t>
      </w:r>
    </w:p>
    <w:p>
      <w:r>
        <w:t>48. According to Ryanair DAC, the term in question would run from the day of the inspection based on the jurisprudence related to a case that it considers “perfectly overlapping” with the one at hand, in which the inspection material was used by the Authority - as in the present case - as the basis for the contested untruthfulness of the information provided by the party and, therefore, as the dies a quo to calculate the aforementioned ninety-day term41.</w:t>
      </w:r>
    </w:p>
    <w:p>
      <w:r>
        <w:t>49. In particular, according to Ryanair DAC, the 77 days that elapsed between the order of the Council of State No. 4535 of November 29, 2024, which granted the Authority access to the inspection documentation, and the initiation of the present proceeding, should be added to seventy-five or twenty-eight days (in the most favorable scenario) calculated from the date of the inspection (March 8, 2024, or rather, March 9, 2024, when the letter through which the CCPC transmitted the documents to the Authority was registered) and other procedural events42. Since, according to Ryanair DAC, the Authority would have maintained uninterruptedly in file A568 the material availability of the acquired documents from the inspection, without providing guarantees or objective evidence of having actually refrained from viewing and consulting such documentation, it could not benefit from a full suspension period of the computation of the term referred to in Article 14, paragraph 2, of Law No. 689/1981 from the day of the inspection to the aforementioned ruling of the Council of State. Ryanair DAC referred in support of this suspicion to the fact that the Authority had never even provided any explicit feedback to its requests to separate and isolate the inspection material in compliance with the decree of the TAR Lazio No. 2067/202443.</w:t>
      </w:r>
    </w:p>
    <w:p>
      <w:r>
        <w:t>50. Finally, Ryanair DAC emphasized the absolute reasonableness, in this case, of a ninety-day term to assess the timeliness of the contestation, not requiring the examination of a “quantitatively limited” amount of only one hundred and fifty-nine inspection documents acquired “a complex material and economic analysis”44.</w:t>
      </w:r>
    </w:p>
    <w:p>
      <w:r>
        <w:t>b) Other procedural issues</w:t>
      </w:r>
    </w:p>
    <w:p>
      <w:r>
        <w:t>51. In the Final Memorandum, Ryanair DAC also reiterated other procedural aspects already raised in the Observations.</w:t>
      </w:r>
    </w:p>
    <w:p>
      <w:r>
        <w:t>52. First of all, Ryanair DAC complained about the use of the documentation acquired during the inspections carried out by the CCPC in the context of the present proceeding to justify a posteriori the objective necessity of the inspections themselves (so-called fishing expedition).</w:t>
      </w:r>
    </w:p>
    <w:p>
      <w:r>
        <w:t>53. Furthermore, the Authority's failure to react to its response to RFI 245 would have generated in Ryanair DAC the legitimate reliance that it had provided responses deemed satisfactory by the Authority and in line with what was requested.</w:t>
      </w:r>
    </w:p>
    <w:p>
      <w:r>
        <w:t>54. Moreover, according to Ryanair DAC, RFI 2 would have been extremely broad and generic, such as to remove any legal certainty regarding the correct and objective decoding of the perimeter and content of what was requested, burdening the Company with the excessive responsibility of selecting the documents it deemed most responsive to the request of the Offices, with the risk - which then materialized - of not satisfying it. The “lack of clarity and excessive latitude” of RFI 2 would result from the expression of the same CRI according to which such request would have left Ryanair DAC “free to choose” how to respond to RFI 2. The Party would therefore have acted in good faith, choosing examples of documents that it considered closer to the traditional business plans requested by RFI 1 and then specified by RFI 2.</w:t>
      </w:r>
    </w:p>
    <w:p>
      <w:r>
        <w:t>55. At the same time, transmitting to the Authority thousands of documents that, according to the definition of business plan of “elastic and expansive scope” proposed by the Offices, could all have fallen within the exemplifications requested in RFI 2 would have been an evidently disproportionate burden for Ryanair DAC, in violation of Article 12, paragraph 2-bis, of Law No. 287/1990. In this regard, Ryanair DAC recalled that RFI 2 referred to “any internal conversation within the company” that could concern the Italian market and emphasized the evident heterogeneity of the content of the documents cited in the Provision, including both an analytical breakdown of the customer base and a note containing mere talking points for a press conference, emphasizing that this latter type of document would not have been maintained in the CRI46.</w:t>
      </w:r>
    </w:p>
    <w:p>
      <w:r>
        <w:t>56. Finally, Ryanair DAC complained that the allegation of having provided allegedly inaccurate, incomplete, or misleading information regarding the failure to prepare business plans for the 2021-2023 three-year period would concern information not relevant to the subject of the main proceeding. In fact, since the proceeding is aimed at contesting alleged obstacles created by the Ryanair Group - considered by the Authority to be in a dominant position in the upstream market of national passenger air transport to and from Italy - to the sale of its flights by OTAs and physical agencies, the failure to produce strategic planning documentation - which is not mandatory under Irish law - with forward-looking indications for future actions could have no relevance in a proceeding aimed at ascertaining present and past market conduct.</w:t>
      </w:r>
    </w:p>
    <w:p>
      <w:r>
        <w:t>57. In this regard, in the Final Memorandum, Ryanair DAC emphasized the erroneous reference to the ruling on the Ticketone case cited by the CRI to assert the violation of the duty of loyal cooperation of the company towards the Authority for having provided only public documentation, both because in that circumstance it concerned documentation not yet known to the Authority and because the ruling concerned “circumstances absolutely not comparable with the case under examination.” In that case, in fact, the Authority had requested “copies of specific and uniquely identified documents (i.e., copies of all agreements, including preliminary ones, entered into in the context of the acquisition of control” of a company), the existence of which the party had denied and which were then found during the inspection. In the present case, however, the documentation requested by the Authority was absolutely heterogeneous and difficult to identify precisely and with sufficient certainty for the company to have provided “adequate” information.</w:t>
      </w:r>
    </w:p>
    <w:p>
      <w:r>
        <w:t>58. According to Ryanair DAC, there would therefore be no censurable behavior in its decision to produce the documents identified and deemed “most responsive to the request of the Offices” (namely the Circular and the CMD Presentation). These documents, as stated by Ryanair DAC in the second response, would represent, alone and from an overall perspective, examples of what is most similar to a business plan: the Circular would concern an operation of high strategic value and absolute relevance for the carrier's activity, defined by the Euronext Dublin Listing Rule in force at the time as a “class 1” operation due to its extraordinary nature, which also required approval from the shareholders, based on “a precise framing of the role of the operation in the implementation of future development plans” provided by the Ryanair Group; the CMD Presentation would provide more detailed data starting from the Circular for the growth prospects of the Ryanair Group up to the financial year 203447.</w:t>
      </w:r>
    </w:p>
    <w:p>
      <w:r>
        <w:t>59. The contestation in question would therefore arise from a situation of high legal uncertainty that would expose the Party, regardless of its willingness to cooperate, to the risk of being held liable for not having provided adequate information.</w:t>
      </w:r>
    </w:p>
    <w:p>
      <w:r>
        <w:rPr>
          <w:b/>
        </w:rPr>
        <w:t>[Pages 91–93]</w:t>
      </w:r>
    </w:p>
    <w:p>
      <w:r>
        <w:t>BULLETIN NO. 32 OF AUGUST 18, 2025</w:t>
      </w:r>
    </w:p>
    <w:p>
      <w:r>
        <w:t xml:space="preserve">93. incur a violation solely for failing to produce a business plan according to the wishes and the sui generis definition adopted by the Authority48.  </w:t>
        <w:br/>
        <w:t xml:space="preserve">60. Ryanair DAC highlighted that according to administrative jurisprudence, no reproach can be made to a company when "in light of the concrete formulation of the questions, there are positive elements capable of generating in the company [...] the conviction of the lawfulness of its conduct"49. Conversely, any potential condemnation decision that the Authority might adopt in this case would violate the principle of legal certainty, which, according to the European Courts, must inform any act of the institutions50.  </w:t>
        <w:br/>
        <w:t xml:space="preserve">61. The Party also emphasized that it acted in good faith and with maximum cooperation, always providing what was requested51, so that no incentive or advantage could be configured to provide untruthful information or to follow a specific procedural strategy that was deliberately omissive. For these reasons, Ryanair DAC also contests the qualification of the subjective element of the violation that the CRI identifies as intentional or, at least, as gross negligence, in compliance with "a very precise choice of non-collaborative and misleading procedural strategy," believing that the Authority has not proven "the typical case of the offense," which would instead represent the necessary prerequisite for the offender to bear the burden of proving that they acted without fault52.  </w:t>
        <w:br/>
        <w:t xml:space="preserve">c) General substantive issues  </w:t>
        <w:br/>
        <w:t xml:space="preserve">62. Ryanair DAC also made some general substantive observations, before focusing on the critical issues related to each of the inspection documents used as the basis for the allegation.  </w:t>
        <w:br/>
        <w:t xml:space="preserve">63. Firstly, Ryanair DAC emphasized the truthfulness of its responses, as none of the documents it prepared would constitute a business plan according to the definition of a descriptive document and medium-term strategic planning (three to five years), as demonstrated by both the statement of a senior internal figure, namely the Affidavit of its Chief Commercial Officer (hereinafter, "CCO"), and the pro veritate opinion of a qualified external consultant - Full Professor of Business Economics - (hereinafter, respectively, also "Affidavit" and "Opinion") produced as an attachment to the Final Memorandum53.  </w:t>
        <w:br/>
        <w:t xml:space="preserve">48 According to Ryanair DAC, the very fact that the initiation order also contested the failure to produce document 177.161 of file A568, which the CRI did not use as evidence of the violation, would demonstrate the extreme subjectivity regarding the manner of complying with RFIs 1 and 2, see final memorandum, doc. 27.  </w:t>
        <w:br/>
        <w:t xml:space="preserve">49 See TAR Piemonte ruling of January 24, 2025, no. 211, which has become final.  </w:t>
        <w:br/>
        <w:t xml:space="preserve">50 Ryanair particularly refers to the judgments in cases C-279/95P, Langnese-Iglo/Commission, § 78 and the jurisprudence cited therein, as well as the judgment of the Court of the European Union, case T-302/11, HeidelbergCement/Commission, § 111.  </w:t>
        <w:br/>
        <w:t xml:space="preserve">51 In particular, "in the context of proceeding A568, initiated on 14.9.2023, and the precautionary sub-proceeding, the Company has responded to four requests for information and documentation (including two subject to this sub-proceeding A568B)," in addition to having honored three detailed RFIs in proceeding I863 - Air ticket prices to and from Sicily during the Christmas period closed without ascertaining any illicit conduct in 2023 and six RFIs and four requests for clarification/precisions within the IC56 - Pricing algorithms in passenger air transport on national routes to and from Sicily and Sardinia in the same year.  </w:t>
        <w:br/>
        <w:t xml:space="preserve">52 See Ryanair DAC's reply to § 86 of the CRI.  </w:t>
        <w:br/>
        <w:t xml:space="preserve">53 See doc. 27, which also contains a courtesy translation of the Affidavit. Already in the Observations, Ryanair DAC had referred to the notion of business plan offered by the Dictionary of Economics and Finance (Treccani, 2012), as "a document that defines objectives, strategies, processes, policies, and actions with a medium-term orientation [that is, with a time horizon typically of 3-5 years] and outlines the economic-financial implications thereof. It is used both for purposes related to business planning and for communication to potential financiers and/or investors. It typically consists of two fundamental parts, one predominantly descriptive, aimed at outlining the business model, and one purely numerical-accounting, aimed at verifying the economic-financial feasibility thereof," doc. 9.  </w:t>
        <w:br/>
        <w:t xml:space="preserve">54 In this context, a business plan is "composed of various documents that illustrate in detail the development prospects of various business areas, including: the investment plan, the economic plan, the balance sheet plan, and the financial plan. In particular, the business plan typically consists of: a descriptive part, which illustrates the business model, vision, target market, competition analysis, commercial strategy, operational plan, organizational structure, and human resources involved; a numerical-accounting part that verifies the economic-financial feasibility of the proposed strategies and quantifies their effects at the level of the balance sheet, income statement, and cash flow statement. Among the most common sections of a business plan are typically the following: executive summary (project summary), description of the company and the team, market and industry analysis, SWOT analysis (strengths, weaknesses, opportunities, threats), marketing strategy and operational plan, risk analysis and economic-financial plan," (emphasis added) as well as the so-called PEF, the economic-financial plan that allows a company to inform and guide internal and external decision-making processes to illustrate the project to third-party investors and demonstrate the soundness of the business subject of the PEF itself.  </w:t>
        <w:br/>
        <w:t xml:space="preserve">95  </w:t>
        <w:br/>
        <w:t xml:space="preserve">BULLETIN NO. 32 OF AUGUST 18, 2025  </w:t>
        <w:br/>
        <w:t xml:space="preserve">67. The Opinion then states that the business plan also includes the marketing plan, the operational plan, the investment plan, and market analyses (§ 2.2 of the Opinion). Finally, the Opinion concludes the response to the first question by emphasizing that there is no legal obligation to draft a business plan, which, however, represents a "fundamental reference for the company's administrative body, which uses it to monitor business performance, evaluate performance, and make strategic decisions," although in some "business segments [it is] common practice to operate without drafting a formalized strategic plan" (§ 3).  </w:t>
        <w:br/>
        <w:t xml:space="preserve">68. Moving on to the second question, the Opinion describes Ryanair's business model highlighting its flexibility, rapid response, cost focus, the "load factor active, yield passive" approach, which prioritizes filling aircraft over revenue on individual fares, and the network-level approach (with Ryanair holding over 5% market share in more than thirty markets compared to two other airlines that exceed it in fewer than ten national markets). The Opinion concludes that a business model with such characteristics "by definition cannot be programmed in advance and therefore formalized in a multi-year strategic plan. In fact, drafting a business plan for Ryanair [...] would be inefficient and [...] even counterproductive," as is customary in the low-cost sector in Europe (p. 23).  </w:t>
        <w:br/>
        <w:t xml:space="preserve">69. On these premises, the Opinion concludes that "Ryanair does not prepare medium to long-term programmatic documents that meet the notion of a business plan" and, in response to the third question, states that none of the documents used in the CRI can be qualified - either formally or substantively - as a business plan (p. 24).  </w:t>
        <w:br/>
        <w:t xml:space="preserve">70. The very outcome of the inspections, in which no business plan was found, despite thorough verification at numerous computer stations, including those of senior figures using this specific keyword, would prove the truthfulness of the responses provided.  </w:t>
        <w:br/>
        <w:t xml:space="preserve">d) Specific substantive issues regarding individual CRI documents  </w:t>
        <w:br/>
        <w:t xml:space="preserve">71. Ryanair DAC has therefore raised critical observations regarding the individual documents mentioned in the Provision and specified in the CRI, emphasizing the following:  </w:t>
        <w:br/>
        <w:t xml:space="preserve">a) the Working capital memorandum (docs. 177.219 and 177.220 of file A568) would not concern the Company's future activities in the Italian market in 2021-2023, not even in part, providing only some historical market data (for example, the market shares also in Italy indicated in Section 5), but would constitute financial reporting documents, prepared by the competent department to inform the board of directors of Ryanair Holdings plc of the company's financial situation suitable to support the purchase of Boeing aircraft, prepared to accompany the Circular and do not contain any data on the Company's future activities. Such documents would not have been transmitted to the Offices because they would not constitute either a business plan or strategic planning documents related to the execution of Ryanair's commercial and competitive strategy in Italy, "different" from the documents already transmitted to the Offices, nor would they contain - contrary to what the Authority claimed - "sections of a business plan";  </w:t>
        <w:br/>
        <w:t>55 According to this definition, a business plan contains a "detailed description of the business activities that the airline intends to carry out during the period in question, particularly regarding the expected market development and the investments to be made, including the economic and financial implications of such activities."</w:t>
      </w:r>
    </w:p>
    <w:p>
      <w:r>
        <w:rPr>
          <w:b/>
        </w:rPr>
        <w:t>[Pages 94–96]</w:t>
      </w:r>
    </w:p>
    <w:p>
      <w:r>
        <w:t>96 BULLETIN NO. 32 OF AUGUST 18, 2025</w:t>
      </w:r>
    </w:p>
    <w:p>
      <w:r>
        <w:t>The Opinion (p. 25) highlights that “on a substantial level, both extracts under examination report short to medium-term projections on volumes, revenues, costs, margins, and cash flow, but do not include a complete descriptive and strategic part, nor an integrated view of business development as required by a business plan” and the reference to the term business plan and to the international standards for drafting a business plan in the section “10. Accounting policy” would be “improper” or “irrelevant”;</w:t>
      </w:r>
    </w:p>
    <w:p>
      <w:r>
        <w:t>b) the two budget excel files (entitled “FY25 BUDGET” and “Budget FY25 - Provisional - Finance Copy - Revised Jan. 24”, respectively docs. 177.159 and 177.181 of file A568) would be outside the temporal scope of the Offices' request (from 2021 to 2023), as the creation date of the respective excel files (which actually occurred during 2023) should not be confused with the date of “realization” of the documents, which occurred at later times, so much so that the excel files in question would have been attached to emails exchanged internally on February 22, 2024, and January 8, 2024, respectively, thus after the deadline for responding to RFI 2 and the 2021-2023 period subject to the RFIs. The attempt, according to Ryanair DAC, by the CRI to backdate the moment of drafting the files in question would be instrumental, as the table tracking aircraft deliveries up to February 2023 would have been retained by mistake by the employee, would still be irrelevant to the forecasts for 2025, and would concern data that at the time of the two requests for information were “in a non-consolidated and indeed embryonic state” (doc. 177.159). In particular, docs. 177.159 and 177.181 would constitute budget documents of Ryanair DAC and Ryanair UK for the sole financial year 2025 (and not for subsequent years) and would only serve to supplement the ten-year plan developed in 2023 in consideration of the order of Boeing aircraft. They would therefore describe future financial performance, based on the 2023 decision to significantly increase Ryanair's fleet for the entire network, and would only make projections on seats, number of passengers, ancillary revenues, and fares for 2025; they would not contain, therefore, business or industrial plans for the Italian market or for the Ryanair group as a whole;</w:t>
      </w:r>
    </w:p>
    <w:p>
      <w:r>
        <w:t>c) regarding the excel file contained in doc. 177.181, Ryanair DAC emphasized that it would consist of actual data for FY24 and forecasts for FY25, thus subsequent to the requested period;</w:t>
      </w:r>
    </w:p>
    <w:p>
      <w:r>
        <w:t>d) the document “File CB/105607 of 18.2.2022”, containing a comparison with the performance of a competitor in Italy in 2022 (doc. 177.197 of file A568) would appear to consist of several different documents, partly referring to periods subsequent to RFI 1 and RFI 2: in particular, only four pages would contain a note from the Group CEO of February 2022 to the Board of Directors of Ryanair, which includes an analysis of Ryanair's activities and those of a competitor on Italian routes, prepared by a member of the Company's commercial team. According to Ryanair, these would be “common documents of current commercial performance provided to the Board of Directors by the Group's CEO”, similar to the updates on individual countries that are routinely provided in all financial results presentations available on the Company's website56, in a manner consistent with the CMD Presentation already provided and which would be much more aligned with what was requested than individual excel files;</w:t>
      </w:r>
    </w:p>
    <w:p>
      <w:r>
        <w:t>56 Ryanair cites, as an example, the publication of results for the entire year 2022, subsequent to the note of February 2022, (https://investor.ryanair.com/wp-content/uploads/2022/05/FY22-Ryanair-Powerpoint.pdf), “which show the</w:t>
      </w:r>
    </w:p>
    <w:p>
      <w:r>
        <w:t>BULLETIN NO. 32 OF AUGUST 18, 2025 97</w:t>
      </w:r>
    </w:p>
    <w:p>
      <w:r>
        <w:t>e) the Presentation “Customer Base Breakdown” (doc. 177.67 of file A568) would have no relation to the planning or business strategy related to the Italian routes, the aircraft assigned, or the airports in which the Company operates in Italy, but would represent the actual passengers transported, who may be more numerous than those Ryanair acquires contact for at the booking stage, as well as marketing campaigns aimed at a further subset of customers, namely those actually transported who have provided the appropriate consent; only one slide of the document would refer to the Group's main [omitted] markets (which obviously include Italy) with a historical metric of the number of customers (as defined above) for the financial years 2022-2024.</w:t>
      </w:r>
    </w:p>
    <w:p>
      <w:r>
        <w:t>72. The Opinion highlights that the contested documents would lack any qualitative-quantitative information of a predictive nature that could be abstractly traced back to the traditional notion of a business plan (pp. 25 and 26) and concludes (pp. 27-28) that “all the documents under examination are instrumental solely to Ryanair's internal planning activities and not to the communication of the related contents to the Company's stakeholders (a purpose that typically characterizes the business plans of companies)” and that, therefore, “it does not appear founded, from a technical-business perspective, to frame the latter as elements abstractly referable to the notion of ‘Business plans relating to Italy prepared by the Ryanair group in the period 2021-2023’” as per the information request made by the Authority during 2023.” On the contrary, the Circular and the CMD Presentation, provided in response to RFI 2, would present all the typical characteristics of a business plan as defined above.</w:t>
      </w:r>
    </w:p>
    <w:p>
      <w:r>
        <w:t>V. EVALUATIONS</w:t>
      </w:r>
    </w:p>
    <w:p>
      <w:r>
        <w:t>a) Premise</w:t>
      </w:r>
    </w:p>
    <w:p>
      <w:r>
        <w:t>73. It is preliminarily noted that the information requests of October 31, 2023, and December 14, 2023, to which Ryanair DAC responded, respectively on December 11 and 19, 2023, were aimed at acquiring useful elements for the investigation A568 initiated against it by the Authority, pursuant to Article 14, paragraph 1, of Law No. 287/1990.</w:t>
      </w:r>
    </w:p>
    <w:p>
      <w:r>
        <w:t>74. In light of the defenses overall formulated by Ryanair DAC during this proceeding and the documents on file, the allegations subject to the Initiatory Provision of this proceeding, promptly notified, and specified in the CRI regarding the conduct carried out by Ryanair DAC in violation of Article 14, paragraph 5, letter d), of Law No. 287/1990, are confirmed, with the exception of doc. 177.181 which cannot be taken into account for the purposes of this allegation, as it is not possible to attribute its preparation with certainty to the period requested in the RFIs, and of doc. 177.197, of which the prospective or programming nature does not emerge with sufficient certainty.</w:t>
      </w:r>
    </w:p>
    <w:p>
      <w:r>
        <w:t>75. In fact, based on some inspection documents to which the Authority had access and which it could only examine starting from the order of the Council of State of November 29, 2024, No. 4535, it was ascertained that Ryanair DAC failed to provide the requested internal documentation with the two information requests of October 31 and December 14, 2023 (RFI 1 and RFI 2), formulated pursuant to Article 14, paragraph 2, of Law No. 287/1990 and Article 9 of Presidential Decree No. 217/1998, and, consequently, provided inaccurate, incomplete, or misleading information regarding the methods of drafting the internal strategic documentation.</w:t>
      </w:r>
    </w:p>
    <w:p>
      <w:r>
        <w:t>76. In particular, in response to the request to provide documents consisting of business plans (RFI 1) and “business plans or documents of strategic planning however named” (RFI 2), Ryanair failed to transmit the internal documentation falling within that definition. Furthermore, far from maintaining a collaborative attitude, it described a misleading business context that is contradicted by internal documents, stating that its decision-making processes are informal and undocumented, thereby evading the obligation to provide information during the investigative procedure. In its responses, in fact, Ryanair DAC described a framework according to which it does not prepare business plans, neither at the European network level nor at the individual country level, and management makes decisions “related to business planning [...] continuously and dynamically, without being formally documented.” In its defenses, subsequently, Ryanair DAC further specified its responses, referring only to the failure to produce “traditional” business plans, in the common business sense of detailed documents on medium to long-term business planning.</w:t>
      </w:r>
    </w:p>
    <w:p>
      <w:r>
        <w:t>77. However, in a significantly different manner from what was stated, evidence has been acquired in inspection, as will be seen later, of a completely different modus operandi, consisting of the production of the requested documentation, as well as an internal informational document flow, far from the informal nature of decision-making declared in the A568 proceeding and in this proceeding by Ryanair DAC itself. The internal decision-making process that emerges from the inspection documents does not align with what Ryanair DAC stated in its responses to the Authority's information requests, but rather with the content of the Meeting section of its financial statements. In these sections, Ryanair highlights the existence and importance of the preparation of detailed documents shared in advance with the Board, whose decision is necessary on many matters (“Detailed Board Papers” as “many matters require Board approval”) to ensure informed and sound management of the Group, demonstrating that there is shared internal strategic documentation necessary to ensure the best operational management.</w:t>
      </w:r>
    </w:p>
    <w:p>
      <w:r>
        <w:t>78. In this regard, the two new documents prepared by Ryanair DAC - the Affidavit drafted by a senior internal figure (the Commercial Manager) and the Opinion of an external consultant - far from refuting the conclusions of the CRI, provide clear confirmations to the allegations made at the outset. The Affidavit explicitly acknowledges that there is strategic and operational planning, only calibrated to the business model of Ryanair DAC, that is, with a shorter term than that of a traditional business plan and normally set at the network level on a European scale (which includes the Italian market). The Opinion of the external consultant, bound by the questions posed by Ryanair DAC, excludes that the inspection documents mentioned in the CRI correspond to a traditional business plan, solely because they are less complete, less detailed, and/or of shorter time horizon compared to a traditional business plan. However, this Opinion recognizes the “substantial” nature of strategic planning and/or forecasting documents requested (as better detailed in “RFI 2”). Furthermore, the Opinion appears irrelevant, as it is irreparably flawed by the questions posed by Ryanair DAC, which asked the consultant to assess the compliance of such documents with an abstract notion,</w:t>
      </w:r>
    </w:p>
    <w:p>
      <w:r>
        <w:rPr>
          <w:b/>
        </w:rPr>
        <w:t>[Pages 97–99]</w:t>
      </w:r>
    </w:p>
    <w:p>
      <w:r>
        <w:t>BULLETIN NO. 32 OF AUGUST 18, 2025 99</w:t>
      </w:r>
    </w:p>
    <w:p>
      <w:r>
        <w:t>manual and static traditional business plan, while it should have evaluated their compliance with what was concretely requested by the Authority, particularly as detailed in RFI 2.</w:t>
      </w:r>
    </w:p>
    <w:p>
      <w:r>
        <w:t>79. In fact, a picture has emerged in which there are internal documents - all certainly "elaborated" in the period 2021-2023 that contain projections even for years following these and elaborated at the network level and/or with a partial focus on the Italian market - which, adapted to Ryanair's dynamic business model, fully fall within the definition of business plan or in any case of "strategic planning documentation."</w:t>
      </w:r>
    </w:p>
    <w:p>
      <w:r>
        <w:t>80. The most emblematic case concerns the so-called "Working Capital Memorandum" (docs. 177.219 and 177.220). In fact:</w:t>
        <w:br/>
        <w:t>1. regarding the drafting period, the Memorandum was indisputably prepared in the summer of 2023;</w:t>
        <w:br/>
        <w:t>2. the Memorandum expressly presents itself as a "business plan," the wording of which is even found in the title of several sections of the same (namely the section "1.7 Summary Commentary on the Business Plan" and "10 Accounting Policies Underlying the Business Plan"). Furthermore, the Memorandum specifies the international standards followed for its drafting and mentions the existence of long-term planning, typical of a strategic planning document, even "traditional."</w:t>
        <w:br/>
        <w:t>3. the Memorandum indeed presents strategic planning, with forecasts for the two subsequent fiscal years (FY24 - April 1, 2023/March 31, 2024 and FY25 - April 1, 2024/March 31, 2025), representing precisely those business plans that Ryanair DAC has categorically denied preparing habitually;</w:t>
        <w:br/>
        <w:t>4. the strategic planning is also carried out with a scenario analysis typical of a business plan (risk analysis - "Key Risks"; the analysis of four scenarios - A, B, C, D - comparable to the SWOT analysis - Strengths Weaknesses, Opportunities; growth objectives; analysis of the reference market - "Competition in the European Airline industry," etc.);</w:t>
        <w:br/>
        <w:t>5. there is an analysis of the market context, where market shares in Italy are also reported (see doc. 177.219, p. 19), from which Ryanair's positioning in 2023 as the leading operator compared to competing carriers emerges.</w:t>
      </w:r>
    </w:p>
    <w:p>
      <w:r>
        <w:t>81. It is therefore clear that these documents fall within the scope of RFI 1, also as better specified regarding their denomination and content in RFI 2. In particular, they are documents consisting of "business plans or strategic planning documents" created in the period of interest, also with reference to Italy, keeping in mind that RFI2 requested documents that concerned "even partially" Italy. This document would already be sufficient to demonstrate that Ryanair DAC failed to provide the requested documentation that was actually in its possession.</w:t>
      </w:r>
    </w:p>
    <w:p>
      <w:r>
        <w:t>82. However, there are also other inspection documents in the file, for which it can be established with certainty that they were "elaborated in the period 2021-2023" and that fully meet what was requested by the Authority, being strategic planning documents, such as the Excel file containing budget forecasts on the rates applied by OTAs (doc. 177.159)57, and the presentation on future marketing campaigns (doc. 177.67). This documentation demonstrates that Ryanair DAC's statements regarding the informal and undocumented nature of the decision-making process do not correspond to the business reality and have provided a misleading picture of the business context of the leading airline in Europe, allowing Ryanair DAC to avoid producing the requested documentation with RFI 1 and RFI 2 on the competitive context of the reference market and on sales through OTAs.</w:t>
      </w:r>
    </w:p>
    <w:p>
      <w:r>
        <w:t>83. The set of these documents, therefore, fully falls within the notion of business plan or in any case of strategic planning documentation as defined by the Authority, particularly in RFI 2, a notion that is indeed broad, but neither indeterminate nor generic, as the examples provided therein regarding the form, denomination, and content of the requested written documents clearly indicated to Ryanair DAC the criteria to follow to identify the written documents to be produced.</w:t>
      </w:r>
    </w:p>
    <w:p>
      <w:r>
        <w:t>84. Therefore, several documents obtained in copy during the inspection prove that Ryanair DAC was in possession of data and documents corresponding to what was requested and/or specified by the Authority. Nevertheless, it has repeatedly stated that it does not prepare documents of such type and nature, without even representing that they were in the process of being elaborated and not yet final, but rather reiterating that it constantly makes decisions without the support of certain and shared internal data ("Ryanair is a dynamic and rapidly evolving carrier [...]. It would be very complex to prepare such documents, considering the scope and the continuously evolving nature of the carrier's operations"58).</w:t>
      </w:r>
    </w:p>
    <w:p>
      <w:r>
        <w:t>85. It therefore emerges an omission in the transmission of the requested documentation, accompanied by the provision of an inaccurate informational framework regarding the company's document management in order to avoid the production of the requested documents. In this way, Ryanair DAC has evaded the obligation to provide "information useful for the investigation" and functional to defining the competitive context in which the conduct of the Party subject to the main proceeding is situated, hindering the Authority's verification activity regarding this investigative hypothesis that was just initiated and is still ongoing.</w:t>
      </w:r>
    </w:p>
    <w:p>
      <w:r>
        <w:t>86. Before addressing the merits, it is necessary to clear the field of the procedural exceptions raised by Ryanair DAC in its defenses.</w:t>
      </w:r>
    </w:p>
    <w:p>
      <w:r>
        <w:t>b) Procedural issues: the alleged lateness of the initiation</w:t>
      </w:r>
    </w:p>
    <w:p>
      <w:r>
        <w:t>87. Ryanair DAC has raised in the Final Memorandum - dedicating a substantial part of its defense thesis59 - the lateness of the initiation of the present proceeding, which occurred one hundred fifty-two days (or one hundred five days in the most favorable hypothesis for the Authority) from the inspection of March 8, 2024, in any case well beyond the ninety days provided for by Article 14, paragraph 2, of Law No. 689/1981 to contest an infringement, thus fundamentally vitiating the present sanctioning proceeding.</w:t>
      </w:r>
    </w:p>
    <w:p>
      <w:r>
        <w:t>57 As emerges from the factual description, doc. 177.181 can be read both as having elaborated forecasts for a subsequent period since December 2023, and, in the absence of formal elements similar to those found for doc. 177.159, as a document entirely elaborated in 2024 with forecasts for 2025 and, therefore, it does not contribute to supporting the present contestation.</w:t>
      </w:r>
    </w:p>
    <w:p>
      <w:r>
        <w:t>58 See doc. 130 of file A568, acquired as an attachment to doc. 13 of file A568B.</w:t>
      </w:r>
    </w:p>
    <w:p>
      <w:r>
        <w:t>59 See doc. 27 and the minutes of the final hearing before the College, doc. 33, annexes 2-3.</w:t>
      </w:r>
    </w:p>
    <w:p>
      <w:r>
        <w:t>BULLETIN NO. 32 OF AUGUST 18, 2025 101</w:t>
      </w:r>
    </w:p>
    <w:p>
      <w:r>
        <w:t>88. This profile, raised by the Party only in the Final Memorandum, presents itself as a mere attempt to overturn the present proceeding, backdating as much as possible the starting date to calculate the term of the contestation.</w:t>
      </w:r>
    </w:p>
    <w:p>
      <w:r>
        <w:t>89. It is noted in this regard that Ryanair DAC's defense thesis clashes, primarily, with the textual data of Article 14 of Law No. 689/1981, according to which the starting date of the contestation can never coincide with the day of mere acquisition of information, even following inspections, but "from the ascertainment" of the infringement, as it is necessary to view, classify, and evaluate both the individual document and to carry out an overall reading of the material obtained in copy, which requires additional time compared to mere receipt of it.</w:t>
      </w:r>
    </w:p>
    <w:p>
      <w:r>
        <w:t>90. Notwithstanding the above, Ryanair DAC's reconstruction regarding the lateness is in any case devoid of any foundation, as the Authority did not access the inspection documentation until November 29, 2024. In fact, it is clear - as it results from the extremely serious and urgent reasons put forward by Ryanair itself in the application for a monocratic decree - that Ryanair DAC was fully aware and confident that the Authority (whose officials, moreover, hold the qualification of public officials) would respect the commitment not to access/view the inspection documents, which it had taken, without interruption, first towards the CCPC immediately after the inspections and then towards the Irish High Court in the litigation initiated there by Ryanair, until May 21, 2024, the date awaited for the High Court's ruling on jurisdiction. Only when Ryanair deemed the risk of this accessing the inspection documentation "imminent," did it file the application for a monocratic decree on May 21, 2024, the date on which the ruling of the High Court was actually adopted and communicated to the parties. The timing of this application thus demonstrates, contrary to what Ryanair DAC has claimed, the Authority's compliance with the commitment not to access the documents60. This is also confirmed by the reading of the index of the main case file A568, which Ryanair accessed on August 1, 2024, in which it appears that the inspection documents "filed in the case on May 21, 2024 - are indicated separately, from May 22, 2024 not usable/viewable see Decree No. 2607/2024 of May 22, 2024."</w:t>
      </w:r>
    </w:p>
    <w:p>
      <w:r>
        <w:t>Figure 6 – extract from the index of file A568 for access on August 1, 2024</w:t>
      </w:r>
    </w:p>
    <w:p>
      <w:r>
        <w:t>91. Finally, it must be considered that the present case is not at all comparable - as Ryanair DAC would like - with that examined by the Council of State with judgments No. 1159 and No. 1160/2024 relating to case A523B (Ticketone), both because this proceeding did not involve the acquisition of over 150 internal documents of a complex nature and rich in data, and because of the absence, in that case, of an administrative dispute which, on the other hand, in the present case, had the effect of preventing the Authority from examining and accessing the documents acquired during the inspection for a considerable period of time (six months), a dispute only resolved by the aforementioned</w:t>
      </w:r>
    </w:p>
    <w:p>
      <w:r>
        <w:t>60 Also the letters from Ryanair that the Authority would not have responded to are subsequent to this date and do not undermine this consideration.</w:t>
      </w:r>
    </w:p>
    <w:p>
      <w:r>
        <w:rPr>
          <w:b/>
        </w:rPr>
        <w:t>[Pages 100–102]</w:t>
      </w:r>
    </w:p>
    <w:p>
      <w:r>
        <w:t>102 BULLETIN NO. 32 OF AUGUST 18, 2025</w:t>
      </w:r>
    </w:p>
    <w:p>
      <w:r>
        <w:t>ordinance of the Council of State no. 4535/2024. Consequently, in this case, the dies a quo cannot start from the day of the inspection, since access to the documentation itself did not occur before November 29, 2024.</w:t>
      </w:r>
    </w:p>
    <w:p>
      <w:r>
        <w:t>92. Therefore, from the entirety of the above, the initiation of this proceeding can only be considered, in fact and in law, absolutely timely.</w:t>
      </w:r>
    </w:p>
    <w:p>
      <w:r>
        <w:t>c) Other procedural issues</w:t>
      </w:r>
    </w:p>
    <w:p>
      <w:r>
        <w:t>93. Ryanair DAC has also raised other procedural exceptions, consisting, in particular, of criticisms related to legitimate reliance on the timely fulfillment of the Authority's requests, the alleged excessive breadth of the RFIs, and their relevance to the main proceeding61.</w:t>
      </w:r>
    </w:p>
    <w:p>
      <w:r>
        <w:t>94. More precisely, Ryanair DAC has renewed the criticism of an alleged violation of its legitimate reliance, as the Authority did not respond to its second reply - as it did not respond to a completely analogous reply provided in another proceeding (case I863) - leading it to believe that it had complied with the request. In this regard, it is sufficient to note that, although the responses provided by Ryanair DAC may have been peculiar, the Authority did not have elements at the time to formulate a contestation pursuant to Law No. 689/1981, which requires a "verification" and not merely the formulation of a hypothetical investigative assumption to be verified during the investigative procedure. Only the examination and analysis of the inspection documentation acquired - which represents internal documentation not prepared ad hoc for the Authority - allowed for the verification of the untruthfulness and incompleteness of the responses provided by the Party and to ascertain that, in reality, the requested documents existed and were in its possession. Essentially, without contrary evidence, necessarily of an internal nature, it was not possible to contest the failure to transmit information.</w:t>
      </w:r>
    </w:p>
    <w:p>
      <w:r>
        <w:t>95. In any case, Ryanair DAC cannot invoke the protection of its alleged legitimate reliance, having received no positive assurance from the Authority, an element that the now established case law considers essential to grant specific protection to this profile62. This is irrespective of the evaluation of the responses provided by the Party in another proceeding, which presents completely different facts and assumptions from those of the main proceeding and in which the Party also did not receive any positive evaluations expressed by the Authority.</w:t>
      </w:r>
    </w:p>
    <w:p>
      <w:r>
        <w:t>96. The objection regarding the alleged excessive breadth and lack of clarity of RFI 2, which would have shifted the burden onto the Party to identify documents corresponding to the questionable definition of the Offices and to select them from the "tens of thousands" of documents potentially falling within the RFIs, outside of any standard of reasonableness and proportionality of the request, is also unfounded.</w:t>
      </w:r>
    </w:p>
    <w:p>
      <w:r>
        <w:t>61 Regarding the criticism of the so-called fishing expedition, which Ryanair DAC insists on reiterating, believing that the initiation of this proceeding would simply aim to justify a posteriori the objective necessity of the inspections, it is sufficient to highlight its absolute inconsistency, both because it is based on mere assumptions and because the reasons underlying the request for assistance to the CCPC are contained in the template attached to the request itself, which the Lazio TAR ruling no. 8103/2025 declared should be excluded from the Party's access. Therefore, the argument proposed by it cannot serve to evade the principle established in that ruling by attempting to obtain details in this regard.</w:t>
      </w:r>
    </w:p>
    <w:p>
      <w:r>
        <w:t>62 See the rulings of the Lazio TAR no. 6080/2018, confirmed by the Council of State with ruling no. 6806/2023, as well as, among others, the ruling of the Court of Justice of the European Union of September 26, 2024, case C-255/22P, § 68.</w:t>
      </w:r>
    </w:p>
    <w:p>
      <w:r>
        <w:t>BULLETIN NO. 32 OF AUGUST 18, 2025 103</w:t>
      </w:r>
    </w:p>
    <w:p>
      <w:r>
        <w:t>97. Firstly, it is evident that this argument translates, in reality, into an implicit admission of the fact that Ryanair DAC provided misleading information regarding the dynamics of producing internal documentation. In fact, while Ryanair DAC declared to the Authority that it did not produce any internal strategic and operational planning documents for its business, choosing to produce only two public documents (the Circular and the CMD Presentation) and to make decisions "on the spot," it itself for its current defenses claims that there were numerous documents that fell within the definition of RFI 2, a circumstance that is also confirmed by some passages of the Affidavit and the Opinion, as will be seen better later. This demonstrates the presence of a behavior by Ryanair DAC that is absolutely uncooperative, which allowed it to illegitimately evade the burden of responding to information requests.</w:t>
      </w:r>
    </w:p>
    <w:p>
      <w:r>
        <w:t>98. In any case, during RFI 1 and RFI 2, Ryanair DAC did not make any considerations regarding the excessive breadth of the information requests in either of the two responses provided nor did it express doubts or seek clarifications regarding the scope and/or meaning to be attributed to the information requests. No objection was raised in this regard even during the request for an extension of the deadline to respond to RFI 1, in which Ryanair DAC only expressed internal operational needs63. Nor, finally, has the Party ever contested the indeterminacy, lack of proportionality, and/or relevance of what was requested concerning the subject of the main proceeding, limiting itself to directing its procedural conduct towards asserting and reiterating - even in the Observations, in the Final Memorandum, and in the hearing before the College - that it did not prepare business plans or any strategic planning documentation. Essentially, it is demonstrated that, far from having a collaborative attitude, Ryanair DAC exclusively declared that it had a fluid and unformalized decision-making process, a misleading declaration that had the effect of exempting the company from the obligation to respond regarding documents useful for defining the relevant market, the dominant position, and the context of reference.</w:t>
      </w:r>
    </w:p>
    <w:p>
      <w:r>
        <w:t>99. On the other hand, the purpose of the investigative requests (such as RFIs 1 and 2) sent pursuant to Article 14, paragraph 2, of Law No. 287/1990 is not exhausted in the mere acquisition of a document that the Authority can identify ex ante, but consists in acquiring evidentiary elements "useful for the investigation" that cannot be independently acquired by the Authority, identifying their content, subject, and other elements useful for the selection by the company receiving the request for information. That said, the obligation to provide truthful information arising from this provision includes all information and data in the possession of the recipients of a request for information that fall within the scope of the Authority's investigation. Therefore, if the party merely denies possessing the requested documentation, it does not provide "timely responses to the collaboration obligations imposed on economic operators"64. Given the breadth of the information processed by Ryanair DAC on a systematic basis that emerges from the above-mentioned documents ("Memorandum for the period [2023, n.d.r.] to 2025" of docs. 177.219 and 177.220, projected revenues in the budget file of doc. 177.159 and marketing forecasts of doc. 177.67), as well as the opportunity offered to the Party in RFI 2 to provide information useful for the investigative activity, leaving it in this sense "free to choose" how to proceed, according to the criteria provided by the Authority in RFI 2 (studies, slides, reports, minutes, emails, etc. prepared in each of the years 2021, 2022, and 2023), Ryanair DAC should have nonetheless provided a constructive response regarding its positioning and strategies, rather than merely denying having such information and producing only the two public documents, which are nonetheless partial and not at all coinciding with the internal documentation requested and obtained in inspection. The Circular and the CMD Presentation were, in fact, both prepared in only one of the three years requested by the Authority, which was, instead, clearly interested in each year of the three-year period 2021-2023, and concern only "external" operations intended for the approval of shareholders and investors, omitting all the abundant internal strategic documentation for the management of the business. In other words, the documentation acquired in copy during the inspection clearly demonstrates that the Party was in a position to respond exhaustively to the Authority's documentary and informational requests.</w:t>
      </w:r>
    </w:p>
    <w:p>
      <w:r>
        <w:t>100. Nor can the thesis of Ryanair DAC be shared, according to which a violation of the duty of collaboration imposed on economic operators could only be configured in the presence of requests for information of a specific and limited nature (as in the case evaluated by the ruling of the Council of State no. 1159/2024), a character that the Party believes is completely lacking in the present case, based on the erroneous assumption of the generality and indeterminacy of the Authority's requests.</w:t>
      </w:r>
    </w:p>
    <w:p>
      <w:r>
        <w:t>101. Regardless of the literal data of Article 14, paragraph 5, letter d), of Law No. 287/1990, which speaks generically of "information useful for the investigation," as long as requested within a reasonable time and "proportionate," without imposing precise constraints on their concrete declination, it is necessary to consider the rationale of the norm in question. In this regard, the Council of State has highlighted that the purpose of investigative requests is to contribute to the search for evidentiary elements that confirm or refute the Authority's hypothesis, which are "functional to the purpose of the request for verification, and therefore 'useful for the investigation'" (Article 14, paragraph 2, of Law No. 287/1990)65.</w:t>
      </w:r>
    </w:p>
    <w:p>
      <w:r>
        <w:t>102. What matters in the ruling under examination to evaluate whether the party acted according to the standards of ordinary diligence and good faith is therefore a substantial evaluation and not merely formal. The demarcation line thus drawn negatively qualifies the procedural conduct of Ryanair DAC, which has always maintained, instead, a merely formal approach, which - far from verifying the nature of the documents as business plans or documents of strategic planning however named, as requested by the two RFIs - limited itself to providing, ex post, alternative definitions of "traditional" business plans that ignore what was actually requested in RFIs 1 and 2. Moreover, even applying such a formal approach, one cannot help but notice that one of the documents explicitly refers to the "business plan" in several places.</w:t>
      </w:r>
    </w:p>
    <w:p>
      <w:r>
        <w:t>103. Nor, moreover, can the quantity of documentation potentially falling within that specified in RFI 2 ("tens of thousands") constitute in itself a justified reason for deciding not to respond.</w:t>
      </w:r>
    </w:p>
    <w:p>
      <w:r>
        <w:rPr>
          <w:b/>
        </w:rPr>
        <w:t>[Pages 103–105]</w:t>
      </w:r>
    </w:p>
    <w:p>
      <w:r>
        <w:t>BULLETIN NO. 32 OF AUGUST 18, 2025</w:t>
      </w:r>
    </w:p>
    <w:p>
      <w:r>
        <w:t>105. produce anything, as is often the case, the Party could have consulted the Offices and agreed on a solution suitable for reducing the alleged excessive, disproportionate workload, without completely eliminating the documentary response.</w:t>
      </w:r>
    </w:p>
    <w:p>
      <w:r>
        <w:t>104. Finally, Ryanair DAC reiterated the alleged irrelevance of the inspection documentation used by the CRI to support the allegation for the purpose of proving the hypothesized violation in the main investigation. In reality, it is necessary to consider the rationale of Article 14, paragraph 5, letter d), of Law No. 287/1990, aimed at ensuring the truthfulness, completeness, and correctness of the information provided to the Authority within the context of an investigation relating to agreements or abuse. Truthfulness, completeness, and correctness of information are indeed essential to allow the Authority to ascertain any violation effectively, regardless of the potential relevance of such information for the final decision that is made at a later stage based on other evidentiary elements acquired in the meantime. Obviously, the case law requires that, as in this case, the requested information falls within the scope of the Authority's investigation, clearly formalized in the initiation order66.</w:t>
      </w:r>
    </w:p>
    <w:p>
      <w:r>
        <w:t>d) General substantive issues: the absence of business plans</w:t>
      </w:r>
    </w:p>
    <w:p>
      <w:r>
        <w:t>105. As for the thesis put forward by Ryanair DAC during this proceeding that it provided what it actually deemed most in line with the definition of business plan according to common business terminology - in the Observations borrowed from the Treccani Dictionary of Economics and Finance (2012), in the Opinion borrowed from the Borsa Italiana website and from Regulation No. 1008/2008 (Article 2, § 12) - the following observations are made.</w:t>
      </w:r>
    </w:p>
    <w:p>
      <w:r>
        <w:t>106. Firstly, it should be noted that this thesis is without merit, insofar as, as stated, it is Ryanair DAC itself that uses the term business plan in some documents (see Figure 1 above) and even speaks of long-term planning (the Memoranda referred to in docs. 177.219 and 177.220). With respect to this terminology, moreover, Ryanair DAC has limited itself to opposing simple assertions - certainly not decisive - claiming that it is merely the use of terms "improperly" or that the reference to certain international standards for drafting a business plan is "irrelevant."</w:t>
      </w:r>
    </w:p>
    <w:p>
      <w:r>
        <w:t>107. Furthermore, it should be considered that RFI 1 requested the production of copies of business plans in order to acquire strategic documents and internal reporting normally prepared by companies, and that RFI 2, precisely to clear up any potential misunderstanding by Ryanair DAC regarding the scope of the document request also due to possible terminological differences between different legal systems, intended, on the one hand, to request "business plans or documents of strategic planning however named and in any form prepared" and, on the other hand, to provide an exemplary, detailed, and substantive classification of the documentation deemed useful for the investigation. In particular, the nature of the information provided was emphasized regardless of the form (provided that it was a written document, however named and formatted, and not, therefore, mere "conversations" as erroneously indicated by the Party), containing elements of strategic planning regarding future business developments, commercial, financial, and/or operational data, and possibly also organizational, etc., to be used strategically to guide the company.</w:t>
      </w:r>
    </w:p>
    <w:p>
      <w:r>
        <w:t>108. Therefore, in light of clear and unequivocal indications particularly in RFI 2, the references by Ryanair DAC to the definition from Treccani (2012) or to the more recent one taken from the Borsa Italiana website, never cited in any request for information from the Authority, are irrelevant, instead ignoring what was analytically requested in RFI 2, which precisely detailed the type of documents requested to orient the response in a way useful for the continuation of the investigation, selecting the most relevant documents "among the tens of thousands" that Ryanair DAC itself implicitly admitted could potentially fall within the Authority's requests.</w:t>
      </w:r>
    </w:p>
    <w:p>
      <w:r>
        <w:t>109. Nor does the reference to the detailed economic plan defined by Regulation (EC) No. 1008/2008 appear pertinent, as it is specifically aimed at regulating the issuance of the first license to a carrier, for the stated purpose of verifying its financial health and safety in the first two years of operation, which are the most critical for its survival in the market (considering 2 and 5). It is, therefore, a definition not necessarily applicable to a consolidated carrier (since 1998 in Italy) and active at the European level like Ryanair DAC and which, in any case, does not exclude, in itself, the existence of other internal strategic planning documentation useful for the investigation falling within the Authority's requests that Ryanair DAC should have provided.</w:t>
      </w:r>
    </w:p>
    <w:p>
      <w:r>
        <w:t>110. On the other hand, it is the Opinion itself that confirms that, although not mandatory by law, a business plan represents an essential tool for efficient and solid management of a company67.</w:t>
      </w:r>
    </w:p>
    <w:p>
      <w:r>
        <w:t>111. It is evident that such statements are in direct contrast to the responses to the requests for information, in which Ryanair DAC described a situation of total absence not only of business plans but also of any other type of strategic planning document ("formalized and shared"). It is, instead, significant that the statements in the Affidavit are perfectly consistent with the preparation and prior sharing of detailed documents prepared for the Board ("Detailed Board papers"), called to decide "on many matters," which is described in the "Meeting" section of the public accounts, ensuring that the business is managed firmly and knowledgeably. Moreover, this further highlights the fact that the Circular and the CMD Presentation produced by Ryanair DAC do not constitute examples of the type of strategic planning documentation requested by the Authority, as they are directed to third parties and not to the Board to guide and develop the business. No point and/or document of Ryanair DAC's defense line, moreover, has even attempted to remedy this objective inconsistency.</w:t>
      </w:r>
    </w:p>
    <w:p>
      <w:r>
        <w:t>112. In any case, it should be noted that, in concluding that none of the CRI documents would constitute a "business plan" and that "traditional business plans may prove ineffective and/or inefficient" due to the characteristics of Ryanair's business, the Opinion highlights its intrinsic limitation, given the erroneous assumption from which the questions posed arise, tainting the entire defense line of the Party. In fact, the external consultant was asked to determine whether the documents considered in CRI responded to the theoretical, abstract, static, and traditional notion of a business plan, while Article 14, paragraph 5, letter d), of Law No. 287/1990 requires evaluating their compliance with what was requested in the two RFIs.</w:t>
      </w:r>
    </w:p>
    <w:p>
      <w:r>
        <w:t>113. Furthermore, it should be added that it is the Opinion itself that recognizes that some of the cited documents, on a substantive level, contain strategic forecasts, as in the case of the Memoranda (docs. 177.219 and 177.220) which, "on a substantive level are projections of the short-medium term on volumes, revenues, costs, margins, and cash flow," or the Budget files (particularly doc. 177.159) which, again "on a substantive level, [...] constitute financial planning tools that report forecast data on revenues, costs, investments, and other budget items," only to exclude the inspection documents from the list of possible documents requested by the Authority solely due to the limited duration of the forecast (not exceeding two years) compared to the three-to-five-year period of a "classic" business plan. However, in none of the RFIs did the Authority request that strategic planning be for periods longer than three years, as there could well be shorter planning.</w:t>
      </w:r>
    </w:p>
    <w:p>
      <w:r>
        <w:t>114. This confirms that if the consultant had followed the approach not merely formalistic but substantive indicated by the Council of State in judgment No. 1159/2024, and which is clearly shown to have been followed by the Authority based on the literal wording of RFI 2, the responses to the last question would have been contrary68.</w:t>
      </w:r>
    </w:p>
    <w:p>
      <w:r>
        <w:t>115. In light of the above and reconstructed, no decisive relevance can be attributed to Ryanair DAC's argument that the absence of traditional business plans would be proven by the circumstance that the search for such documents even with keywords during the inspection did not allow for the discovery of even one document so named. In fact, this argument is apodictic, as it ignores the circumstance that the Memoranda were found in paper form - in which Ryanair itself uses the term "business plan" and that such documents, like the others already cited, constitute documents of strategic planning however named.</w:t>
      </w:r>
    </w:p>
    <w:p>
      <w:r>
        <w:t>e) Substantive considerations on individual documents</w:t>
      </w:r>
    </w:p>
    <w:p>
      <w:r>
        <w:t>116. In addition to the refutations already made regarding the general preliminary issues raised by Ryanair DAC, it seems appropriate to make the following additional considerations on the individual documents.</w:t>
      </w:r>
    </w:p>
    <w:p>
      <w:r>
        <w:rPr>
          <w:b/>
        </w:rPr>
        <w:t>[Pages 106–108]</w:t>
      </w:r>
    </w:p>
    <w:p>
      <w:r>
        <w:t>108 BULLETIN NO. 32 OF AUGUST 18, 2025</w:t>
      </w:r>
    </w:p>
    <w:p>
      <w:r>
        <w:t>the evidentiary value of the inspection documents acquired and used to support the allegations contained in the Initiating Order of this proceeding and specified in the CRI, which are certainly shown to have been "prepared in the period 2021-2023"69 and contain elements of forecasting/strategic planning.</w:t>
      </w:r>
    </w:p>
    <w:p>
      <w:r>
        <w:t>117. The documents acquired in copy during the inspection clearly prove the existence of those business plans that Ryanair DAC has categorically denied normally preparing.</w:t>
      </w:r>
    </w:p>
    <w:p>
      <w:r>
        <w:t>118. These are the Working Capital memoranda (docs. 177.219 and 177.220 of file A568), regarding which Ryanair DAC, which did not contest the period of creation of such documents indicated in the CRI (summer 2023), merely denies that they are business plans according to the common notion provided by the Treccani Dictionary (2012), the Italian Stock Exchange website, or Regulation (EC) No. 1008/2008, and asserts that they are merely financial reporting documents, focused on the purchase decision of Boeing made in 2023, and therefore linked to the already produced Circular. In reality, the Memorandum itself indicates that it was prepared by Management for the Board with general relevance and not limited to the contract for the purchase of Boeing, which is only one of the "included" issues70.</w:t>
      </w:r>
    </w:p>
    <w:p>
      <w:r>
        <w:t>119. Furthermore, it is undisputed that the aforementioned inspection documents demonstrate the existence of business plans insofar as they themselves make repeated and explicit reference to such documents - the specific subject of question 3 in RFI 1 - even identifying precise international drafting standards followed and even speaking of long-term planning. This sharply contrasts with Ryanair DAC's repeated assertion of not preparing business plans "neither for Italy nor for any country to which it flies," without its defenses managing to overcome the factual element of the reference in its internal documents to documents specifically named "business plans," an element treated simply as a result of the use of imprecise or irrelevant terminology. However, it makes no logical sense, and is therefore not credible, that in some documents found during the inspection intended for the Board - or according to Ryanair DAC for the shareholders in relation to the extraordinary operation of massive acquisition of new aircraft - mention is made and reference is made to documents that the Party claims are nonexistent and even counterproductive for its business model.</w:t>
      </w:r>
    </w:p>
    <w:p>
      <w:r>
        <w:t>120. In addition to these formal elements, it is necessary to consider the concrete information that is offered to the Board in such documents on a substantial level, regarding which Ryanair DAC claims that they are "mere financial reporting documents" and that the Memorandum "would not concern the future activities of the Company in the Italian market," of which it would only offer some historical data (for example, the market shares also in Italy indicated in Section 5).</w:t>
      </w:r>
    </w:p>
    <w:p>
      <w:r>
        <w:t>121. In reality, the Memorandum presents a much more articulated and in-depth content than that highlighted by Ryanair DAC, as it analyzes the future cash flows of the company, as well as the income prospects of Ryanair DAC, also based on the expected evolution of the market and the competitive context for a period of three fiscal years (the actual 2023 and forecasts for 2024 and 2025), examined through the definition of one or more "scenarios," without excluding the Italian market69. For this reason, the CRI no longer referred to doc. 177.161, initially indicated at the outset.</w:t>
      </w:r>
    </w:p>
    <w:p>
      <w:r>
        <w:t>70 Section 9 of doc. 177.219, "Purpose of the Memorandum: The purpose of this Memorandum is to allow the Directors to consider the working capital position of Ryanair in the period to March 31, 2025; covering any payments that may arise during the period including € [omissis] commitments under the 2023 Boeing Contract […]".</w:t>
      </w:r>
    </w:p>
    <w:p>
      <w:r>
        <w:t>BULLETIN NO. 32 OF AUGUST 18, 2025 109</w:t>
      </w:r>
    </w:p>
    <w:p>
      <w:r>
        <w:t>which is part of the forecasts made at the network level (as confirmed by the Affidavit) and which is even expressly analyzed in section 5 dedicated to competitive conditions in air transport in Europe until summer 2023 (doc. 177.219 of file A568, "This summer (2023), Ryanair will operate our largest ever schedule […]"). Therefore, these are documents in which the strategic planning required is formalized, concretely and in a manner consistent with the carrier's business model. The biennial forecast that emerges in such documents is perfectly consistent with the shorter-term forecast identified by the same Affidavit for the business of Ryanair DAC.</w:t>
      </w:r>
    </w:p>
    <w:p>
      <w:r>
        <w:t>122. Reiterating that, according to what is reported in the Affidavit, network-level planning allows for the inclusion of Italy in all documents from which this market is not expressly excluded, numerous textual references present in the documents under examination are recalled that refer to future data and forecasts. In addition to the passages already described in the factual part, reference is also made, for example, to projections for FY24 and FY25 ("these projections indicate … in FY24 and FY25")71 and to the indication of objectives as of March 31, 2025, which, at the time of drafting the Memorandum in summer 2023, were still future periods. For example, the Memorandum indicates that the Group is forecasting to achieve certain cash flows from operating activities in the two fiscal years up to March 31, 2025 ("The Group is forecasting just over € [omissis] cash inflows over the 2 fiscal years to March 31, 2025") and to remain in a certain position throughout the period until March 31, 2025 ("The Group is forecast to [omissis] throughout the period to March 31, 2025"72, emphasis added).</w:t>
      </w:r>
    </w:p>
    <w:p>
      <w:r>
        <w:t>123. As a further example of the actual forecasting value of the Memorandum, it is recalled that, in the specific analysis of the forecasts for FY24, the Memorandum, given the forecasts of growth in passenger traffic and load factor, emphasizes the goal of achieving a significant percentage of growth in PAT in FY24 ("Traffic is forecast to grow approx. […] load factor and passengers) and ancillary revenues will rise […] per passenger […]. We are therefore targeting a [omissis]% increase in PAT to € [omissis] in FY24")73. In the conclusion ("Summary"), the document reiterates the goal of having significant growth opportunities for passenger traffic and market share in the coming years ("Ryanair with a significant opportunity to grow passenger traffic and increase market share over the coming year")74.</w:t>
      </w:r>
    </w:p>
    <w:p>
      <w:r>
        <w:t>124. Finally, section 7 "Sensitivity Analysis" indicates that "Given the scale of the business and the long-term commitments in place it is necessary to display a number of scenarios to provide comfort on the strength of the business model"75. In particular, scenario A takes into account an economic downturn ("Economic slowdown"); scenario B concerns competitive threat ("Competition threat"), scenario C a combination of the two previous ones to "test the business model" and scenario D illustrates the strengths of the business ("This scenario highlights the strength of the business"), capable of withstanding two significant variables considered therein ([omissis]).</w:t>
      </w:r>
    </w:p>
    <w:p>
      <w:r>
        <w:t>125. In conclusion, the detailed reading of the document confirms its clear nature of strategic planning, which is also concretely confirmed by the same Opinion ("The memoranda on the substantial level are short-medium term projections on volumes, revenues, costs, margins, and cash flow," p. 25 of the Opinion). Moreover, the Memorandum contains, with the inevitable adaptations to its own business model, elements that according to the same Opinion (p. 10) are also found in a traditional business plan, such as: the analysis of "competition and the reference market," including Italy (doc. 177.219, section 5, p. 19); more numerical-accounting parts "that verify the economic-financial feasibility of the proposed strategies and quantify their effects at the balance sheet, income statement, and cash flow level"; the so-called SWOT analysis that is also found, with explicit references to such terminology, in the four scenarios A, B, C, D.</w:t>
      </w:r>
    </w:p>
    <w:p>
      <w:r>
        <w:t>126. It follows that the Memorandum referred to in docs. 177.219 and 177.220, which, moreover, do not contain the initial section (1.1) of the analysis in which it cannot be excluded that other descriptive elements may be present, of which Ryanair DAC complains about the lack, perfectly falls among those requested by the Authority as parts of business plans or otherwise as strategic planning documents, regardless of the content and characteristics of a traditional business plan.</w:t>
      </w:r>
    </w:p>
    <w:p>
      <w:r>
        <w:t>127. Similar considerations can be made regarding the information contained in the excel file "FY25 BUDGET" (doc. 177.159 of file A568), which, based on the data used as assumptions for subsequent elaborations - linked to the monthly delivery of some units of new aircraft in the period September 2022-July 2023, which has been recorded and updated until January/February 2023 ("Assumptions. Assumes [omissis] a/c delivered from Sept ’22 to Jul’23", doc. 177.159 of file A568) - appears to have been created evidently in January 2023. Ryanair DAC's thesis that the table on "Assumptions," left in the file by mistake by the employee, would have no relation to the sales revenues elaborated in the document itself is contradicted by the same initial defensive assertion in the Observations, according to which the budget files acquired in copy would merely "supplement the ten-year plan developed in 2023 in consideration of the order of Boeing aircraft." As for the nature of the data in the document in question, it is noted that they are, in particular, referred to the fiscal years April 2022-March 2023, April 2023-March 2024, and April 2024-March 2025, along with evaluations of sales results through OTAs, before and after the "OTA shutdown" of November 2023 ("OTA Off"): it should be noted that the revenue values among the different sheets that make up the file in question are always the same in each of the six elaborations/sheets from January to November 2023, while they begin to differ only from December 2023 onwards (see supra Figure 6, data highlighted in yellow); the same conclusions are reached by the note, also highlighted in yellow, in which the budget assumptions are provided ("Avg fares").</w:t>
      </w:r>
    </w:p>
    <w:p>
      <w:r>
        <w:t>Moreover, evidence of the strategic value of the budget forecasts of doc. 177.159 is provided by the Memorandum itself, which links the good results of even long-term programming precisely to the definition of annual budgets with accurate revenue forecasts (see Section 9 of doc. 177.120 reported in Figure 2). Moreover, this document presents information certainly falling within the scope of the main investigation, as it contains various hypotheses on revenues and</w:t>
      </w:r>
    </w:p>
    <w:p>
      <w:r>
        <w:rPr>
          <w:b/>
        </w:rPr>
        <w:t>[Pages 109–111]</w:t>
      </w:r>
    </w:p>
    <w:p>
      <w:r>
        <w:t>BULLETIN NO. 32 OF AUGUST 18, 2025 111</w:t>
      </w:r>
    </w:p>
    <w:p>
      <w:r>
        <w:t>prices related to the issue of sales through OTAs starting from December 2023, prior to the response to RFI 2.</w:t>
      </w:r>
    </w:p>
    <w:p>
      <w:r>
        <w:t>128. It should be emphasized that it would have been one thing to claim to have only provisional data not yet definitively approved, reserving the right to provide them at a later time; it is another matter entirely to outright deny having similar documents, avoiding providing what was requested and stating - precisely while the drafting was being finalized - that no such documents were being prepared at all. In any case, as emerges from the previous citation by Ryanair DAC, even draft documents or those that are not definitive can be relevant even just to guide the development of the investigation76. Therefore, these documents also demonstrate the type of data processed by Ryanair DAC that it should have produced at least in response to RFI 2 and are sufficient to prove the omission of the obligation to provide relevant information by Ryanair DAC.</w:t>
      </w:r>
    </w:p>
    <w:p>
      <w:r>
        <w:t>129. The "Customer Base Breakdown" presentation (doc. 177.67) also contains forecasts for "FY24," as well as analyses on retention strategies and acquisition of new customers, including for Italy, which, besides not being expressly excluded and therefore part of the analysis "at the network level," is specifically considered on other pages of the document (in the tables on pages 4 and 5 and in the analyses of commercial campaigns by base, including, for example, TRN, Turin, and FCO, Fiumicino). It is therefore not, as suggested by Ryanair DAC, simply a snapshot of the passengers actually transported and containing only one slide referring to numerous main markets of the Group (including Italy) in a historical rather than prospective context. Moreover, the trend of forecasts for the fiscal year 2024 - whose actual data stops at August 2023 while the forecast part begins on September 1, 2023, in the graph titled "Total Customers booked FY19-FY24" - highlights that the document was available at the time of the two RFIs and concerned the period requested in the information requests.</w:t>
      </w:r>
    </w:p>
    <w:p>
      <w:r>
        <w:t>130. Ultimately, the other inspection documents considered in the CRI, due to their concrete content, fall within the category of documents requested with RFI 2.</w:t>
      </w:r>
    </w:p>
    <w:p>
      <w:r>
        <w:t>131. The budget Excel file with data and considerations on the sales results of Ryanair tickets also through OTAs before and after the conduct subject to the main proceeding ("OTA off," doc. 177.159) and the "Customer Base Breakdown" presentation on future marketing strategies (doc. 177.67) clearly fall within the scope of "internal documents prepared by operational directors or other internal divisions," containing analyses and strategic forecasts. The fact that the forecast data "falls outside" and concerns years subsequent to those referenced (2021-2023) as raised by Ryanair DAC is irrelevant, because the indication of that period was functional to delimit the potentially useful documentation "prepared" during that period. On the other hand, Ryanair DAC cannot invoke this argument to contest the Authority's use of the inspection documents as evidence of the violation and then expect to demonstrate its exact compliance with the RFI by providing public documents prepared in 2023, with forecasts up to 2034.</w:t>
      </w:r>
    </w:p>
    <w:p>
      <w:r>
        <w:t>132. In conclusion, the inspection documentation acquired in copy and referred to above confirms, also in light of the defenses of the Party, that Ryanair DAC prepares business plans and drafts numerous and various written documents of strategic planning, preliminarily shared even at the highest level, which should have been provided in response to RFI 1 (business plan) and, in any case, to RFI 2, which did not occur.</w:t>
      </w:r>
    </w:p>
    <w:p>
      <w:r>
        <w:t>133. The set of these elements appears to contradict Ryanair DAC's portrayal of a modus operandi that, as described especially in the response to RFI 2 and confirmed in the memoranda, seems to border on improvisation, while it seems perfectly consistent with the internal decision-making policy described in the section Meeting of its budgets, which emphasize the existence and importance of preparing detailed documents shared in advance with the Board, whose decision is necessary in many matters ("Detailed Board Papers" since "many matters require Board approval") to ensure informed and solid management of the Group. Ryanair DAC has therefore failed to fulfill the obligation to provide relevant documentation that was instead at its disposal, violating any obligation of cooperation and good faith, as well as the provisions of Article 14, paragraph 5, letter d) of Law No. 287/1990.</w:t>
      </w:r>
    </w:p>
    <w:p>
      <w:r>
        <w:t>134. Nor can Ryanair DAC be considered to have fulfilled its obligation to provide effective responses to the aforementioned information requests through the general documentation offered to shareholders and contained in Annexes 1 and 4 to the response received on December 19, 2023 (doc. 130). This is, in fact, publicly available documentation that the Authority could have independently acquired. It is not sufficient in itself to meet the investigative need and is not at all exhaustive - nor representative - of the abundant strategic documentation prepared by Ryanair DAC.</w:t>
      </w:r>
    </w:p>
    <w:p>
      <w:r>
        <w:t>135. In conclusion, it is confirmed that Ryanair DAC has not provided either the documentation requested in question 3 of RFI 1 (business plan) or any other strategic documentation responding to the clarifications provided in RFI 2, acting in violation of Article 14, paragraph 5, letter d), of Law No. 287/1990. It has, in fact, falsely declared that it was not in possession of the documents requested by the Authority in the context of the investigative proceeding A568, documents that, instead, were found at its legal headquarters (and that of the parent company Ryanair Holdings Plc) during the inspection on March 8, 2024, as they were at its disposal.</w:t>
      </w:r>
    </w:p>
    <w:p>
      <w:r>
        <w:t>f) The subjective element of the conduct</w:t>
      </w:r>
    </w:p>
    <w:p>
      <w:r>
        <w:t>136. The inspection documentation described above highlights the existence and formalization of documentation requested by the Authority for the purposes of the main investigation. Therefore, Ryanair DAC did not produce documentation that actually existed and was at its disposal and provided untrue and misleading information regarding the absence of formalized documentation on its strategic decisions. The procedural conduct of the Party thus allows for the configuration of a violation due to gross negligence.</w:t>
      </w:r>
    </w:p>
    <w:p>
      <w:r>
        <w:t>137. It is recalled, in fact, that from the response to RFI 1, Ryanair DAC denied preparing "business plans," instead referenced in the aforementioned Memoranda; even in response to RFI 2, it repeatedly stated that its "dynamic" organizational structure was such that it did not foresee or allow it to produce formal and shared business documents for the strategic decision-making process, the existence of which is instead proven by the inspection documentation acquired.</w:t>
      </w:r>
    </w:p>
    <w:p>
      <w:r>
        <w:t>138. This type of response, moreover, was provided without requesting the clarifications, which are now instrumentally deemed necessary, to understand how to comply. On the contrary, in the request for an extension of the deadline to respond to RFI 1, the Party merely represented internal organizational needs to select the requested documents. It did not even request more time after RFI 2 to seek the relevant documentation, in case it only understood at that moment the scope of the request. Therefore, in the absence of elements of uncertainty represented at the time, the procedural conduct of Ryanair DAC can only be attributed to gross negligence, also considering the extremely qualified and structured nature of such an operator.</w:t>
      </w:r>
    </w:p>
    <w:p>
      <w:r>
        <w:t>139. The defense of its alleged absence of intent appears, in general, completely irrelevant, since the normal criterion for attributing administrative offenses is at least negligence77, which emerges in this case, as Ryanair DAC acted contrary to the standard of ordinary diligence78. For this purpose, in fact, the concrete demonstration of the subjective element is not necessary, as the norm establishes a presumption of negligence regarding the prohibited act against the person who committed it, reserving then to this person the burden of proving that they acted without fault79.</w:t>
      </w:r>
    </w:p>
    <w:p>
      <w:r>
        <w:t>140. In this case, the described factual circumstances do not allow for the conclusion that Ryanair DAC has proven to have acted without fault. On the contrary, the above highlights that it did not engage in the required "active cooperation" demanded by Union jurisprudence to assess the actual compliance of a company with the obligation to provide the information requested by the competition Authority80, highlighting gross negligence in its conduct and committing a readily avoidable violation.</w:t>
      </w:r>
    </w:p>
    <w:p>
      <w:r>
        <w:t>VI. DETERMINATION OF THE SANCTION</w:t>
      </w:r>
    </w:p>
    <w:p>
      <w:r>
        <w:t>141. Pursuant to Article 14, paragraph 5, of Law No. 287/1990, the Authority orders the application of an administrative pecuniary sanction of up to 1% of the total turnover achieved worldwide during the previous financial year against those who, willfully or through negligence, in response to a request for information, provide inaccurate, incomplete, or misleading information or do not provide the information within the established deadline.</w:t>
      </w:r>
    </w:p>
    <w:p>
      <w:r>
        <w:t>142. Article 31 of Law No. 287/1990 also provides that for administrative pecuniary sanctions resulting from violations of the same law, the provisions contained in Chapter I, Sections I and II, of Law No. 689/1981 shall be observed, within the limits of what is applicable.</w:t>
      </w:r>
    </w:p>
    <w:p>
      <w:r>
        <w:t>143. In detail, Article 11 of Law No. 689/1981 provides that, for the purpose of determining the administrative pecuniary sanction, set by law between a minimum and a maximum limit, regard must be had to (i) the severity of the violation, (ii) the work performed by the agent for</w:t>
      </w:r>
    </w:p>
    <w:p>
      <w:r>
        <w:rPr>
          <w:b/>
        </w:rPr>
        <w:t>[Pages 112–114]</w:t>
      </w:r>
    </w:p>
    <w:p>
      <w:r>
        <w:t>114 BULLETIN NO. 32 OF AUGUST 18, 2025</w:t>
      </w:r>
    </w:p>
    <w:p>
      <w:r>
        <w:t>the elimination or mitigation of the consequences of the violation, (iii) the personality of the same agent, and (iv) their economic conditions.</w:t>
      </w:r>
    </w:p>
    <w:p>
      <w:r>
        <w:t>144. As for the severity of the violation, it must be considered that Ryanair DAC committed the violation during the investigation A568 initiated by the Authority against it and that the untruthfulness of the information provided concerned factual elements useful and falling within the scope of the investigation, aimed at ascertaining the alleged abuse of dominant position carried out by the Ryanair group.</w:t>
      </w:r>
    </w:p>
    <w:p>
      <w:r>
        <w:t>145. In particular, the failure to produce documentation actually in its possession and the consequent provision of inaccurate, incomplete, and misleading information regarding the preparation of internal documentation useful for the investigation made the investigative activity more burdensome - in the initial phase - requiring the Offices to conduct additional analysis.</w:t>
      </w:r>
    </w:p>
    <w:p>
      <w:r>
        <w:t>146. Furthermore, the subjective and dimensional characteristics of Ryanair DAC are relevant, as it is one of the main operators in the markets of scheduled passenger air transport to and from Italy, as well as part of the homonymous group active at the pan-European level in the same sector.</w:t>
      </w:r>
    </w:p>
    <w:p>
      <w:r>
        <w:t>147. It must also be considered that the Party was requested to provide internal documentation useful for the investigation A568, the scope of which was known; Ryanair DAC only provided public documentation (insufficient to fulfill the duty of loyal cooperation), while the inspections carried out highlighted the existence and availability of strategic internal documentation described in the factual part - with the exception of doc. 177.181, for which it was not possible to ascertain its preparation during the period 2021-2023, and doc. 177.197, the prospective or programming nature of which is uncertain - necessary for the evaluation of the case, without the Party having attempted to adopt any measures to try to identify strategic internal documentation corresponding to the clarifications provided by the Authority.</w:t>
      </w:r>
    </w:p>
    <w:p>
      <w:r>
        <w:t>148. To the extent that the contested informational omission appears to be attributable to a severely negligent and avoidable behavior, the grounds for contesting Ryanair DAC for having acted with gross negligence are evident.</w:t>
      </w:r>
    </w:p>
    <w:p>
      <w:r>
        <w:t>149. Therefore, due to the severity of the violation, it seems appropriate to impose on the Party the sanction provided for by Article 14, paragraph 5, of Law No. 287/1990 in the amount of 0.01% of the total turnover achieved worldwide during the financial year preceding the contestation.</w:t>
      </w:r>
    </w:p>
    <w:p>
      <w:r>
        <w:t>CONSIDERING that in the case of untruthful information provided without justified reason in response to a request for information, the Authority may impose, pursuant to Article 14, paragraph 5, of Law No. 287/1990, an administrative pecuniary sanction of up to one percent of the total turnover achieved by the same worldwide during the preceding financial year;</w:t>
      </w:r>
    </w:p>
    <w:p>
      <w:r>
        <w:t>CONSIDERING, based on the considerations made, the grounds that justify the imposition of the sanction referred to in Article 14, paragraph 5, of Law No. 287/1990 against Ryanair DAC;</w:t>
      </w:r>
    </w:p>
    <w:p>
      <w:r>
        <w:t>RESOLVES</w:t>
      </w:r>
    </w:p>
    <w:p>
      <w:r>
        <w:t>a) that the conduct carried out by Ryanair DAC, consisting of failing to provide internal documentation actually in its possession and consequently providing inaccurate, incomplete, or misleading information regarding the drafting of strategic and market internal documentation prepared during the reference period constitutes a violation of Article 14, paragraph 5, of Law No. 287/1990;</w:t>
      </w:r>
    </w:p>
    <w:p>
      <w:r>
        <w:t>b) to impose on Ryanair DAC, as an administrative sanction for the established violation, the sum of 1,344,400 euros (one million three hundred forty-four thousand four hundred euros). The administrative sanction referred to in the previous letter a) must be paid within thirty days from the notification of this provision, using the tax codes indicated in the attached model F24 with identifying elements, pursuant to Legislative Decree No. 241 of July 9, 1997.</w:t>
      </w:r>
    </w:p>
    <w:p>
      <w:r>
        <w:t>The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collection agent; in this case, the increase absorbs the late payment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r>
    </w:p>
    <w:p>
      <w:r>
        <w:t>Guido Stazi Roberto Rustichelli</w:t>
      </w:r>
    </w:p>
    <w:p>
      <w:r>
        <w:rPr>
          <w:b/>
        </w:rPr>
        <w:t>[Pages 115–117]</w:t>
      </w:r>
    </w:p>
    <w:p>
      <w:r>
        <w:t>BULLETIN NO. 32 OF AUGUST 18, 2025 117</w:t>
        <w:br/>
        <w:t>I869 - MAINTENANCE TENDER FOR AMA VEHICLES</w:t>
        <w:br/>
        <w:t>Provision No. 31654</w:t>
        <w:br/>
        <w:t>THE ANTITRUST AUTHORITY</w:t>
      </w:r>
    </w:p>
    <w:p>
      <w:r>
        <w:t>IN ITS MEETING of July 29, 2025;</w:t>
        <w:br/>
        <w:t>HEARD the Rapporteur, Professor Elisabetta Iossa;</w:t>
        <w:br/>
        <w:t>HAVING REGARD to Article 2 of Law No. 287 of October 10, 1990;</w:t>
        <w:br/>
        <w:t>HAVING REGARD to the decree of the President of the Republic No. 217 of April 30, 1998;</w:t>
        <w:br/>
        <w:t>HAVING REGARD to its resolution of June 4, 2024, No. 31242, with which an investigation was initiated, pursuant to Article 14 of Law No. 287/1990, against Autofficina F.lli Pennesi - Società In Nome Collettivo, MFM S.r.l., Autofficina Pontina S.r.l., Drive Line Service S.p.A., Italmeccanica S.r.l., Pagliani Service S.r.l., Raggruppamento Officine Meccaniche AR.MA. S.r.l., to ascertain the existence of any violations of Article 2 of Law No. 287/1990 in relation to participation in public procurement procedures for the maintenance service on cabin and mechanical chassis, announced by AMA S.p.A.;</w:t>
        <w:br/>
        <w:t>HAVING REGARD to the Communication of Investigation Results sent to the parties on June 5, 2025, pursuant to Article 14 of the D.P.R. No. 217 of April 30, 1998;</w:t>
        <w:br/>
        <w:t>HAVING REGARD to the acts of the proceeding and the documentation acquired during the investigation;</w:t>
        <w:br/>
        <w:t>CONSIDERED the following:</w:t>
        <w:br/>
        <w:t>1. THE PARTIES TO THE PROCEEDING</w:t>
        <w:br/>
        <w:t>1. Autofficina F.lli Pennesi - Società In Nome Collettivo (hereinafter, "Pennesi"; C.F. 04607070580) is a company primarily engaged in the maintenance, repair, and overhaul of mechanical parts of vehicles in general and heavy vehicles, as well as roadside assistance, removal, and transport of vehicles. The share capital of Pennesi is held by four individuals.</w:t>
        <w:br/>
        <w:t>2. Autofficina Pontina S.r.l. (hereinafter, "Pontina"; C.F. 08031850582) is a company primarily engaged in the wholesale and retail trade of vehicles and cars up to 3.5 tons in weight, in the mechanical repair of vehicles, as well as in ordinary and extraordinary maintenance of mechanics, bodywork, tire services, electrical services, and roadside assistance for commercial, industrial vehicles, and buses. The share capital of Pontina is held by four individuals.</w:t>
        <w:br/>
        <w:t>3. Drive Line Service S.p.A. (hereinafter, "Drive Line"; C.F. 08906251007) is a company primarily engaged in the maintenance and repair of mechanical parts of vehicles, heavy vehicles, and, in general, large vehicles, as well as bodywork, electrical services, and tire services. The share capital of Drive Line is held by two individuals.</w:t>
        <w:br/>
        <w:t>4. Italmeccanica S.r.l. (hereinafter, "Italmeccanica"; C.F. 01960750568) is a company primarily engaged in the maintenance and repair of vehicles, motor vehicle complexes used for the transport of people and goods on the road, as well as mechanical workshops, engine services, electrical services, and tire services. The share capital of Italmeccanica is held 99% by Dierre Dimensione Ricambi S.p.A. (99%) and the remaining part by an individual.</w:t>
        <w:br/>
        <w:t>5. MFM S.r.l. (hereinafter, "MFM"; C.F. 17211251008) is a company primarily engaged in the maintenance, repair, and overhaul of mechanical parts of vehicles in general and heavy vehicles, as well as roadside assistance, removal, and transport of vehicles. The share capital of MFM is held by three individuals. On January 10, 2024, it appears that Pennesi transferred a branch of its business to MFM.</w:t>
        <w:br/>
        <w:t>6. Pagliani Service S.r.l. (hereinafter, "Pagliani"; C.F. 08076291007) is a company primarily engaged in the repair, maintenance, and outfitting of vehicles, motorcycles, special operating machines, buses, and industrial vehicles in general, as well as mechanical, electrical, pneumatic parts, and bodywork of the same. The share capital of Pagliani is entirely held by an individual.</w:t>
        <w:br/>
        <w:t>7. Raggruppamento Officine Meccaniche AR.MA. S.r.l. (hereinafter, "ARMA"; C.F. 05098890584) is a company primarily engaged in the organization and management of mechanical workshops and body shops in general, as well as in the purchase, repair, and sale of vehicles, trucks, and buses in general. The share capital of ARMA is held by two individuals.</w:t>
        <w:br/>
        <w:t>8. AMA S.p.A. (hereinafter, "AMA"; C.F. 05445891004) is a company of the Municipality of Rome with entirely public capital, entrusted with the performance of urban hygiene and decorum services and cemetery services in the Municipality.</w:t>
        <w:br/>
        <w:t>2. THE INVESTIGATIVE ACTIVITY CARRIED OUT</w:t>
        <w:br/>
        <w:t>9. On June 4, 2024, following a report from AMA, the Authority decided to initiate investigation proceeding I869 against Autofficina F.lli Pennesi - Società In Nome Collettivo, MFM S.r.l., Autofficina Pontina S.r.l., Drive Line Service S.p.A., Italmeccanica S.r.l., Pagliani Service S.r.l., Raggruppamento Officine Meccaniche AR.MA. S.r.l. (hereinafter collectively referred to as the "Parties") to ascertain whether these companies had engaged in an agreement in violation of Article 2 of Law No. 287/1990 during certain tenders announced by AMA in 2023 for the assignment of maintenance services on cabin and mechanical chassis of the Iveco brand (hereinafter "tender No. 7/2023"), Renault (hereinafter "tender No. 17/2023"), and Mercedes (hereinafter "tender No. 12/2023"), as well as during the procedure divided into five Lots announced by AMA in December 2023 for the maintenance and supply of spare parts of the Iveco brand (Lot 1 and Lot 2), Mercedes (Lot 3), Renault (Lot 4), and Isuzu (Lot 5) (hereinafter "tender No. 40/2023").</w:t>
        <w:br/>
        <w:t>10. In the initiation provision, the Authority highlighted the circumstantial evidence that, upon initial analysis of the results of the procedures, could suggest the existence of collusive conduct among the Parties, also carried out through the instrumental use of the Temporary Business Grouping (hereinafter, "RTI"), solely for the purpose of avoiding competition among the main historical suppliers of AMA in the maintenance of vehicles. In particular, the absolute absence of competition in participation in the procedures and the at least apparent overabundance of the only grouping participating in tender No. 7/2023 were deemed symptomatic.</w:t>
        <w:br/>
        <w:t>11. The initiation provision referred, first of all, to the decision of the companies Pennesi, Pontina, Drive Line, Italmeccanica, Pagliani, and ARMA - which collectively represent a significant portion of the suppliers of maintenance services for AMA vehicles - to all participate in a single RTI for tender No. 7/2023, the most significant in terms of value. These companies had participated in the previous edition of the tender by forming competing RTIs. Concurrently with this decision, there was also the participation of a single RTI, composed of Pontina and Pagliani, in tenders No. 17/2023 (Renault) and No. 12/2023 (Mercedes). In light of the described participation structure, AMA revoked the three tenders and terminated all contractual relationships arising from the previous procedure announced in 2018 for the maintenance of Iveco vehicles.</w:t>
        <w:br/>
        <w:t>12. Similarly, an absence of competition was recorded in tender No. 40/2023; in this procedure, in the only two lots that did not go deserted, there was participation from a single bidder, the RTI Pontina, ARMA, and MFM (Pennesi) for Lots 1 and 2 (Iveco), and Italmeccanica as the sole bidder for Lot 4 (Renault). At the initiation stage, an anomalous situation was also anticipated within this new tender, given the modification of the size and structure of the lots as well as the reduction of both the base auction amounts and the requirements for economic-financial and technical-professional capacity, aimed precisely at fostering greater competitive dynamics.</w:t>
        <w:br/>
        <w:t>13. On June 12, 2024, inspections were carried out at the premises of the Parties to the proceeding as well as at the companies Romana Diesel S.p.A. and Daimler Truck Retail Italia S.p.A. as they were the subjects to whom AMA urgently entrusted the maintenance services of IVECO and Mercedes vehicles following the revocation of the tenders announced in 2023.</w:t>
        <w:br/>
        <w:t>14. During the proceeding, the Parties were heard in hearings and had access on several occasions to the documentation of the investigation file not covered by confidentiality.</w:t>
      </w:r>
    </w:p>
    <w:p>
      <w:r>
        <w:rPr>
          <w:b/>
        </w:rPr>
        <w:t>[Pages 118–120]</w:t>
      </w:r>
    </w:p>
    <w:p>
      <w:r>
        <w:t>120 BULLETIN NO. 32 OF AUGUST 18, 2025</w:t>
      </w:r>
    </w:p>
    <w:p>
      <w:r>
        <w:t>15. On June 5, 2025, the Investigative Results of the proceeding were sent to the Parties, in which no charges were formulated. None of the parties requested to participate in the final hearing, and no submissions were received.</w:t>
      </w:r>
    </w:p>
    <w:p>
      <w:r>
        <w:t>3. INVESTIGATIVE RESULTS AND EVALUATIONS</w:t>
      </w:r>
    </w:p>
    <w:p>
      <w:r>
        <w:t>16. From the documents obtained during the investigation, no elements emerged that could corroborate the investigative hypothesis put forward in the initiation order. The only contacts between the Parties found are mostly attributable to physiological interactions in the case of RTIs.</w:t>
      </w:r>
    </w:p>
    <w:p>
      <w:r>
        <w:t>17. Similarly, no evidence was identified that could suggest, with a sufficient degree of certainty, the existence of a secret cartel aimed at the division of the procedures in question as hypothesized at the initiation stage, or the instrumental and anti-competitive use of the RTI institution, solely for the purpose of avoiding competition among the main historical suppliers of AMA in the maintenance of vehicles.</w:t>
      </w:r>
    </w:p>
    <w:p>
      <w:r>
        <w:t>18. In this regard, the comparison between the first tenders of 2023 and previous editions revealed a significant increase in the requirements set forth under penalty of exclusion, in terms of economic and financial capacity (overall turnover), technical and professional capacity (turnover derived from the execution of services similar to those subject to the procedure, so-called specific turnover) and the so-called "minimum execution requirements" with particular reference to the minimum number of equipped stalls to be exclusively dedicated to AMA and the minimum number of workers on staff (qualified and unqualified).</w:t>
      </w:r>
    </w:p>
    <w:p>
      <w:r>
        <w:t>19. Furthermore, regarding participation in the Mercedes and Renault tenders, the Parties highlighted that the aforementioned tenders, "although less demanding from an economic value perspective, required specific expertise that resulted in only those companies actually specialized in the maintenance of Mercedes and Renault vehicles presenting bids."</w:t>
      </w:r>
    </w:p>
    <w:p>
      <w:r>
        <w:t>20. The documentation on file did not therefore allow for the configuration of the RTIs examined as hypotheses falling within the scope of Article 2 of Law No. 287/1990, as it was not possible to assert with a reasonable degree of certainty that the companies could participate individually or with smaller groupings in the tenders in question.</w:t>
      </w:r>
    </w:p>
    <w:p>
      <w:r>
        <w:t>21. Regarding tender No. 40/2023, the investigation returned the following picture underlying the recorded participatory structure.</w:t>
      </w:r>
    </w:p>
    <w:p>
      <w:r>
        <w:t>22. Firstly, despite the reduction of the requirements set by the contracting authority for tender No. 40/2023 compared to tender No. 7/2023, the choice of Pontina, Pennesi, and ARMA to participate in an RTI (albeit in a more restricted formation compared to that of the previous tender) does not appear to be unequivocally attributable to a violation of Article 2 of Law No. 287/1990, as it was not possible to assert with a reasonable degree of certainty that the companies could participate individually or with smaller groupings in the tender in question.</w:t>
      </w:r>
    </w:p>
    <w:p>
      <w:r>
        <w:t>23. Similarly, the choice of Pagliani and Drive Line not to participate in any lot of the new tender, despite the reduction of the requirements requested, motivated by the subsequent use of production capacity with another client and, more generally, by the subsequent lack of interest in continuing relations with AMA, does not appear to be unequivocally attributable to an agreement or coordinated practice restricting competition, in violation of Article 2 of Law No. 287/1990.</w:t>
      </w:r>
    </w:p>
    <w:p>
      <w:r>
        <w:t>24. The choice of Italmeccanica to participate solely in Lot 4, attributed by the company to the reduced size of the lot and to commercial reasons, does not appear to be unequivocally attributable to a collusive partitioning plan with the other parties in the proceeding, rendering the conduct not prosecutable under Article 2 of Law No. 287/1990.</w:t>
      </w:r>
    </w:p>
    <w:p>
      <w:r>
        <w:t>25. In any case, the elements on file did not allow for the framing of the conduct of the Parties, even with reference to tender No. 40/2023, within a complex collusive scheme dating back to the entire year of 2023.</w:t>
      </w:r>
    </w:p>
    <w:p>
      <w:r>
        <w:t>26. In light of the above, the investigative proceeding did not reveal elements suitable to confirm the existence of an agreement among the Parties, in the form of agreements or coordinated practices, aimed at and/or resulting in distorting competition in the tenders for the awarding of the maintenance service on cabin and mechanical chassis as per Table 1 of the initiation order.</w:t>
      </w:r>
    </w:p>
    <w:p>
      <w:r>
        <w:t>27. In conclusion, it is believed that there are insufficient elements to ascertain the violation of Article 2 of Law No. 287/1990 hypothesized in the initiation resolution.</w:t>
      </w:r>
    </w:p>
    <w:p>
      <w:r>
        <w:t>Having stated and considered all of the above:</w:t>
      </w:r>
    </w:p>
    <w:p>
      <w:r>
        <w:t>RESOLVES</w:t>
      </w:r>
    </w:p>
    <w:p>
      <w:r>
        <w:t>that based on the available information, the reasons for intervention against Autofficina F.lli Pennesi - Società In Nome Collettivo, MFM S.r.l., Autofficina Pontina S.r.l., Drive Line Service S.p.A., Italmeccanica S.r.l., Pagliani Service S.r.l., Raggruppamento Officine Meccaniche AR.MA. S.r.l., in relation to the violation of Article 2 of Law No. 287/1990 hypothesized at the initiation of the proceeding have ceased.</w:t>
      </w:r>
    </w:p>
    <w:p>
      <w:r>
        <w:t>This provision will be notified to the Parties and published in the Bulletin of the Antitrust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rPr>
          <w:b/>
        </w:rPr>
        <w:t>[Pages 121–123]</w:t>
      </w:r>
    </w:p>
    <w:p>
      <w:r>
        <w:t>BULLETIN NO. 32 OF AUGUST 18, 2025 123</w:t>
        <w:br/>
        <w:t>CONCENTRATION OPERATIONS</w:t>
        <w:br/>
        <w:t>C12722 - COOPERATIVA ESERCENTI FARMACIA/UNICO LA FARMACIA DEI FARMACISTI/NEWCO</w:t>
        <w:br/>
        <w:t>Decision No. 31648</w:t>
        <w:br/>
        <w:t>THE ANTITRUST AUTHORITY</w:t>
        <w:br/>
        <w:t>IN ITS MEETING of July 29, 2025;</w:t>
        <w:br/>
        <w:t>HEARD the Rapporteur, Saverio Valentino;</w:t>
        <w:br/>
        <w:t>SEEN Regulation (EC) No. 139/2004;</w:t>
        <w:br/>
        <w:t>SEEN Law No. 287 of October 10, 1990;</w:t>
        <w:br/>
        <w:t>SEEN the communication from the companies Cooperativa Esercenti Farmacia S.c. a r.l. and UNICO La Farmacia dei farmacisti S.p.A. dated April 17, 2025;</w:t>
        <w:br/>
        <w:t>SEEN the Communication of the Investigative Findings transmitted on July 16, 2025;</w:t>
        <w:br/>
        <w:t>SEEN the acts of the proceeding and the documentation acquired during the investigation;</w:t>
        <w:br/>
        <w:t>CONSIDERED the following:</w:t>
        <w:br/>
        <w:t>I. THE PARTIES</w:t>
        <w:br/>
        <w:t>I.1. CEF</w:t>
        <w:br/>
        <w:t>1. The Cooperativa Esercenti Farmacia S.c. a r.l. (hereinafter, “CEF”; VAT number 00272680174) is a cooperative society with approximately 2,300 members, all pharmacy owners, primarily active in the wholesale trade of specialties and medicinal products and related items. CEF operates in wholesale distribution with eleven secondary locations and 3 warehouses/interchange hubs distributed across the national territory1 in sixteen Italian regions2. Furthermore, CEF manages - through its subsidiaries Holding Farmacie, Farcom, and CEF Top Holding - forty pharmacies located in Lombardy, Lazio, and Campania3.</w:t>
        <w:br/>
        <w:t>2. In 2023, CEF achieved a total revenue of [1-2]* billion euros, entirely generated in Italy.</w:t>
        <w:br/>
        <w:t>1 The headquarters of CEF is in Brescia, while the other secondary locations are in: Bolzano; Vicentino (VI); Cremona, Erba (CO); Lallio (BG); Lecce, Lucera (FG); Modugno (BA); Nola (NA); Pisa, Rome, and Scorzé (VE). This presence allows reaching pharmacies in sixteen Italian regions.</w:t>
        <w:br/>
        <w:t>2 Lombardy, Veneto, Tuscany, Friuli-Venezia Giulia, Emilia-Romagna, Piedmont, Lazio, Apulia, Liguria, Basilicata, Campania, Aosta Valley, Trentino-Alto Adige, Umbria, Abruzzo, Molise.</w:t>
        <w:br/>
        <w:t>3 See CEF's 2023 Financial Statements (see doc. 99.28).</w:t>
        <w:br/>
        <w:t>* In this version, some data is omitted, as elements of confidentiality or secrecy of the information were deemed to exist.</w:t>
      </w:r>
    </w:p>
    <w:p>
      <w:r>
        <w:t>124 BULLETIN NO. 32 OF AUGUST 18, 2025</w:t>
        <w:br/>
        <w:t>I.2. UNICO</w:t>
        <w:br/>
        <w:t>3. UNICO La Farmacia dei farmacisti S.p.A. (hereinafter, “UNICO”; VAT number 02217430343) is a company active in the wholesale trade of specialties and medicinal products and related items. The share capital of UNICO is held by: (i) Unione Farmaceutica Novarese S.c.p.a. (hereinafter, “UFN”) which, also through its subsidiary Unione Farmacisti del Friuli e della Venezia Giulia S.p.A. (hereinafter, “UFFVG”), holds 78.3%4, (ii) Codifarma Cooperativa Distribuzione Farmaci S.c. a r.l. (hereinafter, “Codifarma”) with 20.95%, and (iii) Co.Si.Far. - Cooperativa Siciliana Farmacisti Società Cooperativa (hereinafter, “Co.Si.Far”) with 0.75% (hereinafter, UFN, UFFVG, Codifarma, and Co.Si.Far collectively referred to as “UNICO Members”).</w:t>
        <w:br/>
        <w:t>4. UNICO operates in seventeen Italian regions through a main warehouse, with access to the entire range of products, as well as various logistics platforms located in Rivoli (TO); Novara; Lainate (MI); Calderara sul Reno (BO), Nogarole Rocca (VR); Fontanellato (PR); Udine; Monterotondo (RM) and Modugno (BA).</w:t>
        <w:br/>
        <w:t>5. UNICO also offers its own line of parapharmaceuticals under the brand “Unidea,” with a portfolio of approximately two hundred products (gauzes, band-aids, nasal sprays, etc.). Finally, UNICO holds a minority stake in UNICA S.r.l., which owns 11 pharmacies and one parapharmacy.</w:t>
        <w:br/>
        <w:t>6. In 2023, UNICO achieved a total revenue of [1-2] billion euros, entirely generated in Italy.</w:t>
        <w:br/>
        <w:t>II. DESCRIPTION OF THE OPERATION</w:t>
        <w:br/>
        <w:t>7. The operation consists of a merger by incorporation of UNICO into CEF (hereinafter, “Operation”), which involves: (i) the establishment of a new vehicle company (QFarma S.r.l., hereinafter also “QFarma” or “NewCo”), wholly owned by CEF; (ii) the contribution to QFarma, by CEF, of its activities, except for the stakes in [omitted]5; (iii) the subsequent merger of UNICO into NewCo. As a result of the operation, the share capital of QFarma will be held 51% by CEF (referred to in the contract between the parties as “Type A Member”) and the remaining 49% by the UNICO Members (referred to in the contract between the parties as “Type B Members”), in proportion to the shares held in UNICO6.</w:t>
        <w:br/>
        <w:t>8. The Operation was initially conditionally suspended pending the approval of the Authority. However, the Parties informed that, due to financial business needs and the implementation of the industrial plan, they have waived this suspensive condition to initiate the merger project of UNICO into QFarma and the transfer of UNICO's deposit authorizations pending the investigative procedure. The deadline for completing the Operation was therefore set for July 20, 20257.</w:t>
        <w:br/>
        <w:t>4 In particular, UFN and UFFVG hold 64.19% and 14.11% of UNICO's capital, respectively.</w:t>
        <w:br/>
        <w:t>5 In particular, the stakes held [omitted] will not be subject to the concentration.</w:t>
        <w:br/>
        <w:t>6 In particular, UFN, also through its subsidiary UFFVG, will hold 38.37% of QFarma's share capital (31.45% for UFN and 6.91% for UFFVG), which means 78.30% of the Type B Members' Shares (64.19% for UFN and 14.11% for UFFVG). Codifarma will hold 10.27% of QFarma's capital (20.95% of the Type B Members' Shares), while Co.Si.Far will hold 0.37% of QFarma's shares (0.75% of the Type B Members' Shares).</w:t>
        <w:br/>
        <w:t>7 See docs. 121 and 188.</w:t>
      </w:r>
    </w:p>
    <w:p>
      <w:r>
        <w:t>BULLETIN NO. 32 OF AUGUST 18, 2025 125</w:t>
        <w:br/>
        <w:t>9. Regarding the governance rules of QFarma, it is noted that, for the election of the Board of Directors, it is provided that its members may be elected by majority based on two lists, one presented by CEF (“Candidate Document A”) and one presented by the majority of UNICO Members (“Candidate Document B”). The majority plus one of the directors will be drawn from those indicated in Candidate Document A (“Directors A”), while the remaining part will be drawn from Candidate Document B (“Directors B”). In the event that no lists are presented or only one of the two is presented, the Board of Directors will be elected by the shareholders' meeting with the favorable vote of those representing at least 67% of the share capital. Therefore, CEF and UFN (also through its subsidiary UFFVG) will be able to define Candidate Document A and Candidate Document B, respectively. In the absence of lists, CEF and UFN-UFFVG are the only shareholders whose vote is necessary to achieve the qualified majority of 67% for the appointment of directors.</w:t>
        <w:br/>
        <w:t>10. It is also provided that resolutions on certain strategic matters - including the approval and modification of the annual budget and business plan - can only be adopted with the favorable vote of at least two Directors A and two Directors B. Therefore, such decisions can only be made with the consent of CEF and UFN, resulting in their joint control over the new entity.</w:t>
        <w:br/>
        <w:t>11. The Operation involves restrictions, consisting of a non-compete agreement that prohibits engaging in any entrepreneurial activity, whether in the form of self-employment, direct or indirect, in Italian territory, as well as in other territories where UNICO and/or CEF and/or NewCo may eventually carry out their activities, for a period of five years (with tacit renewal unless not renewed communicated by one party to the other at least six months before the expiration).</w:t>
        <w:br/>
        <w:t>12. CEF and the UNICO Members also commit not to acquire and in any case hold, directly or indirectly, stakes in companies other than NewCo that carry out wholesale distribution of medicines and parapharmaceuticals or that are otherwise in competition with the activity carried out by NewCo, within Italian territory, as well as within other territories where UNICO and/or CEF and/or NewCo may eventually carry out their activities.</w:t>
        <w:br/>
        <w:t>13. The Parties have also provided for a mutual prohibition on poaching customers and certain categories of subjects indicated by contract (the so-called “Relevant Subjects”8) of [omitted].</w:t>
        <w:br/>
        <w:t>III. QUALIFICATION OF THE OPERATION</w:t>
        <w:br/>
        <w:t>14. The communicated Operation, as it involves a merger by incorporation between two companies, constitutes a concentration pursuant to Article 5, paragraph 1, letter b), of Law No. 287/1990.</w:t>
        <w:br/>
        <w:t>15. The Operation falls within the scope of application of Law No. 287/1990, as the conditions set out in Article 1 of Regulation (EC) No. 139/2004 do not apply, and is subject to the obligation of prior notification provided for by Article 16, paragraph 1, of the same law, as the total revenue generated, in the last fiscal year at the national level, by the group of companies involved in the operation was over 582 million euros and the revenue generated in the last</w:t>
        <w:br/>
        <w:t>8 That is, those subjects who, at the date of signing the contract between the parties, are or have been in the six months preceding employees, directors, continuous and exclusive self-employed collaborators, and agents of UNICO and/or CEF. See doc. 99.1.</w:t>
      </w:r>
    </w:p>
    <w:p>
      <w:r>
        <w:rPr>
          <w:b/>
        </w:rPr>
        <w:t>[Pages 124–126]</w:t>
      </w:r>
    </w:p>
    <w:p>
      <w:r>
        <w:t>126 BULLETIN NO. 32 OF AUGUST 18, 2025</w:t>
      </w:r>
    </w:p>
    <w:p>
      <w:r>
        <w:t>the turnover achieved at the national level by at least two of the companies involved has been over 35 million euros.</w:t>
      </w:r>
    </w:p>
    <w:p>
      <w:r>
        <w:t>16. The non-competition and non-solicitation agreement signed by the Parties and described in the previous paragraph can be considered directly connected and necessary for the realization of the Operation limited to CEF and UFN-UFFVG, as it is functional to safeguarding the value of the joint enterprise, provided that the partners are allowed to acquire shares in other companies solely for investment purposes. As for the minority partners of UNICO, the agreements in question are to be considered ancillary to the extent that they are temporally limited to a period of two years due to the absence of transfer of know-how9 and confined to the territory in which UNICO was active, and provided that such partners are not prevented from acquiring shares in other companies solely for financial investment purposes.</w:t>
      </w:r>
    </w:p>
    <w:p>
      <w:r>
        <w:t>IV. THE INSTRUCTIONAL PROCEDURE</w:t>
      </w:r>
    </w:p>
    <w:p>
      <w:r>
        <w:t>17. The Operation was communicated by CEF and UNICO on April 18, 2025. On May 13, 2025, the Authority initiated the present investigation, pursuant to Article 16, paragraph 4, of Law No. 287/1990, against CEF and UNICO as the Operation appeared likely to significantly hinder effective competition, pursuant to Article 6, paragraph 1, of Law No. 287/1990, particularly also due to the establishment or strengthening of a dominant position, in the eleven local markets of wholesale distribution of specialties and para-pharmaceutical products built around the CEF warehouses located in Brescia, Lallio (BG), Erba (CO), Cremona, Bolzano Vicentino (VI), and Scorzé (VE) and the UNICO warehouses located in Lainate (MI), Nogarole Rocca (VR), Udine, Calderara (BO), and Novara.</w:t>
      </w:r>
    </w:p>
    <w:p>
      <w:r>
        <w:t>18. During the procedure, several requests for information were made to the Parties10 and to operators active in intermediate distribution in Italy11. Furthermore, in order to better understand the demand dynamics expressed by pharmacies, the Authority conducted a sample market research on over seven hundred pharmacies in Lombardy, Veneto, and Friuli-Venezia Giulia12. Additionally, several hearings were held with the Parties13 and with the intermediate operators Unifarm S.p.A.14, Phoenix Pharma Italia S.p.A.15, and So.farma. Morra S.p.A.16 and Unifarma Distribuzione S.p.A.17.</w:t>
      </w:r>
    </w:p>
    <w:p>
      <w:r>
        <w:t>9 “Communication from the European Commission on restrictions directly related and necessary to concentration operations” (2005/C 56/03), in OJCE of March 5, 2005.</w:t>
      </w:r>
    </w:p>
    <w:p>
      <w:r>
        <w:t>10 See docs. 3, 77, 158.</w:t>
      </w:r>
    </w:p>
    <w:p>
      <w:r>
        <w:t>11 See docs. 5, 6, 7, 8, 9, 10, 11, 12, 13, 14, 15, 16, 17, 18, 19, 20, 21, 22, 23, 24, 25, 26, 27, 28, 29, 69, 70, 71, 72, 84, 85, 86, 87, 88, 89, 90, 91, 92, 93, 94, 95, 96.</w:t>
      </w:r>
    </w:p>
    <w:p>
      <w:r>
        <w:t>12 In particular, four hundred twenty pharmacies in Lombardy out of a total of about three thousand pharmacies, two hundred in Veneto out of a total of about one thousand five hundred pharmacies, and eighty in Friuli-Venezia Giulia out of about four hundred total pharmacies (see doc. 178).</w:t>
      </w:r>
    </w:p>
    <w:p>
      <w:r>
        <w:t>13 See docs. 122, 158, 186, 190.</w:t>
      </w:r>
    </w:p>
    <w:p>
      <w:r>
        <w:t>14 See doc. 175.</w:t>
      </w:r>
    </w:p>
    <w:p>
      <w:r>
        <w:t>15 See doc. 171.</w:t>
      </w:r>
    </w:p>
    <w:p>
      <w:r>
        <w:t>16 See doc. 176.</w:t>
      </w:r>
    </w:p>
    <w:p>
      <w:r>
        <w:t>17 See doc. 174.</w:t>
      </w:r>
    </w:p>
    <w:p>
      <w:r>
        <w:t>127 BULLETIN NO. 32 OF AUGUST 18, 2025</w:t>
      </w:r>
    </w:p>
    <w:p>
      <w:r>
        <w:t>19. The Parties submitted voluntary corrective measures on May 29, 202518, subsequently integrating them on June 4, 9, 25, and 26, 202519. Finally, the definitive proposal for corrective measures was received on July 9, 202520.</w:t>
      </w:r>
    </w:p>
    <w:p>
      <w:r>
        <w:t>20. On July 16, 2025, the Communication of the Instructional Findings was sent to the Parties. The Parties did not submit final briefs and did not request to be heard by the Board, having expressly waived such rights21.</w:t>
      </w:r>
    </w:p>
    <w:p>
      <w:r>
        <w:t>V. THE INSTRUCTIONAL FINDINGS</w:t>
      </w:r>
    </w:p>
    <w:p>
      <w:r>
        <w:t>V.1. The pharmaceutical supply chain</w:t>
      </w:r>
    </w:p>
    <w:p>
      <w:r>
        <w:t>21. CEF and UNICO perform the activity of intermediate distributor, that is, the wholesaler that purchases medicines and other products to then resell them to customers (pharmacies, para-pharmacies, hospitals, home delivery). In order to understand the potential impacts of the operation, it seems appropriate to briefly describe the pharmaceutical supply chain, which is structured on four main levels: (i) the industry; (ii) the depositaries; (iii) the intermediate distributors (or wholesalers); and (iv) the customers (pharmacies, hospitals, and recipients of home deliveries).</w:t>
      </w:r>
    </w:p>
    <w:p>
      <w:r>
        <w:t>18 See doc. 162.</w:t>
      </w:r>
    </w:p>
    <w:p>
      <w:r>
        <w:t>19 See docs. 164, 167, 181, 183, 187.</w:t>
      </w:r>
    </w:p>
    <w:p>
      <w:r>
        <w:t>20 See doc. 188.</w:t>
      </w:r>
    </w:p>
    <w:p>
      <w:r>
        <w:t>21 See doc. 195.</w:t>
      </w:r>
    </w:p>
    <w:p>
      <w:r>
        <w:t>128 BULLETIN NO. 32 OF AUGUST 18, 2025</w:t>
      </w:r>
    </w:p>
    <w:p>
      <w:r>
        <w:t>Figure 1 – Exemplary scheme of the pharmaceutical supply chain22</w:t>
      </w:r>
    </w:p>
    <w:p>
      <w:r>
        <w:t>22. The first level consists of the industry, that is, the companies that produce and/or market products in the pharmaceutical, medical devices, health biotech, pharmacy cosmetics, supplements and nutraceuticals, and homeopathy categories. Medicines (ethical/RX, SOP/OTC23) represent about 65% of final sales (see Figure 2 below), while the remaining sales are mainly represented (excluding, therefore, nutrition products and veterinary medicines, which constitute residual shares) by supplements (about 18%) and hygiene and beauty products (8%) and para-pharmaceuticals (5%).</w:t>
      </w:r>
    </w:p>
    <w:p>
      <w:r>
        <w:t>22 See doc. 4.1</w:t>
      </w:r>
    </w:p>
    <w:p>
      <w:r>
        <w:t>23 An "Ethical" drug is one prescribed by a doctor (so-called RX drug) and is distinguished from the so-called over-the-counter or self-medication drug. In particular, for reimbursement purposes, drugs are classified into different categories. Category A includes essential drugs and those for chronic diseases, fully reimbursed by the SSN and supplied through territorial pharmacies or healthcare facilities. Category A drugs are all subject to the obligation of medical prescription. Category C includes drugs fully borne by the patient. With reference to the supply regime, category C drugs are distinguished into drugs requiring a medical prescription and drugs not requiring a medical prescription (SOP). Additionally, there are category C-bis drugs, which are drugs not requiring a medical prescription used for mild or minor conditions with access to advertising (OTC) identified by Law No. 537/1993. Ethical/RX drugs are, therefore, category A drugs and only category C drugs requiring a prescription (excluding SOP and C-bis/OTC).</w:t>
      </w:r>
    </w:p>
    <w:p>
      <w:r>
        <w:rPr>
          <w:b/>
        </w:rPr>
        <w:t>[Pages 127–129]</w:t>
      </w:r>
    </w:p>
    <w:p>
      <w:r>
        <w:t xml:space="preserve">BULLETIN NO. 32 OF AUGUST 18, 2025 129  </w:t>
        <w:br/>
        <w:t xml:space="preserve">Figure 2 – Types of products sold to the public in pharmacies (June 2024)24  </w:t>
        <w:br/>
        <w:t xml:space="preserve">23. The depositaries are service providers that store and distribute products to intermediate distributors and/or customers without acquiring ownership but operating on behalf of the holders of the Marketing Authorization (AIC) - that is, the entities present at the Industry level - based on contracts concluded with them. This level is usually defined as primary distribution.  </w:t>
        <w:br/>
        <w:t xml:space="preserve">24. Intermediate distributors (or wholesalers) are companies authorized to market medicinal products for human use, excluding the supply of pharmaceutical products to the public, and they hold ownership. These companies distribute products to local healthcare facilities (mainly pharmacies and para-pharmacies); there are also companies that specialize in offering to healthcare facilities only, particularly private ones25. This stage of the supply chain is referred to as secondary distribution.  </w:t>
        <w:br/>
        <w:t xml:space="preserve">25. As for the final stage of the supply chain, customers are represented by pharmacies, hospitals, and other structures of the national health system, and, in the case of home deliveries, by individual end users. As can be seen in Figure 3, physical pharmacies account for about 85% of total retail sales (of which 47% for prescription pharmaceutical products - ethical/RX - and 38% for other products), GDO (pharmaceutical and/or para-pharmaceutical corners at GDO sales points) accounts for about 9% of retail sales, para-pharmacies about 3%, and online sales about 4% of total retail sales.  </w:t>
        <w:br/>
        <w:t xml:space="preserve">24 See doc. 4.6.  </w:t>
        <w:br/>
        <w:t>25 See doc. 4.2.</w:t>
      </w:r>
    </w:p>
    <w:p>
      <w:r>
        <w:t xml:space="preserve">130 BULLETIN NO. 32 OF AUGUST 18, 2025  </w:t>
        <w:br/>
        <w:t xml:space="preserve">Figure 3 – Different sales channels for medicines (June 2024)26  </w:t>
        <w:br/>
        <w:t xml:space="preserve">V.2. The market context  </w:t>
        <w:br/>
        <w:t xml:space="preserve">V.2.a. Distribution aspects  </w:t>
        <w:br/>
        <w:t xml:space="preserve">26. The Intermediate Distribution of Medicines is a fundamental link in the pharmaceutical supply chain, officially recognized as an essential public service for health protection, which allows the availability of medicines and related products throughout the national territory within a few hours27. The intermediate distributor thus acts as an intermediary in the pharmaceutical supply chain between pharmaceutical companies and final distribution (i.e., pharmacies), ensuring the availability and delivery of products in a timely manner (usually several times a day) across the national territory.  </w:t>
        <w:br/>
        <w:t xml:space="preserve">27. According to Articles 99 et seq. of Legislative Decree No. 219 of April 24, 2006, implementing "Directive 2001/83/EC (and subsequent amendments) concerning a Community code relating to medicinal products for human use," secondary distribution of medicines is subject to the possession of an authorization issued by the Region, the Autonomous Province, or competent authorities delegated by them, which specifies for which premises, established in their territory, it is valid.  </w:t>
        <w:br/>
        <w:t xml:space="preserve">28. The authorization for distribution is issued only following an inspection that verifies compliance with certain conditions, such as the presence of suitable premises and equipment to ensure adequate storage and distribution of medicines, the presence of a responsible person and staff who meet specific professional requirements, as well as the constant compliance with regulatory obligations28.  </w:t>
        <w:br/>
        <w:t xml:space="preserve">29. Intermediate distributors are subject to public service obligations consisting of29: (i) holding at least the medicines listed in Table 2 attached to the official pharmacopoeia of the Italian Republic, as well as a range of medicines holding an AIC, including homeopathic medicines, that is sufficient to meet the needs of the territory to which the wholesale distribution authorization refers; (ii) holding in stock at least 90% of A-category medicines; (iii) delivering to pharmacies within twelve working hours following the order.  </w:t>
        <w:br/>
        <w:t xml:space="preserve">30. Distribution aspects thus acquire a central role in the competitive dynamics of intermediate distribution30. In this sense, multiple intermediate distributors, as well as the Parties themselves, have emphasized that intermediate distributors deliver on average at least twice a day to all pharmacies in the territory31.  </w:t>
        <w:br/>
        <w:t xml:space="preserve">31. In this context, it has been observed by most intermediate operators that, in addition to regulatory constraints regarding delivery obligations, the distance of warehouses plays a significant role in the activity of the intermediate distributor, especially in areas where the infrastructural and orographic characteristics of the territory significantly affect mobility32. For example, an intermediate distributor noted that "the distance between the warehouse location and the client Pharmacy must allow for a quality delivery in reasonable and competitive times, trying to deliver to pharmacies at times that allow the pharmacist to provide good service to the citizen in terms of safe and quick availability of all products"33.  </w:t>
        <w:br/>
        <w:t xml:space="preserve">32. Another element to consider is the density of pharmacies present in the territory as "the presence of economies of density is a determining factor: in areas with a high concentration of pharmacies, distribution costs per unit decrease, allowing for more advantageous commercial conditions. Furthermore, the possibility of making multiple daily deliveries  </w:t>
        <w:br/>
        <w:t xml:space="preserve">28 In particular, pursuant to Article 104 of Legislative Decree No. 219/2006, the holder of wholesale distribution is required, among other things, to: (i) procure medicines only from the AIC holder or from other authorized distributors; (ii) supply medicines only to pharmacies/para-pharmacies and to structures authorized to purchase medicines; (iii) ensure that the medicines received are not counterfeit, verifying the labels on the outer packaging; (iv) possess an emergency plan that ensures the effective implementation of any market withdrawal action ordered by AIFA or initiated in cooperation with the manufacturer or the holder of the AIC of the medicine in question; (v) maintain documentation related to the flows of purchases and sales.  </w:t>
        <w:br/>
        <w:t xml:space="preserve">29 See Article 105 of Legislative Decree No. 219/2006. See also doc. 98.  </w:t>
        <w:br/>
        <w:t xml:space="preserve">30 See docs. 30, 36.1, 41, 42, 45, 47, 48, 49, 51, 52.  </w:t>
        <w:br/>
        <w:t xml:space="preserve">31 In this sense, CDF - Centro Distribuzione del Farmaco S.p.A. observes that "Pharmacies normally order from distributors electronically at least 2 times a day; by 1 PM to receive goods in the early afternoon and by 7:30 PM for delivery before the start of business the following morning. In some cases, depending on the distance from the warehouse, intermediate and/or urgent deliveries are made." (see doc. 41).  </w:t>
        <w:br/>
        <w:t xml:space="preserve">32 On this point, Re Roberto S.p.A. observes that "the location of the warehouse is significant, especially in a territory lacking infrastructure such as Sicily. In the area where Re Roberto S.p.A. operates, it is essential to have a warehouse in Palermo or in the immediate vicinity (in fact, almost all players have one in the aforementioned area), as this allows for timely delivery service to both the pharmacies in the capital and those in the province." (see doc. 30).  </w:t>
        <w:br/>
        <w:t>33 See doc. 41. In this sense, DM Barone S.p.A. observes that "the distance of the warehouses from the location of the pharmacies and logistical aspects must ensure competitive standards in the intermediate distribution market, allowing at least two daily deliveries during the opening hours (morning and afternoon) of the pharmacies. The warehouses must also ensure optimal management of stocks, in optimal numbers of references treated in quantities adequate to guarantee the highest percentage of order fulfillment, while still taking into account storage costs." (see doc. 45).</w:t>
      </w:r>
    </w:p>
    <w:p>
      <w:r>
        <w:rPr>
          <w:b/>
        </w:rPr>
        <w:t>[Pages 130–132]</w:t>
      </w:r>
    </w:p>
    <w:p>
      <w:r>
        <w:t>132 BULLETIN NO. 32 OF AUGUST 18, 2025</w:t>
      </w:r>
    </w:p>
    <w:p>
      <w:r>
        <w:t xml:space="preserve">and managing urgent orders represents a competitive element that can influence the choice of distributor by pharmacies”34.  </w:t>
        <w:br/>
        <w:t xml:space="preserve">33. The role played by logistical aspects has further increased in recent years, due to the rise in transportation costs and the need to achieve economies of scale and optimizations in logistics35. In fact, logistics “represents an important variable as a supply service for pharmacies as there is a tendency towards greater product turnover with a reduction in storage costs”36.  </w:t>
        <w:br/>
        <w:t xml:space="preserve">34. Essentially, therefore, “it is necessary to have a logistics organization that allows for the receipt of customer orders as late as possible and delivery to the pharmacy as early as possible in proximity to the two daily openings of pharmacies (morning and afternoon). For this reason, the operational radius of a single warehouse is limited by the ability to deliver within a time frame that the customer considers acceptable, especially regarding afternoon delivery”37. In fact, “it is undeniable that the best area for the intermediate distributor to cover is that adjacent to the warehouse itself, where the delivery distance is very short and allows for very rapid times between order taking […]. The clientele to be served must be at a distance such that at least two daily deliveries can be made, of which the critical one is that of the early afternoon, where one must move with the order taking by 1 PM and delivery at the latest by 4:30 PM at the pharmacy, for at least 6 days a week (Sunday excluded)”38.  </w:t>
        <w:br/>
        <w:t xml:space="preserve">35. As for the distances normally traveled by intermediate distributors, in addition to a maximum operational limit due to the aforementioned delivery constraints39, a general variability of these distances has emerged due to (i) exogenous factors, related to the characteristics of the territory in which such intermediate distributors are present (for example, road and orographic characteristics40, as well as the density of customers in the area41); (ii) endogenous factors, arising from the choices of individual companies (related to the distances covered by each operator in relation to the number and location of its warehouses42).  </w:t>
        <w:br/>
        <w:t xml:space="preserve">36. Due to these elements, it has emerged that the distances ordinarily traveled by intermediate distributors are within 70-76 km by road to reach 70% of customers in terms of revenue and within 130-135 km by road to reach 90% of customers in terms of revenue (Table 1).  </w:t>
        <w:br/>
        <w:t xml:space="preserve">Table 1 – Distances normally traveled by intermediate distributors43  </w:t>
        <w:br/>
        <w:t xml:space="preserve">Distance traveled Distance traveled to  </w:t>
        <w:br/>
        <w:t xml:space="preserve">Intermediate Distributor reach 70% of customers reach 90% of customers  </w:t>
        <w:br/>
        <w:t xml:space="preserve">CEF 40-60 km 60-80 km  </w:t>
        <w:br/>
        <w:t xml:space="preserve">UNICO 40-60 km 80-100 km  </w:t>
        <w:br/>
        <w:t xml:space="preserve">CDF – Centro Distribuzione del Farmaco S.p.A. 100-120 km 160-180 km  </w:t>
        <w:br/>
        <w:t xml:space="preserve">Farvima Medicinali S.p.A. 40-60 km n.d.  </w:t>
        <w:br/>
        <w:t xml:space="preserve">Guacci S.p.A. 80-100 km 140-160 km  </w:t>
        <w:br/>
        <w:t xml:space="preserve">VIM S.r.l. 160-180 km 400-420 km  </w:t>
        <w:br/>
        <w:t xml:space="preserve">So.Farma Morra S.p.A. 1-40 km 40-60 km  </w:t>
        <w:br/>
        <w:t xml:space="preserve">Unifarm S.p.A. 80-100 km 120-140 km  </w:t>
        <w:br/>
        <w:t xml:space="preserve">Unifarma Distribuzione S.p.A. 60-80 km n.d.  </w:t>
        <w:br/>
        <w:t xml:space="preserve">Farmacentro Servizi e Logistica Soc. Coop. 60-80 km 100-120 km  </w:t>
        <w:br/>
        <w:t xml:space="preserve">Alliance Healthcare Italia S.p.A. 60-80 km 100-120 km  </w:t>
        <w:br/>
        <w:t xml:space="preserve">Farmacisti Più Rinaldi S.p.A. 60-80 km 80-100 km  </w:t>
        <w:br/>
        <w:t xml:space="preserve">Phoenix Pharma Italia S.p.A. 60-80 km 100-120 km  </w:t>
        <w:br/>
        <w:t xml:space="preserve">La Farmaceutica S.p.A. 40-60 km 60-80 km  </w:t>
        <w:br/>
        <w:t xml:space="preserve">Simple average 76 km 135 km  </w:t>
        <w:br/>
        <w:t xml:space="preserve">Weighted average 71 km 131 km  </w:t>
        <w:br/>
        <w:t xml:space="preserve">41 In this regard, see doc. 67.1  </w:t>
        <w:br/>
        <w:t xml:space="preserve">42 In particular, an intermediate distributor with a greater number of warehouses reduces the distances traveled from a given warehouse where the adjacent area is served by another among its warehouses.  </w:t>
        <w:br/>
        <w:t xml:space="preserve">43 See docs. 83.3, 83.5, 100, 100.1, 101, 101.1, 102, 102.1, 103.1, 103.2, 104.1, 104.2, 105, 105.1, 107.1, 107.2, 109, 109.1, 111, 111.1, 112, 112.1, 113, 113.1, 117, 117.1. The weighted average is calculated using the revenues of the warehouses provided for 2024. For Unifarm, the warehouse located in Sardinia was not considered, while for Unifarma Distribuzione, warehouses in Liguria (Bussana di Sanremo, Vado Ligure, Genoa) were not considered as in both cases the orographic, road, and pharmacy density differences result in significant differences in the distances traveled. For example, for Sardinia, the distances traveled are usually greater than 120-140 km (see doc. 105.1), that is, more than half of the distances normally traveled in the remaining territories, while in Liguria the distances normally traveled are less than 40 km (see doc. 107.1).  </w:t>
        <w:br/>
        <w:t xml:space="preserve">37. It follows that 80% of customers are reached at a distance of about 100-105 km from the warehouse, on average44. This data appears to be confirmed by some intermediate distributors45.  </w:t>
        <w:br/>
        <w:t xml:space="preserve">V.2.b. Competitive dynamics experienced in the sale of medicines to pharmacies  </w:t>
        <w:br/>
        <w:t xml:space="preserve">38. With regard to the commercial policies of intermediate distributors, it is observed that the main competitive variables in supplying client pharmacies are price and timeliness of deliveries. In fact, price competition is not only found on unregulated pharmaceutical and parapharmaceutical products but also on A-category drugs, for which improved conditions compared to the minimums provided by national regulation are observed.  </w:t>
        <w:br/>
        <w:t xml:space="preserve">39. In particular, for A-category drugs46, whose incidence on the average revenue of a pharmacy is about 55% (see Figure 2), the regulations provide that the transfer by the pharmaceutical industry occurs by applying a minimum discount in favor of the intermediate distributor equal to 33.35% of the public price excluding VAT (to which an additional discount of 0.65% of the public price introduced by Law December 30, 2024 is added) and that, in turn, the intermediate distributor must guarantee pharmacies a minimum discount of 30.35%47. However, intermediate distributors can guarantee a discount greater than 30.35%48.  </w:t>
        <w:br/>
        <w:t xml:space="preserve">40. As for equivalent A-category drugs, an additional share of 8 percentage points in favor of the intermediate distributor is provided, a share that the latter can retain or pass on to pharmacies. For these drugs, a minimum discount that the intermediate distributor can apply to pharmacies is also provided, equal to 38.35% of the public price. For C-category drugs requiring a medical prescription, neither a minimum nor a maximum discount for the intermediate distributor and consequently for the pharmacy is provided. Finally, for C-category drugs distributed by pharmacies, so-called SOP (without prescription obligation) and OTC (over the counter), there are no regulatory constraints regarding public prices and margins for the supply chain, consequently the discounts in favor of wholesalers and pharmacies are variable, depending on the strategic and commercial choices of companies active in pharmaceutical distribution.  </w:t>
        <w:br/>
        <w:t xml:space="preserve">41. Pharmacies and wholesalers are interconnected through management software that allows each pharmacy to view in real time the prices and availability of products offered by each wholesaler, this mode is usually called “video offers”49.  </w:t>
        <w:br/>
        <w:t xml:space="preserve">42. In addition to A and C-category drugs (including OTC and SOP), in some regions, the distribution service on behalf of (DPC) is offered. This involves the direct distribution to patients of class 44 This data is calculated by interpolating the values related to the distances traveled to reach 70% and 90% of customers.  </w:t>
        <w:br/>
        <w:t xml:space="preserve">45 For example, Unifarma Distribuzione stated that “considering the most representative warehouses of Unifarma, about 80% of revenue is generated within a road distance of about 100–110 km” (see doc. 174).  </w:t>
        <w:br/>
        <w:t xml:space="preserve">46 According to Unifarm S.p.A., “about 47% of the revenue generated by the intermediate distributor is developed with A-category drugs, a category that is also regulated by the shares due in the supply chain and with very limited maneuvering space in terms of conditions, moreover, competition in the territories pushes distributors to offer discounts at the limit of the maximum possible threshold” (see doc. 49).  </w:t>
        <w:br/>
        <w:t xml:space="preserve">47 See doc. 98.1. See also docs. 36.1, 41, 42, 47, 48, 51, 52, 53, 57.1, 63.1, 66.1, 73.1.  </w:t>
        <w:br/>
        <w:t xml:space="preserve">48 According to the Parties, this is a “very frequent hypothesis” (see doc. 98.1).  </w:t>
        <w:br/>
        <w:t>49 In this regard, see also docs. 98.1, 30, 36.1, 41, 42, 47, 52, 74. In addition to these ordering methods, pharmacies place orders via teleselling, flyer orders through promoters or email, as well as through so-called transfer orders (see doc. 52).</w:t>
      </w:r>
    </w:p>
    <w:p>
      <w:r>
        <w:rPr>
          <w:b/>
        </w:rPr>
        <w:t>[Pages 133–135]</w:t>
      </w:r>
    </w:p>
    <w:p>
      <w:r>
        <w:t>BULLETIN NO. 32 OF AUGUST 18, 2025 135</w:t>
      </w:r>
    </w:p>
    <w:p>
      <w:r>
        <w:t>HT on behalf of the regional health service through pharmacies, which are supplied by the intermediate distributors contracted with the region50. The main ordering method of pharmacies is that carried out through management systems ("offers on screen"). In particular, management software usually allows pharmacies (i) to search for medicines and compare the offers of distributors that reach the pharmacy; (ii) to select products and (iii) to monitor their delivery. Management software also typically includes automated reorder management systems according to predetermined criteria51.</w:t>
      </w:r>
    </w:p>
    <w:p>
      <w:r>
        <w:t>43. CEF and UNICO observe that such management systems allow "pharmacies to compare supplier offers, applying best price logic to ensure the most convenient choice, with benefits also for the consumer. In addition to price, the purchasing decision may be influenced by service-related factors, for example, a wholesaler offers delivery faster than others, although for ethical drugs delivery generally occurs within 24 hours"52.</w:t>
      </w:r>
    </w:p>
    <w:p>
      <w:r>
        <w:t>44. The majority of intermediate distributors share the same view, noting that competition in pharmaceutical distribution is primarily based on video orders. In particular, "the vast majority of orders are transmitted electronically through the pharmacy's management system and therefore competition among distributors occurs daily based on the 'best price'. However, increasingly, the delivery costs applied by distributors based on the turnover of the client pharmacy play an important role in the pharmacist's choice"53.</w:t>
      </w:r>
    </w:p>
    <w:p>
      <w:r>
        <w:t>45. In this regard, according to internal documentation from CEF and UNICO, intermediate distribution appears to be a market characterized by significant pressure on margins, also due to the fact that for part of the demand (class A drugs) these are regulated, considering that the independent and non-loyal clientele (private pharmacies, not members of cooperatives, which constitute the majority of demand) is extremely sensitive to price changes and purchases from the most convenient distributor, also being able to compare prices through IT platforms54. This is also corroborated by internal documents highlighting that the margins of intermediate distributors, measured by EBITDAR55, are generally always below [1-5%], with CEF at [omissis] and UNICO at [omissis]56 (Figure 4 below).</w:t>
      </w:r>
    </w:p>
    <w:p>
      <w:r>
        <w:t>Figure 4 – Operating margin of main operators in intermediate distribution</w:t>
      </w:r>
    </w:p>
    <w:p>
      <w:r>
        <w:t>[omissis]</w:t>
      </w:r>
    </w:p>
    <w:p>
      <w:r>
        <w:t>46. Regarding the factors influencing the choice of distributor by pharmacies, the majority of intermediate distributors report that the main competitive variables are commercial conditions (discounts, bonuses, and payment terms)57 and distribution methods (for example, presence of minimum orders, flexibility and timeliness of delivery)58, as well as the presence of pharmacist cooperatives or membership in pharmacist consortia or pharmacy chains59 or networks60.</w:t>
      </w:r>
    </w:p>
    <w:p>
      <w:r>
        <w:t>V.2.c. Intermediate distribution in Italy and in the northeastern regions of Italy</w:t>
      </w:r>
    </w:p>
    <w:p>
      <w:r>
        <w:t>47. According to the information on record, the top five intermediate distributors account for about 60% of the total revenues generated in Italy for intermediate distribution activities, while the top 10 intermediate distributors represent about 85% of total national sales61. As specified below, the Operation concerns this phase of the supply chain.</w:t>
      </w:r>
    </w:p>
    <w:p>
      <w:r>
        <w:t>48. At the national level, CEF and UNICO are the second and third intermediate distributors in Italy (with a market share in value of [10-15%] and [5-10%], respectively, see Table 2 below), however, their positioning is extremely variable among the local areas considered based on the location of the warehouses.</w:t>
      </w:r>
    </w:p>
    <w:p>
      <w:r>
        <w:t>49. CEF has logistics branches in Lombardy (Cremona, Erba-CO, Lallio-BG, and Brescia), Veneto (Bolzano Vicentino-VI, Scorzé-VE), Lazio (Rome), Tuscany (Pisa), Campania (Nola-NA), and Puglia (Lecce, Lucera-FG, Modugno-BA). UNICO has logistics platforms in Lombardy (Lainate-MI), Veneto (Nogarole Rocca-VR), Friuli-Venezia Giulia (Udine), Lazio (Rome), Piedmont (Rivoli-TO, Novara), Emilia Romagna (Calderara sul Reno-BO), and Puglia (Modugno-BA).</w:t>
      </w:r>
    </w:p>
    <w:p>
      <w:r>
        <w:t>50. There is therefore a significant presence in terms of warehouses of the Parties in Northern Italy. In fact, considering the revenues of operators distributing in the regions of Lombardy, Veneto, and Friuli-Venezia Giulia (Table 2), the Parties hold joint market shares in terms of revenue of approximately [45-50%] in Lombardy and Friuli-Venezia Giulia and [35-40%] in Veneto.</w:t>
      </w:r>
    </w:p>
    <w:p>
      <w:r>
        <w:t>Table 2 – Revenue shares of the parties and major competitors and concentration indices at the regional level (millions of euros, %, year 2023)62</w:t>
      </w:r>
    </w:p>
    <w:p>
      <w:r>
        <w:t>[1.400- [650- [25- [250- [25- [20- [10-</w:t>
        <w:br/>
        <w:t>CEF S.c. a r.l. [10-15%]</w:t>
        <w:br/>
        <w:t>1.450] 700] 30%] 300] 30%] 25] 15%]</w:t>
        <w:br/>
        <w:t>UNICO La Farmacia [1.150- [350-</w:t>
        <w:br/>
        <w:t>[5-10%] [15-20%] [70-85] [5-10%] [70-85] [30-35%]</w:t>
        <w:br/>
        <w:t>dei Farmacisti S.p.A. 1.200] 400]</w:t>
        <w:br/>
        <w:t>[20- [40- [35- [45-</w:t>
        <w:br/>
        <w:t>Totale</w:t>
        <w:br/>
        <w:t>25%] 45%] 40%] 50%]</w:t>
      </w:r>
    </w:p>
    <w:p>
      <w:r>
        <w:t>61 See doc. 4.5. This data is confirmed by information obtained from intermediate distributors (Table 2 below) showing that, for 2023, the top five operators represent 58% of the total revenue generated in Italy, while the top ten operators represent 84% of the revenue. In this regard, Unifarm S.p.A. noted that "over the past two decades, the intermediate pharmaceutical distribution sector in Italy has undergone an intense phase of aggregation following the contraction of margins that has undermined the sustainability of many pharmacist-owned distributors, who, being dedicated to serving pharmacies, have had greater difficulty defending their margins. These companies have been acquired by both private wholesalers and other companies with a cooperative mission. The market has seen strong consolidation, with a reduced number of large distributors acquiring significant market shares. The progressive concentration of pharmaceutical wholesalers has led the top 9 distributors to represent about 80 percent of the market" (see doc. 49). See also doc. 53.</w:t>
      </w:r>
    </w:p>
    <w:p>
      <w:r>
        <w:t>62 Elaborations based on data from intermediate distributors, docs. 63.1 (Alliance Healthcare ITALIA Distribuzione S.p.A., Farm-Alarico S.p.A., DI.FAR. S.p.A.), 41.1 (CDF - Centro Distribuzione del Farmaco S.p.A.), 79.1 (CE.DI.FAR. S.r.l.), 55.1 (CEF S.c. a r.l.), 74.2 (Cofardis S.p.A.), 40 and 45.2 (Co.Farm Distribuzione S.r.l.), 45.1 (DM Barone S.p.A.), 44.1 (Farla Soc. Coop.), 65.1 (Farma Carmine Petrone S.r.l., Euromed Pharma S.r.l., Farmacie Petrone S.r.l., Programmi Sanitari Integrati S.r.l.), 53.1 (Farmacentro Servizi e Logistica Soc. Coop., APF S.p.A.), 47.4 (Farmaceutici Donati s.n.c), 36.1 (Farmaceutici S.V.I.M.A. S.r.l.), 52.1 (Farmacisti PIU RINALDI S.p.A.), 67.2 (Farvima Medicinali S.p.A., Sofad S.r.l., Safar Distribuzione Medicinali Abruzzo S.p.A.), 50.1 (Farzedi S.r.l.), 42.1 (Galatinamed S.r.l.), 58.1 (Guacci S.p.A., Spemital S.p.A., Farmaca – Farmaceutici Cannone S.p.A. incorporated in Guacci S.p.A), 57.2 (La Farmaceutica S.p.A.), 66.2 (PHOENIX Pharma Italia S.p.A., Comifar Distribuzione S.p.A., Spem S.p.A, Farmalvarion S.p.A, Difarma S.p.A.), 30.1 (Re Roberto S.p.A.), 51.1 (Riccobono S.p.A.), 48.2 (So.Farma. Morra S.p.A., Farmacisti Associati Piemonte- FAP S.r.l., Newcotafarti S.r.l., Corofar Distribuzione S.r.l.), 48.2 and 51.2 (UFM-Unione Farmaceutica Mi.To S.r.l.), 54.1 (UNICO La Farmacia dei Farmacisti S.p.A.), 49.1 (UNIFARM S.p.A. - Unione Farmacisti Trentino Alto Adige, Roessler S.r.l., Unifarm Sardegna S.p.A., Unione Farmacisti Liguri SpA), 75.1 (Unifarma Distribuzione S.p.A.), 46.1 and 46.3 (V.I.M. S.r.l., Esa-farma S.r.l. incorporated in VIM), 115.2 (S.I.M.A. Società Ingrosso Medicinali e Affini S.p.A.), 73.2 (VIM G. Ottaviani S.p.A.) and 73.3 (Difar Distribuzione Srl). The shares are in line with those provided by the Parties (see doc. 98.1).</w:t>
      </w:r>
    </w:p>
    <w:p>
      <w:r>
        <w:rPr>
          <w:b/>
        </w:rPr>
        <w:t>[Pages 136–138]</w:t>
      </w:r>
    </w:p>
    <w:p>
      <w:r>
        <w:t>138 BULLETIN NO. 32 OF AUGUST 18, 2025</w:t>
      </w:r>
    </w:p>
    <w:p>
      <w:r>
        <w:t>PHOENIX Pharma [2,800- [700- [300-</w:t>
        <w:br/>
        <w:t>[20-25%] [30-35%] [30-35%] [55-70] [30-35%]</w:t>
        <w:br/>
        <w:t>Italia S.p.A. 2,850] 750] 350]</w:t>
        <w:br/>
        <w:t>Unifarm S.P.A.</w:t>
        <w:br/>
        <w:t>[150-</w:t>
        <w:br/>
        <w:t>Unione Farmacisti [500-550] [1-5%] [5-7.5] [&lt;1%] [15-20%] [1-3] [&lt;1%]</w:t>
        <w:br/>
        <w:t>200]</w:t>
        <w:br/>
        <w:t>Trentino-Alto Adige</w:t>
        <w:br/>
        <w:t>Farmacisti PIU</w:t>
        <w:br/>
        <w:t>[55-70] [&lt;1%] [&lt;1%] [&lt;1%] [&lt;1%] [1-5%] [40-55] [20-25%]</w:t>
        <w:br/>
        <w:t>RINALDI S.p.A.</w:t>
        <w:br/>
        <w:t>Alliance Healthcare [950-</w:t>
        <w:br/>
        <w:t>[5-10%] [70-85] [1-5%] [15-20] [1-5%] [&lt;1%] [&lt;1%]</w:t>
        <w:br/>
        <w:t>Italia S.p.A. 1,000]</w:t>
        <w:br/>
        <w:t>So.Farma. Morra [1,100-</w:t>
        <w:br/>
        <w:t>[5-10%] [&lt;1%] [&lt;1%] [10-15] [1-5%] [&lt;1%] [&lt;1%]</w:t>
        <w:br/>
        <w:t>S.p.A. 1,150]</w:t>
        <w:br/>
        <w:t>Farvima Medicinali [950- [100-</w:t>
        <w:br/>
        <w:t>[5-10%] [1-5%] [25-40] [1-5%] [&lt;1] [&lt;1%]</w:t>
        <w:br/>
        <w:t>S.p.A. 1,000] 150]</w:t>
        <w:br/>
        <w:t>Unifarma</w:t>
        <w:br/>
        <w:t>[450-500] [1-5%] [25-40] [1-5%] [&lt;1] [&lt;1%] [&lt;1] [&lt;1%]</w:t>
        <w:br/>
        <w:t>Distribuzione S.p.A.</w:t>
        <w:br/>
        <w:t>V.I.M. S.r.l. [650-700] [5-10%] [55-70] [1-5%] [3-5] [&lt;1%] [1-3] [1-5%]</w:t>
        <w:br/>
        <w:t>VIM G. Ottaviani</w:t>
        <w:br/>
        <w:t>[200-250] [1-5%] [15-20] [&lt;1%] [7.5-10] [&lt;1%] [&lt;1] [&lt;1%]</w:t>
        <w:br/>
        <w:t>S.p.A.</w:t>
        <w:br/>
        <w:t>Farma Carmine</w:t>
        <w:br/>
        <w:t>[55-70] [&lt;1%] [10-15] [&lt;1%] [1-3] [&lt;1%] [1-3] [&lt;1%]</w:t>
        <w:br/>
        <w:t>Petrone S.r.l.</w:t>
        <w:br/>
        <w:t>La Farmaceutica [100-</w:t>
        <w:br/>
        <w:t>[100-150] [1-5%] [5-10%] [&lt;1] [&lt;1%] [&lt;1] [&lt;1%]</w:t>
        <w:br/>
        <w:t>S.p.A. 150]</w:t>
        <w:br/>
        <w:t>Farmacentro Servizi</w:t>
        <w:br/>
        <w:t>e Logistica Soc. [400-450] [1-5%] [&lt;1] [&lt;1%] [&lt;1] [&lt;1%]</w:t>
        <w:br/>
        <w:t>Coop.</w:t>
        <w:br/>
        <w:t>UFM-Unione</w:t>
        <w:br/>
        <w:t>[100-</w:t>
        <w:br/>
        <w:t>Farmaceutica Mi.To [100-150] [&lt;1%] [1-5%]</w:t>
        <w:br/>
        <w:t>150]</w:t>
        <w:br/>
        <w:t>S.r.l.63</w:t>
        <w:br/>
        <w:t>GUACCI S.p.A. [650-700] [5-10%]</w:t>
        <w:br/>
        <w:t>Riccobono S.p.A. [100-150] [&lt;1%]</w:t>
        <w:br/>
        <w:t>[950-</w:t>
        <w:br/>
        <w:t>Altri [5-10%] [3-5] [&lt;1%]</w:t>
        <w:br/>
        <w:t>1,000]</w:t>
        <w:br/>
        <w:t>Total overall 12,961.8 100.0% 2,298.1 100.0% 914.3 100.0% 214.5 100.0%</w:t>
        <w:br/>
        <w:t>HHI pre 1,000 2,136 2,440 2,685</w:t>
        <w:br/>
        <w:t>HHI post 1,202 3,050 2,967 3,463</w:t>
        <w:br/>
        <w:t>Delta HHI 202 914 527 779</w:t>
        <w:br/>
        <w:t>63 Joint control So.Farma. Morra S.p.A. - Riccobono S.p.A.</w:t>
      </w:r>
    </w:p>
    <w:p>
      <w:r>
        <w:t>BULLETIN NO. 32 OF AUGUST 18, 2025 139</w:t>
      </w:r>
    </w:p>
    <w:p>
      <w:r>
        <w:t>V.2.d. Competitive proximity and market shares</w:t>
        <w:br/>
        <w:t>51. From the perspective of geographical proximity between warehouses, Table 3 below provides the road distances between the warehouses of the Parties. In particular, the CEF warehouses in Lallio (BG) and Erba (CO) are located less than 100 km by road from the UNICO warehouses in Novara64 and Lainate. The CEF warehouse in Brescia is less than 100 km from the UNICO warehouse in Nogarole Rocca (VR) and just over 100 km from the UNICO warehouse in Lainate. Finally, the CEF warehouse in Bolzano Vicentino (VI) is less than 100 km from the UNICO warehouse in Nogarole Rocca (VR). Meanwhile, the CEF warehouses in Cremona and Scorzè Vicentino (VI) have distances greater than 110 km by road from the UNICO warehouses.</w:t>
        <w:br/>
        <w:t>Table 3 – Road distances between CEF warehouses and UNICO warehouses (km)65</w:t>
        <w:br/>
        <w:t>UNICO</w:t>
        <w:br/>
        <w:t>UNICO_1 UNICO_2 UNICO_4 UNICO_8</w:t>
        <w:br/>
        <w:t>_5</w:t>
        <w:br/>
        <w:t>Novara Lainate (MI) Calderara (BO) Udine Nogarole Rocca (VR)</w:t>
        <w:br/>
        <w:t>CEF_3 Lallio (BG) 96 56 246 344 131</w:t>
        <w:br/>
        <w:t>CEF_4 Brescia 144 103 195 296 83</w:t>
        <w:br/>
        <w:t>CEF_5 Cremona 162 124 158 335 122</w:t>
        <w:br/>
        <w:t>CEF_6 Erba (CO) 99 44 256 409 196</w:t>
        <w:br/>
        <w:t>Scorzè</w:t>
        <w:br/>
        <w:t>CEF_11 322 282 160 117 142</w:t>
        <w:br/>
        <w:t>(VE)</w:t>
        <w:br/>
        <w:t>Bolzano</w:t>
        <w:br/>
        <w:t>CEF_12 Vicentino 273 233 158 185 93</w:t>
        <w:br/>
        <w:t>(VI)</w:t>
        <w:br/>
        <w:t>52. Considering the areas around the CEF and UNICO warehouses reachable within a road distance of 100 km, the following table shows the revenue shares related to the warehouses of the Parties and the main competitors.</w:t>
        <w:br/>
        <w:t>64 On this point, it should be noted that, as can be seen in Table 6 below, the Novara warehouse predominantly serves the provinces of Varese, Milan, and Pavia.</w:t>
        <w:br/>
        <w:t>65 Elaborations based on data from the Parties regarding the geographical location of the warehouses (see docs. 83.3 and 83.5). Distances of less than 100 km are indicated in red, distances between 100 and 110 km are indicated in orange. It should be noted that the location of the warehouses is also verifiable on the website of the Ministry of Health (https://www.salute.gov.it/CercaSitiLogistici/CercaSitoLogistico). The same results regarding road distances are reached by the Parties (see doc. 188.6).</w:t>
      </w:r>
    </w:p>
    <w:p>
      <w:r>
        <w:t>140 BULLETIN NO. 32 OF AUGUST 18, 2025</w:t>
        <w:br/>
        <w:t>Table 4 – Revenue shares of areas within a maximum of 100 km road distance from each CEF and UNICO warehouse with overlaps66</w:t>
        <w:br/>
        <w:t>CEF 12 UNICO 8</w:t>
        <w:br/>
        <w:t>UNICO 2</w:t>
        <w:br/>
        <w:t>CEF 3 CEF 4 CEF 6 Bolzano UNICO 1 Nogarole</w:t>
        <w:br/>
        <w:t>Lainate</w:t>
        <w:br/>
        <w:t>Lallio (BG) Brescia Erba (CO) Vicentino Novara Rocca</w:t>
        <w:br/>
        <w:t>(MI)</w:t>
        <w:br/>
        <w:t>(VI) (VR)</w:t>
        <w:br/>
        <w:t>CEF 25-30% 30-35% 15-20% 30-35% 15-20% 15-20% 50-55%</w:t>
        <w:br/>
        <w:t>UNICO 15-20% 5-10% 15-20% 10-15% 15-20% 15-20% 10-15%</w:t>
        <w:br/>
        <w:t>Total 40-45% 35-40% 30-35% 40-45% 30-35% 35-40% 60-65%</w:t>
        <w:br/>
        <w:t>Phoenix Pharma Italia 30-35% 45-50% 35-40% 45-50% 35-40% 35-40% 20-25%</w:t>
        <w:br/>
        <w:t>Farvima Medicinali 5-10% 5-10% 5-10% 1-5% 5-10% 5-10% 1-5%</w:t>
        <w:br/>
        <w:t>VIM 1-5% 1-5% &lt;1% 1-5% 1-5% &lt;1%</w:t>
        <w:br/>
        <w:t>La Farmaceutica</w:t>
        <w:br/>
        <w:t>5-10% 5-10% 5-10% 5-10%</w:t>
        <w:br/>
        <w:t>S.p.A.</w:t>
        <w:br/>
        <w:t>Unifarma</w:t>
        <w:br/>
        <w:t>&lt;1% 1-5% &lt;1%</w:t>
        <w:br/>
        <w:t>Distribuzione</w:t>
        <w:br/>
        <w:t>UFM Mito 1-5% 1-5% 1-5% 1-5% 1-5%</w:t>
        <w:br/>
        <w:t>Unifarm 1-5%</w:t>
        <w:br/>
        <w:t>So.Farma Morra 1-5%</w:t>
        <w:br/>
        <w:t>2,416,797 1,837,572 2,262,413 2,304,220 2,154,095 826,286.</w:t>
        <w:br/>
        <w:t>Total revenue 855,261,515</w:t>
        <w:br/>
        <w:t>.898 .443 .395 .033 .735 322</w:t>
        <w:br/>
        <w:t>HHI post-merger 3,154 3,603 2,832 4,148 2,565 2,908 4,430</w:t>
        <w:br/>
        <w:t>Delta HHI 862 308 577 701 556 637 1,087</w:t>
        <w:br/>
        <w:t>53. Furthermore, in order to provide a sensitivity analysis of the data, the following table provides the revenue shares considering the areas around the CEF and UNICO warehouses reachable within a road distance of 110 km.</w:t>
        <w:br/>
        <w:t>66 Elaborations based on data from the Parties and intermediate distributors (see docs. 83.3, 83.5, 100, 100.1, 101, 101.1, 102, 102.1, 103.1, 103.2, 104.1, 104.2, 105, 105.1, 107.1, 107.2, 109, 109.1, 111, 111.1, 112, 112.1, 113, 113.1, 117, 117.1). It should be noted that the areas around the CEF 5 Cremona, CEF 11 Scorzè (VE), UNICO 4 Calderara (BO), and UNICO 5 Udine warehouses were not considered, as there are no overlaps within that road distance.</w:t>
      </w:r>
    </w:p>
    <w:p>
      <w:r>
        <w:rPr>
          <w:b/>
        </w:rPr>
        <w:t>[Pages 139–141]</w:t>
      </w:r>
    </w:p>
    <w:p>
      <w:r>
        <w:t xml:space="preserve">BULLETIN NO. 32 OF AUGUST 18, 2025 141  </w:t>
        <w:br/>
        <w:t xml:space="preserve">Table 5 - Revenue shares of areas located at a maximum of 110 km by road from each CEF and UNICO depot with overlaps67  </w:t>
        <w:br/>
        <w:t xml:space="preserve">CEF 25-30% 25-30% 15-20% 30-35% 10-15% 25-30% 30-35%  </w:t>
        <w:br/>
        <w:t xml:space="preserve">UNICO 15-20% 15-20% 15-20% 10-15% 10-15% 15-20% 5-10%  </w:t>
        <w:br/>
        <w:t xml:space="preserve">Total 40-45% 40-45% 30-35% 40-45% 25-30% 40-45% 35-40%  </w:t>
        <w:br/>
        <w:t xml:space="preserve">Phoenix Pharma Italia 30-35% 35-40% 35-40% 45-50% 30-35% 30-35% 10-15%  </w:t>
        <w:br/>
        <w:t xml:space="preserve">Farvima Medicinali 5-10% 5-10% 5-10% 1-5% 1-5% 5-10% 1-5%  </w:t>
        <w:br/>
        <w:t xml:space="preserve">VIM 1-5% 1-5% 1-5% &lt;1% 1-5% 1-5% &lt;1%  </w:t>
        <w:br/>
        <w:t xml:space="preserve">La Farmaceutica  </w:t>
        <w:br/>
        <w:t xml:space="preserve">5-10% 5-10% 5-10% 5-10%  </w:t>
        <w:br/>
        <w:t xml:space="preserve">S.p.A.  </w:t>
        <w:br/>
        <w:t xml:space="preserve">Unifarma  </w:t>
        <w:br/>
        <w:t xml:space="preserve">&lt;1% &lt;1% 10-15% 1-5%  </w:t>
        <w:br/>
        <w:t xml:space="preserve">Distribuzione  </w:t>
        <w:br/>
        <w:t xml:space="preserve">UFM Mito 1-5% 1-5% 1-5% 5-10% 1-5%  </w:t>
        <w:br/>
        <w:t xml:space="preserve">Unifarm 1-5% 25-30%  </w:t>
        <w:br/>
        <w:t xml:space="preserve">So.Farma Morra 1-5%  </w:t>
        <w:br/>
        <w:t xml:space="preserve">Farmacentro Servizi  </w:t>
        <w:br/>
        <w:t xml:space="preserve">5-10%  </w:t>
        <w:br/>
        <w:t xml:space="preserve">e Logistica  </w:t>
        <w:br/>
        <w:t xml:space="preserve">2.534.818.3 2.210.46 2.262.413 2.639.305.2 2.511.95 1.312.582.  </w:t>
        <w:br/>
        <w:t xml:space="preserve">Total revenue 855.261.515  </w:t>
        <w:br/>
        <w:t xml:space="preserve">85 5.485 .395 03 1.375 509  </w:t>
        <w:br/>
        <w:t xml:space="preserve">HHI post-merger 3200 3463 2832 4148 2251 2934 2690  </w:t>
        <w:br/>
        <w:t xml:space="preserve">Delta HHI 898 899 577 701 424 798 455  </w:t>
        <w:br/>
        <w:t xml:space="preserve">54. In order to provide a more complete picture regarding the depots, the following table shows the provinces predominantly served by the aforementioned depots, along with an estimate of the provincial revenue share generated by CEF and UNICO.  </w:t>
        <w:br/>
        <w:t>67 Elaborations based on data from the Parties and intermediate distributors (see docs. 83.3, 83.5, 100, 100.1, 101, 101.1, 102, 102.1, 103.1, 103.2, 104.1, 104.2, 105, 105.1, 107.1, 107.2, 109, 109.1, 111, 111.1, 112, 112.1, 113, 113.1, 117, 117.1). It should be noted that the areas around the CEF 5 Cremona, CEF 11 Scorzè (VE), UNICO 4 Calderara (BO), and UNICO 5 Udine depots were not considered as there are no overlaps within that road distance.</w:t>
      </w:r>
    </w:p>
    <w:p>
      <w:r>
        <w:t xml:space="preserve">142 BULLETIN NO. 32 OF AUGUST 18, 2025  </w:t>
        <w:br/>
        <w:t xml:space="preserve">Table 6 – Provinces predominantly served by CEF and UNICO depots68  </w:t>
        <w:br/>
        <w:t xml:space="preserve">Share Additional Additional  </w:t>
        <w:br/>
        <w:t xml:space="preserve">Share  </w:t>
        <w:br/>
        <w:t xml:space="preserve">Provinces Share provincial deposits of deposits of  </w:t>
        <w:br/>
        <w:t xml:space="preserve">Depot Location provincial Delta  </w:t>
        <w:br/>
        <w:t xml:space="preserve">served by the provincial CEF that UNICO that  </w:t>
        <w:br/>
        <w:t xml:space="preserve">depot share HHI  </w:t>
        <w:br/>
        <w:t xml:space="preserve">UNICO  </w:t>
        <w:br/>
        <w:t xml:space="preserve">Bergamo 45-50% 15-20% 60-65% 1451 CEF 4 UNICO 2  </w:t>
        <w:br/>
        <w:t xml:space="preserve">UNICO 1, UNICO  </w:t>
        <w:br/>
        <w:t xml:space="preserve">Lallio Milano 10-15% 15-20% 30-35% 443 CEF 6  </w:t>
        <w:br/>
        <w:t xml:space="preserve">CEF 3 2  </w:t>
        <w:br/>
        <w:t xml:space="preserve">(BG)  </w:t>
        <w:br/>
        <w:t xml:space="preserve">Monza e  </w:t>
        <w:br/>
        <w:t xml:space="preserve">20-25% 10-15% 30-35% 515 CEF 6 UNICO 2  </w:t>
        <w:br/>
        <w:t xml:space="preserve">Brianza  </w:t>
        <w:br/>
        <w:t xml:space="preserve">Brescia 75-80% 1-5% 80-85% 307 UNICO 8  </w:t>
        <w:br/>
        <w:t xml:space="preserve">Mantova 30-35% 25-30% 55-60% 1736 CEF 5 UNICO 8  </w:t>
        <w:br/>
        <w:t xml:space="preserve">CEF 4 Brescia  </w:t>
        <w:br/>
        <w:t xml:space="preserve">Cremona 55-60% 1-5% 60-65% 480 CEF 5 UNICO 2  </w:t>
        <w:br/>
        <w:t xml:space="preserve">Bergamo 45-50% 15-20% 60-65% 1451 CEF 3 UNICO 2  </w:t>
        <w:br/>
        <w:t xml:space="preserve">Como 40-45% 25-30% 70-75% 2332 UNICO 2  </w:t>
        <w:br/>
        <w:t xml:space="preserve">Lecco 45-50% 20-25% 70-75% 2123 UNICO 2  </w:t>
        <w:br/>
        <w:t xml:space="preserve">UNICO 1, UNICO  </w:t>
        <w:br/>
        <w:t xml:space="preserve">Milano 10-15% 15-20% 30-35% 443 CEF 3  </w:t>
        <w:br/>
        <w:t xml:space="preserve">2  </w:t>
        <w:br/>
        <w:t xml:space="preserve">Erba  </w:t>
        <w:br/>
        <w:t xml:space="preserve">CEF 6 (CO) Monza e 20-25% 10-15% 30-35% 515 CEF 3 UNICO 2  </w:t>
        <w:br/>
        <w:t xml:space="preserve">Brianza  </w:t>
        <w:br/>
        <w:t xml:space="preserve">Sondrio 35-40% 0  </w:t>
        <w:br/>
        <w:t xml:space="preserve">UNICO 1, UNICO  </w:t>
        <w:br/>
        <w:t xml:space="preserve">Varese 20-25% 25-30% 45-50% 1114  </w:t>
        <w:br/>
        <w:t xml:space="preserve">2  </w:t>
        <w:br/>
        <w:t xml:space="preserve">Padova 35-40% 5-10% 45-50% 571 CEF 11 UNICO 8  </w:t>
        <w:br/>
        <w:t xml:space="preserve">Rovigo 30-35% 15-20% 50-55% 1206 CEF 11 UNICO 4  </w:t>
        <w:br/>
        <w:t xml:space="preserve">Bolzano  </w:t>
        <w:br/>
        <w:t xml:space="preserve">UNICO 5, UNICO  </w:t>
        <w:br/>
        <w:t xml:space="preserve">CEF 12 Treviso 20-25% 5-10% 30-35% 432 CEF 11  </w:t>
        <w:br/>
        <w:t xml:space="preserve">Vicentino (VI)  </w:t>
        <w:br/>
        <w:t xml:space="preserve">Vicenza 25-30% 1-5% 30-35% 290 UNICO 8  </w:t>
        <w:br/>
        <w:t xml:space="preserve">Verona 35-40% 5-10% 40-45% 570 UNICO 8  </w:t>
        <w:br/>
        <w:t xml:space="preserve">Varese 20-25% 25-30% 45-50% 1114 CEF 6 UNICO 2  </w:t>
        <w:br/>
        <w:t xml:space="preserve">UNICO  </w:t>
        <w:br/>
        <w:t xml:space="preserve">Novara Milano 10-15% 15-20% 30-35% 443 CEF 3, CEF 6 UNICO 2  </w:t>
        <w:br/>
        <w:t xml:space="preserve">1  </w:t>
        <w:br/>
        <w:t xml:space="preserve">Pavia 10-15% 15-20% 25-30% 352 CEF 5 UNICO 2  </w:t>
        <w:br/>
        <w:t xml:space="preserve">Milano 10-15% 15-20% 30-35% 443 CEF 3, CEF 6 UNICO 1  </w:t>
        <w:br/>
        <w:t xml:space="preserve">Varese 20-25% 25-30% 45-50% 1114 CEF 6 UNICO 1  </w:t>
        <w:br/>
        <w:t xml:space="preserve">UNICO Lainate  </w:t>
        <w:br/>
        <w:t xml:space="preserve">Pavia 10-15% 15-20% 25-30% 352 CEF 5 UNICO 1  </w:t>
        <w:br/>
        <w:t xml:space="preserve">2 e (MI)  </w:t>
        <w:br/>
        <w:t xml:space="preserve">Lodi 25-30% 5-10% 35-40% 480 CEF 5  </w:t>
        <w:br/>
        <w:t xml:space="preserve">Como 40-45% 25-30% 70-75% 2332 CEF 6  </w:t>
        <w:br/>
        <w:t>68 For the provinces served by the depots, see doc. 98.1. For the provincial revenue shares, see docs. 99.16.5 and 116.1.</w:t>
      </w:r>
    </w:p>
    <w:p>
      <w:r>
        <w:t xml:space="preserve">BULLETIN NO. 32 OF AUGUST 18, 2025 143  </w:t>
        <w:br/>
        <w:t xml:space="preserve">Monza e  </w:t>
        <w:br/>
        <w:t xml:space="preserve">20-25% 10-15% 30-35% 515 CEF 3, CEF 6  </w:t>
        <w:br/>
        <w:t xml:space="preserve">Brianza  </w:t>
        <w:br/>
        <w:t xml:space="preserve">Bergamo 45-50% 15-20% 60-65% 1451 CEF 3, CEF 4  </w:t>
        <w:br/>
        <w:t xml:space="preserve">Cremona 55-60% 1-5% 60-65% 480 CEF 4, CEF 5  </w:t>
        <w:br/>
        <w:t xml:space="preserve">Mantova 30-35% 25-30% 55-60% 1736 CEF 4, CEF 5  </w:t>
        <w:br/>
        <w:t xml:space="preserve">Brescia 75-80% 1-5% 80-85% 307 CEF 4  </w:t>
        <w:br/>
        <w:t xml:space="preserve">Verona 35-40% 5-10% 40-45% 570 CEF 12 UNICO 2  </w:t>
        <w:br/>
        <w:t xml:space="preserve">Nogaro  </w:t>
        <w:br/>
        <w:t xml:space="preserve">CEF 11, CEF UNICO 1, UNICO  </w:t>
        <w:br/>
        <w:t xml:space="preserve">UNICO le Padova 35-40% 5-10% 45-50% 571  </w:t>
        <w:br/>
        <w:t xml:space="preserve">12 2  </w:t>
        <w:br/>
        <w:t xml:space="preserve">8 Rocca  </w:t>
        <w:br/>
        <w:t xml:space="preserve">(VR) CEF 11, CEF  </w:t>
        <w:br/>
        <w:t xml:space="preserve">Treviso 20-25% 5-10% 30-35% 432 UNICO 2  </w:t>
        <w:br/>
        <w:t xml:space="preserve">12  </w:t>
        <w:br/>
        <w:t xml:space="preserve">Venezia 5-10% 25-30% 30-35% 382 CEF 11 UNICO 8  </w:t>
        <w:br/>
        <w:t xml:space="preserve">Vicenza 25-30% 1-5% 30-35% 290 CEF 12 UNICO 8  </w:t>
        <w:br/>
        <w:t xml:space="preserve">55. Regarding the competitive proximity between the Parties, it should be noted that CEF and UNICO have a very high number of shared customers. In particular, considering UNICO's customers, in Lombardy and Veneto more than 60% are also customers of CEF. Furthermore, considering the current customers of CEF, in Lombardy and Friuli-Venezia Giulia more than 40% and 80% respectively are also customers of UNICO (Table 7).  </w:t>
        <w:br/>
        <w:t xml:space="preserve">Table 7 – Competitive proximity: shared customers69  </w:t>
        <w:br/>
        <w:t xml:space="preserve">Lombardy Veneto Friuli-Venezia Giulia  </w:t>
        <w:br/>
        <w:t xml:space="preserve">Pharmacies customers exclusively of CEF (A) [omitted] [omitted] [omitted]  </w:t>
        <w:br/>
        <w:t xml:space="preserve">Pharmacies customers exclusively of UNICO (B) [omitted] [omitted] [omitted]  </w:t>
        <w:br/>
        <w:t xml:space="preserve">Pharmacies customers of both CEF and UNICO (C) [omitted] [omitted] [omitted]  </w:t>
        <w:br/>
        <w:t xml:space="preserve">Common customers as a percentage of total customers of CEF (C/A) 40-60% 20-40% 80-100%  </w:t>
        <w:br/>
        <w:t xml:space="preserve">Common customers as a percentage of total customers of UNICO (C/B) 60-80% 60-80% 20-40%  </w:t>
        <w:br/>
        <w:t xml:space="preserve">V.2.e. The cooperatives  </w:t>
        <w:br/>
        <w:t xml:space="preserve">56. In the Italian context of intermediate pharmaceutical distribution, two main business models can be distinguished: on one hand, operators with a private corporate structure - such as Phoenix, Vim, Alliance, etc. - and, on the other hand, operators organized in a cooperative form, such as CEF, UNICO, Farmacentro, among others. Cooperatives are a first form of aggregation of pharmacies, they were initially created to ensure the distribution of medicines to pharmacies and therefore specialized in logistics services. However, their role has evolved, sometimes taking on the function of a purchasing group and offering services to pharmacies such as training,  </w:t>
        <w:br/>
        <w:t>69 See doc. 114.1, p. 74. It is specified that the data refers to the percentage of shared customers between CEF and UNICO out of the total customers of the Parties and not out of the total pharmacies present in the individual region.</w:t>
      </w:r>
    </w:p>
    <w:p>
      <w:r>
        <w:rPr>
          <w:b/>
        </w:rPr>
        <w:t>[Pages 142–144]</w:t>
      </w:r>
    </w:p>
    <w:p>
      <w:r>
        <w:t>144 BULLETIN NO. 32 OF AUGUST 18, 2025</w:t>
      </w:r>
    </w:p>
    <w:p>
      <w:r>
        <w:t>management support and marketing activities70. In this sense, pharmacies associated with cooperatives play the role of cooperative members: they are both owners of the cooperative and recipients of the services it offers, such as logistics, training, management support, and marketing activities.</w:t>
      </w:r>
    </w:p>
    <w:p>
      <w:r>
        <w:t>57. Hereinafter, the term "member" or "associate" will refer to the pharmacy that is a member of the cooperative, while the term "affiliate" will refer to the pharmacy that is part of a network or franchise (see below).</w:t>
      </w:r>
    </w:p>
    <w:p>
      <w:r>
        <w:t>58. According to what emerged during the investigative activity, membership in the cooperative, in light of a series of benefits related to the aforementioned services, may, however, entail certain purchasing obligations towards the relevant intermediate distributor.</w:t>
      </w:r>
    </w:p>
    <w:p>
      <w:r>
        <w:t>59. Specifically, for CEF, the approximately [2,000-2,500] member pharmacies throughout Italy are, according to Article 14, paragraph 1, letter (c) of the Statute, subject to a procurement obligation with CEF equal to "the majority of [annual] purchases"71. In the Statute of the main cooperative of UNICO (UFN, with a total number of member pharmacies equal to [800-1,000]), although it does not provide for a similar statutory provision, the members are indirectly subject to a similar constraint, as UNICO approved, on June 30, 2022, a "Regulation for mutual exchange" which, in Article 3, imposes on its associates a purchasing obligation with UNICO for a minimum share equal to 20% of the total annual purchases72.</w:t>
      </w:r>
    </w:p>
    <w:p>
      <w:r>
        <w:t>V.2.f. Pharmacy networks and other aggregations</w:t>
      </w:r>
    </w:p>
    <w:p>
      <w:r>
        <w:t>60. With specific reference to pharmacies (i.e., the main customer of intermediate distributors), it is noteworthy that significant changes in their structure are occurring in Italy in recent years. In particular – in addition to the possibility, introduced in the late 1990s, of outsourcing the management of municipal pharmacies, leading to the first "chains" governed by large international distribution groups73 – there has been a trend towards the aggregation of individual independent pharmacies into cooperatives or networks. Furthermore, the Annual Law for the Market and Competition (Article 1, paragraph 157, Law 124/2017) has provided for the opening of pharmacy ownership to individuals not registered in the Pharmacists' Register and to capital companies and has allowed the creation of pharmacy chains, abolishing the maximum limit of four pharmacies owned by the same entity.</w:t>
      </w:r>
    </w:p>
    <w:p>
      <w:r>
        <w:t>70 On this point, see the SDA Bocconi study which shows that "The first form of aggregation emerged in the form of cooperatives. They were initially created to ensure the distribution of medicines to pharmacies and therefore specialized in logistics services. Only later did they have to equip themselves to support the associated pharmacies and, in particular, small pharmacies in managing the power imbalance with producers, also because the margins along the supply chain for the core business, namely medicines, are regulated by law. Once they expanded their activities to the commercial areas of pharmacies, OTC and parapharmaceuticals, cooperatives sought to develop the purchasing group function, but in a context completely different from that of other retail sectors. The commercial conditions that pharmacies enjoyed and still enjoy are significantly more favorable than those of intermediate distributors, despite the difference in volumes moved. Having originated as "wholesalers" owned by pharmacists, the transition to a purchasing group is therefore not a simple transition since, on the one hand, pharmacists are used to purchasing small quantities from cooperatives and, above all, not exclusively, and on the other hand, companies fear that products will be transferred from the short channel to the long channel, thus not affecting the market shares of their brands despite the commercial investment. The first services were then introduced not so much based on expressed needs from the associates, but as differentiation tools between groups or to recover resources from industries" (see doc. 160.1).</w:t>
      </w:r>
    </w:p>
    <w:p>
      <w:r>
        <w:t>71 See doc. n. 110.1.</w:t>
      </w:r>
    </w:p>
    <w:p>
      <w:r>
        <w:t>72 See doc. n. 188.</w:t>
      </w:r>
    </w:p>
    <w:p>
      <w:r>
        <w:t>73 See doc. 4.4.</w:t>
      </w:r>
    </w:p>
    <w:p>
      <w:r>
        <w:t>BULLETIN NO. 32 OF AUGUST 18, 2025 145</w:t>
      </w:r>
    </w:p>
    <w:p>
      <w:r>
        <w:t>This has resulted in a varied scenario in terms of ownership and aggregation of pharmacies, which can be divided into five main categories74:</w:t>
      </w:r>
    </w:p>
    <w:p>
      <w:r>
        <w:t>i. real chains, i.e., aggregations that consist of more than ten pharmacies owned and/or franchised;</w:t>
      </w:r>
    </w:p>
    <w:p>
      <w:r>
        <w:t>ii. groups of municipal pharmacies;</w:t>
      </w:r>
    </w:p>
    <w:p>
      <w:r>
        <w:t>iii. "strong" networks, i.e., networks based on more or less stringent membership rules, starting from the centralization of purchases;</w:t>
      </w:r>
    </w:p>
    <w:p>
      <w:r>
        <w:t>iv. "light" networks, which require less compliance from members regarding purchases and network policies;</w:t>
      </w:r>
    </w:p>
    <w:p>
      <w:r>
        <w:t>v. independent pharmacies, which do not belong to any type of network or are part of chains with fewer than ten establishments.</w:t>
      </w:r>
    </w:p>
    <w:p>
      <w:r>
        <w:t>61. In particular, as can be seen in Table 8 below, in 2024, independent pharmacies represent 70% of the total in value and 67% in sales volume, while independent pharmacies organized in affiliated chains represent about 21% of the total (of which 11% with a lower level of homogenization - light - and 10% with a higher degree of uniformity - strong). Municipal pharmacies represent about 3% of pharmacies in Italy, while pharmacies belonging to owned chains (including franchising) represent about 6% in volume and 7% in value of the total.</w:t>
      </w:r>
    </w:p>
    <w:p>
      <w:r>
        <w:t>Table 8 - Types of pharmacies in Italy75</w:t>
      </w:r>
    </w:p>
    <w:p>
      <w:r>
        <w:t xml:space="preserve">Share in Average Value Share in </w:t>
        <w:br/>
        <w:t>volume (% sold (Euro, value (%,</w:t>
        <w:br/>
        <w:t>April 2024) April 2024) April 2024)</w:t>
        <w:br/>
        <w:t>Independent pharmacies 70% 1,318,000 67%</w:t>
        <w:br/>
        <w:t>Independent pharmacies united in light networks 11% 1,467,000 12%</w:t>
        <w:br/>
        <w:t>Independent pharmacies united in strong networks 10% 1,460,000 11%</w:t>
        <w:br/>
        <w:t>Total independent pharmacies (in network and not) 91% 1,351,615 90%</w:t>
        <w:br/>
        <w:t>Municipal pharmacies 3% 1,377,000 3%</w:t>
        <w:br/>
        <w:t>Pharmacies belonging to owned chains and 6% 1,705,000 7%</w:t>
        <w:br/>
        <w:t>franchising</w:t>
      </w:r>
    </w:p>
    <w:p>
      <w:r>
        <w:t>62. In Italy, there are about seventeen networks involving approximately four thousand two hundred pharmacies. The pharmacies that belong to networks in Lombardy, Veneto, and Friuli-Venezia Giulia represent 23%, 24%, and 6% of the total pharmacies in each region, respectively (Figure 5).</w:t>
      </w:r>
    </w:p>
    <w:p>
      <w:r>
        <w:t>74 See doc. 4.5.</w:t>
      </w:r>
    </w:p>
    <w:p>
      <w:r>
        <w:t>75 Elaborations based on IQVIA data (see doc. 31.1, p. 23). The value share data has been estimated using the average sales value per pharmacy to weigh the market share in volume.</w:t>
      </w:r>
    </w:p>
    <w:p>
      <w:r>
        <w:t>146 BULLETIN NO. 32 OF AUGUST 18, 2025</w:t>
      </w:r>
    </w:p>
    <w:p>
      <w:r>
        <w:t>Figure 5 – Main pharmacy networks in Italy (2024)76</w:t>
      </w:r>
    </w:p>
    <w:p>
      <w:r>
        <w:t>63. In this context, it has emerged that, in recent years, the role of intermediate distributors is progressively evolving, complementing the traditional activity of logistics and supply of medicines with a series of services and products77. As part of this evolution, the creation of pharmacy networks, both light and strong types, and/or the creation of franchises, as well as the acquisition of pharmacies, are noted.</w:t>
      </w:r>
    </w:p>
    <w:p>
      <w:r>
        <w:t>76 See doc. 160.3.</w:t>
      </w:r>
    </w:p>
    <w:p>
      <w:r>
        <w:t>77 In this regard, see docs. 30, 36, 50. CDF - Centro Distribuzione del Farmaco S.p.A. observed that "in recent years, intermediate distributors, in addition to the delivery of medicines and related items, have implemented various services for pharmacies in the perspective of the 'Pharmacy of services', as well as branded products, organization of franchising chains, provision of hardware and software, and marketing and communication tools, etc." (see doc. 41). Similarly, Farla Soc. Coop. intermediate observes that "The role of intermediate distributors is evolving beyond logistics, including proprietary branded medicines as more economical alternatives, telemedicine (which helps patients without the need for physical presence during the visit), affiliations with pharmacy chains, and collaborations with the National Health Service. The use of advanced technologies and consulting services strengthens the competitiveness of pharmacies and improves the efficiency of distribution" (see doc. 44). Farmacisti Più Rinaldi S.p.A. notes that "the role of intermediate distributors is changing. Some distributors have indeed developed ancillary products and services with higher added value, including: IT hardware (systems) and software (management), training offerings (for example, ECM courses for continuing medical education), human resources management and selection, marketing tools and sales support (such as merchandise and category management), offering of branded products (private or white label), telemedicine services (rental of devices for service delivery), transfer order services (i.e., orders placed by the pharmacy directly to the commercial promoter of the industry and transferred by the latter to the wholesaler for processing and delivery to the pharmacy), virtual pharmacy networks (affiliation programs with common formats)" (see doc. 52). According to Alliance Healthcare Italia S.p.A., "in recent years, the role of pharmaceutical wholesalers is changing due to several factors: 1. Digitalization and automation: the introduction of digital systems and automated solutions is improving logistics efficiency, reducing errors and delivery times. 2. Integration with e-commerce and digital services: the increase in online sales of pharmaceutical products is pushing distributors to collaborate with digital platforms owned by authorized establishments for online sales and to develop new sales channels. 3. Consulting role for pharmacies: wholesalers no longer limit themselves to mere distribution but offer their pharmacy clients value-added services such as inventory management, sales support, and consulting on commercial strategies. In summary, intermediate distributors are transitioning from a purely logistical model to a more integrated role with the healthcare system and the digital world, becoming key partners for pharmacies and pharmaceutical companies. In addition to simple logistics, innovative services are offered to support pharmacies in operational management, business optimization, and adaptation to market changes." (see doc. 63.1).</w:t>
      </w:r>
    </w:p>
    <w:p>
      <w:r>
        <w:rPr>
          <w:b/>
        </w:rPr>
        <w:t>[Pages 145–147]</w:t>
      </w:r>
    </w:p>
    <w:p>
      <w:r>
        <w:t>BULLETIN NO. 32 OF AUGUST 18, 2025 147</w:t>
      </w:r>
    </w:p>
    <w:p>
      <w:r>
        <w:t>the creation of real chains of pharmacies78. Among the main intermediate distributors in Italy, which represent at least 85% of the turnover, nine have at least pharmacy networks79.</w:t>
      </w:r>
    </w:p>
    <w:p>
      <w:r>
        <w:t>Figure 6 – Main national intermediate distributors and their networks and franchising80</w:t>
      </w:r>
    </w:p>
    <w:p>
      <w:r>
        <w:t>Intermediate Distributor | Network | Franchising</w:t>
        <w:br/>
        <w:t>--- | --- | ---</w:t>
        <w:br/>
        <w:t>Valore Salute Gold | PHOENIX Pharma Italia S.p.A. | Benu-LloydsFarmacia</w:t>
        <w:br/>
        <w:t xml:space="preserve">Valore Saluto Platinum | CEF La Farmacia Italiana (strong) | </w:t>
        <w:br/>
        <w:t xml:space="preserve">CEF S.c. a r.l. | - | </w:t>
        <w:br/>
        <w:t xml:space="preserve">CEF La Farmacia Italiana – Affiliato (light) | </w:t>
        <w:br/>
        <w:t>UNICO La Farmacia dei Farmacisti | Unifaro (light) | -</w:t>
        <w:br/>
        <w:t xml:space="preserve">S.p.A. | Unifarsud (light) | </w:t>
        <w:br/>
        <w:t>So.Farma. Morra S.p.A. | Linfa Farmacie | -</w:t>
        <w:br/>
        <w:t>Alliance Healthcare Italia S.p.A. | Alphega Farmacia | Boots Farmà Accento Salute</w:t>
        <w:br/>
        <w:t xml:space="preserve">Farvima Medicinali S.p.A. | - | </w:t>
        <w:br/>
        <w:t xml:space="preserve">Farmà Plus | V.I.M. S.r.l. | - </w:t>
        <w:br/>
        <w:t xml:space="preserve">GUACCI S.p.A. | - | </w:t>
        <w:br/>
        <w:t xml:space="preserve">Unifarm S.P.A. | Unione Farmacisti | </w:t>
        <w:br/>
        <w:t xml:space="preserve">UniLife | - </w:t>
        <w:br/>
        <w:t xml:space="preserve">Trentino-alto Adige | Unifarma Distribuzione S.p.A. | - </w:t>
        <w:br/>
        <w:t>Farmacentro Servizi e Logistica | Mia Farmacia | -</w:t>
        <w:br/>
        <w:t>Soc. Coop. | DM Barone S.p.A. | Farmacia Dinamica | -</w:t>
      </w:r>
    </w:p>
    <w:p>
      <w:r>
        <w:t>64. In particular, CEF and UNICO have established pharmacy networks81, providing different membership formats. The network contracts require a membership fee that varies depending on the type (light or strong) and offer a series of services for the benefit of the members, such as support for better purchasing and selling capacity, optimization of the assortment, layout, and marketing, and the provision of informational materials for pharmacists and customers82. In return, the participating pharmacies must comply with a series of requirements consisting, among other things83:</w:t>
      </w:r>
    </w:p>
    <w:p>
      <w:r>
        <w:t>78 In this regard, Farmaceutici Donati s.n.c. observes that "the sector is certainly in turmoil, also due to the increasingly low margins, and therefore some of us are looking to the future by acquiring pharmacies, producing products under our own brand, and offering marketing and management services to client pharmacies" (see doc. 47). So.farma.Morra S.p.A. observes that "the sector is experiencing a progressive growth of ancillary services such as the possibility of distributing private label products and the creation of common formats through the aggregation of pharmacies to retail marketing projects that include additional services (e.g., telemedicine)" (see doc. 48).</w:t>
        <w:br/>
        <w:t>79 See doc. 4.5.</w:t>
        <w:br/>
        <w:t>80 See docs. 98.1, 45, 46.2, 48, 49, 53, 58, 63.1, 66.1, 67.1.</w:t>
        <w:br/>
        <w:t>81 CEF provides for two different levels of affiliation: "CEF La Farmacia Italiana" (strong level) and "CEF La Farmacia Italiana - Affiliato" (light level); while UNICO only manages light affiliation networks, namely "Unifaro" and "Unifarsud".</w:t>
        <w:br/>
        <w:t>82 For example, telemedicine services, screening and diagnostics, issuance of loyalty cards.</w:t>
        <w:br/>
        <w:t>83 See docs. 99.17, 99.18, 99.20 and 99.21.</w:t>
      </w:r>
    </w:p>
    <w:p>
      <w:r>
        <w:t>148 BULLETIN NO. 32 OF AUGUST 18, 2025</w:t>
      </w:r>
    </w:p>
    <w:p>
      <w:r>
        <w:t>i. in obligations of loyalty in purchases, i.e., a commitment to source a high percentage of total purchases from the intermediate distributor (for example, for "CEF La Farmacia Italiana di Primo Livello, a loyalty to the Cooperative of 75% is required, while for Affiliato it is 60%"84), as well as provisions regarding automatic orders and the obligation to accept products sent spontaneously by the distributor;</w:t>
        <w:br/>
        <w:t>ii. in a commitment to comply with the intermediate distributor's indications regarding the assortment of products that pharmacies must display and keep in stock, including those purchased from other suppliers;</w:t>
        <w:br/>
        <w:t>iii. in a commitment to share their sales and purchase data for the purpose of monitoring the achievement of set objectives and analyzing sales performance;</w:t>
        <w:br/>
        <w:t>iv. in non-competition obligations that materialize in the prohibition of joining other networks or groups in competition with the belonging network.</w:t>
      </w:r>
    </w:p>
    <w:p>
      <w:r>
        <w:t>65. Regarding the number of affiliates out of the total pharmacies present in the three examined regions, it is observed that, on average, the affiliates of CEF and UNICO account for about [10-20%] of pharmacies in Lombardy, [10-20%] in Veneto, and [1-10%] in Friuli-Venezia Giulia. However, there are significant differences when considering individual provincial territories, with an extremely pervasive incidence of the networks of the Parties, for example, in Brescia ([60-70%]) and still above average in the provinces of Como, Cremona, Lecco, Sondrio, Mantova, Padova, Rovigo, and Verona (Table 9).</w:t>
      </w:r>
    </w:p>
    <w:p>
      <w:r>
        <w:t>84 See CEF 2023 Financial Statement (see doc. 99.28). For example, the Linfa program of So.Farma. Morra S.p.A. provides that "in exchange for adherence to 70% of activities and purchasing 60% or 70% of its total turnover from the wholesaler So.Farma.Morra, it is entitled ex ante to a dedicated commercial price list that affects the first 200 high-turnover references, and a bonus on total turnover of 0.25% or 0.50% upon achieving overall objectives" (see doc. 48). Unifarm S.p.A., for its program, provides that membership is linked "primarily to ensuring a very high share of turnover concentration, the availability to develop coordinated initiatives among all members in terms of product visibility within the pharmacy, promoting price-cutting activities, and aligning after proper training to a qualitative standard of communication and management of the relationship with the patient customer" (see doc. 49). Alliance Healthcare Italia S.p.A. notes that its pharmacy network is divided into light affiliations where "affiliated pharmacies manage their purchases completely autonomously, without any obligation to centralize orders" and strong characterized by a "Concentration of purchases: Pharmacies funnel most purchase orders through the network's central office, benefiting from advantageous commercial conditions due to collective bargaining power" (see doc. 63.1).</w:t>
      </w:r>
    </w:p>
    <w:p>
      <w:r>
        <w:t>BULLETIN NO. 32 OF AUGUST 18, 2025 149</w:t>
      </w:r>
    </w:p>
    <w:p>
      <w:r>
        <w:t>Table 9 – Incidence of CEF and UNICO affiliates on the total number of pharmacies (provincial data)85</w:t>
      </w:r>
    </w:p>
    <w:p>
      <w:r>
        <w:t>% Affiliates</w:t>
        <w:br/>
        <w:t>Provincial Region | N. Pharmacies | % Affiliates | % Affiliates | % Affiliates | % Affiliates</w:t>
        <w:br/>
        <w:t>--- | --- | --- | --- | --- | ---</w:t>
        <w:br/>
        <w:t>Lombardy | Bergamo | 357 | 10-20% | 1-10% | 10-20% | &lt;1%</w:t>
        <w:br/>
        <w:t>Lombardy | Brescia | 404 | 40-50% | 10-20% | 60-70% | &lt;1%</w:t>
        <w:br/>
        <w:t>Lombardy | Como | 188 | 10-20% | 1-10% | 20-30% | 1-10%</w:t>
        <w:br/>
        <w:t>Lombardy | Cremona | 156 | 20-27% | 1-10% | 30-40% | 30-40%</w:t>
        <w:br/>
        <w:t>Lombardy | Lecco | 116 | 10-20% | 1-10% | 20-30% | &lt;1%</w:t>
        <w:br/>
        <w:t>Lombardy | Lodi | 92 | 1-10% | 1-10% | 1-10% | 1-10%</w:t>
        <w:br/>
        <w:t>Lombardy | Monza e Brianza | 231 | 1-10% | 1-10% | 1-10% | &lt;1%</w:t>
        <w:br/>
        <w:t>Lombardy | Milano | 946 | 1-10% | 1-10% | 1-10% | &lt;1%</w:t>
        <w:br/>
        <w:t>Lombardy | Mantova | 146 | 10-20% | 1-10% | 20-30% | 20-30%</w:t>
        <w:br/>
        <w:t>Lombardy | Pavia | 247 | 1-10% | &lt;1% | 1-10% | &lt;1%</w:t>
        <w:br/>
        <w:t>Lombardy | Sondrio | 79 | 1-10% | 1-10% | 10-20% | 10-20%</w:t>
        <w:br/>
        <w:t>Lombardy | Varese | 265 | 1-10% | 1-10% | 10-20% | &lt;1%</w:t>
        <w:br/>
        <w:t>Veneto | Belluno | 84 | - | - | - | -</w:t>
        <w:br/>
        <w:t>Veneto | Padova | 275 | 10-20% | 1-10% | 10-20% | 10-20%</w:t>
        <w:br/>
        <w:t xml:space="preserve">Veneto | Rovigo | 92 | 10-20% | 10-20% | 10-20% | - </w:t>
        <w:br/>
        <w:t>Veneto | Treviso | 256 | 1-10% | &lt;1% | 1-10% | &lt;1%</w:t>
        <w:br/>
        <w:t>Veneto | Venezia | 275 | 1-10% | &lt;1% | 1-10% | 1-10%</w:t>
        <w:br/>
        <w:t>Veneto | Vicenza | 272 | 1-10% | &lt;1% | 1-10% | 1-10%</w:t>
        <w:br/>
        <w:t>Veneto | Verona | 271 | 10-20% | 1-10% | 20-30% | &lt;1%</w:t>
        <w:br/>
        <w:t xml:space="preserve">FVG | Gorizia | 50 | 1-10% | 1-10% | 1-10% | - </w:t>
        <w:br/>
        <w:t>FVG | Pordenone | 106 | 1-10% | 1-10% | &lt;1% | 1-10%</w:t>
        <w:br/>
        <w:t xml:space="preserve">FVG | Trieste | 70 | - | - | - | - </w:t>
        <w:br/>
        <w:t>FVG | Udine | 201 | &lt;1% | &lt;1% | &lt;1% | &lt;1%</w:t>
      </w:r>
    </w:p>
    <w:p>
      <w:r>
        <w:rPr>
          <w:b/>
        </w:rPr>
        <w:t>[Pages 148–150]</w:t>
      </w:r>
    </w:p>
    <w:p>
      <w:r>
        <w:t>150 BULLETIN NO. 32 OF AUGUST 18, 2025</w:t>
      </w:r>
    </w:p>
    <w:p>
      <w:r>
        <w:t>66. According to the data provided by the Parties, the revenue related to affiliates of the networks in the three regions of interest is approximately [100-582] million euros86, which represents about [omitted] of the revenue generated by CEF and UNICO, amounting to approximately [1-2] billion euros. However, as shown in the following Table 10, in some provincial areas, the percentage of revenue of the Parties derived from affiliates to their networks is above the average (notably, Brescia, Cremona, Lecco, Sondrio, and Verona).</w:t>
      </w:r>
    </w:p>
    <w:p>
      <w:r>
        <w:t xml:space="preserve">85 See doc. 162.3.  </w:t>
        <w:br/>
        <w:t>86 See doc. 188.1, p. 12.</w:t>
      </w:r>
    </w:p>
    <w:p>
      <w:r>
        <w:t>BULLETIN NO. 32 OF AUGUST 18, 2025</w:t>
      </w:r>
    </w:p>
    <w:p>
      <w:r>
        <w:t>Table 10 – Percentage of revenues of CEF and UNICO derived from affiliates to the networks (provincial data)87</w:t>
      </w:r>
    </w:p>
    <w:p>
      <w:r>
        <w:t xml:space="preserve">% Revenue  </w:t>
        <w:br/>
        <w:t xml:space="preserve">% Revenue CEF % Revenue CEF % Revenue CEF % Revenue of the Parties  </w:t>
        <w:br/>
        <w:t xml:space="preserve">Region Province towards network towards network towards network UNICO towards towards  </w:t>
        <w:br/>
        <w:t xml:space="preserve">Light Strong (total) network Light network  </w:t>
        <w:br/>
        <w:t xml:space="preserve">(total)  </w:t>
        <w:br/>
        <w:t xml:space="preserve">Lombardy  </w:t>
        <w:br/>
        <w:t xml:space="preserve">Bergamo 10-20% 10-20% 20-30% 1-10% 20-30%  </w:t>
        <w:br/>
        <w:t xml:space="preserve">Lombardy  </w:t>
        <w:br/>
        <w:t xml:space="preserve">Brescia 40-50% 20-30% 70-80% 1-10% 70-80%  </w:t>
        <w:br/>
        <w:t xml:space="preserve">Lombardy  </w:t>
        <w:br/>
        <w:t xml:space="preserve">Como 20-30% 1-10% 30-40% 1-10% 30-40%  </w:t>
        <w:br/>
        <w:t xml:space="preserve">Lombardy  </w:t>
        <w:br/>
        <w:t xml:space="preserve">Cremona 40-50% 10-20% 50-60% 50-60%  </w:t>
        <w:br/>
        <w:t xml:space="preserve">Lombardy  </w:t>
        <w:br/>
        <w:t xml:space="preserve">Lecco 30-40% 10-20% 40-50% 1-10% 40-50%  </w:t>
        <w:br/>
        <w:t xml:space="preserve">Lombardy  </w:t>
        <w:br/>
        <w:t xml:space="preserve">Lodi 10-20% 1-10% 20-30% 20-30%  </w:t>
        <w:br/>
        <w:t xml:space="preserve">Lombardy Monza and  </w:t>
        <w:br/>
        <w:t xml:space="preserve">1-10% 10-20% 10-20% 1-10% 10-20%  </w:t>
        <w:br/>
        <w:t xml:space="preserve">Brianza  </w:t>
        <w:br/>
        <w:t xml:space="preserve">Lombardy  </w:t>
        <w:br/>
        <w:t xml:space="preserve">Milan 1-10% 10-20% 20-30% 1-10% 10-20%  </w:t>
        <w:br/>
        <w:t xml:space="preserve">Lombardy  </w:t>
        <w:br/>
        <w:t xml:space="preserve">Mantova 30-40% 10-20% 40-50% 30-40%  </w:t>
        <w:br/>
        <w:t xml:space="preserve">Lombardy  </w:t>
        <w:br/>
        <w:t xml:space="preserve">Pavia 30-40% 1-10% 30-40% 1-10% 20-30%  </w:t>
        <w:br/>
        <w:t xml:space="preserve">Lombardy  </w:t>
        <w:br/>
        <w:t xml:space="preserve">Sondrio 1-10% 30-40% 40-50% 40-50%  </w:t>
        <w:br/>
        <w:t xml:space="preserve">Lombardy  </w:t>
        <w:br/>
        <w:t xml:space="preserve">Varese 30-40% 10-20% 40-50% 1-10% 30-40%  </w:t>
        <w:br/>
        <w:t xml:space="preserve">Veneto Belluno  </w:t>
        <w:br/>
        <w:t xml:space="preserve">Veneto Padova 20-30% 1-10% 30-40% 30-40%  </w:t>
        <w:br/>
        <w:t xml:space="preserve">Veneto Rovigo 40-50% 40-50% 30-40%  </w:t>
        <w:br/>
        <w:t xml:space="preserve">Veneto Treviso 10-20% 1-10% 10-20% 1-10% 10-20%  </w:t>
        <w:br/>
        <w:t xml:space="preserve">Veneto Venezia 10-20% 1-10% 10-20% 10-20%  </w:t>
        <w:br/>
        <w:t xml:space="preserve">Veneto Vicenza 10-20% &lt;1% 10-20% 10-20%  </w:t>
        <w:br/>
        <w:t xml:space="preserve">Veneto Verona 36% 15% 51% 2% 40-50%  </w:t>
        <w:br/>
        <w:t xml:space="preserve">FVG Gorizia 6% 6% 1-10%  </w:t>
        <w:br/>
        <w:t xml:space="preserve">FVG Pordenone 8% 8% 2% 1-10%  </w:t>
        <w:br/>
        <w:t xml:space="preserve">FVG Trieste  </w:t>
        <w:br/>
        <w:t>FVG Udine 3% 3% 0% 1-10%</w:t>
      </w:r>
    </w:p>
    <w:p>
      <w:r>
        <w:t xml:space="preserve">V.3. The survey aimed at pharmacies  </w:t>
        <w:br/>
        <w:t xml:space="preserve">V.3.a. Introduction  </w:t>
        <w:br/>
        <w:t xml:space="preserve">67. In order to better analyze the concentration under examination, a sample market research (hereinafter, briefly, the “survey”) was conducted to verify the main characteristics of the demand served by intermediate distribution, namely pharmacies in particular, the relevant elements for purchasing decisions, joining a cooperative or a network, and, more generally, the collection of useful elements for the assessment of concentration in the sector of intermediate distribution of medicines and parapharmaceuticals.  </w:t>
        <w:br/>
        <w:t xml:space="preserve">68. The survey was carried out through the administration, by the commissioned company SWG, to a representative sample of pharmacies located in the regions of Lombardy, Veneto, and Friuli-Venezia Giulia, of a questionnaire administered by telephone in CATI mode (Computer-Assisted Telephone Interviewing)88.  </w:t>
        <w:br/>
        <w:t xml:space="preserve">69. The surveys were conducted between May 26 and June 13, 2025. A total of seven hundred interviews were conducted, of which four hundred twenty in Lombardy, two hundred in Veneto, and eighty in Friuli-Venezia Giulia, corresponding to a sample of approximately 13% of all pharmacies present in those regions.  </w:t>
        <w:br/>
        <w:t xml:space="preserve">V.3.b. The main competitive dynamics  </w:t>
        <w:br/>
        <w:t xml:space="preserve">70. Regarding the main sources of supply for pharmacies, the results of the survey substantially confirm what has been stated by the main operators in the sector. In particular, most purchases are made through intermediate distributors, which represent over 60% of the total. This is followed by direct purchases from manufacturing pharmaceutical companies, which account for about 30%, while the remaining share is represented by concessionaires and so-called short-line distributors89.  </w:t>
        <w:br/>
        <w:t xml:space="preserve">71. Furthermore, the survey shows the relevance of distributors; in fact, in the event of unavailability of their own intermediate distributor, the majority of respondents (about 78%) would choose another intermediate distributor, while about 19% would turn directly to pharmaceutical companies90. Additionally, the survey reveals that: (i) over 66% of the interviewed pharmacies stated that the services offered by intermediate distributors are not provided by alternative subjects; (ii) over 60% of pharmacies find that direct purchases from pharmaceutical companies or other subjects (concessionaires and short-line distributors) are made only for limited references91.  </w:t>
        <w:br/>
        <w:t xml:space="preserve">72. The survey indicates that pharmacies use at most three intermediate distributors. In particular, as can be seen in the following Table 11, about 65% of pharmacies use at most two intermediate distributors (65% of pharmacies in Friuli-Venezia Giulia, 51% in Lombardy, and 56% in Veneto).  </w:t>
        <w:br/>
        <w:t xml:space="preserve">87 See doc. 162.3.  </w:t>
        <w:br/>
        <w:t xml:space="preserve">88 See docs. 178 and attachments 178.1, 178.2, 178.3.  </w:t>
        <w:br/>
        <w:t xml:space="preserve">89 See doc. 178.2 (question D14).  </w:t>
        <w:br/>
        <w:t xml:space="preserve">90 See doc. 178.2 (question D18).  </w:t>
        <w:br/>
        <w:t>91 See doc. 178.2 (question D19).</w:t>
      </w:r>
    </w:p>
    <w:p>
      <w:r>
        <w:rPr>
          <w:b/>
        </w:rPr>
        <w:t>[Pages 151–153]</w:t>
      </w:r>
    </w:p>
    <w:p>
      <w:r>
        <w:t xml:space="preserve">BULLETIN NO. 32 OF AUGUST 18, 2025 153  </w:t>
        <w:br/>
        <w:t xml:space="preserve">Table 11 – Number of intermediate distributors that regularly serve pharmacies92  </w:t>
        <w:br/>
        <w:t xml:space="preserve">Average number of  </w:t>
        <w:br/>
        <w:t xml:space="preserve">Region Number of intermediate distributors serving the pharmacy  </w:t>
        <w:br/>
        <w:t xml:space="preserve">distributors  </w:t>
        <w:br/>
        <w:t xml:space="preserve">1 at most 2 at most 3  </w:t>
        <w:br/>
        <w:t xml:space="preserve">Friuli-Venezia Giulia 25% 65% 90% 2.23  </w:t>
        <w:br/>
        <w:t xml:space="preserve">Lombardia 17% 51% 82% 2.56  </w:t>
        <w:br/>
        <w:t xml:space="preserve">Veneto 20% 56% 84% 2.46  </w:t>
        <w:br/>
        <w:t>Total overall 25% 65% 90% 2.49</w:t>
      </w:r>
    </w:p>
    <w:p>
      <w:r>
        <w:t xml:space="preserve">73. In the face of a plurality of intermediate distributors serving pharmacies, these latter usually appear to prefer one in particular; on average, the main distributor supplies about 68% of the needs met through intermediate distributors93.  </w:t>
        <w:br/>
        <w:t xml:space="preserve">74. Regarding the criteria for selecting the main distributor, the reasons expressed by pharmacies focus on three key factors: (i) the overall reliability of the supplier (in terms of continuity and accuracy in order management, 37.3% of respondents); (ii) logistical capacity, particularly with reference to the timeliness and frequency of deliveries (35.3% of pharmacies); (iii) the breadth of the available assortment (30% of pharmacies)94. Furthermore, a selection element is the "convenience" in terms of prices offered (especially for purchases of A and C category medicines)95.  </w:t>
        <w:br/>
        <w:t xml:space="preserve">75. More specifically, reliability and assortment are the main reasons behind the choice of CEF and UNICO as reference distributors, while for Phoenix, the determining factor is greater logistical efficiency, particularly the speed of delivery service96.  </w:t>
        <w:br/>
        <w:t xml:space="preserve">76. Another relevant element from a competitive perspective concerns the digital methods of order management. The survey reveals (Table 12 below) that in the majority of cases (about 60%), orders are computerized both for manual and automated orders; about 18% of pharmacies use IT platforms for manual orders, while about 13% exclusively for automated orders. In general, at least 90% of pharmacies adopt IT platforms (for manual and/or automated orders), a figure that is substantially consistent across all three regional areas considered. On average, computerized orders - both manual and automated - are the majority of orders placed by pharmacies using computerized platforms97.  </w:t>
        <w:br/>
        <w:t xml:space="preserve">Table 12 - Use of IT platforms for orders98  </w:t>
        <w:br/>
        <w:t xml:space="preserve">Friuli-  </w:t>
        <w:br/>
        <w:t xml:space="preserve">Total Lombardia Veneto Venezia  </w:t>
        <w:br/>
        <w:t xml:space="preserve">Giulia  </w:t>
        <w:br/>
        <w:t xml:space="preserve">Yes, for both manual and automated orders 59.7% 56.1% 66.1% 62.2%  </w:t>
        <w:br/>
        <w:t xml:space="preserve">Yes, only for manual orders 18.3% 18.8% 19.4% 13.5%  </w:t>
        <w:br/>
        <w:t xml:space="preserve">Yes, only for automated orders 12.7% 14.1% 7.5% 18.2%  </w:t>
        <w:br/>
        <w:t xml:space="preserve">Total adoption of IT platforms 90.7% 89.0% 93.0% 93.9%  </w:t>
        <w:br/>
        <w:t>No 9.3% 11.0% 7.1% 6.1%</w:t>
      </w:r>
    </w:p>
    <w:p>
      <w:r>
        <w:t xml:space="preserve">77. In general, therefore, the survey confirms the presence of a high degree of digitalization in procurement processes, with significant reliance on comparing offers from intermediate distributors through IT platforms.  </w:t>
        <w:br/>
        <w:t xml:space="preserve">V.3.c. Competitive proximity  </w:t>
        <w:br/>
        <w:t xml:space="preserve">78. The data collected in the survey indicate that the main intermediate distributors, in terms of frequency of use, are CEF (identified as a supplier by about 60.4% of the pharmacies surveyed), UNICO (49.1%), and Phoenix Pharma (44.4%, Figure 7 below).  </w:t>
        <w:br/>
        <w:t xml:space="preserve">97 See doc. 178.2 (questions D21 and D22). In particular, pharmacies that use IT platforms for manual orders, on average, use them for about 60.8% of their needs; while regarding automated orders, the percentage is about 58.4%.  </w:t>
        <w:br/>
        <w:t>98 See doc. 178.2 (question D20).</w:t>
      </w:r>
    </w:p>
    <w:p>
      <w:r>
        <w:t xml:space="preserve">BULLETIN NO. 32 OF AUGUST 18, 2025 155  </w:t>
        <w:br/>
        <w:t xml:space="preserve">Figure 7 - Percentage of use of the main intermediate distributors by pharmacies99  </w:t>
        <w:br/>
        <w:t xml:space="preserve">79. It should be noted, however, that there are some territorial differentiations related to the three regions surveyed (Lombardia, Veneto, and Friuli-Venezia Giulia). In particular, as shown in Table 13, CEF is the most frequently used operator in Lombardia and Veneto (the pharmacies using it are 63.5% and 66.5%, respectively), while in Friuli-Venezia Giulia, UNICO is the most used (by 75% of pharmacies).  </w:t>
        <w:br/>
        <w:t>99 Elaborations on question D15, for the elaboration, respondents who use intermediate distributors (D14.1&gt;0) were used, and the responses are weighted for the respective value of the variable "weight". It should be noted that responses related to "QFarma" were also attributed to CEF (see docs. 178 and attachments 178.1, 178.2, 178.3).</w:t>
      </w:r>
    </w:p>
    <w:p>
      <w:r>
        <w:rPr>
          <w:b/>
        </w:rPr>
        <w:t>[Pages 154–156]</w:t>
      </w:r>
    </w:p>
    <w:p>
      <w:r>
        <w:t xml:space="preserve">156 BULLETIN NO. 32 OF AUGUST 18, 2025  </w:t>
        <w:br/>
        <w:t xml:space="preserve">Table 13 - Percentage of use of the main intermediate distributors by pharmacies, by region100  </w:t>
        <w:br/>
        <w:t xml:space="preserve">Friuli-Venezia Giulia Lombardia Veneto Total  </w:t>
        <w:br/>
        <w:t xml:space="preserve">CEF 29.5% 63.5% 66.5% 60.4%  </w:t>
        <w:br/>
        <w:t xml:space="preserve">UNICO 75.0% 50.7% 35.2% 49.1%  </w:t>
        <w:br/>
        <w:t xml:space="preserve">Phoenix Pharma 26.1% 45.5% 49.3% 44.4%  </w:t>
        <w:br/>
        <w:t xml:space="preserve">Farvima 11.1% 17.8% 14.8% 16.2%  </w:t>
        <w:br/>
        <w:t xml:space="preserve">Unifarm 1.3% 6.8% 25.8% 11.6%  </w:t>
        <w:br/>
        <w:t xml:space="preserve">La Farmaceutica 0.0% 13.7% 0.0% 8.2%  </w:t>
        <w:br/>
        <w:t xml:space="preserve">Farmacisti Più Rinaldi 56.5% 0.2% 4.9% 8.1%  </w:t>
        <w:br/>
        <w:t xml:space="preserve">Alliance 2.5% 8.6% 6.3% 7.3%  </w:t>
        <w:br/>
        <w:t xml:space="preserve">VIM 1.3% 6.6% 6.6% 6.0%  </w:t>
        <w:br/>
        <w:t xml:space="preserve">Unifarma Distribuzione 5.1% 4.7% 3.5% 4.4%  </w:t>
        <w:br/>
        <w:t xml:space="preserve">80. As for the operator to whom pharmacies allocate most of their supplies, on average seven out of ten pharmacies indicated CEF or UNICO as the main distributor (specifically, about 79% in Friuli-Venezia Giulia, 74% in Lombardy, and 66% in Veneto, see Table 14).  </w:t>
        <w:br/>
        <w:t xml:space="preserve">Table 14 – Distribution of pharmacies indicating CEF and UNICO as main distributors101  </w:t>
        <w:br/>
        <w:t xml:space="preserve">CEF first UNICO first  </w:t>
        <w:br/>
        <w:t xml:space="preserve">UNICO first distributor distributor  </w:t>
        <w:br/>
        <w:t xml:space="preserve">Friuli-Venezia Giulia 18.4% 60.5% 78.8%  </w:t>
        <w:br/>
        <w:t xml:space="preserve">Lombardia 54.2% 19.6% 73.7%  </w:t>
        <w:br/>
        <w:t xml:space="preserve">Veneto 52.4% 13.1% 65.5%  </w:t>
        <w:br/>
        <w:t xml:space="preserve">Total overall 49.5% 22.4% 72.0%  </w:t>
        <w:br/>
        <w:t xml:space="preserve">81. In this context, the identity of the second supplier was analyzed in cases where CEF or UNICO are indicated as the main distributor (Table 15). Considering the cases where CEF is the first distributor, UNICO is the second in 38% of cases, while in cases where UNICO is the main distributor, CEF is the second in about 19% of cases.  </w:t>
        <w:br/>
        <w:t xml:space="preserve">100 Elaborations on question D15, for the elaboration, respondents using intermediate distributors (D14.1&gt;0) were used, and the responses are weighted for the respective value of the variable "weight". Note that responses related to "QFarma" were also attributed to CEF (see docs. 178 and attachments 178.1, 178.2, 178.3).  </w:t>
        <w:br/>
        <w:t>101 Elaborations on question D15, for the elaboration, respondents using intermediate distributors (D14.1&gt;0) were used, and the responses are weighted for the respective value of the variable "weight". Note that responses related to "QFarma" were not attributed to CEF (see docs. 178 and attachments 178.1, 178.2, 178.3).</w:t>
      </w:r>
    </w:p>
    <w:p>
      <w:r>
        <w:t xml:space="preserve">BULLETIN NO. 32 OF AUGUST 18, 2025 157  </w:t>
        <w:br/>
        <w:t xml:space="preserve">Table 15 – Percentage of pharmacies for which CEF (UNICO) is the second operator when UNICO (CEF) is the first operator102  </w:t>
        <w:br/>
        <w:t xml:space="preserve">% of cases where UNICO is the second % of cases where CEF is the second  </w:t>
        <w:br/>
        <w:t xml:space="preserve">supplier when CEF is the first supplier when UNICO is the first  </w:t>
        <w:br/>
        <w:t xml:space="preserve">supplier supplier  </w:t>
        <w:br/>
        <w:t xml:space="preserve">Friuli-Venezia Giulia 31.8% 12.3%  </w:t>
        <w:br/>
        <w:t xml:space="preserve">Lombardia 41.9% 19.1%  </w:t>
        <w:br/>
        <w:t xml:space="preserve">Veneto 29.6% 30.9%  </w:t>
        <w:br/>
        <w:t xml:space="preserve">Total overall 37.8% 19.0%  </w:t>
        <w:br/>
        <w:t xml:space="preserve">82. Finally, on average, CEF is the distributor that absorbs about 52.8% of the orders from the pharmacies it supplies, while UNICO absorbs on average 42.3% of the needs of its client pharmacies (see Table 16).  </w:t>
        <w:br/>
        <w:t xml:space="preserve">Table 16 – Purchase shares of pharmacies towards CEF or UNICO103  </w:t>
        <w:br/>
        <w:t xml:space="preserve">% average purchases at CEF % average purchases at UNICO  </w:t>
        <w:br/>
        <w:t xml:space="preserve">Friuli-Venezia Giulia 47.0% 58.8%  </w:t>
        <w:br/>
        <w:t xml:space="preserve">Lombardia 55.3% 40.0%  </w:t>
        <w:br/>
        <w:t xml:space="preserve">Veneto 48.6% 36.4%  </w:t>
        <w:br/>
        <w:t xml:space="preserve">Total overall 52.7% 42.6%  </w:t>
        <w:br/>
        <w:t xml:space="preserve">V.3.d. Membership in pharmacy cooperatives, networks, or franchises  </w:t>
        <w:br/>
        <w:t xml:space="preserve">83. An additional element investigated in the sample survey concerns the role played by pharmacist cooperatives, as well as the incidence of affiliations to networks or franchises. About 29.2% of the pharmacies surveyed belong to a pharmacist cooperative (Figure 8).  </w:t>
        <w:br/>
        <w:t xml:space="preserve">102 Elaborations on questions D15 and D16, for the elaboration, respondents using intermediate distributors (D14.1&gt;0) were used, and the responses are weighted for the respective value of the variable "weight". Note that responses related to "QFarma" were not attributed to CEF (see docs. 178 and attachments 178.1, 178.2, 178.3).  </w:t>
        <w:br/>
        <w:t>103 Elaborations on questions D16.1 and D16.2, for the elaboration, respondents using intermediate distributors (D14.1&gt;0) were used, and the responses are weighted for the respective value of the variable "weight". Note that responses related to "QFarma" were not attributed to CEF. See docs. 178 and attachments 178.1, 178.2, 178.3. In this regard, it is noted that on average, about 80% of the pharmacies surveyed purchase exclusively from CEF and UNICO, sourcing from them for the entirety of their product needs from intermediate distributors (elaborations on questions D16.1 and D16.2, for the elaboration, respondents using intermediate distributors were used, to define the pharmacies that purchase exclusively from CEF and UNICO, pharmacies that purchase more than 99% from the two intermediate distributors were selected).</w:t>
      </w:r>
    </w:p>
    <w:p>
      <w:r>
        <w:t xml:space="preserve">158 BULLETIN NO. 32 OF AUGUST 18, 2025  </w:t>
        <w:br/>
        <w:t xml:space="preserve">Figure 8 – Percentage of pharmacies belonging to pharmacist cooperatives104  </w:t>
        <w:br/>
        <w:t xml:space="preserve">84. In particular, CEF is the cooperative with the largest number of member pharmacies, representing about 68% of the total cooperatives indicated by the respondents, with a particularly high concentration in the Lombardy region, where the share reaches 80.7%. In total, the pharmacies that belong to cooperatives affiliated with CEF and UNICO are about 76.2% of the pharmacies belonging to cooperatives (that is, 22.3% of the total pharmacies, both affiliated and non-affiliated with cooperatives105).  </w:t>
        <w:br/>
        <w:t xml:space="preserve">104 See doc. 178.2 (question D5).  </w:t>
        <w:br/>
        <w:t>105 In Friuli-Venezia Giulia 13.2%, in Lombardy 23.5%, and in Veneto 23.3%. See doc. 178.2 (value obtained by multiplying question D5 with question D6).</w:t>
      </w:r>
    </w:p>
    <w:p>
      <w:r>
        <w:rPr>
          <w:b/>
        </w:rPr>
        <w:t>[Pages 157–159]</w:t>
      </w:r>
    </w:p>
    <w:p>
      <w:r>
        <w:t>BULLETIN NO. 32 OF AUGUST 18, 2025 159</w:t>
        <w:br/>
        <w:t>Table 17 – Membership in cooperatives: main cooperatives to which pharmacies belong106</w:t>
        <w:br/>
        <w:t>Friuli-Venezia</w:t>
        <w:br/>
        <w:t>Total Lombardia Veneto</w:t>
        <w:br/>
        <w:t>Giulia</w:t>
        <w:br/>
        <w:t>CEF 68.3% 25.4% 80.7% 61.8%</w:t>
        <w:br/>
        <w:t>UNICO107 7.9% 19.5% 4.8% 9.2%</w:t>
        <w:br/>
        <w:t>Total CEF and UNICO 76.2% 44.9% 85.5% 71.0%</w:t>
        <w:br/>
        <w:t>CFR - consortium of united pharmacists 7.3% 46.5% 0.9% 4.5%</w:t>
        <w:br/>
        <w:t>Unifarma 3.4% 0.0% 0.8% 9.1%</w:t>
        <w:br/>
        <w:t>Unifarm Union of Ligurian Pharmacists 2.5% 0.0% 0.0% 7.7%</w:t>
        <w:br/>
        <w:t>Farmacentro108 1.0% 0.0% 0.9% 1.5%</w:t>
        <w:br/>
        <w:t>Other 9.7% 8.5% 12.0% 6.1%</w:t>
        <w:br/>
        <w:t>85. Regarding the dynamics experienced by members of cooperatives, it should be noted that</w:t>
        <w:br/>
        <w:t>membership in the distributor cooperative is associated with:</w:t>
        <w:br/>
        <w:t>i. a greater reliance on the intermediate distributor for orders: for example, out of 60.4%</w:t>
        <w:br/>
        <w:t>of pharmacies that use CEF (Table 13), members of the CEF cooperative use this</w:t>
        <w:br/>
        <w:t>distributor in 91.8% of cases (Table 18);</w:t>
        <w:br/>
        <w:t>ii. a higher likelihood of using the intermediate distributor as the main distributor:</w:t>
        <w:br/>
        <w:t>for example, out of 49.5% of pharmacies that use CEF as the main distributor</w:t>
        <w:br/>
        <w:t>(Table 14), 87.3% of CEF members use it as their main supplier (Table 18);</w:t>
        <w:br/>
        <w:t>iii. a greater degree of loyalty among members: out of an average of 52.7%</w:t>
        <w:br/>
        <w:t>of purchases at CEF by the generality of pharmacies (Table 14), members of this cooperative</w:t>
        <w:br/>
        <w:t>purchase on average about 67.5% of their needs (Table 18).</w:t>
        <w:br/>
        <w:t>106 See doc. 178.2 (question D6). Note that responses related to "QFarma" were not attributed to CEF.</w:t>
        <w:br/>
        <w:t>107 Includes Codifarma, Union of Pharmacists of Friuli-Venezia Giulia, Novara Pharmaceutical Union.</w:t>
        <w:br/>
        <w:t>108 Farmacentro Services and Logistics Cooperative of Pharmacists of Central Italy.</w:t>
      </w:r>
    </w:p>
    <w:p>
      <w:r>
        <w:t>160 BULLETIN NO. 32 OF AUGUST 18, 2025</w:t>
        <w:br/>
        <w:t>Table 18 – Use of CEF (UNICO) by members of the CEF cooperative (UNICO)109</w:t>
        <w:br/>
        <w:t>Use of CEF as Use of CEF as</w:t>
        <w:br/>
        <w:t>% average of purchases from</w:t>
        <w:br/>
        <w:t>distributor by the first operator by</w:t>
        <w:br/>
        <w:t>CEF by CEF members CEF members</w:t>
        <w:br/>
        <w:t>Friuli-Venezia Giulia 49.7% 49.7% 56.8%</w:t>
        <w:br/>
        <w:t>Lombardia 92.0% 86.4% 67.6%</w:t>
        <w:br/>
        <w:t>Veneto 97.6% 95.0% 68.0%</w:t>
        <w:br/>
        <w:t>Total overall 91.8% 87.3% 67.5%</w:t>
        <w:br/>
        <w:t>Use of UNICO as Use of UNICO as % average of purchases from</w:t>
        <w:br/>
        <w:t>distributor by the first operator by UNICO by UNICO members</w:t>
        <w:br/>
        <w:t>UNICO members</w:t>
        <w:br/>
        <w:t>Friuli-Venezia Giulia 100% 63.6% 84.5%</w:t>
        <w:br/>
        <w:t>Lombardia 54.5% 36.4% 77.7%</w:t>
        <w:br/>
        <w:t>Veneto 49.4% 32.8% 40.0%</w:t>
        <w:br/>
        <w:t>Total overall 65.6% 42.8% 70.0%</w:t>
        <w:br/>
        <w:t>86. Another element investigated concerns affiliation with a pharmacy network or franchise. Regarding the size of such types of aggregations, it should be noted that about 18.1% of pharmacies, while about 9% of pharmacies are part of actual pharmacy chains or belong to a franchise (Table 19).</w:t>
        <w:br/>
        <w:t>Table 19 – Membership in networks and pharmacy chains110</w:t>
        <w:br/>
        <w:t>Friuli-Venezia</w:t>
        <w:br/>
        <w:t>Total Lombardia Veneto</w:t>
        <w:br/>
        <w:t>Giulia</w:t>
        <w:br/>
        <w:t>Members of a pharmacy network</w:t>
        <w:br/>
        <w:t>18.1% 14.4% 19.7% 16.1%</w:t>
        <w:br/>
        <w:t>independent</w:t>
        <w:br/>
        <w:t>Members of a real chain of at least 10 pharmacies</w:t>
        <w:br/>
        <w:t>9.5% 3.7% 10.6% 9.4%</w:t>
        <w:br/>
        <w:t>or belong to a franchise</w:t>
        <w:br/>
        <w:t>Non-members 72.5% 81.9% 69.7% 74.5%</w:t>
        <w:br/>
        <w:t>87. The motivations that guide pharmacies in choosing to join a cooperative or affiliate with a network are predominantly related to economic considerations. In particular, membership is often aimed at obtaining more favorable purchasing conditions – for example, discounts or more competitive prices – both on OTC and SOP drugs, as well as on parapharmaceutical products, also contingent upon reaching specific minimum purchase volumes (Figure 9).</w:t>
        <w:br/>
        <w:t>109 Elaborations on questions D6, D15, and D16, responses are weighted for the respective value of the variable "weight". Note that responses related to "QFarma" were not attributed to CEF. See docs. 178 and attachments 178.1, 178.2, 178.3.</w:t>
        <w:br/>
        <w:t>110 See doc. 178.2 (question D4).</w:t>
      </w:r>
    </w:p>
    <w:p>
      <w:r>
        <w:t>BULLETIN NO. 32 OF AUGUST 18, 2025 161</w:t>
        <w:br/>
        <w:t>Figure 9 - Criteria for choosing to join a network111</w:t>
        <w:br/>
        <w:t>88. Regarding the factors that influence the choice of a specific affiliation network, the survey found that the main motivation is related to the cooperative of which the pharmacy is a member, thus revealing a trend towards vertical integration between the cooperative structure and the commercial network, followed by logistical aspects, related to warehouse optimization and speed in reordering processes (Figure 10).</w:t>
        <w:br/>
        <w:t>Figure 10 – Criteria for joining a specific network112</w:t>
        <w:br/>
        <w:t>111 See doc. 178.2 (question D11).</w:t>
        <w:br/>
        <w:t>112 See doc. 178.2 (question D12).</w:t>
      </w:r>
    </w:p>
    <w:p>
      <w:r>
        <w:rPr>
          <w:b/>
        </w:rPr>
        <w:t>[Pages 160–162]</w:t>
      </w:r>
    </w:p>
    <w:p>
      <w:r>
        <w:t>162 BULLETIN NO. 32 OF AUGUST 18, 2025</w:t>
      </w:r>
    </w:p>
    <w:p>
      <w:r>
        <w:t>89. Regarding the spread of pharmacy networks, CEF appears to be the main pharmacy network, with 54.5% of pharmacies belonging to a network. The second most widespread network is that of Phoenix Pharma (Valore Salute), with about 7.9% of pharmacies (Table 20).</w:t>
      </w:r>
    </w:p>
    <w:p>
      <w:r>
        <w:t>Table 20 – Most widespread pharmacy networks113</w:t>
        <w:br/>
        <w:t>Friuli-Venezia</w:t>
        <w:br/>
        <w:t>Total Lombardy Veneto</w:t>
        <w:br/>
        <w:t>Giulia</w:t>
        <w:br/>
        <w:t>CEF 54.5% 25.6% 60.0% 50.4%</w:t>
        <w:br/>
        <w:t>UNICO (Unifaro - Unifarsud) 0.8% 1.2%</w:t>
        <w:br/>
        <w:t>Unifarm (UniLife) 1.7% 6.5%</w:t>
        <w:br/>
        <w:t>Phoenix (Valore Salute) 7.9% 9.7% 6.1%</w:t>
        <w:br/>
        <w:t>EuFarma 0.8% 1.2%</w:t>
        <w:br/>
        <w:t>Club Salute 4.8% 7.3%</w:t>
        <w:br/>
        <w:t>Centro Salute - ApotecaNatura 1.6% 2.4%</w:t>
        <w:br/>
        <w:t>CFR - consortium of united pharmacists 4.4% 39.6% 3.1%</w:t>
        <w:br/>
        <w:t>Laboratorio della farmacia 3.1% 1.2% 9.2%</w:t>
        <w:br/>
        <w:t>Spem - Comifar 4.7% 2.4% 12.2%</w:t>
        <w:br/>
        <w:t>Other 15.8% 34.8% 14.5% 12.5%</w:t>
      </w:r>
    </w:p>
    <w:p>
      <w:r>
        <w:t>90. As for the dynamics experienced by network members, it is necessary to observe even more pronounced dynamics compared to those related to membership in the cooperative, with reference to the loyalty of the network's reference distributor. In particular:</w:t>
        <w:br/>
        <w:t>i. a greater reliance on the intermediate distributor for orders: for example, out of 60.4% of pharmacies that use CEF (Table 13), members of CEF networks use this distributor in 95.5% of cases (Table 21);</w:t>
        <w:br/>
        <w:t>ii. a higher likelihood of using the intermediate distributor as the main distributor: for example, out of 49.5% of pharmacies that use CEF as their main distributor (Table 14), 95.5% of CEF affiliates use the latter as their main supplier (Table 21);</w:t>
        <w:br/>
        <w:t>iii. a greater degree of loyalty among affiliates: against an average of 52.7% of purchases at CEF by the generality of pharmacies (Table 14), CEF affiliates purchase on average about 78.3% of their needs from the latter (Table 21)114. This circumstance confirms the presence of contractually imposed minimum purchase obligations on affiliates.</w:t>
      </w:r>
    </w:p>
    <w:p>
      <w:r>
        <w:t>113 See doc. 178.2 (question D7). Note that responses related to "QFarma" were not attributed to CEF.</w:t>
        <w:br/>
        <w:t>114 Note that only for Friuli-Venezia Giulia, against an average of purchases of about 47.0% by the generality of pharmacies, purchases by CEF affiliates stand at 43.2% (see Table 14 and Table 21). However, this data must be contextualized with the fact that in this region (unlike others) the percentage of adherence to CEF networks is very low. Specifically, against an average adherence of 54.5% (60% in Lombardy and 50.4% in Veneto), in Friuli-Venezia Giulia the percentage of adherence to the CEF network stands at 25.6% (Table 20).</w:t>
      </w:r>
    </w:p>
    <w:p>
      <w:r>
        <w:t>BULLETIN NO. 32 OF AUGUST 18, 2025 163</w:t>
      </w:r>
    </w:p>
    <w:p>
      <w:r>
        <w:t>Table 21 – Use of CEF by members of CEF networks – La Farmacia Italiana and CEF</w:t>
        <w:br/>
        <w:t>La Farmacia Italiana Affiliate115</w:t>
        <w:br/>
        <w:t>Use of CEF as Use of CEF as first % average of purchases at</w:t>
        <w:br/>
        <w:t>distributor of the network CEF – La Farmacia Italiana CEF – La Farmacia Italiana</w:t>
        <w:br/>
        <w:t>Friuli-Venezia Giulia 100% 100% 43.2%</w:t>
        <w:br/>
        <w:t>Lombardy 95.8% 95.7% 78.8%</w:t>
        <w:br/>
        <w:t>Veneto 93.6% 93.6% 83.8%</w:t>
        <w:br/>
        <w:t>Total overall 95.5% 95.5% 78.3%</w:t>
      </w:r>
    </w:p>
    <w:p>
      <w:r>
        <w:t>V.4. Considerations of third-party distributors</w:t>
        <w:br/>
        <w:t>V.4.a. Competitive dynamics</w:t>
      </w:r>
    </w:p>
    <w:p>
      <w:r>
        <w:t>91. According to the wholesale distributors consulted by the Offices, the intermediate distribution activity is a fundamental link in the pharmaceutical supply chain, as it is officially recognized as an essential public service for health protection116 and, therefore, characterized by high volumes but relatively low profitability due to price pressures and margin regulations117.</w:t>
      </w:r>
    </w:p>
    <w:p>
      <w:r>
        <w:t>92. From the demand side, pharmacies typically order from distributors electronically at least twice a day through IT/management systems118 connected in real-time twenty-four hours a day with distributors and access real-time product availability and related prices119. Therefore, competition among distributors occurs daily based on the "best price"120, while allowing the pharmacist to intervene in the order proposal by shifting products from one supplier to another based on delivery timing, immediate needs, and, of course, availability121. Distributors, for their part, optimize delivery economies by trying to serve pharmacies from the closest warehouses122.</w:t>
      </w:r>
    </w:p>
    <w:p>
      <w:r>
        <w:t>115 Elaborations on questions D6, D15, and D16, the responses are weighted for the respective value of the "weight" variable. Note that responses related to "QFarma" were not attributed to CEF. See docs. 178 and attachments 178.1, 178.2, 178.3.</w:t>
        <w:br/>
        <w:t>116 See docs. 30, 41, 47, 66.1.</w:t>
        <w:br/>
        <w:t>117 See doc. 63.1.</w:t>
        <w:br/>
        <w:t>118 See doc. 46. VIM S.r.l. states that "The use of IT platforms for orders, such as order management systems (OMS), improves the efficiency and accuracy of orders. These platforms allow pharmacists to easily compare prices and product availability among different distributors, facilitating the choice of the most convenient supplier."</w:t>
        <w:br/>
        <w:t>119 See docs. 30, 41, 42, 174, 176.</w:t>
        <w:br/>
        <w:t>120 See docs. 30 and 41.</w:t>
        <w:br/>
        <w:t>121 See doc. 41.</w:t>
        <w:br/>
        <w:t>122 See docs. 30, 41, 66.1, 171, 174. During the hearing, it was represented that "Almost all distributors, however, tend to have as many pharmacies as possible at the shortest distance possible from the warehouse. The more true this is, the more difficult it is for competitors to supply these pharmacies" (see doc. 171).</w:t>
      </w:r>
    </w:p>
    <w:p>
      <w:r>
        <w:t>164 BULLETIN NO. 32 OF AUGUST 18, 2025</w:t>
      </w:r>
    </w:p>
    <w:p>
      <w:r>
        <w:t>93. In this perspective, delivering the maximum number of products possible to pharmacies allows for amortizing transportation costs over a larger volume of products123. In this sense, the distributors consulted highlighted as a fundamental element for maintaining competition the possibility of having a minimum demand to achieve greater minimization of transportation costs124.</w:t>
      </w:r>
    </w:p>
    <w:p>
      <w:r>
        <w:t>94. On this topic, there would be a significant difference in the Italian market between pharmacies that belong to cooperatives125, such as the Parties to the Operation, and those that do not, where membership in the former would already imply a "preference" regarding the distributor from which to primarily source: in this sense, while in the cooperative world pharmacies, holding the status of member, exhibit a high degree of loyalty, this is less true for pharmacies that turn to independent private distributors that are not cooperatives126.</w:t>
      </w:r>
    </w:p>
    <w:p>
      <w:r>
        <w:t>95. In this regard, the "levels" of loyalty of independent pharmacies do not appear comparable to the loyalty levels of pharmacies belonging to cooperative networks, which tend to primarily source from their distributor (also incentivized by discounts and rewards applied in case of affiliation) and are also very concentrated in certain territories, making penetration into such markets very difficult127.</w:t>
      </w:r>
    </w:p>
    <w:p>
      <w:r>
        <w:t>96. Specifically, according to So.Farma Morra, the relationship between member pharmacies and the distributor/cooperative would represent a risk factor for the expansion of their offer such that the opening of new warehouses or the acquisition of existing warehouses closer to the aforementioned pharmacies would not necessarily translate into an increase in served demand128.</w:t>
      </w:r>
    </w:p>
    <w:p>
      <w:r>
        <w:t>97. In similar terms, Unifarm highlighted that in addition to the purely logistical aspect related to the location of the warehouse, the presence of pharmacy affiliation projects and, in general, the possibility of acquiring a large part of their purchases is central for local distributors129. For this reason, the distributor continues, the purchase of a new warehouse could be effectively worthless if demand remained supplied by the historical supplier due to existing affiliations. That said, the structure of the aforementioned warehouse is therefore essential as, while transportation is usually fully outsourced and easy to obtain, there are professional figures among the employed staff (the so-called key account or area managers or local agents-representatives), very important for the personal and contractual relationships maintained with pharmacies130.</w:t>
      </w:r>
    </w:p>
    <w:p>
      <w:r>
        <w:t>98. The ability of cooperatives to retain their clientele could also impact the competitive leverage of the "best price." Specifically, according to Unifarm, "pharmacies obtain lower prices (i) either through affiliation contracts, in which they ensure purchase volumes</w:t>
        <w:br/>
        <w:t>123 See docs. 171 and 175.</w:t>
        <w:br/>
        <w:t>124 See doc. 171.</w:t>
        <w:br/>
        <w:t>125 By way of example, see doc. 44, where Farla Società Cooperativa states that "members obtain from the Cooperative benefits regarding lower costs related to the common management of the warehouse of pharmaceutical and parapharmaceutical products, as well as for the delivery service to individual pharmacies."</w:t>
        <w:br/>
        <w:t>126 See doc. 176.</w:t>
        <w:br/>
        <w:t>127 See doc. 171.</w:t>
        <w:br/>
        <w:t>128 See doc. 176.</w:t>
        <w:br/>
        <w:t>129 See doc. 175.</w:t>
        <w:br/>
        <w:t>130 See doc. 175.</w:t>
      </w:r>
    </w:p>
    <w:p>
      <w:r>
        <w:rPr>
          <w:b/>
        </w:rPr>
        <w:t>[Pages 163–165]</w:t>
      </w:r>
    </w:p>
    <w:p>
      <w:r>
        <w:t>BULLETIN NO. 32 OF AUGUST 18, 2025 165</w:t>
      </w:r>
    </w:p>
    <w:p>
      <w:r>
        <w:t>annual, (ii) or through deferred bonuses, whereby pharmacies, once the ex-post achievement of set purchase volumes is verified, receive refunds”: in this way, it is possible for pharmacies to make “spot orders” without following the “best price” criterion, since the spot purchase at a higher price can then be compensated by a refund from the distributor at the end of the year131.</w:t>
      </w:r>
    </w:p>
    <w:p>
      <w:r>
        <w:t>V.4.b. Considerations Regarding the Operation</w:t>
      </w:r>
    </w:p>
    <w:p>
      <w:r>
        <w:t>99. As a preliminary matter, it is noted that some operators consulted did not express particular considerations regarding the Operation, as they do not operate in the affected regions132 or due to the negligible impact of the merger in the relevant areas133.</w:t>
      </w:r>
    </w:p>
    <w:p>
      <w:r>
        <w:t>100. That said, there have been other intermediate distributors who deemed it appropriate to express specific evaluations regarding the incorporation of UNICO by CEF.</w:t>
      </w:r>
    </w:p>
    <w:p>
      <w:r>
        <w:t>101. Phoenix Pharma, for example, represented that the Operation is likely to lead to the establishment or strengthening of a dominant position that would substantially and durably reduce or eliminate competition in numerous relevant local markets, “in some of which (some provinces of Lombardy, Friuli-Venezia Giulia, Veneto, and Emilia Romagna) market shares exceed 40% and in particular areas exceed 50%”134. The concentration, according to Phoenix, would result in the overlap of warehouses that are very close to each other (specifically referring to the warehouses in Fontanellato, Nogarole Rocca, Brescia, Bergamo, and Cremona) which, therefore, share a large part of the clientele and represent the main competitive constraint.</w:t>
      </w:r>
    </w:p>
    <w:p>
      <w:r>
        <w:t>102. Phoenix also observes that the Parties are vertically integrated downstream having acquired pharmacies in ownership and developed advanced affiliation systems. The union of the affiliation networks would constitute, in particular, an additional competitive advantage and a potential barrier to the acquisition of new customers by competitors. The competitive advantage may also be exacerbated by the fact that “in commercial relationships with their members, cooperatives require (and usually obtain) a very high loyalty of about 75% to ensure that the individual delivery contains more products. It is reasonable to assume that with the concentration this competitive advantage may strengthen in certain territories”135.</w:t>
      </w:r>
    </w:p>
    <w:p>
      <w:r>
        <w:t>131 See ibidem.</w:t>
        <w:br/>
        <w:t>132 See docs. 30, 41, 42, 65, 115.1.</w:t>
        <w:br/>
        <w:t>133 For example, see doc. 44, where Farla Società Cooperativa states that “Regarding the competitive context in the Lazio Region, where our company operates, we note that the intermediate distribution sector of pharmaceuticals is characterized by the presence of numerous active operators. This plurality of actors guarantees pharmacies various procurement alternatives, both in terms of commercial conditions and quality of logistical service. Therefore, even following the potential merger between CEF and UNICO, we believe that an adequate level of competition will remain in the territory, with the possibility for pharmacies to choose among multiple suppliers.”</w:t>
        <w:br/>
        <w:t>134 See doc. 66.1.</w:t>
        <w:br/>
        <w:t>135 See doc. 66.1.</w:t>
      </w:r>
    </w:p>
    <w:p>
      <w:r>
        <w:t>166 BULLETIN NO. 32 OF AUGUST 18, 2025</w:t>
      </w:r>
    </w:p>
    <w:p>
      <w:r>
        <w:t>103. Similar considerations regarding the criticalities of the Operation, especially with reference to Lombardy and Veneto, have been expressed respectively by La Farmaceutica136 and Unifarm137.</w:t>
      </w:r>
    </w:p>
    <w:p>
      <w:r>
        <w:t>104. According to the former, “the concentration operation between CEF and UNICO in Lombardy will effectively create the first or second player per province and this will pose some problems for competition among distributors: there could be effects on the choice of the same by the pharmacy-client for the interlocution they may have with the institutions, whether the Region itself or the various provincial ATS and the strong interdependence with provincial/regional Federfarma. […] In fact, the first two players become dominant in the region and could also have exclusives from producers even on medicines, limiting competition among players”138.</w:t>
      </w:r>
    </w:p>
    <w:p>
      <w:r>
        <w:t>105. For Unifarm, in general, the operation would lead to the aggregation of the two largest intermediate distributors of a cooperative nature, further increasing “[…] the already significant gap compared to other companies with cooperative missions, all of which express market shares below 5%”139. With specific reference to Veneto, it states that “after the merger, the first two companies (CEF+UNICO and Phoenix) would control over 70% of the market in Veneto […] with UNIFARM as the only other significant competitor with an 18%”140.</w:t>
      </w:r>
    </w:p>
    <w:p>
      <w:r>
        <w:t>106. Regarding potential remedies to be applied to the Operation, the position expressed during the hearing by Unifarma141 is recorded, which stated that, regarding the expansion in Lombardy, it had initially considered purchasing the Nogarole Rocca warehouse, but ultimately decided not to proceed with the acquisition. In fact, the analyses conducted had highlighted that the acquisition of the aforementioned warehouse - not including the transfer of clientele - would not lead to a significant increase in demand, as the clientele would still be served by already active operators through other warehouses, due to the historical relationship already existing. According to Unifarma, therefore, the strong historical presence of operators such as CEF and UNICO, but not only, represents a significant limit to expansion in the area, especially for distributors that have a commercial strategy primarily linked to service quality. Ultimately, in a sector characterized by very narrow margins where large operators boast greater commercial strength due to their size, Unifarma estimated that it would not achieve economic returns sufficient to justify the investment.</w:t>
      </w:r>
    </w:p>
    <w:p>
      <w:r>
        <w:t>107. Finally, according to VIM, an operator not present, except marginally, in the regions of Lombardy, Veneto, and Friuli-Venezia Giulia, “the concentration operation between CEF and UNICO has the potential to generate significant synergies and operational optimizations, providing greater solidity to the new entity. Considering the presence of various qualified intermediate distributors, the absence of barriers to the entry of new players, and the relevance of direct sales by the industry, the impact on competition in the sector should ensure that pharmacies continue to benefit from purchasing conditions, a variety of offers, and competitive services at current levels if not even increasing”142.</w:t>
      </w:r>
    </w:p>
    <w:p>
      <w:r>
        <w:t>V.5. Considerations of CEF and UNICO</w:t>
      </w:r>
    </w:p>
    <w:p>
      <w:r>
        <w:t>108. Regarding the effects of the Operation, the Parties, while agreeing that the analysis of market shares determined by the sum of the pre-merger revenues of the two entities would result in the regions and provinces indicated in the initiation provision with shares above 30%, note, however, that this would not provide an accurate estimate as it does not accurately reflect the level of revenue actually attributable to the entity resulting from the concentration.</w:t>
      </w:r>
    </w:p>
    <w:p>
      <w:r>
        <w:t>109. In fact, regarding the possible strengthening of the presence at the regional and provincial level, the Parties highlight that the operation will lead to an overall reduction in revenue shares, particularly from pharmacies that previously sourced from both CEF and UNICO, as the reduction in the number of available operators would encourage the introduction of a new operator, in line with the practice of pharmacies to rely on two or three intermediate distributors simultaneously143.</w:t>
      </w:r>
    </w:p>
    <w:p>
      <w:r>
        <w:t>110. On this point, they presented estimates of the reduction in revenue by classifying the clientele into classes of shares of purchases from CEF and UNICO. From these estimates, it would emerge, in summary, that for customers particularly sensitive to price, following the Operation, there would be a total revenue reduction of 30%, while for customers loyal to one but using the other operator (either CEF or UNICO) marginally, a reduction estimated at 50% of the revenue of the marginal operator would be observed144.</w:t>
      </w:r>
    </w:p>
    <w:p>
      <w:r>
        <w:t>111. An additional factor of competitive relevance reported by the Parties would be the presence of numerous competitors in areas where the total revenue shares exceed 30%. In particular, according to their statements, “[I]n Friuli-Venezia Giulia, where UNICO holds (in value) [30-35%] (in 2023) and [30-35%] (in 2024) and CEF [10-15%] (in 2023) and [10-15%] (in 2024), totaling a percentage of [45-50%] (in 2023) and [40-45%] (in 2024, which, based on the planned forecasts, is expected to be reduced to at least [40-45%]), Phoenix holds [30-35%] (in 2023) and [30-35%] (in 2024), and Rinaldi holds 20-25% both in 2023 and in 2024”145.</w:t>
      </w:r>
    </w:p>
    <w:p>
      <w:r>
        <w:t>142 See doc. 46.2.</w:t>
        <w:br/>
        <w:t>143 “It is important to emphasize that: (i) as already mentioned, a reduction in the overall revenue of CEF and UNICO is expected as a result of the merger operation considering the strong overlaps between the client pharmacies and the consolidated practice of these latter to maintain a minimum number of three sources of supply in order to obtain the best sales conditions and ensure greater availability of goods; and (ii) in all four regional markets involved, the entity resulting from the merger will find itself competing with significant and qualified competitors, who will exert great competitive pressure on it and effectively eliminate market power due to, as mentioned, the absence of supplier switching costs for pharmacies and the presence of national and local competitors.” (see doc. n. 98.1)</w:t>
      </w:r>
    </w:p>
    <w:p>
      <w:r>
        <w:t>144 See doc. n. 122.</w:t>
        <w:br/>
        <w:t>145 See doc. 98.1</w:t>
      </w:r>
    </w:p>
    <w:p>
      <w:r>
        <w:rPr>
          <w:b/>
        </w:rPr>
        <w:t>[Pages 166–168]</w:t>
      </w:r>
    </w:p>
    <w:p>
      <w:r>
        <w:t>168 BULLETIN NO. 32 OF AUGUST 18, 2025</w:t>
      </w:r>
    </w:p>
    <w:p>
      <w:r>
        <w:t>112. In particular, the Parties emphasize the possibility for competitors to serve regional areas using warehouses in neighboring regions. This would be the case for Friuli-Venezia Giulia, for example, which can, according to the Parties' statements, be served by Veneto - where VIM and Farvima would be active - and by Emilia-Romagna - where Phoenix is active146.</w:t>
      </w:r>
    </w:p>
    <w:p>
      <w:r>
        <w:t>113. Below are the revenue shares at the provincial level, according to estimates provided by the Parties, which would highlight the relevance of qualified competitors in the operational areas of CEF and UNICO (see Figure 11).</w:t>
      </w:r>
    </w:p>
    <w:p>
      <w:r>
        <w:t>Figure 11 – Revenue shares of the main competitors provided by the Parties147</w:t>
      </w:r>
    </w:p>
    <w:p>
      <w:r>
        <w:t>[omissis]</w:t>
      </w:r>
    </w:p>
    <w:p>
      <w:r>
        <w:t>114. Finally, according to the Parties, in the sector affected by the operation, market power would be substantially concentrated in the hands of upstream and downstream operators in the supply chain, namely large pharmaceutical companies and pharmacies. In this context, the post-merger entity would remain in a structurally weaker contractual position. The Parties also emphasize that the relationships between pharmacies and intermediate distributors would be characterized by high mobility and the almost total absence of significant or lasting contractual constraints: pharmacies would be free to place daily orders with a plurality of full-line wholesalers ("typically three or four"), in the absence of territorial, product, or line exclusivity clauses. These elements, in the Parties' opinion, would make demand contestable and the distribution activity exposed to constant competitive pressure148.</w:t>
      </w:r>
    </w:p>
    <w:p>
      <w:r>
        <w:t>115. Finally, the Parties' considerations regarding the key role of the Operation in ensuring the operational continuity of Unico are reported. According to the Parties, the company would have observed a contraction in revenues of between Euro [35-100] million in the 2025 fiscal year compared to the previous one, and a negative EBITDA in 2024 of over Euro [10-35] million with a decrease of Euro [10-35] million compared to the previous fiscal year. The decline in business volume would therefore have resulted in a significant debt exposure of the company to suppliers and banks. According to the statements made [omissis]149. Therefore, the Parties conclude that [omissis]150.</w:t>
      </w:r>
    </w:p>
    <w:p>
      <w:r>
        <w:t>146 “[T]his also occurs in Friuli-Venezia Giulia, as various warehouses of competing wholesalers located in regions close to Friuli-Venezia Giulia can also supply Friulian pharmacies. This occurs, for example, for the following warehouses of competitors located in: (i) Veneto: Friulian pharmacies are served by VIM through the warehouse in Padua, by Farvima through the warehouse in Grisignano di Zocco (VI), by Unifarm via the warehouse in Padua, and by Phoenix through the warehouse in Paese (TV); (ii) Emilia-Romagna: the warehouses in Campogalliano (MO) of Alleanza and in Bologna of Phoenix supply Friulian pharmacies” (see doc. n. 98.1).</w:t>
      </w:r>
    </w:p>
    <w:p>
      <w:r>
        <w:t>147 See doc. n. 122</w:t>
      </w:r>
    </w:p>
    <w:p>
      <w:r>
        <w:t>148 “Moreover, (as will be detailed infra) in all the regional markets under examination, market power is completely in the hands of customers (the pharmacies) and suppliers (the large pharmaceutical companies), with respect to which the market power of the post-merger entity will still be enormously lower even post-merger. Furthermore, as already anticipated supra, the commercial relationships between pharmacies and intermediate distributors are characterized by the absence of lasting constraints and significant obligations, with pharmacies always free to purchase products by competing among at least 3/4 full-line wholesalers without any exclusivity of line, product, or territory” (see doc. n. 98.1).</w:t>
      </w:r>
    </w:p>
    <w:p>
      <w:r>
        <w:t>149 See doc. 188.7.</w:t>
      </w:r>
    </w:p>
    <w:p>
      <w:r>
        <w:t>150 See ibidem.</w:t>
      </w:r>
    </w:p>
    <w:p>
      <w:r>
        <w:t>BULLETIN NO. 32 OF AUGUST 18, 2025</w:t>
      </w:r>
    </w:p>
    <w:p>
      <w:r>
        <w:t>V.6. The corrective measures proposed by the Parties</w:t>
      </w:r>
    </w:p>
    <w:p>
      <w:r>
        <w:t>V.6.a. Summary of the measures</w:t>
      </w:r>
    </w:p>
    <w:p>
      <w:r>
        <w:t>116. The Parties submitted, lastly on July 9, 2025151, a proposal for corrective measures to address the possible effects of the operation consisting of a combination of structural and behavioral measures.</w:t>
      </w:r>
    </w:p>
    <w:p>
      <w:r>
        <w:t>117. The structural measures consist of the divestiture of two business units, corresponding to the UNICO 8 – Nogarole Rocca and CEF 5 – Cremona warehouses and their respective business assets, including the so-called commercial representatives, who manage relationships with the pharmacies served from the specific warehouse subject to divestiture. The Parties also propose ancillary measures to the divestiture commitment, as further detailed infra, to ensure the effectiveness of the measure.</w:t>
      </w:r>
    </w:p>
    <w:p>
      <w:r>
        <w:t>118. As for the behavioral measures, they aim to make the demand for intermediate drug distribution services by pharmacies more contestable and mobile and consist of:</w:t>
        <w:br/>
        <w:t>i. the elimination of purchasing constraints for pharmacies that are members of CEF and UFN, a cooperative that is part of UNICO, which were respectively equal to 50% and 20% of the pharmacies' needs, for a period of [omissis] years;</w:t>
        <w:br/>
        <w:t>ii. the reduction of purchasing constraints in the strong and light affiliation contracts of CEF, currently equal to 75% and 60%152, which will be adopted by QFarma, to [40-50%], for a period of [omissis] years;</w:t>
        <w:br/>
        <w:t>iii. the obligation to exclusively sign affiliation contracts with an annual duration, and not to provide penalties or sanctions against pharmacies in case of early withdrawal from said contracts, for a period of [omissis] years;</w:t>
        <w:br/>
        <w:t>iv. the elimination of any purchasing constraint for pharmacies affiliated with CEF153 currently served by the two warehouses subject to divestiture, planned for a period of [omissis] years.</w:t>
      </w:r>
    </w:p>
    <w:p>
      <w:r>
        <w:t>V.6.b. The structural measures</w:t>
      </w:r>
    </w:p>
    <w:p>
      <w:r>
        <w:t>119. With regard to the structural measures, the Parties propose the divestiture of the business units associated with the warehouses currently operated by UNICO and CEF, respectively, in Nogarole Rocca (VR) and in Cremona (CR), namely the centers of the catchment areas identified by the acronyms CEF 5 and UNICO 8. The composition of each unit is designed to refer to a complex of assets and legal relationships that allows equally efficient buyers to operate in such units, in order to effectively exercise, thanks to their ownership, the activity in the field of intermediate drug distribution.</w:t>
      </w:r>
    </w:p>
    <w:p>
      <w:r>
        <w:t>120. The units will consist of all those elements that are fully suitable to effectively and durably compete with the entity resulting from the concentration. In particular, the business units will consist of the properties used as warehouses and their respective equipment, as well as the transfer of utility, maintenance, and transport contracts related to the facilities, in addition to the employment relationships with the personnel operating in the establishments, including contracts concerning the relevant commercial representative, who is a professional profile that manages relationships with the pharmacies served from the specific warehouse subject to divestiture.</w:t>
      </w:r>
    </w:p>
    <w:p>
      <w:r>
        <w:t>121. Each of the business units subject to divestiture will be structured to ensure, from an infrastructural and logistical perspective, full compliance with the requirements for obtaining the authorizations referred to in Articles 100-112 of Legislative Decree No. 219/2006, so that a third buyer, in compliance with applicable regulations, can independently apply for the granting of each specific authorization.</w:t>
      </w:r>
    </w:p>
    <w:p>
      <w:r>
        <w:t>122. Where, due to requirements related to the requests of potential buyers, certain assets and/or relationships are not considered necessary, the Parties are also willing to commit in good faith to evaluate and negotiate appropriate carve-outs to the business units, so as to allow the completion of the divestitures and in the perspective of satisfying the interests and requests of potential customers.</w:t>
      </w:r>
    </w:p>
    <w:p>
      <w:r>
        <w:t>123. The two business units will be subject to separate divestiture, so that the negotiation for the sale of one of the two will not necessarily involve the buyer in the purchase of the other unit.</w:t>
      </w:r>
    </w:p>
    <w:p>
      <w:r>
        <w:t>124. The divestiture procedure will be structured in two phases. In particular, the first phase will last [omissis] months from the possible notification of the authorization decision. In order to ensure compliance with the principles regarding corrective measures, the Parties propose the appointment of a monitoring trustee, tasked with overseeing/approving the identification of competitors/buyers and the divestiture of the business units. If, within this first phase, the divestiture of one or both of the business units subject to divestiture is not completed, a second phase will open in which the Parties will give an irrevocable and exclusive mandate to an independent trustee (divestitures trustee) to promptly complete the sale to a suitable buyer, "tasked with achieving the divestiture 'whatever it takes'”154. The Parties specified that the divestiture through the divestitures trustee will occur within four months from the conclusion of the previous phase and without indication of the minimum price155.</w:t>
      </w:r>
    </w:p>
    <w:p>
      <w:r>
        <w:t>125. The identification of potential buyers will be such that anyone who becomes a buyer of the divested assets: (i) will not be in any way connected to the Parties; (ii) must have financial, economic, technological means, reputation, availability of distribution networks, and clientele such as to be considered a significant and credible competitor, thus possessing the competence to maintain and develop the divested activity as a profitable competitive force actively competing with the parties; (iii) must not raise any competitive concerns regarding the divestiture of the business units.</w:t>
      </w:r>
    </w:p>
    <w:p>
      <w:r>
        <w:t>126. As for the Divestiture Trustee, he must: (i) operate in a condition of full independence from the Parties; (ii) possess the professional qualifications and necessary skills for the performance of the task entrusted to him; (iii) not be connected for the three years following the appointment,</w:t>
      </w:r>
    </w:p>
    <w:p>
      <w:r>
        <w:t>154 See doc. 188.1.</w:t>
      </w:r>
    </w:p>
    <w:p>
      <w:r>
        <w:t>155 In particular, the Parties propose to ensure the sale of the property in full ownership where the buyer is willing to value, in the calculation of the price of the business unit, a minimum purchase price of the property at fair market value. If an agreement is not reached between the Parties and the buyer regarding the price at fair market value, this will be determined by a leading real estate consultant chosen by the Monitoring Trustee.</w:t>
      </w:r>
    </w:p>
    <w:p>
      <w:r>
        <w:rPr>
          <w:b/>
        </w:rPr>
        <w:t>[Pages 169–171]</w:t>
      </w:r>
    </w:p>
    <w:p>
      <w:r>
        <w:t>BULLETIN NO. 32 OF AUGUST 18, 2025 171</w:t>
      </w:r>
    </w:p>
    <w:p>
      <w:r>
        <w:t>nor having been in a situation of conflict of interest, current or potential, with respect to the Parties in the 3 years prior to the appointment.</w:t>
      </w:r>
    </w:p>
    <w:p>
      <w:r>
        <w:t>127. The Parties have also proposed complementary measures aimed at preserving the integrity of the structural measure, consisting of:</w:t>
        <w:br/>
        <w:t>i. the obligation not to solicit transferred employees, for a period of [omissis] years from the date of completion of the transfer;</w:t>
        <w:br/>
        <w:t>ii. the obligation not to solicit transferred commercial contacts, for a period of [omissis] years from the date of completion of the transfer;</w:t>
        <w:br/>
        <w:t>iii. the obligation not to reacquire the transferred warehouses, for a period of [omissis] years from the date of completion of the transfer;</w:t>
        <w:br/>
        <w:t>iv. the obligation not to build or acquire new warehouses, or structures with equivalent functions, in the relevant geographical areas156, for a period of [omissis] years from the date of completion of the transfer.</w:t>
      </w:r>
    </w:p>
    <w:p>
      <w:r>
        <w:t>128. The Parties believe that the divestiture of the two business units is suitable to dispel and completely remove the competitive concerns of the Operation, to the extent that they can allow expansion in certain geographical areas by equally efficient operators, who could thus increase competitive pressure on the entity resulting from the concentration.</w:t>
      </w:r>
    </w:p>
    <w:p>
      <w:r>
        <w:t>129. In particular, regarding the suitability of the divested business units, according to the data provided by the Parties:</w:t>
        <w:br/>
        <w:t>i. The CEF 5 warehouse, located in Cremona, serves [400-600] customers, generating revenue of approximately [100-582] million euros. Its customer base is primarily located in Lombardy, with which the warehouse generates [80-90%] of its total revenue, with the remaining portion allocated to some neighboring provinces located in Emilia-Romagna, from which 15% of the revenue originates (see Figure 12).</w:t>
        <w:br/>
        <w:t>ii. The UNICO 8 warehouse, located in Nogarole Rocca, serves [700-800] customers, generating revenue of approximately [35-100] million euros (see Figure 13) and serves customers located in Veneto ([50-60%] of the revenue generated), Lombardy ([30-40%] of the revenue), and Trentino-Alto Adige ([10-20%] of the revenue). According to the Parties, the warehouse is also suitable to reach Friuli-Venezia Giulia (as it is less distant than the areas located in Trentino-Alto Adige), but this area is not currently served because it is already served by another UNICO warehouse located in Udine (UNICO 5).</w:t>
      </w:r>
    </w:p>
    <w:p>
      <w:r>
        <w:t>Figure 12 - Territorial distribution of customers and revenue of the CEF 8 warehouse in Cremona</w:t>
        <w:br/>
        <w:t>[omissis]</w:t>
        <w:br/>
        <w:t>Figure 13 - Territorial distribution of customers and revenue of the UNICO 5 warehouse in Nogarole Rocca</w:t>
        <w:br/>
        <w:t>[omissis]</w:t>
      </w:r>
    </w:p>
    <w:p>
      <w:r>
        <w:t>156 In particular, within the isochronal markets related to the current warehouses pertaining to the business units subject to divestiture, as well as in the neighboring geographical areas. The Parties specified that this measure does not affect the modernization and transfer of the CEF 4 warehouse - Brescia to Pocarale, the implementation phase of which began in 2023 and will conclude within the next two years.</w:t>
      </w:r>
    </w:p>
    <w:p>
      <w:r>
        <w:t>172 BULLETIN NO. 32 OF AUGUST 18, 2025</w:t>
      </w:r>
    </w:p>
    <w:p>
      <w:r>
        <w:t>130. The Parties believe that the areas served by the two warehouses proposed for divestiture are strongly complementary, together covering the entire North East area, that is, the area where there is the greatest proximity between the CEF and UNICO warehouses. In this sense, the Parties emphasize that such divestitures would significantly reduce the overlap resulting from the Operation and would allow a competing wholesaler to effectively compete for the demand of pharmacies in Northern Italy.</w:t>
      </w:r>
    </w:p>
    <w:p>
      <w:r>
        <w:t>131. In particular, in addition to the area currently served by the warehouses, the Parties believe that the potential breadth of the customer base that can be served by the two warehouses should be assessed, which could be greater than that currently observed, which is the result of the industrial and commercial choices of CEF and UNICO, particularly due to the availability of other warehouses in the immediate vicinity. According to the Parties, therefore, the two warehouses could be used by remedy takers to reach areas broader than those currently reached by CEF and UNICO.</w:t>
      </w:r>
    </w:p>
    <w:p>
      <w:r>
        <w:t>132. The Parties have also emphasized the inclusion in the assets to be divested of the professional figure of the key account manager or area manager of each warehouse, who plays a key role in the activity of a wholesaler, consisting of managing and developing contractual relationships with pharmacies located in the territory and representing the point of reference for these pharmacies.</w:t>
      </w:r>
    </w:p>
    <w:p>
      <w:r>
        <w:t>V.6.c. Behavioral measures</w:t>
      </w:r>
    </w:p>
    <w:p>
      <w:r>
        <w:t>133. Regarding the behavioral measures, as anticipated, the Parties propose: (i) the elimination of purchasing constraints for pharmacies that are members of CEF and UFN, a cooperative that is part of UNICO; (ii) the reduction of purchasing constraints in the strong and light affiliation contracts of CEF; (iii) the obligation to exclusively sign affiliation contracts with an annual duration, and not to provide penalties or sanctions against pharmacies in the event of early withdrawal from said contracts; (iv) the elimination of any purchasing constraint for affiliated pharmacies currently served by the two warehouses subject to divestiture.</w:t>
      </w:r>
    </w:p>
    <w:p>
      <w:r>
        <w:t>134. Measures (i)-(ii)-(iii) are proposed for a period of [omissis] years from the date of notification of any authorization decision, with conditions, of the concentration, while measure (iv) is proposed for a period of [omissis] years from the notification of any decision accepting the proposed measures and conditional authorization of the Operation.</w:t>
      </w:r>
    </w:p>
    <w:p>
      <w:r>
        <w:t>V.6.c.(a) Elimination of purchasing constraints for pharmacies that are members of CEF and UFN, a cooperative that is part of UNICO</w:t>
      </w:r>
    </w:p>
    <w:p>
      <w:r>
        <w:t>135. Regarding the first behavioral measure, the Parties propose measures to relax the purchasing obligations for members of CEF and UNICO (in particular, UFN), which as of June 2025 are, respectively, 2,504 (of which 1,242 located in Lombardy, Veneto, and Friuli-Venezia Giulia) and UNICO 939 (of which 505 for UFN).</w:t>
      </w:r>
    </w:p>
    <w:p>
      <w:r>
        <w:t>136. Currently, Article 14, paragraph 1, letter c), of the CEF Statute provides for member pharmacies an obligation to procure from CEF equal to "the majority of [annual] purchases"157 This provision is interpreted by CEF as indicative of a minimum purchasing commitment of at least 50% of the annual requirement158. UNICO, while not providing a similar statutory provision, is indirectly subject to a similar constraint; the UFN cooperative, a member of UNICO, indeed approved, on June 30, 2022, a "Regulation for mutual exchange" which, in Article 3, imposes on its members an obligation to purchase from UNICO for a minimum share equal to 20% of the total annual purchases159.</w:t>
      </w:r>
    </w:p>
    <w:p>
      <w:r>
        <w:t>137. For remedial purposes, the Parties, therefore, commit to fully remove the aforementioned procurement constraints.</w:t>
      </w:r>
    </w:p>
    <w:p>
      <w:r>
        <w:t>138. The Parties believe that the elimination of the purchasing constraint for pharmacies that are members of CEF and UFN will have a significant pro-competitive effect due to the high number of pharmacies currently members of CEF and UFN, particularly in the regions affected by the Operation - which will be freed from the purchasing obligation provided by the CEF Statute. The revenue generated by CEF from CEF members in the regions of Lombardy, Friuli-Venezia Giulia, and Veneto is approximately [100-582] million euros160, while the revenue generated by UNICO from members of the UFN cooperative is approximately [35-100] million euros in the same regions. Considering that the revenue of the new entity in these regions is approximately [1-2] billion euros, this represents about [omissis] of the revenue generated by CEF and UNICO.</w:t>
      </w:r>
    </w:p>
    <w:p>
      <w:r>
        <w:t>V.6.c.(b) Reduction of purchasing constraints in strong and light affiliation contracts of CEF</w:t>
      </w:r>
    </w:p>
    <w:p>
      <w:r>
        <w:t>139. At the same time, the Parties also propose a measure regarding the affiliation contracts to the Q-Farma network, consisting of the reduction of the minimum purchasing obligations provided in the affiliation contracts to the networks of CEF and UNICO and to the future network of the post-merger entity (QFarma). Currently, pharmacies affiliated with the CEF networks have loyalty obligations of 75% for strong affiliation contracts and 60%161 for light contracts. UNICO, on the other hand, has only recently begun to implement an affiliation system, with an extremely limited number of affiliates, especially in the regions under analysis (Table 9).</w:t>
      </w:r>
    </w:p>
    <w:p>
      <w:r>
        <w:t>140. The Parties propose for all pharmacies affiliated with the network (i.e., without any distinction based on geographical location) to reduce the purchasing constraints provided by the affiliation contracts to [40-50%], both for strong and light types.</w:t>
      </w:r>
    </w:p>
    <w:p>
      <w:r>
        <w:t>141. The Parties emphasize that this measure would have the immediate effect of reducing the elements of "rigidity" in the demand of pharmacies associated with the Parties' networks, particularly that of CEF. According to the Parties' estimates, the revenue related to affiliates in the CEF networks in the three regions of interest is approximately [100-582] million euros162, which is about [omissis] of the revenue generated by CEF and UNICO, amounting to approximately [1-2] billion euros.</w:t>
      </w:r>
    </w:p>
    <w:p>
      <w:r>
        <w:t>157 See doc. 188.1.</w:t>
        <w:br/>
        <w:t>158 See ibidem.</w:t>
        <w:br/>
        <w:t>159 See ibidem and doc. 4.</w:t>
        <w:br/>
        <w:t>160 The figure refers to members of the CEF cooperative who are not affiliated with the CEF network (see doc. 188.1, p. 11).</w:t>
        <w:br/>
        <w:t>161 See CEF 2023 Financial Statements (see doc. 99.28).</w:t>
        <w:br/>
        <w:t>162 See doc. 188.1, p. 12.</w:t>
      </w:r>
    </w:p>
    <w:p>
      <w:r>
        <w:rPr>
          <w:b/>
        </w:rPr>
        <w:t>[Pages 172–174]</w:t>
      </w:r>
    </w:p>
    <w:p>
      <w:r>
        <w:t>174 BULLETIN NO. 32 OF AUGUST 18, 2025</w:t>
      </w:r>
    </w:p>
    <w:p>
      <w:r>
        <w:t>V.6.c.(c) obligation to exclusively enter into annual affiliation contracts, and not to provide penalties or sanctions against pharmacies in the event of early withdrawal from said contracts</w:t>
      </w:r>
    </w:p>
    <w:p>
      <w:r>
        <w:t>142. Furthermore, with reference to the affiliation contracts, the Parties commit to exclusively enter into annual affiliation contracts, and not to provide penalties or sanctions against pharmacies in the event of early withdrawal from said contracts.</w:t>
      </w:r>
    </w:p>
    <w:p>
      <w:r>
        <w:t>143. In this regard, the Parties emphasize that this provision in favor of pharmacies affiliated with the networks of the new entity constitutes an additional useful element for maintaining the contestability of the market. These pharmacies can decide without penalties to turn to other operators active in the intermediate distribution market, including the Parties' competitors, with the consequent possibility of preserving effective competitive pressure on a significant share of the market at the territorial level.</w:t>
      </w:r>
    </w:p>
    <w:p>
      <w:r>
        <w:t>V.6.c.(d) elimination of any purchasing obligation for affiliated pharmacies currently served by two warehouses subject to transfer</w:t>
      </w:r>
    </w:p>
    <w:p>
      <w:r>
        <w:t>144. The Parties commit to eliminating any type of purchasing obligation imposed on pharmacies affiliated with CEF that source from the warehouses in question for a period of [omitted] years from the date of approval of the Operation. This behavioral corrective measure will also apply to pharmacies that apply for affiliation after the approval of the Operation but before the transfer of the business branches.</w:t>
      </w:r>
    </w:p>
    <w:p>
      <w:r>
        <w:t>145. The Parties specify that the pharmacies affiliated with CEF and Unico that are customers of the warehouses subject to transfer total [1-200], all related to the CEF 5 asset, as there are no pharmacies affiliated as customers of UNICO 8.</w:t>
      </w:r>
    </w:p>
    <w:p>
      <w:r>
        <w:t>146. The Parties believe that this proposed behavioral measure is, for its specific scope of application, suitable to address the competitive concerns highlighted. In fact, this measure aims to ensure that in the isochronal markets related to the transferred warehouses, the contestability of the pharmacies' demand is maximized, 'opening' the market to competition between the Parties and their competitors.</w:t>
      </w:r>
    </w:p>
    <w:p>
      <w:r>
        <w:t>V.6.d. The monitoring trustee</w:t>
      </w:r>
    </w:p>
    <w:p>
      <w:r>
        <w:t>147. In order to ensure immediate compliance with the principles regarding corrective measures, the Parties reserve the right to indicate to the Authority, no later than July 31, 2025, the names of individuals proposed as monitoring trustee. Furthermore, the Parties reserve the right to provide an operational plan aimed at illustrating the methods through which the monitoring trustee intends to carry out monitoring on the implementation and effective enforcement of the corrective measures.</w:t>
      </w:r>
    </w:p>
    <w:p>
      <w:r>
        <w:t>148. According to their statements, the monitoring trustee must: (i) operate in a condition of full independence from the Parties; (ii) possess the professional qualifications and necessary skills for the performance of the entrusted task; and (iii) not be in a situation of conflict of interest, current or potential, with respect to the Parties for the three years following the appointment, nor have been in such a situation in the three years preceding the appointment.</w:t>
      </w:r>
    </w:p>
    <w:p>
      <w:r>
        <w:t>149. Furthermore, the Parties specify that the identification of potential buyers will be such that anyone who becomes a buyer of the business branch(es): (i) will not be in any way connected to the Parties; (ii) must have financial, economic, technological means, reputation, availability of distribution networks, and clientele such that they are considered a significant and credible competitor, thus possessing the competence to maintain and develop the transferred business as a profitable competitive force active in competition with the Parties.</w:t>
      </w:r>
    </w:p>
    <w:p>
      <w:r>
        <w:t>VI. EVALUATION OF THE OPERATION</w:t>
      </w:r>
    </w:p>
    <w:p>
      <w:r>
        <w:t>VI.1. Relevant markets</w:t>
      </w:r>
    </w:p>
    <w:p>
      <w:r>
        <w:t>VI.1.a. Product definition</w:t>
      </w:r>
    </w:p>
    <w:p>
      <w:r>
        <w:t>150. The Operation in question concerns the wholesale distribution sector of medicinal specialties (both ethical products, subject to prescription, and so-called over-the-counter products) and para-pharmaceutical products (cosmetic, dietary, hygienic, and veterinary products). From a regulatory perspective, the wholesale distribution of pharmaceutical products is defined as the activity consisting of the purchase, storage, supply, or export of pharmaceutical products, excluding supply to the public, which is an activity reserved exclusively for pharmacies163. It is the intermediate link between pharmaceutical companies and retail operators (pharmacies, para-pharmacies, and online para-pharmacies), that is, the operators that deal with the supply of pharmaceutical and para-pharmaceutical products.</w:t>
      </w:r>
    </w:p>
    <w:p>
      <w:r>
        <w:t>151. For the purposes of the product definition of the relevant markets, the Authority in its previous decisions164 has considered a distinction regarding the type of wholesaler, distinguishing full-line wholesalers, which provide the entire range of prescription drugs quickly, from short-line wholesalers who, on the contrary, do not carry the entire range of prescription drugs but focus on a range of high-volume selling products and, typically, provide a delivery service with less frequency (the latter, therefore, do not qualify as distributors under Article 100 of Legislative Decree No. 219/2006 and are not subject to the obligations set forth in Articles 104 and following of the same).</w:t>
      </w:r>
    </w:p>
    <w:p>
      <w:r>
        <w:t>152. Similarly, in the Commission's previous decisions165, it has divided the wholesale trade of pharmaceutical products based on the type of wholesaler (full-line wholesalers and short-line wholesalers, excluding direct sales from pharmaceutical companies)166.</w:t>
      </w:r>
    </w:p>
    <w:p>
      <w:r>
        <w:t>163 See Article 1, letter r), of Legislative Decree No. 219/2006.</w:t>
      </w:r>
    </w:p>
    <w:p>
      <w:r>
        <w:t>164 See C12304 - So.Farma Morra/Corofar-Newco, decision No. 28328 of August 4, 2020; C12146 - CO.FI.MO-CO.TA.FAR.TI/Newcotafarti, decision No. 27038 of February 14, 2018; C12115 - Cooperativa Esercenti Farmacia/Farmacampania, decision No. 26799 of October 11, 2017; C12111 - CEF-Cooperativa Esercenti Farmacia/Coofarma Salento, decision No. 26797 of October 4, 2017; C12084 - Cooperativa Esercenti Farmacia/Branch of Ctf Group, decision No. 26402 of February 1, 2017; C12033 - Cooperativa Esercenti Farmacia/Nord Est Farma, decision No. 25900 of March 2, 2016; C12011 - Farvima Medicinali/Sofad decision No. 25614 of September 9, 2015; C11992 - Cooperativa Esercenti Farmacia/Sinfarma, decision No. 25460 of May 5, 2015; C11985 - Cooperativa Esercenti Farmacia/Far.P.As Farmacisti Pugliesi Società Cooperativa, decision No. 25338 of February 25, 2015; C11961 - Cooperativa Esercenti Farmacia/Al-Pharma, decision No. 25255 of January 8, 2015 and C11960 - Cooperativa Esercenti Farmacia/Farfin-Socrefarma, decision No. 25254 of January 8, 2015.</w:t>
      </w:r>
    </w:p>
    <w:p>
      <w:r>
        <w:t>165 See European Commission decisions of March 30, 2022, M.10404 - Phoenix / McKesson, of March 3, 2016; M.7818 - Mckesson/Udg Healthcare (Pharmaceutical Wholesale And Associated Businesses) of August 3, 2010 and M.5865 - Teva/Ratiopharm of August 3, 2010.</w:t>
      </w:r>
    </w:p>
    <w:p>
      <w:r>
        <w:t>166 The European Commission has also considered further segmentations based on (i) the type of products sold (Rx or SOP/OTC drugs, originator or generic or parallel import drugs) and (ii) customer categories (retail pharmacies, dispensing doctors, and hospitals) due to the different purchasing and delivery methods, leaving, however, the product definition of the market on this aspect open.</w:t>
      </w:r>
    </w:p>
    <w:p>
      <w:r>
        <w:t>176 BULLETIN NO. 32 OF AUGUST 18, 2025</w:t>
      </w:r>
    </w:p>
    <w:p>
      <w:r>
        <w:t>153. The investigation confirmed the product definition of the market. In particular, most purchases are made through intermediate distributors, which represent over 60% of the total. Additionally, it should be noted that purchases made directly from pharmaceutical companies, which constitute about 30% of pharmacy purchases167, are usually managed by intermediate distributors, who deliver them using the so-called transfer order168 on behalf of the pharmaceutical companies. A predominant part of pharmacy orders, therefore, is managed by intermediate distributors.</w:t>
      </w:r>
    </w:p>
    <w:p>
      <w:r>
        <w:t>154. In this regard, it should be noted that there is limited substitutability between supplies made from intermediate distributors compared to those made through pharmaceutical companies or other entities (licensees and short-line distributors). In particular, in the event of unavailability of an intermediate distributor, the majority of responding pharmacies (about 78%) would choose another intermediate distributor, while about 19% would turn directly to pharmaceutical companies169.</w:t>
      </w:r>
    </w:p>
    <w:p>
      <w:r>
        <w:t>155. In fact, the sample survey highlighted that for over 66% of pharmacies, the services offered by intermediate distributors are not provided by alternative entities. Similarly, direct purchases from pharmaceutical companies or other entities (licensees and short-line distributors) are made only for limited references by over 60% of pharmacies170.</w:t>
      </w:r>
    </w:p>
    <w:p>
      <w:r>
        <w:t>156. In accordance with what was found in the aforementioned national and European precedents, therefore, there is very limited substitutability between intermediate distributors and other types of supply (direct purchases from pharmaceutical companies, licensees, and short-line distributors). Therefore, it is believed that, from a product perspective, the relevant market can be defined as that of the wholesale distribution of medicinal specialties (both ethical products, subject to prescription, and over-the-counter products) and para-pharmaceutical products (cosmetic, dietary, hygienic, and veterinary products) carried out by intermediate distributors (full-line wholesalers).</w:t>
      </w:r>
    </w:p>
    <w:p>
      <w:r>
        <w:t>VI.1.b. Geographic definition</w:t>
      </w:r>
    </w:p>
    <w:p>
      <w:r>
        <w:t>157. From a geographical perspective, in the aforementioned precedents of the Authority, it has been considered that the geographical market has a local extent due to the existence of different regulations among the various countries of the European Union (for Italy, specifically, Articles 99-112 of Legislative Decree No. 219/2006) that affect a plurality of relevant profiles of activities (licenses, product margins, delivery times, assortment obligations).</w:t>
      </w:r>
    </w:p>
    <w:p>
      <w:r>
        <w:t>158. More recently, the European Commission has considered that in Italy the relevant markets for the wholesale distribution of medicinal specialties have a local extent171. In particular, the Commission observed that, due to the need to ensure frequent deliveries to</w:t>
      </w:r>
    </w:p>
    <w:p>
      <w:r>
        <w:t>167 See doc. 178.2 (question D14).</w:t>
      </w:r>
    </w:p>
    <w:p>
      <w:r>
        <w:t>168 In this regard, see also docs. 98.1, 30, 36.1, 41, 42, 47, 52, 74. Farmacisti Più Rinaldi notes that "the transfer order or transfer of the order is a mode of sale to the pharmacy by the producing company and the wholesaler in a synergistic manner with distinct phases. The procedure provides that the producing company manages the sales proposal phase to the pharmacy, while the order fulfillment and invoicing phase is handled by the intermediate distributor (wholesaler). For this logistical service, as well as for the burden of managing invoicing and related collection, in addition to the commercial risk, the producing company recognizes an amount to the intermediate distributor. This amount is negotiated between the distributor and the producing company" (see doc. 52).</w:t>
      </w:r>
    </w:p>
    <w:p>
      <w:r>
        <w:t>169 See doc. 178.2 (question D18).</w:t>
      </w:r>
    </w:p>
    <w:p>
      <w:r>
        <w:t>170 See doc. 178.2 (question D19).</w:t>
      </w:r>
    </w:p>
    <w:p>
      <w:r>
        <w:t>171 See European Commission decision M.10404 - Phoenix / McKesson of March 30, 2022.</w:t>
      </w:r>
    </w:p>
    <w:p>
      <w:r>
        <w:rPr>
          <w:b/>
        </w:rPr>
        <w:t>[Pages 175–177]</w:t>
      </w:r>
    </w:p>
    <w:p>
      <w:r>
        <w:t>BULLETIN NO. 32 OF AUGUST 18, 2025</w:t>
      </w:r>
    </w:p>
    <w:p>
      <w:r>
        <w:t>177 pharmacies, there is a need to locate warehouses in proximity to customers. In this regard, according to the most recent decision-making practice, the European Commission has defined local markets as consisting of areas reachable within a certain period of time/distance from each warehouse (isochrones)172.</w:t>
      </w:r>
    </w:p>
    <w:p>
      <w:r>
        <w:t>159. The investigation has confirmed that logistical aspects play a central role in the competitive dynamics of intermediate distribution173. Multiple intermediate distributors, as well as the Parties themselves, have indeed emphasized that intermediate distributors deliver on average at least twice a day to all pharmacies in the area174 and, in this sense, "the range of a single warehouse is limited by the possibility of delivering within a time that the customer considers acceptable, especially regarding afternoon deliveries"175.</w:t>
      </w:r>
    </w:p>
    <w:p>
      <w:r>
        <w:t>160. In this context, the factors determining the distances normally traveled by intermediate distributors, in addition to a maximum operational limit due to delivery constraints (within 12 hours)176, are: (i) exogenous factors, related to the characteristics of the territory in which such intermediate distributors are present - namely the road and geographical characteristics177, as well as the density of customers in the territory178; (ii) endogenous factors, arising from strategic choices of individual companies - related to the distances covered by each operator in relation to the number and location of its warehouses179.</w:t>
      </w:r>
    </w:p>
    <w:p>
      <w:r>
        <w:t>161. The investigation has revealed that, specifically regarding the territories under analysis, the distances ordinarily traveled by intermediate distributors are within 70-76 km by road to reach 70% of customers in terms of revenue and within 130-135 km by road to reach 90% of customers in terms of revenue. Consequently, 80% of customers are reached, on average, at a distance of about 100-105 km from the warehouse180 (Table 1).</w:t>
      </w:r>
    </w:p>
    <w:p>
      <w:r>
        <w:t>162. In conclusion, considering the most recent approaches in the field of intermediate distribution, it is deemed appropriate to define the relevant markets from a geographical perspective as having a local dimension, the extent of which corresponds to the geographical area included within a certain road distance from a centroid coinciding with the position of the warehouse (isodistances), taking into account delivery times and other relevant aspects for distribution (customer density, transport costs, etc.). In light of the elements acquired during the investigation, it is believed that, in the case at hand181, the geographical extent of the local markets can be defined within 100 km by road from each of the Parties' warehouses182.</w:t>
      </w:r>
    </w:p>
    <w:p>
      <w:r>
        <w:t>178 Another element to consider is the density of pharmacies present in the territory, as "the presence of economies of density is a determining factor: in areas with a high concentration of pharmacies, unit distribution costs decrease, allowing for more advantageous commercial conditions. Furthermore, the ability to make multiple daily deliveries and manage urgent orders represents a competitive element that can influence pharmacies' choice of distributor" (cfr. doc. 44). In this sense, Unifarm S.p.A. observes that "the proximity and geographical density of customer pharmacies undoubtedly facilitate distribution activities and reduce transport costs" (cfr. doc. 49).</w:t>
      </w:r>
    </w:p>
    <w:p>
      <w:r>
        <w:t>179 In particular, an intermediate distributor with a greater number of warehouses reduces the distances traveled from a given warehouse where the contiguous area is served by another among its warehouses.</w:t>
      </w:r>
    </w:p>
    <w:p>
      <w:r>
        <w:t>180 This data is calculated by interpolating the values related to the distances traveled to reach 70% and 90% of customers and appears to be confirmed by some intermediate distributors. For example, Unifarma Distribuzione stated that "considering the most representative warehouses of Unifarma, about 80% of revenue is generated within a road distance of about 100-110 km" (cfr. doc. 174).</w:t>
      </w:r>
    </w:p>
    <w:p>
      <w:r>
        <w:t>181 It should be noted that this geographical definition concerns the specific geographical areas under analysis, related to northeastern Italy, and this definition cannot be generalized to different geographical areas where the orographic and road conditions of the territory, as well as the density of pharmacies, are significantly different. In fact, according to what emerged during the investigation, there are geographical areas where significant differences are recorded, both increasing and decreasing, in the distances normally traveled by intermediate distributors. For example, in Sardinia, the distances traveled are usually greater than 120-140 km (cfr. doc. 105.1), which is more than half of the distances normally traveled in the remaining territories, while in Liguria, the distances normally traveled are less than 40 km (cfr. doc. 107.1). For example, for the UNICO warehouse located at [omitted], 90% of customers are reached within a radius of approximately [150-180] km (cfr. doc. 83.3).</w:t>
      </w:r>
    </w:p>
    <w:p>
      <w:r>
        <w:t>182 For Italy, the Commission has considered two alternative definitions, equal to 90 minutes and 171 minutes of driving (cfr. European Commission decision of March 30, 2022, case M.10404 – Phoenix / McKesson). As a result of the investigation in question, however, it is believed that the most appropriate measure for defining the markets of intermediate distribution is the road distance. In fact, as stated above (in this regard, see ex multis doc. 174), intermediate distributors usually have to deliver to pharmacies (i) within 2-2.5 hours from departure to the warehouse in the case of scheduled routes (deliveries made in the morning at the pharmacy opening and early afternoon, during less busy time slots) and (ii) within 1-1.5 hours for intermediate deliveries (deliveries made mid-morning and mid-afternoon that usually respond to urgent requests from pharmacies due to sudden shortages of certain products or exceptional requests for items not usually handled). In this context, however, it has emerged that when considering the times within which delivery must be made, it is necessary to include (i) the time required for the journey and (ii) the time required for delivery. Therefore, there may be cases where (i) the journey in terms of minutes is longer but delivery times are shorter, for example when delivering to towns in the province where there is only one pharmacy for each town, (ii) delivery times are reduced, but delivery takes longer because there is greater density of pharmacies. The use of travel times, therefore, does not capture the aspects related to the different density of pharmacies. In this sense, one distributor noted that it is "therefore very difficult to provide an indication of the travel time necessary to reach customers as this is the result of a complex equation between two variables: distance and density" (cfr. doc. 174). In conclusion, it is deemed more appropriate to use road distances to define the relevant markets.</w:t>
      </w:r>
    </w:p>
    <w:p>
      <w:r>
        <w:t>183 In order to provide greater robustness to the analysis, the provinces predominantly served by each warehouse have also been considered. In this sense, see Table 6 above.</w:t>
      </w:r>
    </w:p>
    <w:p>
      <w:r>
        <w:t>184 Such overlaps were, conversely, found in the various hypotheses of the initiation of the investigation.</w:t>
      </w:r>
    </w:p>
    <w:p>
      <w:r>
        <w:t>185 See Guidelines on the assessment of horizontal concentrations pursuant to the Council Regulation on the control of concentrations between undertakings (2004/C 31/03).</w:t>
      </w:r>
    </w:p>
    <w:p>
      <w:r>
        <w:rPr>
          <w:b/>
        </w:rPr>
        <w:t>[Pages 178–180]</w:t>
      </w:r>
    </w:p>
    <w:p>
      <w:r>
        <w:t>180 BULLETIN NO. 32 OF AUGUST 18, 2025</w:t>
      </w:r>
    </w:p>
    <w:p>
      <w:r>
        <w:t>high market shares, (ii) the presence of a high degree of concentration, (iii) the elimination of a competitive constraint between the companies participating in the concentration.</w:t>
      </w:r>
    </w:p>
    <w:p>
      <w:r>
        <w:t>167. As more extensively illustrated below, it is believed that the concentration in question is likely to significantly hinder effective competition as it is carried out among the main operators in the market, close competitors, and in a very concentrated context.</w:t>
      </w:r>
    </w:p>
    <w:p>
      <w:r>
        <w:t>VI.2.b. Market Shares and Concentration</w:t>
      </w:r>
    </w:p>
    <w:p>
      <w:r>
        <w:t>168. Considering the local markets built around the CEF and UNICO depots in overlap (Table 22), the structural analysis shows the presence of significant overlaps and competitive criticalities in the local markets built around the CEF 3 - Lallio (BG), CEF 4 - Brescia, CEF 6 - Erba (CO), CEF 12 - Bolzano Vicentino (VI) and the UNICO 1 - Novara, UNICO 2 - Lainate (MI) and UNICO 8 - Nogarole Rocca (VR) depots.</w:t>
      </w:r>
    </w:p>
    <w:p>
      <w:r>
        <w:t>169. In particular, the joint market shares are always above 30% and, specifically:</w:t>
        <w:br/>
        <w:t>i. above 40% for the catchment areas CEF 12, CEF 3, and UNICO 8;</w:t>
        <w:br/>
        <w:t>ii. between 35% and 40% for the catchment areas CEF 4 and UNICO 2;</w:t>
        <w:br/>
        <w:t>iii. between 30% and 35% for the catchment areas CEF 6 and UNICO 1.</w:t>
      </w:r>
    </w:p>
    <w:p>
      <w:r>
        <w:t>170. The operation takes place in an extremely concentrated market context, with the HHI index always above 2500, with equally high variations in concentration (delta HHI between 308 and 1,087 points).</w:t>
      </w:r>
    </w:p>
    <w:p>
      <w:r>
        <w:t>Table 22 - Market Shares in Local Markets Defined by Areas 100 km from the Depot186</w:t>
      </w:r>
    </w:p>
    <w:p>
      <w:r>
        <w:t>| CEF 12 | UNICO 8 | UNICO 2 | CEF 3 | CEF 4 | CEF 6 | Bolzano | UNICO 1 | Nogarole |</w:t>
        <w:br/>
        <w:t>|--------|---------|---------|-------|-------|-------|---------|---------|---------|</w:t>
        <w:br/>
        <w:t>| Lallio (BG) | Brescia | Erba (CO) | Vicentino | Novara | Rocca (MI) | (VI) | (VR) |</w:t>
        <w:br/>
        <w:t>| CEF | 25-30% | 30-35% | 15-20% | 30-35% | 15-20% | 15-20% | 50-55% |</w:t>
        <w:br/>
        <w:t>| UNICO | 15-20% | 5-10% | 15-20% | 10-15% | 15-20% | 15-20% | 10-15% |</w:t>
        <w:br/>
        <w:t>| Total | 40-45% | 35-40% | 30-35% | 40-45% | 30-35% | 35-40% | 60-65% |</w:t>
      </w:r>
    </w:p>
    <w:p>
      <w:r>
        <w:t>Number of competitors with share &gt; 10% | 1 | 1 | 1 | 1 | 1 | 1 | 1</w:t>
      </w:r>
    </w:p>
    <w:p>
      <w:r>
        <w:t>Number of competitors with share &gt; 1% and &lt; 10% | 4 | 2 | 4 | 2 | 6 | 4 | 1</w:t>
      </w:r>
    </w:p>
    <w:p>
      <w:r>
        <w:t>Number of competitors with share &lt; 1% | - | 1 | 1 | 1 | 1 |</w:t>
      </w:r>
    </w:p>
    <w:p>
      <w:r>
        <w:t>HHI post-merger | 3154 | 3603 | 2832 | 4148 | 2565 | 2908 | 4430</w:t>
      </w:r>
    </w:p>
    <w:p>
      <w:r>
        <w:t>Delta HHI | 862 | 308 | 577 | 701 | 556 | 637 | 1087</w:t>
      </w:r>
    </w:p>
    <w:p>
      <w:r>
        <w:t>186 See Table 4 above.</w:t>
      </w:r>
    </w:p>
    <w:p>
      <w:r>
        <w:t>BULLETIN NO. 32 OF AUGUST 18, 2025 181</w:t>
      </w:r>
    </w:p>
    <w:p>
      <w:r>
        <w:t>171. A robustness analysis was also conducted, considering local markets defined for a road distance of 110 km, from which no significant differences emerge.</w:t>
      </w:r>
    </w:p>
    <w:p>
      <w:r>
        <w:t>Table 23 - Market Shares in Local Markets Defined by Areas 110 km from the Depot187</w:t>
      </w:r>
    </w:p>
    <w:p>
      <w:r>
        <w:t>| CEF 12 | UNICO 8 | UNICO 2 | CEF 3 | CEF 4 | CEF 6 | Bolzano | UNICO 1 | Nogarole |</w:t>
        <w:br/>
        <w:t>|--------|---------|---------|-------|-------|-------|---------|---------|---------|</w:t>
        <w:br/>
        <w:t>| Lallio (BG) | Brescia | Erba (CO) | Vicentino | Novara | Rocca (MI) | (VI) | (VR) |</w:t>
        <w:br/>
        <w:t>| CEF | 25-30% | 25-30% | 15-20% | 30-35% | 10-15% | 25-30% | 30-35% |</w:t>
        <w:br/>
        <w:t>| UNICO | 15-20% | 15-20% | 15-20% | 10-15% | 10-15% | 15-20% | 5-10% |</w:t>
        <w:br/>
        <w:t>| Total | 40-45% | 40-45% | 30-35% | 40-45% | 25-30% | 40-45% | 35-40% |</w:t>
      </w:r>
    </w:p>
    <w:p>
      <w:r>
        <w:t>Number of competitors with share &gt; 10% | 1 | 1 | 1 | 1 | 2 | 1 | 2</w:t>
      </w:r>
    </w:p>
    <w:p>
      <w:r>
        <w:t>Number of competitors with share &gt; 1% and &lt; 10% | 4 | 3 | 4 | 2 | 5 | 5 | 2</w:t>
      </w:r>
    </w:p>
    <w:p>
      <w:r>
        <w:t>Number of competitors with share &lt; 1% | 1 | 1 | 1 | 1 |</w:t>
      </w:r>
    </w:p>
    <w:p>
      <w:r>
        <w:t>HHI post-merger | 3200 | 3463 | 2832 | 4148 | 2251 | 2934 | 2690</w:t>
      </w:r>
    </w:p>
    <w:p>
      <w:r>
        <w:t>Delta HHI | 898 | 899 | 577 | 701 | 424 | 798 | 455</w:t>
      </w:r>
    </w:p>
    <w:p>
      <w:r>
        <w:t>172. In this regard, it should be noted that the higher the market share and the greater the market concentration188, the more likely it is that the concentration may hinder competition.</w:t>
      </w:r>
    </w:p>
    <w:p>
      <w:r>
        <w:t>173. These data are also confirmed by the results of the survey on pharmacies, which shows that the main intermediate distributors, in terms of frequency of use, are CEF (indicated as a supplier by about 60.4% of the surveyed pharmacies), UNICO (49.1%), and Phoenix Pharma (44.4%, Figure 7). Furthermore, as shown in Table 13 above, in Lombardy and Veneto, CEF is the most frequently used operator (the pharmacies that use it are 63.5% and 66.5%, respectively), while in Friuli-Venezia Giulia, UNICO is the most frequently used operator (by 75% of pharmacies).</w:t>
      </w:r>
    </w:p>
    <w:p>
      <w:r>
        <w:t>174. Moreover, in over 70% of cases, CEF or UNICO are the main distributor of pharmacies (about 79% in Friuli-Venezia Giulia, 74% in Lombardy, and 66% in Veneto, see Table 14). On average, in fact, CEF is the distributor that absorbs about 52.8% of the orders from the pharmacies that use it, while UNICO absorbs on average 42.3% of the needs of the pharmacies it serves.</w:t>
      </w:r>
    </w:p>
    <w:p>
      <w:r>
        <w:t>175. The concentration, therefore, eliminates the competitive constraint of two important operators, usually among the top three, in the intermediate distribution in the areas under analysis. In these markets, 187 See Table 5 above.</w:t>
      </w:r>
    </w:p>
    <w:p>
      <w:r>
        <w:t>188 According to the aforementioned European guidelines on horizontal concentrations, competitive criticalities can be hypothesized when the HHI concentration index after the concentration is above 2,000 and the change in the HHI index is greater than 150 units.</w:t>
      </w:r>
    </w:p>
    <w:p>
      <w:r>
        <w:t>182 BULLETIN NO. 32 OF AUGUST 18, 2025</w:t>
      </w:r>
    </w:p>
    <w:p>
      <w:r>
        <w:t>in addition to the main competitor Phoenix, there are other operators - usually from 2 to 5 other intermediate distributors - of small/medium size (with market shares below 10%). This is, therefore, a context where the risks of unilateral effects appear relevant in light of the high degree of concentration where post-merger the new entity and the main competitor may have little incentive to compete; this, especially, where medium-small competitors do not have the capacity to compete in terms of available logistics structures and loyal demand to serve. These are classic unilateral effects, uncoordinated, based on the reduction of competitive pressure between the parties and the reduction of competitive pressure with competitors.</w:t>
      </w:r>
    </w:p>
    <w:p>
      <w:r>
        <w:t>176. The presence of unilateral effects of the Operation is also strengthened, on the one hand, by the proximity of the CEF and UNICO depots, and on the other hand, by the high number of shared customers among the intermediate distributors in the geographical areas of interest. In particular, considering the customers of UNICO, in Lombardy and Veneto more than 60% are also customers of CEF. Furthermore, considering the current customers of CEF, in Lombardy and Friuli-Venezia Giulia, more than 40% and 80% are also customers of UNICO, respectively (Table 24).</w:t>
      </w:r>
    </w:p>
    <w:p>
      <w:r>
        <w:t>Table 24 – Competitive Proximity: Shared Customers189</w:t>
      </w:r>
    </w:p>
    <w:p>
      <w:r>
        <w:t>| Lombardia | Veneto | Friuli-Venezia Giulia |</w:t>
        <w:br/>
        <w:t>|-----------|--------|----------------------|</w:t>
        <w:br/>
        <w:t>| Pharmacies exclusively customers of CEF (A) | [omissis] | [omissis] | [omissis] |</w:t>
        <w:br/>
        <w:t>| Pharmacies exclusively customers of UNICO (B) | [omissis] | [omissis] | [omissis] |</w:t>
        <w:br/>
        <w:t>| Pharmacies customers of both CEF and UNICO (C) | [omissis] | [omissis] | [omissis] |</w:t>
        <w:br/>
        <w:t>| Common customers on total customers of CEF (C/A) | 40-60% | 20-40% | 80-100% |</w:t>
        <w:br/>
        <w:t>| Common customers on total customers of UNICO (C/B) | 60-80% | 60-80% | 20-40% |</w:t>
      </w:r>
    </w:p>
    <w:p>
      <w:r>
        <w:t>VI.2.c. Affiliation to Cooperatives and Networks</w:t>
      </w:r>
    </w:p>
    <w:p>
      <w:r>
        <w:t>177. In addition to what has been indicated previously, another relevant element for the assessment of the present Operation concerns the adherence to cooperatives, as well as the affiliation to networks or franchises190.</w:t>
      </w:r>
    </w:p>
    <w:p>
      <w:r>
        <w:t>178. As emerged from both the internal documentation and the survey, about 30% of pharmacies adhere to a cooperative in the areas under analysis191. In this context, CEF appears to be the</w:t>
      </w:r>
    </w:p>
    <w:p>
      <w:r>
        <w:t>189 See doc. 114.1, p. 74.</w:t>
      </w:r>
    </w:p>
    <w:p>
      <w:r>
        <w:t>190 On this point, the following analysis on affiliations to networks and adherence to cooperatives is conducted from a horizontal perspective, to assess the risk of strengthening the position of the parties due to the loyalty of their respective networks and the reduction of competitors' ability to operate and does not concern vertical profiles that are not present in the operation in question. In this sense, it is not considered that, in this case, there are preclusive incentives from the new entity due to the circumstance that, with such a strategy, the Parties would give up the margin of intermediate distribution without having a profit at the level of pharmacies.</w:t>
      </w:r>
    </w:p>
    <w:p>
      <w:r>
        <w:t>191 In particular, according to the survey data, on average 29.2% of the surveyed pharmacies adhere to a pharmacists' cooperative. In Friuli-Venezia Giulia, the percentage is 29.3%, in Lombardy it is 27.5%, and in Veneto it is 32.8% (Figure 8).</w:t>
      </w:r>
    </w:p>
    <w:p>
      <w:r>
        <w:rPr>
          <w:b/>
        </w:rPr>
        <w:t>[Pages 181–183]</w:t>
      </w:r>
    </w:p>
    <w:p>
      <w:r>
        <w:t>BULLETIN NO. 32 OF AUGUST 18, 2025 183</w:t>
      </w:r>
    </w:p>
    <w:p>
      <w:r>
        <w:t>cooperative with the highest number of affiliated pharmacies, representing about 68% of the total pharmacies that are members of cooperatives, with a particularly high concentration in the Lombardy region, where the share reaches 80.7%. Together, CEF and the cooperatives affiliated with UNICO represent 76.2% of the pharmacies associated with cooperatives (44.9% in Friuli-Venezia Giulia, 85.5% in Lombardy, and 71.0% in Veneto, see Table 17). Considering all pharmacies, not just those associated with cooperatives, the members of CEF and UNICO represent on average about 22.3% of the total192.</w:t>
      </w:r>
    </w:p>
    <w:p>
      <w:r>
        <w:t>179. Regarding membership in networks and franchises, about 27.60% of the surveyed pharmacies belong to an independent pharmacy network, a franchise, or a real chain of pharmacies (18.10% in Friuli-Venezia Giulia, 30.30% in Lombardy, and 25.50% in Veneto, see Table 19 above). Again, CEF is the main pharmacy network, with 54.5% of pharmacies belonging to a network; the second most widespread network is that of Phoenix Pharma (Valore Salute), with about 7.9% of pharmacies (Table 20). In this regard, in the areas examined, the CEF network is significantly larger than its competitors.</w:t>
      </w:r>
    </w:p>
    <w:p>
      <w:r>
        <w:t>180. These circumstances are confirmed by the data from the Parties themselves, which show the significant incidence of the CEF network in the geographical area under examination, particularly with reference to Lombardy. In this regard, see the following table which summarizes the data from Table 9 and Table 6, identifying, for each of the provinces served by the CEF and UNICO warehouses, the percentage of CEF and UNICO affiliates out of the total pharmacies present in the province.</w:t>
      </w:r>
    </w:p>
    <w:p>
      <w:r>
        <w:t>192 13.2% in Friuli-Venezia Giulia, 23.5% in Lombardy, and 23.3% in Veneto. The figure is calculated by multiplying the percentage of pharmacies that belong to a cooperative (Figure 8) by the number of affiliates to CEF and UNICO (Table 17).</w:t>
      </w:r>
    </w:p>
    <w:p>
      <w:r>
        <w:t>184 BULLETIN NO. 32 OF AUGUST 18, 2025</w:t>
      </w:r>
    </w:p>
    <w:p>
      <w:r>
        <w:t>Table 25 – Incidence of CEF and UNICO affiliates on the total number of pharmacies (provincial data)193</w:t>
      </w:r>
    </w:p>
    <w:p>
      <w:r>
        <w:t>| Region | Province | CEF Deposits | N. Deposits of UNICO | % CEF Affiliates | % UNICO Affiliates on the total pharmacies |</w:t>
        <w:br/>
        <w:t>|--------|----------|--------------|----------------------|------------------|-------------------------------------------|</w:t>
        <w:br/>
        <w:t>| Lombardy | Bergamo | CEF 3, CEF 4 | UNICO 2 | 357 | 10-20% | &lt;1% |</w:t>
        <w:br/>
        <w:t>| Lombardy | Brescia | CEF 4 | UNICO 8 | 404 | 60-70% | &lt;1% |</w:t>
        <w:br/>
        <w:t>| Lombardy | Como | CEF 6 | UNICO 2 | 188 | 20-30% | 1-10% |</w:t>
        <w:br/>
        <w:t>| Lombardy | Cremona | CEF 4, CEF 5 | UNICO 2 | 156 | 30-40% | - |</w:t>
        <w:br/>
        <w:t>| Lombardy | Lecco | CEF 6 | UNICO 2 | 116 | 20-30% | &lt;1% |</w:t>
        <w:br/>
        <w:t>| Lombardy | Lodi | CEF 5 | UNICO 2 | 92 | 1-10% | - |</w:t>
        <w:br/>
        <w:t>| Lombardy | Monza e Brianza | CEF 3, CEF 6 | UNICO 2 | 231 | 1-10% | &lt;1% |</w:t>
        <w:br/>
        <w:t>| Lombardy | Milano | CEF 3, CEF 6 | UNICO 1, UNICO 2 | 946 | 1-10% | &lt;1% |</w:t>
        <w:br/>
        <w:t>| Lombardy | Mantova | CEF 4, CEF 5 | UNICO 8 | 146 | 20-30% | - |</w:t>
        <w:br/>
        <w:t>| Lombardy | Pavia | CEF 5 | UNICO 1, UNICO 2 | 247 | 1-10% | &lt;1% |</w:t>
        <w:br/>
        <w:t>| Lombardy | Sondrio | CEF 6 | - | 79 | 10-20% | - |</w:t>
        <w:br/>
        <w:t>| Lombardy | Varese | CEF 6 | UNICO 1, UNICO 2 | 265 | 10-20% | &lt;1% |</w:t>
        <w:br/>
        <w:t>| Veneto | Padova | CEF 11, CEF 12 | UNICO 8 | 275 | 10-20% | - |</w:t>
        <w:br/>
        <w:t>| Veneto | Rovigo | CEF 11, CEF 12 | UNICO 4 | 92 | 10-20% | - |</w:t>
        <w:br/>
        <w:t>| Veneto | Treviso | CEF 11, CEF 12 | UNICO 5, UNICO 8 | 256 | 1-10% | &lt;1% |</w:t>
        <w:br/>
        <w:t>| Veneto | Venezia | CEF 11 | UNICO 8 | 275 | 1-10% | - |</w:t>
        <w:br/>
        <w:t>| Veneto | Vicenza | CEF 12 | UNICO 8 | 272 | 1-10% | - |</w:t>
        <w:br/>
        <w:t>| Veneto | Verona | CEF 12 | UNICO 8 | 271 | 20-30% | &lt;1% |</w:t>
      </w:r>
    </w:p>
    <w:p>
      <w:r>
        <w:t>181. It should be noted that in numerous provinces of Lombardy and Veneto, the percentage of affiliates to the CEF network is over 20% of the total pharmacies present (1 in 4 pharmacies belonging to the CEF network), with particular peaks in Brescia, where over 60% of pharmacies are affiliated with CEF, and Cremona, where about one in three pharmacies is affiliated with CEF.</w:t>
      </w:r>
    </w:p>
    <w:p>
      <w:r>
        <w:t>182. The survey highlights a high degree of loyalty among pharmacies, both with respect to the quality of cooperative membership and with respect to network affiliation. In particular, as can be seen in Table 26 below, it is highlighted that membership in the cooperative or in a CEF network is associated with an overall purchasing percentage from CEF exceeding 65%, with an increase compared to the purchasing data at CEF of the generality of pharmacies equal to +14.80 percentage points for cooperative members, and +26.60 percentage points for network affiliates194.</w:t>
      </w:r>
    </w:p>
    <w:p>
      <w:r>
        <w:t>Table 26 – Metrics related to the use of CEF by all pharmacies, pharmacies that are members of the CEF cooperative, and those affiliated with CEF networks195</w:t>
      </w:r>
    </w:p>
    <w:p>
      <w:r>
        <w:t>| Adoption Rate of CEF as Distributor | % Average Purchases Made at CEF |</w:t>
        <w:br/>
        <w:t>|--------------------------------------|---------------------------------|</w:t>
        <w:br/>
        <w:t>|                                      | Generality of Pharmacies | Cooperative Members | Network Affiliates |</w:t>
        <w:br/>
        <w:t>| Friuli-Venezia Giulia               | 18.40% | 49.70% | 100% |</w:t>
        <w:br/>
        <w:t>| Lombardy                             | 54.20% | 86.40% | 95.70% |</w:t>
        <w:br/>
        <w:t>| Veneto                               | 52.40% | 95.00% | 93.60% |</w:t>
        <w:br/>
        <w:t>| Total Overall                        | 49.50% | 87.30% | 95.50% |</w:t>
      </w:r>
    </w:p>
    <w:p>
      <w:r>
        <w:t>∆% (total overall) | + 37.80% | + 46.00% | + 14.80% | + 25.60% |</w:t>
      </w:r>
    </w:p>
    <w:p>
      <w:r>
        <w:t>183. The loyalty dynamics shown by the data on purchase percentages from the intermediate distributor by its members and affiliates to its network are also confirmed by the competitors of the Parties. In particular, Phoenix represents that in the world of private distributors, the levels of loyalty formally required from pharmacies affiliated with the franchise or network are always only partially satisfied (with differences of 10-20 percentage points below the required quota); in the case of pharmacies affiliated with cooperative networks, these "tend to source almost exclusively from their distributor and are also very concentrated in certain territories, making penetration in such markets very difficult"196. Similarly, So.Farma. Morra confirms that "in the cooperative world, pharmacies, being members of the same cooperative, exhibit a high degree of loyalty, this is less true for pharmacies that turn to independent private distributors"197.</w:t>
      </w:r>
    </w:p>
    <w:p>
      <w:r>
        <w:t>194 It should also be noted that members of the CEF cooperative and affiliates to the CEF network more frequently adopt CEF as their main supplier, increasing the adoption rate by 37.8 and 46 percentage points respectively.</w:t>
      </w:r>
    </w:p>
    <w:p>
      <w:r>
        <w:t>195 See summary data from Table 13, Table 14, Table 16, Table 18, and Table 21.</w:t>
      </w:r>
    </w:p>
    <w:p>
      <w:r>
        <w:t>196 For example, in the face of required levels of 60-80% for the franchise, or 60-80% for the network, these translate into actual levels of 40-60% of purchases (see doc. no. 171).</w:t>
      </w:r>
    </w:p>
    <w:p>
      <w:r>
        <w:t>197 See doc. 176.</w:t>
      </w:r>
    </w:p>
    <w:p>
      <w:r>
        <w:rPr>
          <w:b/>
        </w:rPr>
        <w:t>[Pages 184–186]</w:t>
      </w:r>
    </w:p>
    <w:p>
      <w:r>
        <w:t>186 BULLETIN NO. 32 OF AUGUST 18, 2025</w:t>
      </w:r>
    </w:p>
    <w:p>
      <w:r>
        <w:t>184. On this point, the internal documentation of CEF and UNICO, particularly the business plan of the Operation, places significant emphasis on the CEF network as a tool for increasing revenues and margins. In particular, one of the objectives of the business plan is “[omissis]”198. Essentially, the internal documentation of CEF and UNICO also shows the relevance of pharmacy loyalty for revenue growth.</w:t>
      </w:r>
    </w:p>
    <w:p>
      <w:r>
        <w:t>185. In this context, the presence of a significant number of pharmacies linked to CEF, primarily, and to UNICO, as well as the possibility that the CEF model may be extended to pharmacies served by UNICO, creates risks related to the exacerbation of the effects of the concentration operation.</w:t>
      </w:r>
    </w:p>
    <w:p>
      <w:r>
        <w:t>186. In fact, such rigidities appear to significantly reduce the ability of CEF and UNICO's competitors to expand their supplies to pharmacies, making the realization of anti-competitive effects of the operation even more likely. In this regard, for example, Unifarm noted that where there is insufficient free demand, the expansion possibilities for remaining operators could be limited, as investments to expand the supply area to pharmacies would not be justifiable199.</w:t>
      </w:r>
    </w:p>
    <w:p>
      <w:r>
        <w:t>187. Therefore, in the face of a plurality of small operators, usually with a market share of less than 10%, such dynamics appear to limit their expansion prospects, resulting in the absence of any competition from competitors. In fact, there would only be one other competitor, Phoenix Pharma, in a very narrow oligopolistic context, where pharmacies would effectively have only one alternative to the new entity. Essentially, the circumstances under consideration appear to create significant effects on competition.</w:t>
      </w:r>
    </w:p>
    <w:p>
      <w:r>
        <w:t>VI.2.d. Conclusions regarding the unilateral effects of the Operation</w:t>
      </w:r>
    </w:p>
    <w:p>
      <w:r>
        <w:t>188. In conclusion, the Operation in question appears capable of significantly impacting effective competition in various local markets for the wholesale distribution of medicinal specialties and para-pharmaceutical products centered around the CEF 3 - Lallio (BG), CEF 4 - Brescia, CEF 6 - Erba (CO), CEF 12 - Bolzano Vicentino (VI) and UNICO 1 - Novara, UNICO 2 - Lainate (MI) and UNICO 8 - Nogarole Rocca (VR) warehouses.</w:t>
      </w:r>
    </w:p>
    <w:p>
      <w:r>
        <w:t>189. In fact, as a result of the Operation, the new entity will hold high market shares in a very concentrated market context. Furthermore, there is significant competitive proximity between CEF and UNICO, both in terms of warehouse locations and with respect to common clientele. The Operation would therefore eliminate an important competitive constraint existing between the Parties in the aforementioned local markets, resulting in restrictive effects on competition towards customers (pharmacies) located in the areas served by such warehouses.</w:t>
      </w:r>
    </w:p>
    <w:p>
      <w:r>
        <w:t>190. These effects appear to be exacerbated in light of the pharmacy affiliation dynamics previously described, which further limit the ability of smaller competitors to acquire customers, making the realization of anti-competitive effects of the Operation even more likely, namely the reduction of incentives to compete between the post-merger entity and the main competitor (unilateral effects in a very concentrated context). The Operation, therefore, appears capable of impacting the effective competition in the various local markets considered.</w:t>
      </w:r>
    </w:p>
    <w:p>
      <w:r>
        <w:t>198 See ibidem.</w:t>
      </w:r>
    </w:p>
    <w:p>
      <w:r>
        <w:t>199 See doc. 175.</w:t>
      </w:r>
    </w:p>
    <w:p>
      <w:r>
        <w:t>BULLETIN NO. 32 OF AUGUST 18, 2025 187</w:t>
      </w:r>
    </w:p>
    <w:p>
      <w:r>
        <w:t>VI.3. Assessment of remedies</w:t>
      </w:r>
    </w:p>
    <w:p>
      <w:r>
        <w:t>191. The proposed remedies address the competitive issues arising from the Operation in question. In fact, the proposed structural remedies, namely the divestiture of the CEF warehouse located in Cremona (CEF 5) and the UNICO warehouse located in Nogarole Rocca (UNICO 8), have a positive impact in restoring competitive conditions in the affected local markets, allowing potential new intermediate distributors and/or small/medium-sized intermediate distributors already present in the relevant markets to expand into the areas served by such warehouses.</w:t>
      </w:r>
    </w:p>
    <w:p>
      <w:r>
        <w:t>192. In particular, by jointly analyzing the observed post-merger market shares, following the divestiture, in the local markets at 100 km and 110 km (the latter being conducted only as a precautionary measure to carry out a proper sensitivity analysis that captures the specifics of demand and the peculiarities of the warehouse network), the divestitures have the following direct impact:</w:t>
        <w:br/>
        <w:t>i. in the isochrone CEF 12, the divestiture restores the pre-merger share (both considering the market with a distance of 100 km and in the sensitivity hypothesis at 110 km);</w:t>
        <w:br/>
        <w:t>ii. in the isochrone CEF 4, the divestiture reduces the share by 9-10 percentage points both at 100 and 110 km, thus well beyond the share contributed by the target;</w:t>
        <w:br/>
        <w:t>iii. in the isochrone CEF 3, the divestiture has an impact of approximately 4% on the market share, in the market configuration with a distance of 110 km, although there is no impact in the 100 km hypothesis, as this warehouse is located about 105-106 km from CEF 5 (the warehouse subject to the measure).</w:t>
      </w:r>
    </w:p>
    <w:p>
      <w:r>
        <w:t>193. In the remaining local markets (CEF 6, UNICO 1, and UNICO 2), no direct impact of the structural measures is observed. However, it should be noted that, in these cases, the post-merger shares are between 34% and 36%, in the geographical configuration defined at 100 km, remaining below 30% in the configuration at 110 km.</w:t>
      </w:r>
    </w:p>
    <w:p>
      <w:r>
        <w:t>194. Furthermore, in each of the local markets - in addition to the main competitor (with respect to which there could be serious unilateral effects) that holds, depending on the case, shares exceeding 30% or 40% - there are other small/medium-sized intermediate distributors (about five, with shares between 1% and 10%)200.</w:t>
      </w:r>
    </w:p>
    <w:p>
      <w:r>
        <w:t>200 It should be noted that the impact of the divestitures provided for in the structural remedies could also be greater than what can be detected based solely on the analysis of market shares. This is because the warehouses subject to divestiture, previously included in the logistics network of CEF and UNICO - both equipped with a plurality of active warehouses in proximity - likely did not operate at full capacity due to an internal rationalization of logistical flows. In fact, it has been observed that CEF and UNICO - due to the proximity between warehouses - tend to have smaller action radii compared to competitors with fewer warehouses or compared to areas not served by their warehouses. In this regard, the example of the UNICO 8 warehouse (Nogarole Rocca, in the province of Verona), which serves the Trentino-Alto Adige area but not the contiguous areas of Friuli-Venezia Giulia, is emblematic. Therefore, once transferred to an independent third party, these warehouses could be utilized much more intensively, increasing the capacity actually available in the market and, consequently, the competitive pressure. In this regard, it is sufficient to consider that the warehouse subject to divestiture CEF 5 is located about 125-130 km from CEF 6 and UNICO 2, thus the increase of a few km in the distances traveled by the remedy taker would make the latter an effective competitive constraint.</w:t>
      </w:r>
    </w:p>
    <w:p>
      <w:r>
        <w:t>188 BULLETIN NO. 32 OF AUGUST 18, 2025</w:t>
      </w:r>
    </w:p>
    <w:p>
      <w:r>
        <w:t>Table 27 - Market shares with divestiture in geographical markets with distances of 100 km and 110 km</w:t>
      </w:r>
    </w:p>
    <w:p>
      <w:r>
        <w:t>UNICO UNICO</w:t>
        <w:br/>
        <w:t>CEF 3 CEF 6</w:t>
        <w:br/>
        <w:t>CEF 12 CEF 4 UNICO 1 2 8</w:t>
        <w:br/>
        <w:t>Bergamo Erba</w:t>
        <w:br/>
        <w:t>Vicenza Brescia Novara Lainate Nogarole</w:t>
        <w:br/>
        <w:t>(CO) (MI) (VR)</w:t>
        <w:br/>
        <w:t>Isochrones road distances 100 km</w:t>
        <w:br/>
        <w:t>Total post-merger [40- [40- [35- [30- [30- [35- E</w:t>
        <w:br/>
        <w:t>N</w:t>
        <w:br/>
        <w:t>(&lt;100 km) 45%] 45%] 40%] 35%] 35%] 40%] O</w:t>
        <w:br/>
        <w:t>IS</w:t>
        <w:br/>
        <w:t>S</w:t>
        <w:br/>
        <w:t>Share with divestiture [30- [40-</w:t>
        <w:br/>
        <w:t>27%</w:t>
        <w:br/>
        <w:t>[30- [30- [35- IM</w:t>
        <w:br/>
        <w:t>(&lt;100 km) 35%] 45%] 35%] 35%] 40%] S</w:t>
        <w:br/>
        <w:t>ID</w:t>
        <w:br/>
        <w:t>Impact of divestiture -[5- -[5- ID</w:t>
        <w:br/>
        <w:t>(&lt;100 km) 10%]</w:t>
        <w:br/>
        <w:t>[&lt;1%]</w:t>
        <w:br/>
        <w:t>10%]</w:t>
        <w:br/>
        <w:t>[&lt;1%] [&lt;1%] [&lt;1%]</w:t>
        <w:br/>
        <w:t>O</w:t>
        <w:br/>
        <w:t>T</w:t>
        <w:br/>
        <w:t>T</w:t>
        <w:br/>
        <w:t>Main competitor share [45- [30- [45- [35- [35- [35- E</w:t>
        <w:br/>
        <w:t>G</w:t>
        <w:br/>
        <w:t>50%] 35%] 50%] 40%] 40%] 40%] G</w:t>
        <w:br/>
        <w:t>O</w:t>
        <w:br/>
        <w:t>Isochrones road distances 110 km</w:t>
        <w:br/>
        <w:t>Total post-merger [40- [40- [40- [30- [25- [40-</w:t>
        <w:br/>
        <w:t>(&lt;110 km) 45%] 45%] 45%] 35%] 30%] 45%]</w:t>
        <w:br/>
        <w:t>Share with divestiture [30- [40- [30- [30- [25- [40-</w:t>
        <w:br/>
        <w:t>(&lt;110 km) 35%] 45%] 35%] 35%] 30%] 45%]</w:t>
        <w:br/>
        <w:t>Impact of divestiture (&lt; -[5- -[5-</w:t>
        <w:br/>
        <w:t>-[1-5%] [&lt;1%] [&lt;1%] [&lt;1%]</w:t>
        <w:br/>
        <w:t>110 km) 10%] 10%]</w:t>
        <w:br/>
        <w:t>Main competitor share [45- [30- [35- [35- [30- [30-</w:t>
        <w:br/>
        <w:t>50%] 35%] 40%] 40%] 35%] 35%]</w:t>
      </w:r>
    </w:p>
    <w:p>
      <w:r>
        <w:t>195. The assessment of structural remedies must be conducted, as previously mentioned, in conjunction with that of behavioral remedies which aim to reduce the degree of loyalty of demand expressed by member and/or affiliated pharmacies, eliminating minimum purchase constraints for member pharmacies of CEF and UNICO and reducing the minimum purchase obligations provided for in the affiliation contracts to the networks of CEF and UNICO (a) to [40-50%] for all pharmacies affiliated nationwide and (b) to [less than 1%] for pharmacies served by the warehouses subject to divestiture. Finally, it is relevant the commitment not to introduce, in the affiliation contracts of Q-Farma, penalties or sanctions to be charged to the adhering pharmacies in case of early withdrawal and to set the duration of the contract to a maximum of one year. Therefore, these are significant shares of demand that will no longer be loyal or will be loyal at much lower levels compared to the current situation.</w:t>
      </w:r>
    </w:p>
    <w:p>
      <w:r>
        <w:t>196. It should be noted that the duration of [omissis] years for the behavioral measures concerning the minimum purchase shares for members and affiliates, the stipulation of contracts for a maximum of one year, and the prohibition of introducing penalties for early withdrawal, as well as the duration of [omissis] years related to the elimination of any purchase constraint by the affiliated customers served by the warehouses subject to divestiture, are deemed adequate to ensure the possibility for competitors to compete in supplying a significant share of demand.</w:t>
      </w:r>
    </w:p>
    <w:p>
      <w:r>
        <w:t>197. Furthermore, the measures related to the reduction of loyalty for member and/or affiliated pharmacies of CEF and for all those that will become members and/or affiliates of Q-Farma apply regardless</w:t>
      </w:r>
    </w:p>
    <w:p>
      <w:r>
        <w:rPr>
          <w:b/>
        </w:rPr>
        <w:t>[Pages 187–189]</w:t>
      </w:r>
    </w:p>
    <w:p>
      <w:r>
        <w:t>BULLETIN NO. 32 OF AUGUST 18, 2025 189</w:t>
      </w:r>
    </w:p>
    <w:p>
      <w:r>
        <w:t>regardless of the region of location. Therefore, the potential suitability of the measure to address the competitive concerns mentioned in the previous points is not limited to pharmacies located within the boundaries of the local markets under investigation. For this reason, thanks to the measures, competitors present in neighboring markets will also be able to register growth.</w:t>
      </w:r>
    </w:p>
    <w:p>
      <w:r>
        <w:t>198. The period of [omissis] years of the measure that affects the pharmacies served by the warehouses subject to transfer is considered relevant as it will have the effect of making the demand contestable and thus ensuring that the transferred assets have potentially free demand.</w:t>
      </w:r>
    </w:p>
    <w:p>
      <w:r>
        <w:t>199. Furthermore, due to the limited duration of the affiliation contracts (maximum 12 months) and the absence of penalties or termination costs, the switching costs for affiliated pharmacies will be significantly reduced, facilitating mobility between suppliers and encouraging competition among operators.</w:t>
      </w:r>
    </w:p>
    <w:p>
      <w:r>
        <w:t>200. Therefore, in light of the behavioral remedies, the structural remedies proposed by the Parties acquire a potentially broader scope than suggested by the mere analysis of post-merger market shares. This is due to the complementary effect of the behavioral remedies, which intervene on the contractual structure of the relationships between pharmacies and distributors, eliminating minimum purchase obligations, penalties, and other obstacles to customer mobility.</w:t>
      </w:r>
    </w:p>
    <w:p>
      <w:r>
        <w:t>201. In fact, for example, with reference to the areas served by the CEF 6, UNICO 1, and UNICO 2 warehouses within a radius of 100-110 road kilometers, the pharmacies affiliated with CEF represent up to [30-40%] of the total pharmacies in each province202, so that, despite the fact that in such markets the transfer of the two warehouses does not result in a reduction of market shares203, the introduced behavioral measures would make part of the demand expressed by pharmacies in those areas contestable.</w:t>
      </w:r>
    </w:p>
    <w:p>
      <w:r>
        <w:t>202. As for the timing, it is believed that the deadline proposed by the Parties is appropriate given the specificities of the case at hand and the market for intermediate distribution. Furthermore, it is believed that the divestiture process, with the identification of a second phase of transfer entrusted to a divestiture trustee, is in line with national and community practice.</w:t>
      </w:r>
    </w:p>
    <w:p>
      <w:r>
        <w:t>203. It is also deemed appropriate to have a monitoring trustee - equipped with the necessary requirements of adequate professionalism and independence - tasked with monitoring the correct implementation of the measures.</w:t>
      </w:r>
    </w:p>
    <w:p>
      <w:r>
        <w:t>VII. CONCLUSIONS</w:t>
      </w:r>
    </w:p>
    <w:p>
      <w:r>
        <w:t>204. In conclusion, the investigation in question has established that the concentration under examination significantly hinders effective competition in the local markets for the wholesale distribution of medicinal specialties (both ethical products, subject to prescription, and over-the-counter products) and para-pharmaceutical products (cosmetic, dietary, hygiene, and veterinary products) carried out by intermediate distributors (full-line wholesalers) built around the CEF 3 - Lallio (BG), CEF 4 - Brescia, CEF 6 - Erba (CO), CEF 12 - Bolzano Vicentino (VI) warehouses and the UNICO 1 - Novara, UNICO 2 - Lainate (MI), and UNICO 8 Nogarole Rocca (VR) warehouses.</w:t>
      </w:r>
    </w:p>
    <w:p>
      <w:r>
        <w:t>205. All things considered, based on the elements that emerged during the investigation, it is believed that the concentration operation in question, as proposed by the Party, is not susceptible to being authorized under Article 6 of Law No. 287/1990. In light of the critical issues arising from the Operation, the remedies proposed by the Parties, lastly, with communication of July 9, 2025, can be considered suitable to resolve them. Therefore, the Operation in question appears susceptible to being authorized, pursuant to Article 6, paragraph 2, of Law No. 287/1990, under the terms and conditions specified.</w:t>
      </w:r>
    </w:p>
    <w:p>
      <w:r>
        <w:t>CONSIDERING, based on the elements that emerged during the investigation, that the Operation, already carried out, is susceptible, pursuant to Article 6, paragraph 1, of Law No. 287/1990, of significantly hindering effective competition in the local markets for the wholesale distribution of medicinal specialties (both ethical products, subject to prescription, and over-the-counter products) and para-pharmaceutical products (cosmetic, dietary, hygiene, and veterinary products) carried out by intermediate distributors (full-line wholesalers), and that such markets are defined around the CEF 3 - Lallio (BG), CEF 4 - Brescia, CEF 6 - Erba (CO), CEF 12 - Bolzano Vicentino (VI) and the UNICO 1 - Novara, UNICO 2 - Lainate (MI), and UNICO 8 Nogarole Rocca (VR) warehouses;</w:t>
      </w:r>
    </w:p>
    <w:p>
      <w:r>
        <w:t>CONSIDERING, therefore, it necessary to prescribe, pursuant to Article 6, paragraph 2, of Law No. 287/1990, measures necessary to prevent the realization of the distortive effects on competition caused by the realization of the Operation;</w:t>
      </w:r>
    </w:p>
    <w:p>
      <w:r>
        <w:t>CONSIDERING, therefore, that the Operation is authorized subject to the full, effective, and timely execution of all measures prescribed in this provision;</w:t>
      </w:r>
    </w:p>
    <w:p>
      <w:r>
        <w:t>CONSIDERING that any failure to implement the aforementioned measures results in the realization of a concentration operation in violation of the prohibition set forth in Article 6, paragraph 1, of Law No. 287/1990;</w:t>
      </w:r>
    </w:p>
    <w:p>
      <w:r>
        <w:t>CONSIDERING, also, that the non-competition agreement between the Parties is accessory to the Operation only within the limits described above and that the Authority reserves the right to evaluate, where the prerequisites exist, the aforementioned agreement that occurs beyond the indicated limits;</w:t>
      </w:r>
    </w:p>
    <w:p>
      <w:r>
        <w:t>RESOLVES</w:t>
      </w:r>
    </w:p>
    <w:p>
      <w:r>
        <w:t>to authorize the Operation, provided that Cooperativa Esercenti Farmacia S.c. a r.l. and UNICO La Farmacia dei farmacisti S.p.A. fully and effectively execute the following measures prescribed pursuant to Article 6, paragraph 2, of Law No. 287/1990:</w:t>
      </w:r>
    </w:p>
    <w:p>
      <w:r>
        <w:t>a. The Parties must transfer, by [omissis], through the sale to one or more third-party independent entities, the two business branches associated with the UNICO 8 warehouse, located in Nogarole Rocca (VR), CEF 5, located in Cremona (CR);</w:t>
      </w:r>
    </w:p>
    <w:p>
      <w:r>
        <w:t>a.i. each branch will consist of a complex of assets and legal relationships that allow buyers to operate in the intermediate distribution of pharmaceuticals and, in particular, the business branches:</w:t>
      </w:r>
    </w:p>
    <w:p>
      <w:r>
        <w:t>a.i.i. will consist of the properties used as warehouses and their respective equipment, as well as the transfer of utility, maintenance, and transport contracts related to the facilities, as well as the employment relationships with the personnel operating in the establishments, including contracts concerning the relevant commercial representative;</w:t>
      </w:r>
    </w:p>
    <w:p>
      <w:r>
        <w:t>BULLETIN NO. 32 OF AUGUST 18, 2025 191</w:t>
      </w:r>
    </w:p>
    <w:p>
      <w:r>
        <w:t>a.i.ii. will be structured to ensure, from an infrastructural and logistical perspective, full compliance with the requirements for obtaining the authorizations referred to in Articles 100-112 of Legislative Decree No. 219 of April 24, 2006, so that a third buyer, in compliance with applicable regulations, can independently apply for the assignment of each specific authorization;</w:t>
      </w:r>
    </w:p>
    <w:p>
      <w:r>
        <w:t>a.i.iii. may be subject to appropriate carve-outs of part of the business assets and personnel that are not necessary, only at the express request of the buyers, so as to allow the completion of the transfers and in the perspective of satisfying the interests and requests of potential buyers;</w:t>
      </w:r>
    </w:p>
    <w:p>
      <w:r>
        <w:t>a.ii. the buyers of the business branches subject to transfer must meet the following requirements:</w:t>
      </w:r>
    </w:p>
    <w:p>
      <w:r>
        <w:t>a.ii.i. be independent entities, also commercially, from the Parties and their affiliated companies, as well as from the individuals at the top of the Parties' control chain;</w:t>
      </w:r>
    </w:p>
    <w:p>
      <w:r>
        <w:t>a.ii.ii. possess the financial means, as well as the incentive and capacity to maintain and develop, on an efficient scale, the intermediate distribution activity of pharmaceuticals and para-pharmaceuticals;</w:t>
      </w:r>
    </w:p>
    <w:p>
      <w:r>
        <w:t>a.ii.iii. be an active operator in Italy in the intermediate distribution of pharmaceuticals and para-pharmaceuticals, in particular, possess the necessary regulatory requirements to carry out such activity;</w:t>
      </w:r>
    </w:p>
    <w:p>
      <w:r>
        <w:t>a.ii.iv. the acquisition of the transferred activities by a proposed buyer must not create new problems for competition, nor entail the risk that the implementation of the measures will be delayed;</w:t>
      </w:r>
    </w:p>
    <w:p>
      <w:r>
        <w:t>a.iii. the agreements related to the transfer of the business branches referred to in measure a) must be submitted to the Authority for approval of the identity of the transferee and the agreements themselves, at least one month before the relevant deadlines referred to above;</w:t>
      </w:r>
    </w:p>
    <w:p>
      <w:r>
        <w:t>a.iv. if binding purchase contracts with the buyer of the Proposed Company referred to in point a) have not been concluded by the deadlines provided therein, the Parties must transfer, by [omissis], the business branches identifying the relevant buyers without the provision of a [omissis], granting for this purpose an irrevocable mandate to a specific trustee appointed for the sale (divestiture trustee), subject to the Authority's approval, at least two weeks before the deadline provided in point a);</w:t>
      </w:r>
    </w:p>
    <w:p>
      <w:r>
        <w:t>a.iv.i. the communication regarding the proposed appointment of the divestiture trustee contains all the information necessary to verify the suitability of the same to perform the assigned task, as well as the independence requirements, similarly to what is provided in points g.ii) and g.iii) below;</w:t>
      </w:r>
    </w:p>
    <w:p>
      <w:r>
        <w:t>a.iv.ii. the Authority verifies the possession of the aforementioned requirements by the divestiture trustee and, if such verification yields a negative result, may request its modification, similarly to what is provided in point g.iv) below;</w:t>
      </w:r>
    </w:p>
    <w:p>
      <w:r>
        <w:t>a.iv.iii. the Parties must grant the mandate to the divestiture trustee within one week from the Authority's approval;</w:t>
      </w:r>
    </w:p>
    <w:p>
      <w:r>
        <w:t>a.iv.iv. the divestiture trustee transmits at any time, within the provided deadlines, the information requested by the Authority regarding the progress of the divestiture process, potential buyers, and developments in negotiations with such entities;</w:t>
      </w:r>
    </w:p>
    <w:p>
      <w:r>
        <w:t>a.v. the Parties (or the independent entity appointed for the transfer) must provide all necessary information regarding the business branches, to allow all potential buyers to assess their value and presumed commercial capacity;</w:t>
      </w:r>
    </w:p>
    <w:p>
      <w:r>
        <w:t>a.vi. the Parties must preserve the economic operability, marketability, and competitiveness of the business branches, in accordance with good commercial practice, during the period between the date of authorization of the Operation and the full validity and effectiveness of their transfer, maintaining</w:t>
      </w:r>
    </w:p>
    <w:p>
      <w:r>
        <w:rPr>
          <w:b/>
        </w:rPr>
        <w:t>[Pages 190–192]</w:t>
      </w:r>
    </w:p>
    <w:p>
      <w:r>
        <w:t>192 BULLETIN NO. 32 OF AUGUST 18, 2025</w:t>
      </w:r>
    </w:p>
    <w:p>
      <w:r>
        <w:t>an independent management of the same and preventing the acquisition and/or use of confidential information related to the business branches, except as strictly necessary for the purpose of the transfer;</w:t>
      </w:r>
    </w:p>
    <w:p>
      <w:r>
        <w:t>a.vii. the Parties shall not repurchase, directly or indirectly, and shall not exercise influence over the business branches subject to transfer for a period of [omissis] years from the date of authorization of the Operation and shall not solicit, even through third parties, the transferred commercial contacts of the Proposed Company for a period of [omissis] years as well as the transferred employees for a period of [omissis] years;</w:t>
      </w:r>
    </w:p>
    <w:p>
      <w:r>
        <w:t>b. the Parties shall not build or acquire new warehouses, or structures with equivalent functions, in the isochrones subject to transfer and in the neighboring geographical areas204, for a period of [omissis] from the date of completion of the transfer, without prejudice to ongoing modernization, relocation, and expansion projects of warehouses as of the date of notification of this provision;</w:t>
      </w:r>
    </w:p>
    <w:p>
      <w:r>
        <w:t>c. the Parties shall eliminate purchase constraints, and clauses having equivalent effects, for the pharmacies that are cooperative members of Cooperativa Esercenti Farmacia S.c. a r.l. and Unione Farmaceutica Novarese S.c.p.a. for a period of [omissis] from the date of notification of this provision;</w:t>
      </w:r>
    </w:p>
    <w:p>
      <w:r>
        <w:t>d. the Parties shall not include, in their affiliation programs with pharmacies, clauses that bind purchases or the loyalty of affiliated pharmacies for a volume exceeding [40-50%] of their total merchandise purchase volume, or clauses having equivalent effects, for a period of [omissis] from the date of notification of this provision;</w:t>
      </w:r>
    </w:p>
    <w:p>
      <w:r>
        <w:t>e. the Parties shall ensure that their affiliation programs have an annual duration and that the affiliation contracts do not contain penalties or sanctions against the affiliated pharmacies in case of withdrawal from the contracts, for a period of [omissis] from the date of notification of this provision;</w:t>
      </w:r>
    </w:p>
    <w:p>
      <w:r>
        <w:t>f. the Parties shall eliminate purchase constraints, and clauses having equivalent effects, for the adhering pharmacies, even after the notification of the provision, to their affiliation programs and that are also current customers of the warehouses subject to transfer referred to in point a) above, for a period of [omissis] from the date of notification of this provision;</w:t>
      </w:r>
    </w:p>
    <w:p>
      <w:r>
        <w:t>g. for the purpose of monitoring the implementation of the measures referred to in points a)-f) above:</w:t>
      </w:r>
    </w:p>
    <w:p>
      <w:r>
        <w:t>g.i. within thirty days from the notification of the provision, the Parties shall submit to the Authority the proposal for the appointment of a trustee ("Trustee" or "Monitoring Trustee") for monitoring compliance with the aforementioned measures for their duration;</w:t>
      </w:r>
    </w:p>
    <w:p>
      <w:r>
        <w:t>g.ii. the Trustee must meet the following characteristics: 1) be an independent entity with respect to the Parties and any controlling, controlled, and affiliated companies within their respective groups; 2) possess the necessary qualifications to carry out its mandate; 3) not be, nor have been exposed to, a conflict of interest with respect to the Parties and any controlling, controlled, and affiliated companies within their respective groups. In particular, the trustee must not have held any significant position on behalf of such entities in the three years preceding its appointment, nor have any in the three years following the conclusion of its mandate;</w:t>
      </w:r>
    </w:p>
    <w:p>
      <w:r>
        <w:t>204 Considering that intermediate distribution operators generate on average 90% of their turnover within a road radius of between 130 and 135 km (see Table 1 – Distances normally traveled by intermediate distributors), neighboring areas are understood to be those located within a road radius of 140 km from the warehouse. This threshold corresponds to an extension of 40 km beyond the perimeter of the catchment area, defined with a radius of 100 km from the same warehouse.</w:t>
      </w:r>
    </w:p>
    <w:p>
      <w:r>
        <w:t>BULLETIN NO. 32 OF AUGUST 18, 2025 193</w:t>
      </w:r>
    </w:p>
    <w:p>
      <w:r>
        <w:t>g.iii. the proposal for the appointment of the Trustee must contain: (i) the name and curriculum vitae of the Trustee; (ii) sufficient information to allow the Authority to verify that the proposed Trustee meets the requirements set out in point g.ii) above; (iii) the terms of the proposed mandate, which will include all necessary provisions to allow the Trustee to independently fulfill its obligations; and (iv) a work plan describing how the Trustee will monitor the remedies as further detailed in point h) below;</w:t>
      </w:r>
    </w:p>
    <w:p>
      <w:r>
        <w:t>g.iv. the Authority has the power to approve or reject the proposed Trustee and to approve the proposed mandate or to modify it appropriately in order to allow the trustee to perform its functions;</w:t>
      </w:r>
    </w:p>
    <w:p>
      <w:r>
        <w:t>g.v. the Parties shall confer the mandate to the Trustee within one week from the communication of the approval resolution by the Authority;</w:t>
      </w:r>
    </w:p>
    <w:p>
      <w:r>
        <w:t>h. the Trustee shall carry out its task by doing what is necessary to ensure that the Parties correctly implement the measures referred to in points a)-f) above and, in particular:</w:t>
      </w:r>
    </w:p>
    <w:p>
      <w:r>
        <w:t>h.i. with reference to the measure referred to in point sub a), the Trustee shall:</w:t>
      </w:r>
    </w:p>
    <w:p>
      <w:r>
        <w:t>h.i.i. prior to the divestiture, monitor that the economic operation, marketability, and competitiveness of the business complexes subject to the divestiture measure are adequately preserved by the Parties;</w:t>
      </w:r>
    </w:p>
    <w:p>
      <w:r>
        <w:t>h.i.ii. verify the progress of the divestiture process and the availability to all potential buyers of all relevant information regarding the business branches subject to transfer;</w:t>
      </w:r>
    </w:p>
    <w:p>
      <w:r>
        <w:t>h.i.iii. transmit to the Authority a non-binding opinion on the technical and financial suitability as well as the independence of the potential buyers of the Proposed Company, accompanied by appropriate documentation regarding these aspects;</w:t>
      </w:r>
    </w:p>
    <w:p>
      <w:r>
        <w:t>h.ii. with reference to the measure referred to in point sub b), the Trustee shall conduct a survey of the ongoing modernization, relocation, and expansion projects of the warehouses in the isochrones subject to transfer and in the neighboring geographical areas and verify that the Party does not build or acquire new warehouses, or structures with equivalent functions, for the duration of the measure;</w:t>
      </w:r>
    </w:p>
    <w:p>
      <w:r>
        <w:t>h.iii. with reference to the measures referred to in points c) and d), the Trustee shall verify that the purchase constraints are respectively removed or reduced and that no clauses having equivalent effects are introduced;</w:t>
      </w:r>
    </w:p>
    <w:p>
      <w:r>
        <w:t>h.iv. with reference to the measure referred to in point e), the Trustee shall verify that the Parties' affiliation programs have an annual duration and do not provide for penalties or sanctions, including non-economic types, for any early withdrawal;</w:t>
      </w:r>
    </w:p>
    <w:p>
      <w:r>
        <w:t>h.v. with reference to the measures referred to in point f), the Trustee shall verify that, for the pharmacies currently customers of the warehouses subject to transfer referred to in measure a) and that adhere or will adhere, in the future, to the Parties' affiliation programs, no purchase or loyalty constraints, or clauses having equivalent effects, are provided. In this regard, the Trustee shall conduct a survey of the pharmacies that are currently served by the warehouses subject to transfer, in order to allow verification of compliance with the aforementioned measure referred to in point f);</w:t>
      </w:r>
    </w:p>
    <w:p>
      <w:r>
        <w:t>i. the Monitoring Trustee shall:</w:t>
      </w:r>
    </w:p>
    <w:p>
      <w:r>
        <w:t>194 BULLETIN NO. 32 OF AUGUST 18, 2025</w:t>
      </w:r>
    </w:p>
    <w:p>
      <w:r>
        <w:t>i.i. with reference to the tasks referred to in point h.i), transmit to the Authority a quarterly report starting from its appointment and until the divestiture referred to in measure a), with the results of the verifications carried out;</w:t>
      </w:r>
    </w:p>
    <w:p>
      <w:r>
        <w:t>i.ii. with reference to the tasks referred to in points h.ii)-h.v), transmit to the Authority a report, by December 31 of each year and for the entire duration of the aforementioned measures, with the results of the verifications carried out regarding the implementation of the measures and the degree of actual availability and use by competing operators of the agents and logistics operators contracted by the Parties;</w:t>
      </w:r>
    </w:p>
    <w:p>
      <w:r>
        <w:t>i.iii. inform the Authority whenever critical issues arise in the implementation of the measures subject to monitoring.</w:t>
      </w:r>
    </w:p>
    <w:p>
      <w:r>
        <w:t>The above measures shall come into effect upon notification of the authorization provision of the Operation.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Guido Stazi Roberto Rustichelli</w:t>
      </w:r>
    </w:p>
    <w:p>
      <w:r>
        <w:rPr>
          <w:b/>
        </w:rPr>
        <w:t>[Pages 193–195]</w:t>
      </w:r>
    </w:p>
    <w:p>
      <w:r>
        <w:t>BULLETIN NO. 32 OF AUGUST 18, 2025 195</w:t>
        <w:br/>
        <w:t>C12725 - MEDIOBANCA–BANCA DI CREDITO FINANZIARIO/BANCA GENERALI</w:t>
        <w:br/>
        <w:t>Provision No. 31649</w:t>
        <w:br/>
        <w:t>THE ANTITRUST AUTHORITY</w:t>
        <w:br/>
        <w:t>IN ITS MEETING of July 29, 2025;</w:t>
        <w:br/>
        <w:t>HEARD the Rapporteur, Saverio Valentino;</w:t>
        <w:br/>
        <w:t>SEEN Regulation (EC) No. 139/2004;</w:t>
        <w:br/>
        <w:t>SEEN Law No. 287 of October 10, 1990;</w:t>
        <w:br/>
        <w:t>SEEN D.P.R. No. 217 of April 30, 1998;</w:t>
        <w:br/>
        <w:t>SEEN the communication from the company Mediobanca - Banca di Credito Finanziario S.p.A., received on May 20, 2025;</w:t>
        <w:br/>
        <w:t>SEEN the request for information pursuant to Article 16-bis of Law No. 287/1990, sent on May 29, 2025, with consequent interruption of the deadlines pursuant to Article 5, paragraph 3, of D.P.R. No. 217 of April 30, 1998;</w:t>
        <w:br/>
        <w:t>SEEN the additional information sent by the company Mediobanca - Banca di Credito Finanziario S.p.A., received on July 11, 2025;</w:t>
        <w:br/>
        <w:t>SEEN the opinion of IVASS, received on July 28, 2025;</w:t>
        <w:br/>
        <w:t>SEEN the documentation on file;</w:t>
        <w:br/>
        <w:t>CONSIDERED the following:</w:t>
        <w:br/>
        <w:t>I. THE PARTIES</w:t>
        <w:br/>
        <w:t>1. Mediobanca - Banca di Credito Finanziario Società per Azioni (hereinafter, “Mediobanca” or “MB”; C.F. 00714490158), listed on the FTSE MIB index of the Italian Stock Exchange, is the parent company of the banking-financial group known as the Mediobanca Group, specialized in the following activities: a) wealth management, through a division that combines asset &amp; wealth management services and credit products (such as mortgages) offered to affluent and premier clients (Mediobanca Premier) and private clients (Mediobanca Private Banking and CMB Monaco), which also includes the Group's asset management product factories; b) consumer finance, through its subsidiary Compass Banca S.p.A. (hereinafter “Compass”), which offers services such as personal loans, credit cards, and financing with salary or pension assignment; c) corporate &amp; investment banking, through a division that combines all services provided to corporate clients within wholesale banking and so-called specialty finance (i.e., factoring and credit management activities); d) insurance &amp; principal investing, a division that manages the bank's most significant investments, namely the 13.17% stake in Assicurazioni Generali S.p.A. (hereinafter, “Generali”).</w:t>
        <w:br/>
        <w:t>Mediobanca is a publicly traded company: according to the notifying Party, based on the most recent update available on the CONSOB website1, the main shareholders are Delfin S.a.r.l. (hereinafter, “Delfin”, with approximately 19.39%), Francesco Gaetano Caltagirone (hereinafter, “Caltagirone” with approximately 5.5%)2 and Banca Mediolanum S.p.A. (with approximately 3.34%); none of the shareholders holds, individually or jointly, powers to exercise a decisive influence on the strategic decisions of the company.</w:t>
        <w:br/>
        <w:t>The corporate structure may undergo changes starting from September 8, 2025, the deadline for joining the voluntary total public exchange offer (OPS) promoted by Banca Monte dei Paschi di Siena S.p.A. on the ordinary shares of Mediobanca pursuant to and for the purposes of Articles 102, paragraph 1, and 106, paragraph 4, of the TUF and the related implementing provisions contained in CONSOB Regulation No. 11971/1999 (the so-called “Issuers Regulation”), aimed at acquiring exclusive control of Mediobanca3.</w:t>
        <w:br/>
        <w:t>During 2024, the Mediobanca Group achieved a consolidated revenue of approximately [5-6] * billion euros globally, of which approximately [4-5] billion in Italy.</w:t>
        <w:br/>
        <w:t>2. Banca Generali S.p.A. (hereinafter, “Banca Generali”; C.F. 01333550323), listed on the FTSE MIB index of the Italian Stock Exchange, is a private bank, wholly controlled by Assicurazioni Generali S.p.A. (hereinafter, “Assicurazioni Generali”), a leading Group in the insurance and asset management sector. Banca Generali is active - directly and through the companies belonging to the Banca Generali Group - in financial planning and asset protection for clients, in the credit sector, especially in financial consulting and wealth planning, as well as in investment services. Banca Generali's offering, aimed primarily at private clients and partly at affluent clients through a network of financial advisors, consists of the following activities: a) banking services; b) administered savings; c) managed savings; d) insurance savings; e) wealth management and fiduciary services.</w:t>
        <w:br/>
        <w:t>During 2024, Banca Generali achieved a consolidated revenue of approximately [1-2] billion euros globally, of which approximately [1-2] billion in Italy.</w:t>
        <w:br/>
        <w:t>II. DESCRIPTION OF THE OPERATION</w:t>
        <w:br/>
        <w:t>2. The communicated operation (hereinafter, “Operation”) consists of a voluntary total public exchange offer (hereinafter, “OPS”), promoted by Mediobanca pursuant to and for the purposes of Articles 102, paragraph 1 and 106, paragraph 4, of Legislative Decree No. 58/1998 (the so-called “TUF”) and the related implementing provisions contained in CONSOB Regulation No. 11971/1999 (the so-called “Issuers Regulation”), aimed at acquiring exclusive control of Banca Generali.</w:t>
        <w:br/>
        <w:t>3. The completion of the OPS is subject, among other things, to Mediobanca achieving, as a result of the same, a stake of at least 50% plus 1 (one) share of the share capital of Banca Generali (the “Threshold Condition”).</w:t>
        <w:br/>
        <w:t>4. The Operation is primarily aimed at creating a new operator in financial services, resulting from the aggregation of Banca Generali with Mediobanca, characterized by a strong ability to attract talent and clients, improved operational leverage, and significant growth prospects, combined with better risk diversification, a solid capital position, and a corporate culture oriented towards sustainable growth.</w:t>
        <w:br/>
        <w:t>5. It is specified that the subjective and objective characteristics of the concentration operation are evaluated by the Authority in a preventive manner as outlined by the notifying Party in the documentation produced. Should the same operation be configured in substantially different ways, the companies potentially involved will need to provide a new notification, in order to allow the Authority (or, if the thresholds of Article 1 of Regulation (EC) No. 139/2004 are met, the European Commission) to evaluate the operation as actually outlined.</w:t>
        <w:br/>
        <w:t>III. QUALIFICATION OF THE OPERATION</w:t>
        <w:br/>
        <w:t>6. The Operation, as it involves the acquisition of control of a company, constitutes a concentration pursuant to Article 5, paragraph 1, letter b), of Law No. 287/1990. It falls within the scope of application of Law No. 287/1990, as the conditions of Article 1 of Regulation (EC) No. 139/2004 do not apply, since each of the Parties generates more than two-thirds of its total revenue in the European Union within a single Member State (Italy), and is subject to the obligation of prior notification provided for by Article 16, paragraph 1, of the same law, as the total revenue generated in the last financial year at the national level by the group of companies involved was over 582 million euros and the total revenue generated, in the last financial year at the national level, individually by at least two of the companies involved was over 35 million euros4.</w:t>
        <w:br/>
        <w:t>IV. THE OPINION OF IVASS</w:t>
        <w:br/>
        <w:t>7. In an opinion received on July 28, 2025, IVASS highlighted that, based on the available information, the operation in question would not result in an alteration of the competitive balance in the insurance distribution market in the life and non-life sectors.</w:t>
        <w:br/>
        <w:t>V. EVALUATION OF THE CONCENTRATION</w:t>
        <w:br/>
        <w:t>a) The relevant markets</w:t>
        <w:br/>
        <w:t>8. The Operation concerns multiple markets included, in particular, in the following sectors: traditional banking (deposit markets and lending markets); administered savings; managed savings; payment instruments; investment banking; investment consulting; insurance (bancassurance); securities trading on behalf of third parties and for one's own account; financial information services.</w:t>
        <w:br/>
        <w:t>4 See provision No. 31088 of March 5, 2024 “Reevaluation of revenue thresholds pursuant to Article 16, paragraph 1, of Law No. 287/1990”, in Bulletin No. 10/2024.</w:t>
      </w:r>
    </w:p>
    <w:p>
      <w:r>
        <w:rPr>
          <w:b/>
        </w:rPr>
        <w:t>[Pages 196–198]</w:t>
      </w:r>
    </w:p>
    <w:p>
      <w:r>
        <w:t>198 BULLETIN NO. 32 OF AUGUST 18, 2025</w:t>
      </w:r>
    </w:p>
    <w:p>
      <w:r>
        <w:t>i) Banking Collection Market</w:t>
        <w:br/>
        <w:t>9. The banking collection market identifies the entirety of direct banking collection from ordinary customers through free and fixed-term current accounts, savings deposits, savings bonds, as well as certificates of deposit. Postal collection is not included in this market5.</w:t>
        <w:br/>
        <w:t>10. The information acquired during previous concentration investigations conducted by the Authority that involved the banking sector6 has also highlighted how a current account at a traditional bank is generally not perceived as substitutable with an online current account7. At the same time, "there has been recorded competitive pressure on traditional banking operators from online banks, as a significant portion of the population - especially among younger and more educated/income groups - would turn to the latter in the face of a generalized increase in the prices of traditional current accounts"8.</w:t>
        <w:br/>
        <w:t>11. From a geographical perspective, as established by the Authority in numerous precedents9, the banking collection market has a local extension. In fact, from the demand side, also considering the willingness and/or necessity for customers to maintain a relationship with the branch, competition among banks occurs at the local level, in terms of the ability to attract customers to their branches located in the territory10. In its practice, the Authority has deemed that the geographical extension of such markets may correspond, in the first approximation, to provincial boundaries; only where the preliminary screening conducted on a provincial basis has made it appropriate, has an analysis also been carried out at the level of catchment areas.</w:t>
        <w:br/>
        <w:t>12. In line with this approach, market shares of collection are generally calculated using data collected based on the "branch location" criterion, which generally appears to appropriately represent the ability of operators to exercise their market power over demand11; this, in addition to the collection markets, applies with reference to all other banking markets with a local dimension (markets for loans to consumer households and loans to producer households and small businesses)12.</w:t>
      </w:r>
    </w:p>
    <w:p>
      <w:r>
        <w:t>5 See, for example, C12287 - Intesa San Paolo/UBI Banca - Unione di Banche Italiane, decision no. 28289 of July 14, 2022, in Bulletin no. 29/2020 and C12231 - BPER Banca/Unipol Banca, decision no. 27842 of July 17, 2019, in Bulletin no. 29/2019.</w:t>
        <w:br/>
        <w:t>6 See C12297B - BPER/Business branch of UBI, decision no. 28534, in Bulletin no. 8/2021, as well as the proceedings C12231 - BPER Banca/Unipol Banca, cited and C12138 - Cassa Centrale Raiffeisen dell’Alto Adige/Gruppo Bancario Cooperativo delle Casse Raiffeisen, decision no. 27172 of May 23, 2018, in Bulletin no. 22/2018.</w:t>
        <w:br/>
        <w:t>7 See C12297B - BPER/Business branch of UBI, cited.</w:t>
        <w:br/>
        <w:t>8 See ibidem. For the purposes of this analysis, it is considered that online banks are those operating exclusively or almost exclusively online, see C12231 - BPER Banca/Unipol Banca, cited.</w:t>
        <w:br/>
        <w:t>9 See, for example, C12287 - Intesa San Paolo/UBI Banca - Unione di Banche Italiane, cited; C12231 - BPER Banca/Unipol Banca, cited and C12138 - Cassa Centrale Raiffeisen dell’Alto Adige/Gruppo Bancario Cooperativo delle Casse Raiffeisen, cited.</w:t>
        <w:br/>
        <w:t>10 See C12138 - Cassa Centrale Raiffeisen dell’Alto Adige/Gruppo Bancario Cooperativo delle Casse Raiffeisen, cited, which also reports the results of an ad hoc survey on banking markets, conducted by the Authority and administered to a representative sample of consumers by a market research company.</w:t>
        <w:br/>
        <w:t>11 In fact, the "branch location" criterion captures the collection of banks made by the various branches located in the territory.</w:t>
        <w:br/>
        <w:t>12 See, among others, proceeding C12287 - Intesa San Paolo/UBI Banca - Unione di Banche Italiane, cited; C12231 - BPER Banca/Unipol Banca, cited and C12138 - Cassa Centrale Raiffeisen dell'Alto Adige/Gruppo Bancario Cooperativo delle Casse Raiffeisen, cited.</w:t>
      </w:r>
    </w:p>
    <w:p>
      <w:r>
        <w:t>BULLETIN NO. 32 OF AUGUST 18, 2025 199</w:t>
      </w:r>
    </w:p>
    <w:p>
      <w:r>
        <w:t>In this specific case, however, it was found that the data provided by Mediobanca and Banca Generali to Banca d’Italia within the framework of supervisory reports based on the "branch location" criterion almost entirely attribute customer relationships, respectively, to the banking code (hereinafter, "CAB") of Milan in the case of Mediobanca and to the CAB of Trieste in the case of Banca Generali, although these relationships are opened at the numerous branches present throughout the national territory. Therefore, in line with the Authority's precedents13, for the purposes of evaluating the Operation, it was deemed appropriate to adopt the "counterparty residence" criterion14 for these markets.</w:t>
      </w:r>
    </w:p>
    <w:p>
      <w:r>
        <w:t>ii) Loan Market</w:t>
        <w:br/>
        <w:t>13. Within the loan sector, credit is included in various and possible technical forms, including short-term, medium-term, and long-term credit. From the demand perspective, loans can be distinguished based on the type of subjects in favor of whom they are made, namely: (i) consumer households; (ii) producer households-small businesses; (iii) medium and large enterprises; and (iv) public entities. These different categories of subjects, in fact, express different financing needs, for which banks offer diversified products/services, and for these reasons, constitute several relevant product markets.</w:t>
        <w:br/>
        <w:t>14. The different forms of expressed demand also seem to be characterized by differences in terms of mobility and, therefore, willingness to substitute the offer by seeking other loans in more or less extensive geographical areas. In particular, the loan markets for households and small businesses present a local territorial dimension, which in the Authority's practice has been assessed in the first approximation at the provincial level, conducting, where appropriate, in analogy with the banking collection, also an analysis at the catchment area level15. Regarding the loan market for medium-large enterprises, it has a territorial dimension assessed in the first approximation at the regional level, given the greater mobility of these subjects compared to the previous segments of demand. In relation to the loan market for public entities, in light of the recent practice of the Authority16, it seems possible to consider that this market has a geographical extension that is generally national, provided that, given the heterogeneity of public entities (by nature and size), in certain specific circumstances, a more restricted identification of the geographical area concerned may be necessary.</w:t>
      </w:r>
    </w:p>
    <w:p>
      <w:r>
        <w:t>13 See C12706 - Banca Monte Dei Paschi Di Siena/Mediobanca Banca Di Credito Finanziario, decision no. 31585 of July 1, 2025, in Bulletin no. 26/2025.</w:t>
        <w:br/>
        <w:t>14 The so-called "counterparty residence" criterion captures the turnover that each bank realizes in a given territorial area based on the residence of the clientele. This criterion has already been used by the Authority in the evaluation of some banking concentration operations, where the characteristics of the operators made it appropriate (see C12706- Banca Monte dei Paschi di Siena/Mediobanca Banca di Credito Finanziario, cited; C12702 - Banca Ifis/Illimity Bank, decision no. 31478 of March 4, 2025, in Bulletin no. 11/2025 and C12087-Unione di Banche Italiane/Nuova Cassa di Risparmio di Chieti-Nuova Banca delle Marche-Nuova Banca dell’Etruria e del Lazio, decision no. 26552 of April 12, 2017, in Bulletin no. 16/2017).</w:t>
        <w:br/>
        <w:t>15 Also for the loan markets, considering what has already been observed regarding the collection market on the methods of attributing data within the supervisory reports to Banca d’Italia, it was deemed appropriate to use the data collected with the "counterparty residence" criterion.</w:t>
        <w:br/>
        <w:t>16 See, among others, C12287 - Intesa San Paolo/UBI Banca - Unione di Banche Italiane, cited, which refers to regulatory constraints and the structure of offer conditions, including price, substantially homogeneous across the national territory and C12443 - BPER Banca/Banca Carige, decision no. 30165 of May 31, 2022, in Bulletin no. 21/2022.</w:t>
      </w:r>
    </w:p>
    <w:p>
      <w:r>
        <w:t>200 BULLETIN NO. 32 OF AUGUST 18, 2025</w:t>
      </w:r>
    </w:p>
    <w:p>
      <w:r>
        <w:t>iii) Managed Savings Market</w:t>
        <w:br/>
        <w:t>15. Managed savings services include the activity of collecting, transmitting, and negotiating orders in financial instruments on behalf of an investor who has made the conferment of individual orders to the same intermediaries. The provision of such services is closely linked to traditional banking activity and, in particular, to the collection market, considering the high correlation between holding a current account and a securities account with the same banking institution. In its practice, the Authority has therefore deemed that, to ensure a proper examination of the effects in the managed savings market, the position of the Parties in the direct banking collection markets could be used as a proxy, without the need for a separate and autonomous evaluation with respect to the latter. In this specific case, however, given the peculiar nature of the Parties, banks particularly focused on high-segment clientele (affluent and private), for which the positioning in collection may therefore not be sufficiently representative of that in managed savings, specific data related to the latter market have also been acquired at the provincial level17.</w:t>
      </w:r>
    </w:p>
    <w:p>
      <w:r>
        <w:t>iv) Managed Savings Markets</w:t>
        <w:br/>
        <w:t>16. Within the managed savings sector, various activities are included, corresponding to distinct product markets, and are connected to: (i) the management of mutual funds; (ii) the individual management of financial assets (hereinafter, "GPM") and in funds (hereinafter, "GPF"); and (iii) the management of complementary pension products18.</w:t>
        <w:br/>
        <w:t>17. The services offered in the managed savings sector typically have an upstream management phase and a downstream distribution phase, each of which leads to the identification of distinct markets along the supply chain, both in geographical and product terms. The production phase, according to the Authority's constant practice, has a national geographical dimension, being normally centralized and homogeneous throughout the Italian territory. Regarding the distribution market, however, considering the reduced mobility of demand, the geographical dimension has been defined by the Authority, in the first approximation, at the provincial level. With reference to the pension sector, there are differences between contractual pension funds, open pension funds, and individual pension policies (hereinafter, "PIP"), which may influence the definition of the geographical market, which may have a broader extension, generally national, but may require, depending on the relevance of individual memberships, an assessment extended to smaller territorial areas19.</w:t>
      </w:r>
    </w:p>
    <w:p>
      <w:r>
        <w:t>17 In this sense, see also C12706 - Banca Monte dei Paschi di Siena/Mediobanca Banca di Credito Finanziario, cited.</w:t>
        <w:br/>
        <w:t>18 See ibidem.</w:t>
        <w:br/>
        <w:t>19 See, inter alia, C10053 - Società Cattolica di Assicurazione/BCC Vita, decision no. 19986 of June 18, 2009, in Bulletin no. 24/2009.</w:t>
      </w:r>
    </w:p>
    <w:p>
      <w:r>
        <w:rPr>
          <w:b/>
        </w:rPr>
        <w:t>[Pages 199–201]</w:t>
      </w:r>
    </w:p>
    <w:p>
      <w:r>
        <w:t>BULLETIN NO. 32 OF AUGUST 18, 2025 201</w:t>
      </w:r>
    </w:p>
    <w:p>
      <w:r>
        <w:t>18. In more detail, with reference to market sub (i), management of mutual funds, it is important to emphasize that a mutual fund is an autonomous asset, divided into shares, belonging to a plurality of participants, managed collectively.</w:t>
      </w:r>
    </w:p>
    <w:p>
      <w:r>
        <w:t>19. In relation to market sub (ii), which includes GPM and GPF, GPM is an activity carried out by banks, investment firms, and asset management companies (SGR), based on a mandate conferred by the client. In collective management, the assets of each client remain distinct from those of others. GPF additionally has the peculiarity that the client's financial resources are invested in shares of mutual funds. GPF is assimilated to collective management even though, from a contractual point of view, it has an element in common with individual management, as the client can request the manager to modify the composition of the portfolio, always, however, choosing among shares of mutual funds.</w:t>
      </w:r>
    </w:p>
    <w:p>
      <w:r>
        <w:t>20. Regarding market sub (iii), management of supplementary pension products, it is noteworthy that supplementary pension aims to meet the income needs of workers during their retirement phase. This objective is pursued in Italy through a pension structure based on two different modes of intervention: (a) mandatory pension; (b) supplementary pension, realized through the use of negotiated pension funds (or closed), open pension funds, and PIP. As mentioned, there are differences between negotiated pension funds, open pension funds, and PIP, which may affect the definition of the geographical market. In particular, negotiated pension funds are established for individual companies or groups of companies, for categories of workers, sometimes for territorial grouping; they are subject to a national collective contract or to company agreements or regulations and are managed, based on contributions, by SGR, insurance companies, or banks. Open pension funds, on the other hand, are established and managed directly by banks, insurance companies, and SGR and can be either collectively subscribed (like negotiated funds) or individually subscribed. Finally, PIP are individual subscription supplementary pension contracts.</w:t>
      </w:r>
    </w:p>
    <w:p>
      <w:r>
        <w:t>21. Similarly to the market for administered savings, the Authority, while recognizing that the position of operators in the distribution markets of managed savings can usually be inferred indirectly from that held in bank collection, deemed it appropriate, in this specific case, to acquire specific data regarding the distribution at the provincial level of managed savings. This choice was motivated by the particular characteristics of the Parties, both banks strongly oriented towards affluent and private clientele, for which the shares held in bank collection may not adequately reflect the actual positioning in the managed savings sector.</w:t>
      </w:r>
    </w:p>
    <w:p>
      <w:r>
        <w:t>22. In the operation under examination, only the distribution markets of managed savings are relevant, considering that Banca Generali is not active in the production phase.</w:t>
      </w:r>
    </w:p>
    <w:p>
      <w:r>
        <w:t>v) Payment services market</w:t>
      </w:r>
    </w:p>
    <w:p>
      <w:r>
        <w:t>23. Another sector involved in the operation is that of payment instruments via cards. Within the payment card sector, in the past, the Authority identified three distinct markets: the card issuing market, the merchant acquiring market, and the operational and IT processing market.</w:t>
      </w:r>
    </w:p>
    <w:p>
      <w:r>
        <w:t>24. For the purposes of evaluating this Operation, only the activity of issuing payment cards (so-called card issuing) is relevant, which consists of a set of services aimed at providing payment cards (debit, credit, or prepaid) to end customers, who are typically represented by consumers. In particular, the activity of issuing cards mainly includes offering the card to the end customer (who becomes the cardholder), defining the characteristics of the card and the related economic conditions (amount of the annual fee, commissions for cash advance service, statement sending fees, and other commissions), credit assessment of the customer (i.e., whether the individual is creditworthy), contracting with the customer, managing relationships with networks, customer service and marketing activities, and managing credit risk and fraud20.</w:t>
      </w:r>
    </w:p>
    <w:p>
      <w:r>
        <w:t>25. According to the Authority's practice, issuing can be divided based on the different types of payment instruments, distinguishing between credit and debit cards (including prepaid cards), corresponding to different product markets; however, more recently, the possible configuration of a single market encompassing all types of cards has been left open due to their substitutability from the supply side21.</w:t>
      </w:r>
    </w:p>
    <w:p>
      <w:r>
        <w:t>26. Similarly, from a geographical point of view, the size of the payment card issuing market has been identified in practice within national borders, due to the homogeneity of the offering conditions of the described services across the national territory; however, even under this profile, more recently, the possible redefinition of this market as having a size corresponding to the European Economic Area has been left open22.</w:t>
      </w:r>
    </w:p>
    <w:p>
      <w:r>
        <w:t>27. According to the Authority's practice, the geographical scope can be defined at least at the national level, due to the homogeneity of the offering conditions of the described services across the national territory.</w:t>
      </w:r>
    </w:p>
    <w:p>
      <w:r>
        <w:t>vi) Investment banking markets</w:t>
      </w:r>
    </w:p>
    <w:p>
      <w:r>
        <w:t>28. Within investment banking, products and services provided by credit intermediaries and specialized institutions to meet complex and articulated needs of corporate clients are included. In this sector, based on national and community practice, it seems possible to identify four main areas of activity that configure as many product markets, considering the specificity of the service offered, the needs expressed by demand, and the competitive context. These activities pertain to: (a) corporate finance, or the offering of strategic consulting regarding operations such as mergers, acquisitions, or divestitures; (b) consulting related to the primary capital market, that is, the offering of financial services on equity capital (ECM) and on the debt market (DCM); (c) structured finance, which consists of financing operations with a complex structure, characterized by significant recourse to financial leverage and limited recourse to promoters, in order to contain the risk profile in adequate terms to make it acceptable in the banking market; and (d) project finance, or long-term financing operations linked to specific projects.</w:t>
      </w:r>
    </w:p>
    <w:p>
      <w:r>
        <w:t>20 More specifically, it should be noted that, regarding the economic and commercial policies related to such services, they are defined by the bank if an integrated model is adopted; conversely, if the bank limits itself to distributing the services and relies on third parties for the issuing activity, the policies and criteria for product distribution, as well as pricing towards the end customer, can be defined by the third parties or by the banks, depending on the agreement.</w:t>
      </w:r>
    </w:p>
    <w:p>
      <w:r>
        <w:t>21 See, for all, C12373 - Nexi/SIA, decision no. 29839 of October 12, 2021, in Bulletin no. 41/2021.</w:t>
      </w:r>
    </w:p>
    <w:p>
      <w:r>
        <w:t>22 See ibidem.</w:t>
      </w:r>
    </w:p>
    <w:p>
      <w:r>
        <w:t>BULLETIN NO. 32 OF AUGUST 18, 2025 203</w:t>
      </w:r>
    </w:p>
    <w:p>
      <w:r>
        <w:t>29. Regarding the relevant geographical scope of these markets, it appears to be identifiable within national borders, due to the importance of factors such as an adequate local presence of the operator, knowledge of the national context and the regulatory framework, as well as the ability to relate to national institutions in the advisor selection process.</w:t>
      </w:r>
    </w:p>
    <w:p>
      <w:r>
        <w:t>vii) Investment consulting market</w:t>
      </w:r>
    </w:p>
    <w:p>
      <w:r>
        <w:t>30. Investment consulting includes a series of related activities, such as: marketing and organizing initiatives aimed at generating new potential clients; analyzing their needs to identify the most suitable solutions; collecting documentation related to the client and entering demographic data into information systems; identifying the most appropriate portfolio for the individual client; preparing the documentation necessary for the subscription of investments. In the subsequent operational phase, clients can interface directly with their financial advisors as well as with personnel dedicated to post-sale services. Throughout the duration of the relationship with the client, financial advisors carry out monitoring activities of operations and reporting to clients on the related portfolio performance.</w:t>
      </w:r>
    </w:p>
    <w:p>
      <w:r>
        <w:t>31. Geographically, in its previous decisions23, the Authority has considered that the market may have a national dimension, without excluding, however, a possible local dimension of the same. For the purposes of evaluating the Operation, the exact definition of the geographical market can be left open, due to the absence of appreciable effects on competition.</w:t>
      </w:r>
    </w:p>
    <w:p>
      <w:r>
        <w:t>viii) Insurance markets</w:t>
      </w:r>
    </w:p>
    <w:p>
      <w:r>
        <w:t>32. With reference to the life and non-life insurance sectors, according to the established orientation of the Authority, each branch of life and non-life insurance represents a distinct market. This distinction regarding individual insurance branches is primarily based on the object of the service rendered, the risks assumed, and the insurance coverage objective expressed by the demand of each individual branch. Furthermore, the insurance markets for life and non-life are distinct, each between the production phase, having a national geographical dimension, and the distribution phase, which is characterized by its local dimension, considered in the first approximation as provincial according to the Authority's practice24.</w:t>
      </w:r>
    </w:p>
    <w:p>
      <w:r>
        <w:t>33. In this specific case, the Parties are both exclusively active in the distribution phase, with horizontal overlaps only for life branches, as Banca Generali does not distribute products in the non-life branches.</w:t>
      </w:r>
    </w:p>
    <w:p>
      <w:r>
        <w:t>23 See C12677 - Banca Generali/Intermonte Partners SIM, decision no. 31378 of November 19, 2024, in Bulletin no. 47/2024 and C12401 - Zurich Insurance Company/DB Financial Advisors branch of Deutsche Bank, decision no. 29887 of November 9, 2021, in Bulletin no. 47/2021.</w:t>
      </w:r>
    </w:p>
    <w:p>
      <w:r>
        <w:t>24 See, among others, C12417 - Cassa di Risparmio di Bolzano - Sparkasse/Banca di Cividale, decision no. 29972 of January 18, 2022, in Bulletin no. 5/2022 and C12702 - Banca Ifis/Illimity Bank, decision no. 31478 of March 4, 2025, in Bulletin no. 11/2025.</w:t>
      </w:r>
    </w:p>
    <w:p>
      <w:r>
        <w:rPr>
          <w:b/>
        </w:rPr>
        <w:t>[Pages 202–204]</w:t>
      </w:r>
    </w:p>
    <w:p>
      <w:r>
        <w:t>204 BULLETIN NO. 32 OF AUGUST 18, 2025</w:t>
      </w:r>
    </w:p>
    <w:p>
      <w:r>
        <w:t>ix) Securities Trading Markets</w:t>
      </w:r>
    </w:p>
    <w:p>
      <w:r>
        <w:t>34. According to the Authority's practice25, the securities trading market includes the services provided by authorized banks and SIMs for the purchase and sale of securities and financial instruments, both on regulated and unregulated markets. Two relevant markets are distinguished depending on whether the activity is carried out (a) on one's own account or (b) on behalf of third parties.</w:t>
      </w:r>
    </w:p>
    <w:p>
      <w:r>
        <w:t>35. Geographically, the definition of the market depends on the type of service provided, which can be identified with the national territory or with a broader scope, in the case where the trading concerns Italian securities traded on foreign securities markets.</w:t>
      </w:r>
    </w:p>
    <w:p>
      <w:r>
        <w:t>x) Market for Financial Information Services</w:t>
      </w:r>
    </w:p>
    <w:p>
      <w:r>
        <w:t>36. The offering of financial information services consists of making available to clients data, news, and analysis on the performance of financial markets as well as related management tools (for example, platforms for receiving and processing information flows). The main users of financial information services are operators in the financial services industry (such as banks, stock operators, investment funds, companies), who use market-related information as a basis for their investment decisions.</w:t>
      </w:r>
    </w:p>
    <w:p>
      <w:r>
        <w:t>37. Although the Authority has stated in its decision-making practice that the geographical scope of the market in question could either coincide with the national territory or extend to cover the European Economic Area26, in this specific case it does not appear necessary to arrive at an exact definition of the geographical dimension, as it would not change the assessment of the effects of the Operation.</w:t>
      </w:r>
    </w:p>
    <w:p>
      <w:r>
        <w:t>b) Effects of the Operation</w:t>
      </w:r>
    </w:p>
    <w:p>
      <w:r>
        <w:t>38. The Operation, based on the data and information provided by the Parties, does not appear to be capable of determining competitive criticalities in any of the relevant markets.</w:t>
      </w:r>
    </w:p>
    <w:p>
      <w:r>
        <w:t>39. Regarding the collection market, taking into account the data referring to the residence of the counterpart, it is observed that, downstream of the Operation, the joint share of the Parties will be significantly below 10% in all affected provinces27.</w:t>
      </w:r>
    </w:p>
    <w:p>
      <w:r>
        <w:t>40. In relation to the lending markets, the Parties are both active in lending to consumer households and, to a very limited extent, in lending to small producer households, medium and large enterprises, and public entities.</w:t>
      </w:r>
    </w:p>
    <w:p>
      <w:r>
        <w:t>41. In particular, in the market for lending to consumer households, the post-merger share at the provincial level will always be below 10%, except in the province of Brindisi, where the joint share will still be [between 10% and 15%]28.</w:t>
      </w:r>
    </w:p>
    <w:p>
      <w:r>
        <w:t>42. In the market for lending to small producer households, limited horizontal overlaps are recorded in all provinces, with the post-merger share at the provincial level remaining always below 1%29.</w:t>
      </w:r>
    </w:p>
    <w:p>
      <w:r>
        <w:t>43. A similar situation occurs in the market for lending to medium-large enterprises, where the joint market share at the regional level will always be below 1%, except in two regions where in any case the joint share will remain below 5%30.</w:t>
      </w:r>
    </w:p>
    <w:p>
      <w:r>
        <w:t>44. Finally, in the market for lending to public entities, the presence of the Parties is entirely marginal: the post-merger share at the national level is [below 1%]31.</w:t>
      </w:r>
    </w:p>
    <w:p>
      <w:r>
        <w:t>45. In the market for administered savings, without prejudice to the assessments already made for the collection market, to which reference is made, based on the specific data provided by the Parties, the market share of the post-merger entity will be widely below 20% in all provinces, except in the province of Pescara, where the joint market share will be [25%-30%]. However, in that province, the increase attributable to the concentration under examination is modest [1-5%], not giving rise to competitive criticalities, also considering the presence of numerous qualified competitors.</w:t>
      </w:r>
    </w:p>
    <w:p>
      <w:r>
        <w:t>46. With reference to the managed savings markets, horizontal overlaps between the activities of the Parties occur only in the distribution phase of the markets for mutual fund management, individually managed securities (GPM), and funds (GPF) and the management of complementary pension products.</w:t>
      </w:r>
    </w:p>
    <w:p>
      <w:r>
        <w:t>47. In particular, both in the market for mutual fund management and in the market for individually managed securities (GPM) and funds (GPF), the post-merger share in all provinces where a horizontal overlap between the Parties occurs is always below 25%.</w:t>
      </w:r>
    </w:p>
    <w:p>
      <w:r>
        <w:t>48. Similarly, in the complementary pension market, the joint share is very limited in most provinces and in any case always below 15%.</w:t>
      </w:r>
    </w:p>
    <w:p>
      <w:r>
        <w:t>49. In relation to the payment services markets, concerning both the issuance of debit/prepaid cards and the issuance of credit cards (the only areas of overlap in the activities of the Parties), the joint market shares are insignificant, amounting to approximately [1-5%] at the national level.</w:t>
      </w:r>
    </w:p>
    <w:p>
      <w:r>
        <w:t>50. In the investment banking markets, the activities of the Parties give rise to horizontal overlaps only in the corporate finance markets and in the advisory related to the primary capital markets (ECM and DCM).</w:t>
      </w:r>
    </w:p>
    <w:p>
      <w:r>
        <w:t>51. In the corporate finance market, according to the estimates of the notifying Party32, the market shares of Intermonte SIM S.p.A. (hereinafter "Intermonte"), the company of the Banca Generali Group active in this market, and Mediobanca are equal to [10-15%] and [25-30%], respectively, leading the Parties to boast a post-merger share of [35-40%] in 2024.</w:t>
      </w:r>
    </w:p>
    <w:p>
      <w:r>
        <w:t>52. However, considering the high dynamism of the market and the presence of numerous qualified competitors, no competitive issues are identified. In particular, it is noted that, in the market in question, shares undergo strong fluctuations from year to year, as the related services are provided episodically because they are linked to extraordinary operations such as mergers and acquisitions. To confirm the volatility characterizing this market, it is observed that the overall size of it has grown by 23% in the last year and that in 2023 the share held by Intermonte was even below 1%.</w:t>
      </w:r>
    </w:p>
    <w:p>
      <w:r>
        <w:t>53. Furthermore, there is the presence of numerous international competitors (investment banks such as JPMorgan and Goldman Sachs, investment banking divisions of major banking groups such as UniCredit, consulting firms), with market shares also exceeding 20% and nonetheless capable of exerting significant competitive pressure.</w:t>
      </w:r>
    </w:p>
    <w:p>
      <w:r>
        <w:t>54. In the market for advisory related to the primary capital markets (ECM and DCM), according to the data provided by the notifying Party33, Mediobanca holds a share of [25-30%] (data relating to 2024), while the activity of Banca Generali, through Intermonte, is extremely limited, with shares always below 1% in the last three years. Therefore, considering the marginal increase in the share attributable to the Operation, as well as the presence of numerous qualified competitors, such as UniCredit, Goldman Sachs, BNP Paribas, and Intesa Sanpaolo, with market shares close to or exceeding those of the Parties, the Operation does not give rise to competitive criticalities.</w:t>
      </w:r>
    </w:p>
    <w:p>
      <w:r>
        <w:t>55. In the investment advisory market, according to the data provided by the Parties, the post-merger share is below 10% at the national level. Furthermore, it is noted that the market is characterized by the presence of numerous qualified operators, including Intesa Sanpaolo, Unicredit, Banca Mediolanum, and FinecoBank.</w:t>
      </w:r>
    </w:p>
    <w:p>
      <w:r>
        <w:t>56. Regarding the distribution of insurance products, the activities of the Parties overlap only concerning life branches. With reference to the shares provided by Banca Generali based on IVASS data for the year 2023, in the market for the distribution of life insurance products, Banca Generali holds a market share below 10% in all Italian provinces where it is active. In almost all provinces, Mediobanca holds a marginal market share (below 5%), except in Milan ([5-10%]) and Rome ([5-10%]). In no province does the joint market share exceed 25%.</w:t>
      </w:r>
    </w:p>
    <w:p>
      <w:r>
        <w:t>57. In relation to the securities trading markets on one's own account and on behalf of third parties, in the year 2024, the joint shares of the Parties in the trading activity carried out on the Euronext market (Italian Stock Exchange), which reference the value of the traded securities, are below 5%.</w:t>
      </w:r>
    </w:p>
    <w:p>
      <w:r>
        <w:t>58. In the market for financial information services, in 2024, Banca Generali held a share below 1% considering the national market, while Mediobanca held a share below 5%.</w:t>
      </w:r>
    </w:p>
    <w:p>
      <w:r>
        <w:t>59. In light of the above considerations, given the absence of substantial horizontal overlaps, as well as possible vertical competitive criticalities, the Operation does not appear to determine significant alterations in the competitive structure in the relevant markets.</w:t>
      </w:r>
    </w:p>
    <w:p>
      <w:r>
        <w:t>CONSIDERED, that the Operation does not significantly impede, pursuant to Article 6, paragraph 1, of Law No. 287/1990, effective competition in the affected markets and does not result in the establishment or strengthening of a dominant position;</w:t>
      </w:r>
    </w:p>
    <w:p>
      <w:r>
        <w:rPr>
          <w:b/>
        </w:rPr>
        <w:t>[Pages 205–207]</w:t>
      </w:r>
    </w:p>
    <w:p>
      <w:r>
        <w:t>BULLETIN NO. 32 OF AUGUST 18, 2025 207</w:t>
        <w:br/>
        <w:t>RESOLUTION</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provision will be published in the Bulletin of the Antitrust Authority.</w:t>
      </w:r>
    </w:p>
    <w:p>
      <w:r>
        <w:t>THE SECRETARY GENERAL THE PRESIDENT</w:t>
        <w:br/>
        <w:t>Guido Stazi Roberto Rustichelli</w:t>
      </w:r>
    </w:p>
    <w:p>
      <w:r>
        <w:t>208 BULLETIN NO. 32 OF AUGUST 18, 2025</w:t>
        <w:br/>
        <w:t>C12730 - UNIPOL ASSICURAZIONI/COMPENDIO DI CRONOS VITA</w:t>
        <w:br/>
        <w:t>INSURANCE</w:t>
        <w:br/>
        <w:t>Provision No. 31650</w:t>
        <w:br/>
        <w:t>THE ANTITRUST AUTHORITY</w:t>
        <w:br/>
        <w:t>IN ITS MEETING of July 29, 2025;</w:t>
        <w:br/>
        <w:t>HEARD the Rapporteur, Saverio Valentino;</w:t>
        <w:br/>
        <w:t>SEEN Regulation (EC) No. 139/2004;</w:t>
        <w:br/>
        <w:t>SEEN Law of October 10, 1990, No. 287;</w:t>
        <w:br/>
        <w:t>SEEN the communication from the company, received on June 4, 2025;</w:t>
        <w:br/>
        <w:t>SEEN the opinion of IVASS, received on July 9, 2025;</w:t>
        <w:br/>
        <w:t>SEEN the documentation on file;</w:t>
        <w:br/>
        <w:t>CONSIDERED the following:</w:t>
        <w:br/>
        <w:t>I. THE PARTIES</w:t>
        <w:br/>
        <w:t>1. Unipol Assicurazioni S.p.A. (hereinafter, "Unipol"; Tax Code 00818570012) is the multi-line insurance company at the head of the Unipol Insurance Group (hereinafter, "Unipol Group"), active in the insurance, banking, financial, real estate, hospitality, agricultural sectors, and in port accommodation, as well as in long-term leasing and management of corporate fleets. In 2024, the Unipol Group achieved a total worldwide revenue of approximately [10-20]* billion euros, of which approximately [10-20] billion euros generated in Italy.</w:t>
        <w:br/>
        <w:t>2. Compendio (hereinafter, "Compendio") of Cronos Vita Assicurazioni S.p.A. (hereinafter, "Cronos"; Tax Code 13088520963), an insurance company specialized in the post-sale management of insurance products related to the life sector. The Compendio consists of the insurance portfolio including the insurance contracts of Life Branches I, III, IV, and V and insurance contracts of Damage Branches I and II of which Cronos is a party, as well as other assets and legal relationships connected, identified in a specific demerger agreement. The share capital of Cronos is held by the companies Allianz S.p.A. (10%), Intesa Sanpaolo Assicurazioni S.p.A. (22.5%), Generali Italia S.p.A. (22.5%), Poste Vita (22.5%), and Unipol S.p.A. (22.5%) (hereinafter, collectively, the "Companies"), none of which holds control for antitrust purposes over Cronos. Cronos was established on August 3, 2023, by the Companies, in the context of a system operation aimed at safeguarding the clients of Eurovita S.p.A. (hereinafter, "Eurovita"), initiated following its subjection to a divestiture operation due to the appointment of a commissioner by IVASS on January 31, 2023, and the extraordinary administration on March 29, 2023, by the Minister of Enterprises and Made in Italy, due to solvency issues and capital requirements below the minimums set by regulation. Specifically, the divestiture operation involves: (i) the purchase by Cronos of a business unit including the entire portfolio of Eurovita products and certain assets and liabilities, excluding specific elements, simultaneously with its subjection to compulsory administrative liquidation on October 27, 2023 (hereinafter, "Business Unit") and (ii) the subsequent division among the Companies of the relationships included in the Business Unit (hereinafter, "Split"). On October 27, 2023, Cronos completed the purchase of the Business Unit of Eurovita and, on April 7, 2025, Cronos and the Companies1 signed an agreement aimed at regulating the Split (hereinafter, "Demerger Agreement"). Pursuant to the Demerger Agreement, the Split will be carried out through the total non-proportional demerger of Cronos in favor of the current shareholders2, with: (i) assignment of the entire assets of Cronos, divided into different compendia and (ii) consequent extinction - on the effective date of the demerger - of Cronos. According to its statute, the operations of Cronos are and will be, until the completion of the Split, entirely dedicated to the run-off management of the insurance portfolio acquired by Cronos within the Business Unit and to the activities functional to the Split, which will conclude with the total demerger of Cronos and the assignment of all its assets to the Companies. In 2024, the Compendio of Cronos achieved a total revenue of approximately [35-100] million euros, entirely generated in Italy.</w:t>
        <w:br/>
        <w:t>II. DESCRIPTION OF THE OPERATION</w:t>
        <w:br/>
        <w:t>3. The communicated operation (hereinafter, "Operation") consists of the acquisition, by Unipol, of exclusive control over the Compendio of Cronos, following the total non-proportional demerger of this company, within the broader rescue scheme implemented since 2023 aimed at protecting the policyholders of Eurovita, an insurance company in compulsory administrative liquidation.</w:t>
        <w:br/>
        <w:t>III. QUALIFICATION OF THE OPERATION</w:t>
        <w:br/>
        <w:t>4. The Operation, as aimed at acquiring control of parts of a business,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provided for by Article 16, paragraph 1, of the same law, as the total revenue achieved, in the last financial year at the national level, by the group of interested companies was above</w:t>
        <w:br/>
        <w:t>1 It should be noted that Fideuram Vita S.p.A. is also part of the Demerger Agreement as the "Designated Third Party" of Intesa Sanpaolo Assicurazioni S.p.A. In fact, in the case of Intesa Sanpaolo Assicurazioni S.p.A., the assignment will be made in favor of Fideuram Vita S.p.A. as the "Designated Third Party."</w:t>
        <w:br/>
        <w:t>2 And of Fideuram Vita S.p.A., which will acquire the compendium pertaining to the shareholder of Cronos Intesa Sanpaolo Assicurazioni S.p.A. in proportion to the shareholding it holds in Cronos.</w:t>
      </w:r>
    </w:p>
    <w:p>
      <w:r>
        <w:rPr>
          <w:b/>
        </w:rPr>
        <w:t>[Pages 208–210]</w:t>
      </w:r>
    </w:p>
    <w:p>
      <w:r>
        <w:t>210 BULLETIN NO. 32 OF AUGUST 18, 2025</w:t>
      </w:r>
    </w:p>
    <w:p>
      <w:r>
        <w:t>582 million euros and the total revenue generated, in the last fiscal year at the national level, individually by at least two of the companies involved was over 35 million euros3.</w:t>
      </w:r>
    </w:p>
    <w:p>
      <w:r>
        <w:t>IV. THE OPINION OF IVASS</w:t>
      </w:r>
    </w:p>
    <w:p>
      <w:r>
        <w:t>5. In an opinion received on July 9, 2025, IVASS highlighted that, based on the available information, the Operation is not capable of altering the competitive balance of the relevant insurance markets.</w:t>
      </w:r>
    </w:p>
    <w:p>
      <w:r>
        <w:t>V. ASSESSMENT OF THE CONCENTRATION</w:t>
      </w:r>
    </w:p>
    <w:p>
      <w:r>
        <w:t>V.1 Relevant markets</w:t>
      </w:r>
    </w:p>
    <w:p>
      <w:r>
        <w:t>6. The Operation involves a horizontal overlap between the activities of the Parties in the markets for the production of life insurance products at the national level and the distribution of life insurance products on a provincial basis4.</w:t>
      </w:r>
    </w:p>
    <w:p>
      <w:r>
        <w:t>V.1.1 National markets for the production of life insurance products</w:t>
      </w:r>
    </w:p>
    <w:p>
      <w:r>
        <w:t>7. In the insurance sector, according to the established orientation of the Authority5, a distinct product market is identified for each insurance branch. This distinction is primarily based on the object of the service provided, the risks assumed, the insurance coverage objective expressed by the demand of each individual Branch, and the absence of substitutability of the policies issued in relation to the specific object of the service provided. The life branches are as follows:</w:t>
        <w:br/>
        <w:t>- Life Branch I - Human life duration: this involves life insurance through which a subject (the insurer), in exchange for a premium from the insured, commits to pay a sum of money upon the occurrence of an event related to human life, such as the death of the insured or reaching a certain age;</w:t>
        <w:br/>
        <w:t>- Life Branch II - Marriage and birth: this involves insurance concerning the family, particularly marriage and the birth of children;</w:t>
        <w:br/>
        <w:t>- Life Branch III - Investment funds: this involves insurance contracts whose benefits are linked (i) to the value of shares of mutual funds, (ii) stock indices, (iii) other benchmarks;</w:t>
        <w:br/>
        <w:t>- Life Branch IV - Illness: this involves health insurance and insurance against the risk of loss of self-sufficiency guaranteed through long-term contracts;</w:t>
        <w:br/>
        <w:t>- Life Branch V - Capitalization: this involves savings capitalization operations through which the insured entrusts a certain sum to the insurance company for a certain period, in exchange for a revaluation of the investment, normally linked to the performance of a particular separate management with a minimum guarantee;</w:t>
        <w:br/>
        <w:t>3 See decision no. 31495 of March 18, 2025 “Revaluation of turnover thresholds pursuant to Article 16, paragraph 1, of Law no. 287/1990”, in Bulletin no. 11/2025.</w:t>
        <w:br/>
        <w:t>4 Although the Compendium includes insurance contracts related to Damage Branches I and II, these contracts do not generate revenue as, on December 31, 2024, Cronos had no active policies in the Damage Branch, nor related reserves.</w:t>
        <w:br/>
        <w:t>5 See, among others, C11524 - Unipol financial group/Unipol insurance-Premafin Financial Fondiaria Sai-Milano Assicurazioni, decision no. 23678 of June 19, 2012, in Bulletin no. 25/2012 and, lastly, C12417 - Cassa di Risparmio di Bolzano - Sparkasse/Banca di Cividale, decision no. 29972 of January 18, 2022, in Bulletin no. 5/2022 and C12500 - Poste Vita /Net Insurance, decision no. 30389 of November 30, 2022, in Bulletin no. 45/2022.</w:t>
      </w:r>
    </w:p>
    <w:p>
      <w:r>
        <w:t>BULLETIN NO. 32 OF AUGUST 18, 2025 211</w:t>
      </w:r>
    </w:p>
    <w:p>
      <w:r>
        <w:t>- Life Branch VI - Pension funds: this involves the management of collective funds established for the provision of benefits in the event of death, life, or cessation or reduction of work activity.</w:t>
      </w:r>
    </w:p>
    <w:p>
      <w:r>
        <w:t>8. From a geographical perspective, the markets under examination currently appear to be of national size, as this is the scope where some of the conditions of the offered policies are defined and thus the commercial policy of the insurance services offered.</w:t>
      </w:r>
    </w:p>
    <w:p>
      <w:r>
        <w:t>9. The Operation, based on the data and information provided by the Parties, appears to impact the production markets of Life Branches I, III, IV, and V.</w:t>
      </w:r>
    </w:p>
    <w:p>
      <w:r>
        <w:t>V.1.2 Provincial markets for the distribution of life insurance products</w:t>
      </w:r>
    </w:p>
    <w:p>
      <w:r>
        <w:t>10. The distribution activity is characterized by the presence of differentiated networks at the local level among the various companies (single-mandate agents; multi-mandate agents; promoters; brokers; etc.), which compete by defining some essential components of the policy, such as the final price, with or without discounts and with adjustments of the policy itself to the specific needs of the demand. It should also be noted that the same operators are not always and necessarily active in both the production and distribution phases (consider, for example, the bancassurance relationships where a bank operates solely as a distributor and not as a producer upstream) and that some distributors operate for multiple producers (brokers or multi-mandate agents)6.</w:t>
      </w:r>
    </w:p>
    <w:p>
      <w:r>
        <w:t>11. The degree of competitive pressure at the distribution level appears to be assessable by considering separately, on the one hand, the Damage Branches and, on the other hand, the Life Branches, considering that, in the placement phase, the networks differ by type of active subjects and modes of action, as well as based on the two areas (damage or life) of covered risks. For example, the typical distribution network for life policies is that of bank branches, unlike the Damage Branches where the banking channel is almost entirely absent and, instead, the agents' channel is predominant. Therefore, based on the described characteristics, it is possible to identify two distinct distribution markets for the set of Life Branches and for the set of Damage Branches. In the Operation, only the market for the distribution of Life Branches is relevant.</w:t>
      </w:r>
    </w:p>
    <w:p>
      <w:r>
        <w:t>12. From a geographical perspective, considering the mobility of demand, the aforementioned market appears, as per various precedents of the Authority, in the first approximation of provincial size7.</w:t>
      </w:r>
    </w:p>
    <w:p>
      <w:r>
        <w:t>V.2 The effects of the Operation</w:t>
      </w:r>
    </w:p>
    <w:p>
      <w:r>
        <w:t>13. Regarding the national markets for the production of life insurance policies, the post-merger share remains below 10%; in particular, it is [5-10%] in Branch I, [1-5%] in Branch III, [1-5%] in Branch IV, and [5-10%] in Branch V.</w:t>
      </w:r>
    </w:p>
    <w:p>
      <w:r>
        <w:t>It is also noteworthy that the Compendium is not active in the production of new policies but is limited to the post-sale management of policies previously issued by Eurovita. Additionally, each of these markets is characterized by the presence of numerous and qualified competitors belonging to major insurance groups, with a market share exceeding that of the Parties and capable of exerting significant competitive pressure.</w:t>
      </w:r>
    </w:p>
    <w:p>
      <w:r>
        <w:t>6 See C11524 - Unipol financial group/Unipol insurance-Premafin Financial Fondiaria Sai-Milano Assicurazioni, cited above.</w:t>
        <w:br/>
        <w:t>7 See, among others, C12401 - Zurich Insurance Company/DB Financial Advisors branch of Deutsche Bank, decision no. 29887 of November 9, 2021, in Bulletin no. 47/2021.</w:t>
      </w:r>
    </w:p>
    <w:p>
      <w:r>
        <w:t>212 BULLETIN NO. 32 OF AUGUST 18, 2025</w:t>
      </w:r>
    </w:p>
    <w:p>
      <w:r>
        <w:t>14. With reference to the distribution of life insurance products, the joint share of the Parties at the provincial level will remain below 5% in sixty-nine of the Italian provinces affected by the operation; below 10% in twenty-five provinces; below 15% in ten provinces; and in only two provinces above 15%, but in any case below 20%. Furthermore, it is noted that, in these two provinces, the horizontal overlap between the Parties is marginal considering that the share attributable to the Compendium is [less than 1%].</w:t>
      </w:r>
    </w:p>
    <w:p>
      <w:r>
        <w:t>15. In light of the above considerations, given the absence of substantial horizontal overlaps, as well as possible vertical competitive issues, the Operation does not appear to be capable of causing detrimental effects on competition.</w:t>
      </w:r>
    </w:p>
    <w:p>
      <w:r>
        <w:t>CONSIDERING, therefore, that the Operation does not significantly impede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The decision will be published in the Bulletin of the Antitrust Authority.</w:t>
      </w:r>
    </w:p>
    <w:p>
      <w:r>
        <w:t>THE SECRETARY GENERAL THE PRESIDENT</w:t>
      </w:r>
    </w:p>
    <w:p>
      <w:r>
        <w:t>Guido Stazi Roberto Rustichelli</w:t>
      </w:r>
    </w:p>
    <w:p>
      <w:r>
        <w:rPr>
          <w:b/>
        </w:rPr>
        <w:t>[Pages 211–213]</w:t>
      </w:r>
    </w:p>
    <w:p>
      <w:r>
        <w:t>BULLETIN NO. 32 OF AUGUST 18, 2025 213</w:t>
        <w:br/>
        <w:t>C12735 - MARIGLIANO/ENERGIA ITALIA</w:t>
        <w:br/>
        <w:t>Decision No. 31651</w:t>
        <w:br/>
        <w:t>THE ANTITRUST AUTHORITY</w:t>
        <w:br/>
        <w:t>IN ITS MEETING of July 29, 2025;</w:t>
        <w:br/>
        <w:t>HEARD the Rapporteur, Saverio Valentino;</w:t>
        <w:br/>
        <w:t>HAVING REGARD to Law No. 287 of October 10, 1990;</w:t>
        <w:br/>
        <w:t>HAVING REGARD to Regulation (EC) No. 139/2004;</w:t>
        <w:br/>
        <w:t>HAVING REGARD to the D.P.R. No. 217 of April 30, 1998;</w:t>
        <w:br/>
        <w:t>HAVING REGARD to the communication from Marigliano S.p.A., received on June 12, 2025;</w:t>
        <w:br/>
        <w:t>HAVING REGARD to the request for information, sent on July 2, 2025, with consequent interruption of</w:t>
        <w:br/>
        <w:t>the deadlines, pursuant to Article 5, paragraph 3, of the D.P.R. No. 217 of April 30, 1998;</w:t>
        <w:br/>
        <w:t>HAVING REGARD to the additional information from Marigliano S.p.A., received on July 7, 2025;</w:t>
        <w:br/>
        <w:t>HAVING REGARD to the documentation on file;</w:t>
        <w:br/>
        <w:t>CONSIDERING the following:</w:t>
        <w:br/>
        <w:t>I. THE PARTIES</w:t>
        <w:br/>
        <w:t>1. Marigliano S.p.A. (hereinafter, “Marigliano”; VAT No. 07169051211) is a company active in the</w:t>
        <w:br/>
        <w:t>wholesale and retail trade of civil and industrial electrical materials, mainly through the acquisition of</w:t>
        <w:br/>
        <w:t>stakes in companies directly operating in this sector. Marigliano is controlled by individuals and its</w:t>
        <w:br/>
        <w:t>capital is divided among four individuals.</w:t>
        <w:br/>
        <w:t>2. The consolidated revenue generated by Marigliano in the financial year 2023 was approximately</w:t>
        <w:br/>
        <w:t>[700-1,000]* million euros and was almost entirely achieved in Italy.</w:t>
        <w:br/>
        <w:t>3. Energia Italia S.r.l. Società Benefit (hereinafter, “Energia Italia” or “Target”; VAT No.</w:t>
        <w:br/>
        <w:t>02160470817) is a company active in the specialized wholesale distribution of renewable energy materials</w:t>
        <w:br/>
        <w:t>and solutions and any accessories. The share capital of Energia Italia is wholly owned by Energia Italia</w:t>
        <w:br/>
        <w:t>Holding S.r.l.</w:t>
        <w:br/>
        <w:t>4. The revenue generated by Energia Italia in 2024 was approximately [35-100] million euros and was</w:t>
        <w:br/>
        <w:t>almost entirely achieved in Italy.</w:t>
        <w:br/>
        <w:t>II. DESCRIPTION OF THE TRANSACTION</w:t>
        <w:br/>
        <w:t>5. The transaction consists of the exclusive acquisition of control of Energia Italia by Marigliano</w:t>
        <w:br/>
        <w:t>(hereinafter, “Transaction”), through the purchase of 100% of the share capital of the Target.</w:t>
        <w:br/>
        <w:t>* In this version, some data are omitted, as elements of confidentiality or secrecy of the information were deemed to exist.</w:t>
      </w:r>
    </w:p>
    <w:p>
      <w:r>
        <w:t>214 BULLETIN NO. 32 OF AUGUST 18, 2025</w:t>
        <w:br/>
        <w:t>6. The Transaction includes a non-compete agreement under which Energia Italia Holding, its legal</w:t>
        <w:br/>
        <w:t>representative, and the Vice President of the Target commit to refrain from [omitted]. This agreement is</w:t>
        <w:br/>
        <w:t>effective from the date of [omitted] and its duration extends for [omitted]. A non-solicitation agreement is</w:t>
        <w:br/>
        <w:t>also provided, [omitted], under which the same parties commit to [omitted].</w:t>
        <w:br/>
        <w:t>III. QUALIFICATION OF THE TRANSACTION</w:t>
        <w:br/>
        <w:t>7. The Transaction constitutes a concentration pursuant to Article 5, paragraph 1, letter b), of Law No.</w:t>
        <w:br/>
        <w:t>287/1990, as it involves the acquisition of exclusive control of a company. It falls within the scope of</w:t>
        <w:br/>
        <w:t>application of Law No. 287/1990 as the conditions of Article 1 of Regulation (EC) No. 139/2004 are not met,</w:t>
        <w:br/>
        <w:t>and it is subject to the obligation of prior notification provided for by Article 16, paragraph 1, of the same</w:t>
        <w:br/>
        <w:t>law as the total revenue generated, in the last financial year at the national level, by the group of interested</w:t>
        <w:br/>
        <w:t>companies exceeded 582 million euros and the total revenue generated, in the last financial year at the</w:t>
        <w:br/>
        <w:t>national level, by at least two of the interested companies exceeded 35 million euros.</w:t>
        <w:br/>
        <w:t>8. The non-compete agreement and the non-solicitation agreement described above can be qualified as</w:t>
        <w:br/>
        <w:t>directly related and necessary for the realization of the Transaction, as they are functional to safeguarding</w:t>
        <w:br/>
        <w:t>the value of the acquired company, provided that they are geographically limited to the area of activity of</w:t>
        <w:br/>
        <w:t>the acquired company and temporally to a period of two years from the closing of the Transaction1.</w:t>
        <w:br/>
        <w:t>IV. ASSESSMENT OF THE CONCENTRATION</w:t>
        <w:br/>
        <w:t>a) The relevant product and geographic markets</w:t>
        <w:br/>
        <w:t>9. Regarding the product market, the Target operates in the wholesale supply of products and</w:t>
        <w:br/>
        <w:t>technological equipment for photovoltaic energy and, to a very marginal extent, in the wholesale</w:t>
        <w:br/>
        <w:t>marketing of electrical materials, civil and industrial.</w:t>
        <w:br/>
        <w:t>a.1) The wholesale supply of products and technological equipment for photovoltaic energy</w:t>
        <w:br/>
        <w:t>10. Regarding the market for the wholesale supply of products and technological equipment for</w:t>
        <w:br/>
        <w:t>photovoltaic energy2, the plants for its production3 are usually marketed: (i) directly by the producers, or</w:t>
        <w:br/>
        <w:t>(ii) through wholesale distributors who, in turn, address the channel of “professional” users, such as</w:t>
        <w:br/>
        <w:t>installers or final resellers of such products. In this case, the offer of the companies involved in the</w:t>
        <w:br/>
        <w:t>Transaction appears to be directed not to final customers but to installers (mainly) or professional resellers.</w:t>
        <w:br/>
        <w:t>11. From a geographical perspective, the aforementioned market can be considered, conservatively, to</w:t>
        <w:br/>
        <w:t>coincide with the national territory, given that the connected capacity related to photovoltaic plants is</w:t>
        <w:br/>
        <w:t>located, although not uniformly, throughout the national territory.</w:t>
        <w:br/>
        <w:t>a.2) The wholesale marketing of electrical materials, civil and industrial</w:t>
        <w:br/>
        <w:t>12. Regarding the sector of wholesale marketing and, to a marginal extent, retail, of electrical materials,</w:t>
        <w:br/>
        <w:t>civil and industrial4, this commodity area concerns the wholesale and retail distribution of various types of</w:t>
        <w:br/>
        <w:t>electrical materials that are intended for both the electromechanical and electronic sectors and that are</w:t>
        <w:br/>
        <w:t>purchased by customers, predominantly industries, public entities, construction companies, panel builders,</w:t>
        <w:br/>
        <w:t>industrial automation specialists, electrical installers, as well as, to a lesser extent, retail distributors who</w:t>
        <w:br/>
        <w:t>resell to individuals or, to an even lesser extent, directly from private individuals.</w:t>
        <w:br/>
        <w:t>13. Based on previous cases, from a geographical point of view, the wholesale distribution of electrical</w:t>
        <w:br/>
        <w:t>materials is considered to be of regional size, that is, provincial/multi-provincial, considering the area of</w:t>
        <w:br/>
        <w:t>operation of wholesalers who, in general, serve a rather extensive territorial area (retail distribution, on the</w:t>
        <w:br/>
        <w:t>other hand, typically assumes a local relevance). In this specific case, however, it is not necessary to arrive at a precise geographical delimitation of the market, as the assessment of the competitive impact of the Transaction does not change, regardless of the definition adopted.</w:t>
        <w:br/>
        <w:t>14. Considering the activity carried out by the Target, from a geographical point of view, the regions of</w:t>
        <w:br/>
        <w:t>Sicily, Piedmont, Aosta Valley, Lazio, Campania, Apulia, Calabria, Emilia-Romagna, Veneto, Umbria,</w:t>
        <w:br/>
        <w:t>Marche, Tuscany and their respective provinces are involved in the Transaction. In these geographical areas, Marigliano is either not active (Sicily, Aosta Valley, and Tuscany) or the Target is active to a very marginal extent.</w:t>
        <w:br/>
        <w:t>b) Effects of the Transaction</w:t>
        <w:br/>
        <w:t>15. The Transaction does not appear to be capable of producing distortions to competition.</w:t>
        <w:br/>
        <w:t>16. In particular, from a horizontal perspective, with reference to the market for the wholesale supply of</w:t>
        <w:br/>
        <w:t>products and technological equipment for photovoltaic energy, of national size, following the concentration,</w:t>
        <w:br/>
        <w:t>the parties will hold joint market shares, calculated in value, below [5-10%]. Furthermore, the considered</w:t>
        <w:br/>
        <w:t>market appears to be quite fragmented and sees the presence of numerous competitors, some of whom hold</w:t>
        <w:br/>
        <w:t>significant market shares, such as Coenergia, P.M. Service, and Genertec Italia.</w:t>
        <w:br/>
        <w:t>17. Also from a horizontal perspective, with reference to the wholesale and retail marketing of electrical</w:t>
        <w:br/>
        <w:t>materials, civil and industrial, wholesale trade of electrical materials, of regional or subregional geographical</w:t>
        <w:br/>
        <w:t>size, in the areas where the Target is present, there are no overlaps or they are entirely marginal. At the national level, moreover, the Target holds a market share significantly below [1-5%] and the Transaction will result in a joint market share of [15-20%], in the presence of competitors with similar or higher market shares.</w:t>
        <w:br/>
        <w:t>4 See C12449 - Marigliano/Barcella Elettroforniture, Decision No. 28607 of May 10, 2022, in Bulletin No. 20/2022; C12636 - Marigliano/Edif-Edif Holding, Decision No. 28207 of March 16, 2021, in Bulletin No. 14/2021; C12232 - Sacchi Giuseppe/Demo, Decision No. 27796 of June 5, 2019, in Bulletin No. 25/2019.</w:t>
      </w:r>
    </w:p>
    <w:p>
      <w:r>
        <w:rPr>
          <w:b/>
        </w:rPr>
        <w:t>[Pages 214–216]</w:t>
      </w:r>
    </w:p>
    <w:p>
      <w:r>
        <w:t>216 BULLETIN NO. 32 OF AUGUST 18, 2025</w:t>
      </w:r>
    </w:p>
    <w:p>
      <w:r>
        <w:t>18. Finally, regarding the potential vertical effects of the Operation, the Target is only marginally active in the wholesale marketing of electrical materials, both civil and industrial, a market positioned downstream from that of the wholesale supply of products and technological equipment for photovoltaic energy.</w:t>
      </w:r>
    </w:p>
    <w:p>
      <w:r>
        <w:t>19. In light of the above considerations, the Operation does not appear to significantly hinder effective competition in the relevant markets or to result in the establishment or strengthening of a dominant position.</w:t>
      </w:r>
    </w:p>
    <w:p>
      <w:r>
        <w:t>CONSIDERING, therefore, that the Operation does not significantly hinder effective competition in the relevant markets pursuant to Article 6, paragraph 1, of Law No. 287/1990 and does not involve the establishment or strengthening of a dominant position;</w:t>
      </w:r>
    </w:p>
    <w:p>
      <w:r>
        <w:t>FURTHER CONSIDERING that the non-competition agreement and the non-solicitation agreement are ancillary to this operation only to the extent indicated above and that the Authority reserves the right to evaluate, where the conditions exist, the aforementioned agreements if they exceed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BULLETIN NO. 32 OF AUGUST 18, 2025</w:t>
      </w:r>
    </w:p>
    <w:p>
      <w:r>
        <w:t>C12741 - OVS/GOLDENPOINT</w:t>
      </w:r>
    </w:p>
    <w:p>
      <w:r>
        <w:t>Provision No. 31652</w:t>
      </w:r>
    </w:p>
    <w:p>
      <w:r>
        <w:t>THE ANTITRUST AUTHORITY</w:t>
      </w:r>
    </w:p>
    <w:p>
      <w:r>
        <w:t>IN ITS MEETING of July 29, 2025;</w:t>
      </w:r>
    </w:p>
    <w:p>
      <w:r>
        <w:t>HEARD the Rapporteur, Professor Elisabetta Iossa;</w:t>
      </w:r>
    </w:p>
    <w:p>
      <w:r>
        <w:t>HAVING REGARD TO Regulation (EC) No. 139/2004;</w:t>
      </w:r>
    </w:p>
    <w:p>
      <w:r>
        <w:t>HAVING REGARD TO Law No. 287 of October 10, 1990;</w:t>
      </w:r>
    </w:p>
    <w:p>
      <w:r>
        <w:t>HAVING REGARD TO the communication from OVS S.p.A., received on July 3, 2025;</w:t>
      </w:r>
    </w:p>
    <w:p>
      <w:r>
        <w:t>CONSIDERING the following:</w:t>
      </w:r>
    </w:p>
    <w:p>
      <w:r>
        <w:t>I. THE PARTIES</w:t>
      </w:r>
    </w:p>
    <w:p>
      <w:r>
        <w:t>1. OVS S.p.A. (hereinafter, "OVS"; VAT No. 04240010274), listed on the Euronext Milan segment managed by Borsa Italiana, is the parent company of the eponymous group and is active in the casual clothing and accessories sector for men, women, and children throughout the national territory, primarily through directly managed stores and franchising, with the proprietary brands OVS, Upim, Piombo, Stefanel, OVS Kids, and BluKids. OVS also owns, among others, the Shaka brand (perfume products) and the Croff brand (the textiles and accessories line of Upim). OVS is not subject to the control of any of its shareholders.</w:t>
      </w:r>
    </w:p>
    <w:p>
      <w:r>
        <w:t>In 2024, OVS achieved a total global turnover of [1-2 billion euros]*. In the same year, at the European level, the turnover was [1-2 billion] euros and, in Italy, [1-2 billion] euros.</w:t>
      </w:r>
    </w:p>
    <w:p>
      <w:r>
        <w:t>2. Golden Point S.p.A. (hereinafter, "Golden Point" or "Target"; VAT No. 02481460208) is active in the clothing and accessories sector, predominantly in Italy, focusing on socks, swimwear, underwear, and nightwear for women, men, and children, primarily through its own sales network, but also online. More specifically, the Target owns approximately three hundred eighty-two stores located in various cities and shopping centers and distributes its products through its retail chain under the Goldenpoint brand.</w:t>
      </w:r>
    </w:p>
    <w:p>
      <w:r>
        <w:t>Golden Point is jointly controlled by Gilfin S.r.l. - which holds 97% of the share capital and is ultimately controlled by the individual controlling shareholder of Gilfin - and by OVS, which holds the remaining 3% and has the right to appoint [omitted] members out of [omitted] of the Board of Directors (hereinafter, "BdD") of the Target, at least one of whom must necessarily cast a favorable vote in order to allow the adoption of certain resolutions in the BdD, including any modifications that may be necessary during the year to the business plan1.</w:t>
      </w:r>
    </w:p>
    <w:p>
      <w:r>
        <w:t>* In this version, some data are omitted, as there were deemed to be elements of confidentiality or secrecy of the information.</w:t>
      </w:r>
    </w:p>
    <w:p>
      <w:r>
        <w:t>1 See C12627 - OVS-Gilfin/Golden Point, provision No. 31256 of June 11, 2024, in Bulletin No. 26/2024.</w:t>
      </w:r>
    </w:p>
    <w:p>
      <w:r>
        <w:t>218 BULLETIN NO. 32 OF AUGUST 18, 2025</w:t>
      </w:r>
    </w:p>
    <w:p>
      <w:r>
        <w:t>In 2024, the Target achieved a total global and European turnover of approximately [35-00] million euros, while at the Italian level, the turnover was approximately [35-100] million euros.</w:t>
      </w:r>
    </w:p>
    <w:p>
      <w:r>
        <w:t>II. DESCRIPTION OF THE OPERATION</w:t>
      </w:r>
    </w:p>
    <w:p>
      <w:r>
        <w:t>3. The communicated operation consists of OVS acquiring exclusive control of the Target, of which, as seen, OVS already holds joint control (hereinafter, "Operation").</w:t>
      </w:r>
    </w:p>
    <w:p>
      <w:r>
        <w:t>4. A non-competition and non-solicitation agreement is provided for, whereby until [omitted] Gilfin and the individual [omitted], the current controlling shareholder of Gilfin, each undertake not to engage directly and/or indirectly in any activity in competition with that currently carried out by the Target, including the poaching/solicitation of agents, distributors, affiliates, suppliers, customers, and/or employees of the Target or establishing employment and/or external collaboration relationships with competing companies, within the territory of the European Union and in certain third countries.</w:t>
      </w:r>
    </w:p>
    <w:p>
      <w:r>
        <w:t>III. QUALIFICATION OF THE OPERATION</w:t>
      </w:r>
    </w:p>
    <w:p>
      <w:r>
        <w:t>5. The Operation constitutes a concentration pursuant to Article 5, paragraph 1, letter b), of Law No. 287/1990, as it involves the acquisition of exclusive control of a company. It falls within the scope of application of Law No. 287/1990 as the conditions of Article 1 of Regulation (EC) No. 139/2004 are not met, and it is subject to the obligation of prior notification provided for by Article 16, paragraph 1, of the same law as the total turnover achieved, in the last financial year at the national level, by the group of companies involved was over 582 million euros and the total turnover achieved, in the last financial year at the national level, by at least two of the companies involved was over 35 million euros.</w:t>
      </w:r>
    </w:p>
    <w:p>
      <w:r>
        <w:t>6. The agreed non-competition and non-solicitation agreements can be considered ancillary and necessary for the realization of the Operation, as they aim to preserve the value of the Target, provided that they are limited to the geographical scope of the Target's activities and to a period of two years from the acquisition of control of OVS over the Target2.</w:t>
      </w:r>
    </w:p>
    <w:p>
      <w:r>
        <w:t>IV. EVALUATION OF THE CONCENTRATION</w:t>
      </w:r>
    </w:p>
    <w:p>
      <w:r>
        <w:t>a) The relevant markets</w:t>
      </w:r>
    </w:p>
    <w:p>
      <w:r>
        <w:t>7. With regard to the activity of the Target, from a merchandise perspective, the market affected by the Operation is that of the retail distribution of non-luxury clothing and accessories3. Within this market, it is possible to distinguish the "adult" and "child" segments, taking into account the different needs that drive purchases from the demand side, as well as the existence of operators on the supply side specialized in only one of the two types of products.</w:t>
      </w:r>
    </w:p>
    <w:p>
      <w:r>
        <w:t>2 See "Communication from the Commission on restrictions directly related and necessary to concentrations," in O.J. EU 2005/C-56/03 of March 5, 2005.</w:t>
      </w:r>
    </w:p>
    <w:p>
      <w:r>
        <w:t>3 See, inter alia: C12627 - OVS-Gilfin/Golden Point, provision No. 31256 of June 11, 2024, in Bulletin No. 26/2024; C12338 - OVS/17 business branches of Margherita Distribuzione, provision No. 28487 of January 15, 2020, in Bulletin No. 1/2021; C11677 - Stradivarius Italia / Business branch of Gallerie commerciali Italia, provision No. 23756 of July 18, 2012, in Bulletin No. 29/2012; C11840 - Oviesse/Business branch of Sagi Holdings, provision No. 24120 of December 12, 2012, in Bulletin No. 50/2012 and C11802 - Oviesse/Business branch of Unicomm, provision No. 24034 of October 31, 2012, in Bulletin No. 44/2012.</w:t>
      </w:r>
    </w:p>
    <w:p>
      <w:r>
        <w:rPr>
          <w:b/>
        </w:rPr>
        <w:t>[Pages 217–219]</w:t>
      </w:r>
    </w:p>
    <w:p>
      <w:r>
        <w:t>BULLETIN NO. 32 OF AUGUST 18, 2025 219</w:t>
      </w:r>
    </w:p>
    <w:p>
      <w:r>
        <w:t>In this specific case, however, the exact definition of the commodity market can be left open, as there are no competitive concerns in either case.</w:t>
      </w:r>
    </w:p>
    <w:p>
      <w:r>
        <w:t>8. From a geographical perspective, considering consumer purchasing behaviors and the importance they attribute to the proximity of retail outlets, the market for the retail distribution of non-luxury clothing and accessories has a local dimension. According to the established practice of the Authority, the size of local retail distribution markets can be identified by constructing isochrones defined based on the distance that can be traveled in a certain period of time, starting from the retail outlets subject to acquisition. In this case, the local areas have been identified based on isochrones defined for both 30 minutes and 20 minutes of travel from the retail outlets involved in the Operation. The exact geographical definition of the market can be left open, as, as illustrated below, in both cases the Operation is not likely to raise competitive concerns.</w:t>
      </w:r>
    </w:p>
    <w:p>
      <w:r>
        <w:t>b) Effects of the Operation</w:t>
      </w:r>
    </w:p>
    <w:p>
      <w:r>
        <w:t>9. Considering that the Operation involves the transition from joint control - subject of concentration C12627 - to exclusive control over the Target, it will not result in any change to the competitive situation of the identified relevant markets and therefore does not appear capable of producing distortions to competition.</w:t>
      </w:r>
    </w:p>
    <w:p>
      <w:r>
        <w:t>10. Moreover, it should be noted that the position of OVS and Golden Point in the numerous relevant local markets is such that it does not raise competitive concerns, as in the relevant market for the retail distribution of non-luxury clothing and accessories (overall), as well as in the adult segment, in none of the analyzed isochrones - extending both to 30 minutes and to 20 minutes of driving from the centroid - will the joint share exceed the attention threshold of 25%4.</w:t>
      </w:r>
    </w:p>
    <w:p>
      <w:r>
        <w:t>11. Also regarding the children's segment, the Operation will not result in any increase in market shares. Finally, these are markets characterized by the presence of numerous other operators and especially in the children's segment, there are qualified and large competitors, particularly the Oniverse Group.</w:t>
      </w:r>
    </w:p>
    <w:p>
      <w:r>
        <w:t>12. In light of the above considerations, the Operation does not appear capable of significantly altering the competitive dynamics in the relevant markets examined.</w:t>
      </w:r>
    </w:p>
    <w:p>
      <w:r>
        <w:t>CONSIDERING, therefore, that the Operation does not significantly impede effective competition in the relevant markets, pursuant to Article 6, paragraph 1, of Law No. 287/1990, and does not result in the establishment or strengthening of a dominant position;</w:t>
      </w:r>
    </w:p>
    <w:p>
      <w:r>
        <w:t>CONSIDERING, furthermore, that the non-competition agreement and the non-solicitation agreement are ancillary to the Operation only to the extent indicated above and that the Authority reserves the right to evaluate, where the conditions exist, the aforementioned agreements if they exceed those limits;</w:t>
      </w:r>
    </w:p>
    <w:p>
      <w:r>
        <w:t>RESOLVES</w:t>
      </w:r>
    </w:p>
    <w:p>
      <w:r>
        <w:t>not to initiate the investigation referred to in Article 16, paragraph 4, of Law No. 287/1990.</w:t>
      </w:r>
    </w:p>
    <w:p>
      <w:r>
        <w:t>4 See the Guidelines on the assessment of horizontal concentrations pursuant to the Council Regulation on the control of concentrations between enterprises of the European Commission (2004/C 31/03), §. 18.</w:t>
      </w:r>
    </w:p>
    <w:p>
      <w:r>
        <w:t>220 BULLETIN NO. 32 OF AUGUST 18, 2025</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BULLETIN NO. 32 OF AUGUST 18, 2025 221</w:t>
      </w:r>
    </w:p>
    <w:p>
      <w:r>
        <w:t>C12742 - UNES MAXI/BRANCHES OF GREEN MARKET-SPEEDY MARKET</w:t>
      </w:r>
    </w:p>
    <w:p>
      <w:r>
        <w:t>Provision No. 31653</w:t>
      </w:r>
    </w:p>
    <w:p>
      <w:r>
        <w:t>THE ANTITRUST AUTHORITY</w:t>
      </w:r>
    </w:p>
    <w:p>
      <w:r>
        <w:t>IN ITS MEETING of July 29, 2025;</w:t>
      </w:r>
    </w:p>
    <w:p>
      <w:r>
        <w:t>HEARD the Rapporteur, Saverio Valentino;</w:t>
      </w:r>
    </w:p>
    <w:p>
      <w:r>
        <w:t>SEEN Regulation (EC) No. 139/2004;</w:t>
      </w:r>
    </w:p>
    <w:p>
      <w:r>
        <w:t>SEEN Law No. 287 of October 10, 1990;</w:t>
      </w:r>
    </w:p>
    <w:p>
      <w:r>
        <w:t>SEEN the communication made by Unes Maxi S.p.A. received on July 14, 2025;</w:t>
      </w:r>
    </w:p>
    <w:p>
      <w:r>
        <w:t>SEEN the documentation on file;</w:t>
      </w:r>
    </w:p>
    <w:p>
      <w:r>
        <w:t>CONSIDERED the following:</w:t>
      </w:r>
    </w:p>
    <w:p>
      <w:r>
        <w:t>I. THE PARTIES</w:t>
      </w:r>
    </w:p>
    <w:p>
      <w:r>
        <w:t>1. Unes Maxi S.p.A. (hereinafter, "Unes Maxi"; VAT number 07515280159) is a company active in the retail trade of food products and other mass and general consumption products in the organized large-scale distribution sector (hereinafter, "GDO"). Unes Maxi operates in the Italian market with approximately two hundred retail outlets held both in its own right and through franchising, with different brands corresponding to different commercial formulas.</w:t>
      </w:r>
    </w:p>
    <w:p>
      <w:r>
        <w:t>2. Unes Maxi is exclusively controlled by the Finiper Canova Group S.p.A, which is also active in the retail trade of food products and other mass and general consumption products in the modern distribution sector, also through the brand Iper La grande i, hypermarkets larger than 2500 square meters, including catering points, food corners, and restaurants.</w:t>
      </w:r>
    </w:p>
    <w:p>
      <w:r>
        <w:t>3. The consolidated revenue generated by the group in the financial year 2023 was approximately [3-4]* billion euros, almost entirely achieved in Italy.</w:t>
      </w:r>
    </w:p>
    <w:p>
      <w:r>
        <w:t>4. The branches of business (hereinafter, "target branches") subject to acquisition by Unes are as follows:</w:t>
      </w:r>
    </w:p>
    <w:p>
      <w:r>
        <w:t>the branch of business in San Genesio, a retail outlet located in San Genesio ed Uniti (PV), via Veruska Ciocca, 27010, with a sales area of 1,350.72 square meters. The revenue generated in Italy in 2023 by the branch of business amounts to approximately [10-35] million euros.</w:t>
      </w:r>
    </w:p>
    <w:p>
      <w:r>
        <w:t>the branch of business in San Martino, a retail outlet located in San Martino Siccomario (PV), Viale dell’Agricoltura, 27028, with a sales area of 791 square meters. The revenue generated in Italy in 2023 by the branch of business amounts to approximately [1-10] million euros.</w:t>
      </w:r>
    </w:p>
    <w:p>
      <w:r>
        <w:t>the branch of business in Sannazzaro, a retail outlet located in Sannazzaro de’ Burgondi (PV), on Provincial Road No. 193 bis, 27039, with a sales area of 1,035 square meters. The revenue generated in Italy in 2023 by the branch of business amounts to approximately [1-10] million euros.</w:t>
      </w:r>
    </w:p>
    <w:p>
      <w:r>
        <w:t>*In this version, some data are omitted, as it was deemed that there are elements of confidentiality or secrecy of the information.</w:t>
      </w:r>
    </w:p>
    <w:p>
      <w:r>
        <w:rPr>
          <w:b/>
        </w:rPr>
        <w:t>[Pages 220–222]</w:t>
      </w:r>
    </w:p>
    <w:p>
      <w:r>
        <w:t>222 BULLETIN NO. 32 OF AUGUST 18, 2025</w:t>
      </w:r>
    </w:p>
    <w:p>
      <w:r>
        <w:t xml:space="preserve">the business branch of Landriano, retail outlet located in Landriano (PV), Via Cerca, 27015, with a sales area of 1,186 sqm. The revenue generated in Italy in 2023 by the business branch amounts to approximately [1-10] million euros.  </w:t>
        <w:br/>
        <w:t xml:space="preserve">the business branch of Cerro, retail outlet located in Cerro al Lambro (MI), via Armando Diaz, 20070, with a sales area of 1,280 sqm. The notifying party has represented that the business branch has been active since March 31, 2025.  </w:t>
        <w:br/>
        <w:t xml:space="preserve">5. The combined revenue generated in Italy by the target branches in the financial year 2023 amounts to approximately [35-100] million euros.  </w:t>
        <w:br/>
        <w:t xml:space="preserve">6. The aforementioned business branches are controlled by Green Market S.r.l. (hereinafter, “Green Market”; VAT number 01578670182) and its subsidiary Speedy Market S.r.l. (hereinafter, “Speedy Market” and, together with Green Market and Unes Maxi, “Parties”; VAT number 01945240180), both active in the retail trade of food products and other fast-moving consumer goods in the organized large-scale distribution sector.  </w:t>
        <w:br/>
        <w:t xml:space="preserve">II. DESCRIPTION OF THE OPERATION  </w:t>
        <w:br/>
        <w:t xml:space="preserve">7. The communicated Operation (hereinafter, “Operation”) consists of the acquisition, by Unes Maxi, of the exclusive control of the aforementioned five business branches, three1 of which are directly controlled by Green Market and two2 indirectly controlled, also by Green Market, through Speedy Market.  </w:t>
        <w:br/>
        <w:t xml:space="preserve">8. The preliminary contract entered into by the Parties provides that Unes Maxi will preliminarily acquire the ownership of all the properties related to the target branches, subsequently perfecting the transfer of the individual business branches with the consequent assumption of the relevant administrative authorizations for sale and other administrative titles, equipment, systems, furnishings, and employee relations.  </w:t>
        <w:br/>
        <w:t xml:space="preserve">9. The Parties have also agreed on a non-compete clause applicable to the selling companies, consisting of the commitment [omitted].  </w:t>
        <w:br/>
        <w:t xml:space="preserve">III. QUALIFICATION OF THE OPERATION  </w:t>
        <w:br/>
        <w:t xml:space="preserve">10. The Operation, being aimed at acquiring exclusive control of parts of a business,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provided for by Article 16, paragraph 1, of the same law, as the total revenue generated, in the last financial year at the national level, by the group of companies involved exceeded 582 million euros and the total revenue generated, in the last financial year at the national level, by at least two of the companies involved exceeded 35 million euros.  </w:t>
        <w:br/>
        <w:t xml:space="preserve">11. The non-compete agreement signed by the Parties and described in the previous paragraph can be considered directly connected and necessary for the realization of the Operation, as it is geographically limited to the area of activity of the target branches subject to acquisition3 and functional to safeguarding the value of the acquired business, provided that it does not obligate the prospective sellers to impose the same commitment on any third contracting parties4.  </w:t>
        <w:br/>
        <w:t xml:space="preserve">IV. EVALUATION OF THE OPERATION  </w:t>
        <w:br/>
        <w:t xml:space="preserve">I.1. Relevant markets  </w:t>
        <w:br/>
        <w:t xml:space="preserve">I.1.a. The markets for the retail sale of food and non-food consumer goods  </w:t>
        <w:br/>
        <w:t xml:space="preserve">12. The Operation concerns the markets for the retail sale of food and non-food consumer goods through GDO retail outlets. In this sector, multiple operators operate at the national level, with varied sizes and organizational formulas. In particular, the following types of retail outlets are distinguished within the GDO: hypermarkets, supermarkets, convenience stores, and discount stores.  </w:t>
        <w:br/>
        <w:t xml:space="preserve">13. Within the established guidelines regarding concentration operations in the GDO sector5, the Authority has, first of all, included retail outlets managed under the discount formula in the relevant markets related to the corresponding types of GDO retail outlets, namely convenience stores (100-399 sqm), supermarkets (400-2,499 sqm), and hypermarkets (from 2,500 sqm and above), as they are considered by consumers to be a substitutable purchasing option with such other types of GDO retail outlets.  </w:t>
        <w:br/>
        <w:t xml:space="preserve">14. Furthermore, with reference to hypermarkets, supermarkets, and convenience stores, the Authority has defined the following distinct product markets:  </w:t>
        <w:br/>
        <w:t xml:space="preserve">i. the market for convenience stores, including all retail outlets with a size between 100 and 2,499 sqm (i.e., the same convenience stores, supermarkets, and discount stores with a size below 2,500 sqm);  </w:t>
        <w:br/>
        <w:t xml:space="preserve">ii. the market for supermarkets, including all retail outlets with a size from 100 sqm and above (i.e., supermarkets, convenience stores, hypermarkets, and discount stores);  </w:t>
        <w:br/>
        <w:t xml:space="preserve">iii. the market for hypermarkets, including all retail outlets from 400 sqm and above (i.e., hypermarkets, supermarkets, and discount stores with a size equal to or greater than 400 sqm).  </w:t>
        <w:br/>
        <w:t xml:space="preserve">15. From a geographical perspective, local markets have been defined consisting of isochrone curves centered on the target retail outlets with a width of 10 minutes of driving, under actual traffic conditions, for the market of convenience stores and 15 minutes of driving, under actual traffic conditions, for the markets of supermarkets and hypermarkets.  </w:t>
        <w:br/>
        <w:t xml:space="preserve">3 From the analyses conducted, it has been noted that the radius of [omitted] km provided for in the non-compete agreement defines a distance included within the geographical scope of the isochronal markets defined hereinafter.  </w:t>
        <w:br/>
        <w:t xml:space="preserve">4 See “Communication from the Commission on restrictions directly connected and necessary to concentrations,” in OJ C56 of March 5, 2005, p. 24.  </w:t>
        <w:br/>
        <w:t>5 See, inter alia: C12247B - BDC Italia-Conad/Auchan, decision No. 28163 of February 25, 2020, in Bulletin No. 10/2020; C12509 - PAC 2000A/Various Business Branches, decision No. 30500 of February 28, 2023, in Bulletin No. 11/2023; C12487 - IN’S Mercato/Business Branch DICO, decision No. 30414 of December 13, 2022, in Bulletin No. 1/2023; C12490 - Fratelli Arena/Two Business Branches of Superisola, decision No. 30337 of October 11, 2022, in Bulletin No. 39/2022; and C12580 - Conad Nord Ovest/Business Branch of Bennet, decision No. 30885 of November 21, 2023, in Bulletin No. 47/2023.</w:t>
      </w:r>
    </w:p>
    <w:p>
      <w:r>
        <w:t xml:space="preserve">224 BULLETIN NO. 32 OF AUGUST 18, 2025  </w:t>
        <w:br/>
        <w:t xml:space="preserve">I.1.b. The markets for the procurement of food and non-food consumer goods  </w:t>
        <w:br/>
        <w:t xml:space="preserve">16. The markets for the procurement of food and non-food consumer goods pertain to the purchases made by GDO chains, which represent the demand side, directly from producers of fast-moving consumer goods, which constitute the supply side, for resale in the modern distribution channel6.  </w:t>
        <w:br/>
        <w:t xml:space="preserve">17. The Authority has left open the exact product definition of the market and even in this specific case, it is deemed unnecessary to arrive at an exact product delimitation as it does not appear likely to create significant effects on competition in the markets for the procurement of food and non-food consumer goods. Furthermore, these markets generally have a national dimension, with purchases and related negotiations taking place at the national level, except for certain categories of fresh products or local specialties, characterized by markets of more limited size.  </w:t>
        <w:br/>
        <w:t xml:space="preserve">The effects of the Operation  </w:t>
        <w:br/>
        <w:t xml:space="preserve">18. The Operation presents horizontal overlaps in the local markets of the retail sale of food and non-food consumer goods identified by isochrones centered on the following target branches:  </w:t>
        <w:br/>
        <w:t xml:space="preserve">the retail outlet located in San Genesio ed Uniti (PV), via Veruska Ciocca, 27010, with a sales area of 1,436 sqm;  </w:t>
        <w:br/>
        <w:t xml:space="preserve">the retail outlet located in San Martino Siccomario (PV), Viale dell’Agricoltura, 27028, with a sales area of 791 sqm;  </w:t>
        <w:br/>
        <w:t xml:space="preserve">the retail outlet located in Sannazzaro de’ Burgondi (PV), on Provincial Road No. 193 bis, 27039, with a sales area of 811 sqm;  </w:t>
        <w:br/>
        <w:t xml:space="preserve">the retail outlet located in Landriano (PV), Via Cerca, 27015, with a sales area of 1,086 sqm;  </w:t>
        <w:br/>
        <w:t xml:space="preserve">the retail outlet located in Cerro al Lambro (MI), via Armando Diaz, 20070, with a sales area of 1,500 sqm.  </w:t>
        <w:br/>
        <w:t xml:space="preserve">19. In light of the geographical definition of the markets as defined above, the combined market shares, in almost all cases, do not exceed [10-15%], with a post-merger concentration index (HHI) always below approximately 1400 and a delta HHI always below 70.  </w:t>
        <w:br/>
        <w:t xml:space="preserve">20. Only the isochrone of Via Cerca, Landriano (PV), is characterized by a combined market share of [30-35%] (with an increase of [5-10%]. However, there are elements that lead to exclude that the Operation will cause detrimental effects on competition in the local market in question. In particular, the target retail outlet falls within the discount segment, while the retail outlets of the acquiring party belong to the categories of supermarkets and convenience stores:  </w:t>
        <w:br/>
        <w:t>6 See, inter alia: C12719 - Unicoop Tirreno/Coop Centro Italia, decision No. 31540 of May 6, 2025, in Bulletin No. 20/2025; C12667 - PAC2000/ Business Branches of DOC Roma - UNICOOP Firenze, decision No. 31424 of December 17, 2024, in Bulletin No. 1/2025; C12580 - Conad Nord Ovest/Business Branch of Bennet, decision No. 30885 of November 21, 2023, in Bulletin No. 47/2023; C12509 - PAC 2000A/Various Business Branches, decision No. 30500 of February 28, 2023, in Bulletin No. 11/2023; C12487 - IN’S Mercato/Business Branch DICO, decision No. 30414 of December 13, 2022, in Bulletin No. 1/2023; C12490 - Fratelli Arena/Two Business Branches of Superisola, decision No. 30337 of October 11, 2022, in Bulletin No. 39/2022; and C12247B - BDC Italia-Conad/Auchan, decision No. 28163 of February 25, 2020, in Bulletin No. 10/2020.</w:t>
      </w:r>
    </w:p>
    <w:p>
      <w:r>
        <w:rPr>
          <w:b/>
        </w:rPr>
        <w:t>[Pages 223–225]</w:t>
      </w:r>
    </w:p>
    <w:p>
      <w:r>
        <w:t>BULLETIN NO. 32 OF AUGUST 18, 2025 225</w:t>
      </w:r>
    </w:p>
    <w:p>
      <w:r>
        <w:t xml:space="preserve">in this context, there is, therefore, no degree of competitive proximity such as to render the latter fully substitutable for the target branch.  </w:t>
        <w:br/>
        <w:t xml:space="preserve">21. Furthermore, within the isochrone, there are numerous and qualified competitors, many of whom are within the first 10 minutes of travel from the target point of sale, with market shares per point of sale of up to [10-15%]. Specifically, within the isochrone, fifteen competing points of sale operate belonging to nine different brands with particularly well-known trademarks (Carrefour Market; Tigros; Coop, Md; Eurospin; Carrefour Express; Eurospar; In's Discount; Despar).  </w:t>
        <w:br/>
        <w:t xml:space="preserve">22. Therefore, even in the presence of an increase in concentration in terms of the aggregate share held by the parties involved in the concentration, the attractiveness and commercial relevance of the other operators present in the area are suitable to limit the possibility of exercising unilateral market power by the post-merger entity.  </w:t>
        <w:br/>
        <w:t xml:space="preserve">23. As for the markets for the supply of food and non-food consumer goods, numerous distribution chains are currently operating, and in the case at hand, no critical issues are identified as the acquired points of sale have a marginal impact, close to zero, on the national share of the purchasing center to which Unes belongs.  </w:t>
        <w:br/>
        <w:t xml:space="preserve">24. In light of the considerations made, the Operation does not appear, as a whole, to hinder competition in the relevant markets nor to lead to the establishment or strengthening of a dominant position.  </w:t>
        <w:br/>
        <w:t xml:space="preserve">CONSIDERING, therefore, that the Operation does not significantly hinder effective competition in the relevant markets pursuant to Article 6, paragraph 1, of Law No. 287/1990 and does not result in the establishment or strengthening of a dominant position;  </w:t>
        <w:br/>
        <w:t xml:space="preserve">CONSIDERING, furthermore, that the non-competition agreement between the Parties is accessory to the Operation only within the limits described above and that the Authority reserves the right to evaluate, where the conditions exist, the aforementioned agreement that occurs beyond the indicated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This provision will be published in the Bulletin of the Antitrust Authority.  </w:t>
        <w:br/>
        <w:t xml:space="preserve">THE SECRETARY GENERAL THE PRESIDENT  </w:t>
        <w:br/>
        <w:t>Guido Stazi Roberto Rustichelli</w:t>
      </w:r>
    </w:p>
    <w:p>
      <w:r>
        <w:t xml:space="preserve">226 BULLETIN NO. 32 OF AUGUST 18, 2025  </w:t>
        <w:br/>
        <w:t xml:space="preserve">ACTIVITY OF REPORTING AND CONSULTATION  </w:t>
        <w:br/>
        <w:t xml:space="preserve">AS2096 - MUNICIPALITY OF FLORENCE - MANAGEMENT OF LOCAL PUBLIC SERVICES OF ECONOMIC RELEVANCE  </w:t>
        <w:br/>
        <w:t xml:space="preserve">Rome, July 31, 2025  </w:t>
        <w:br/>
        <w:t xml:space="preserve">Municipality of Florence  </w:t>
        <w:br/>
        <w:t xml:space="preserve">The Antitrust Authority, in its meeting of July 29, 2025, resolved to formulate some observations pursuant to Article 21 of Law No. 287/1990, regarding the report adopted by this Municipality pursuant to Article 30 of Legislative Decree No. 201/20221, containing the survey of the management situation of local public services of economic relevance entrusted in the territory of competence and the competitive criticalities arising from the long and unjustified duration of the assignments of certain services.  </w:t>
        <w:br/>
        <w:t xml:space="preserve">It appears that the Entity has entrusted: the management services of parking structures to five different companies (four of which are private and one with predominant public participation)2, with durations varying between thirty and eighty-five years; the management of municipal pharmacies to the mixed company AFAM S.p.A., for a duration of about forty-five years, taking into account the interim extension that occurred3 (from February 21, 2001, to December 31, 2045); the wholesale food center to the mixed company Mercafir S.c.p.A., for about forty-one years, also in this case taking into account the interim extension that occurred4 (from February 1, 1989, to December 31, 2029).  </w:t>
        <w:br/>
        <w:t xml:space="preserve">Specifically, regarding the long duration of the management of parking structures, the Entity has limited itself to stating that it would find coverage in the sector regulations (Law No. 122/1989, the so-called Tognoli Law) which, in addition to being prior to Legislative Decree No. 201/2022, allows a duration of the concession of the right of surface "up to 90 years."  </w:t>
        <w:br/>
        <w:t xml:space="preserve">As for the management of municipal pharmacies and the wholesale food center, the Municipality of Florence has generically stated that the original (and shorter) durations of the assignments have been subsequently extended based on the investments made by the respective managers to enhance/add services in the municipal pharmacies and to renovate the multipurpose food center.  </w:t>
        <w:br/>
        <w:t xml:space="preserve">In this regard, the Authority believes that the reasons put forward by the Entity are inadequate to justify the long duration of the assignments in question, as they are extremely generic and lack the indication of specific investments from which the need to amortize their costs derives.  </w:t>
        <w:br/>
        <w:t xml:space="preserve">Preliminarily, it is deemed necessary to note that the necessary connection between the duration of the assignment and the investments borne by the assignee (now provided for by Article 19 of Legislative Decree No. 201/2022) represents an inherent principle of the institution of public service concession which, as is known, was created to provide public utility services in the absence of adequate financial resources to realize the plants and infrastructures necessary for their performance. Since the so-called municipalization law (No. 103/1903) - which, together with Royal Decree No. 2578/19255, regulated the public management of local services in Italy for about a century - specific relevance was given to the "redemption," the amount of which was commensurate with the value and duration of the concession, in favor of both the granting Municipality and the concessionaire. In fact, on the Municipality's side, the public interest (i.e., immediate assumption of the service) was balanced with the interest in containing the costs that the redemption entails and, on the concessionaire's side, the remuneration of the investment made to realize the works was guaranteed6.  </w:t>
        <w:br/>
        <w:t xml:space="preserve">Therefore, without being able to retrace the subsequent regulatory evolution of the concessionary institution - which, as far as relevant in this context, has always confirmed the need to parameterize the duration of the concession to the value of the investments7 - what is important to emphasize here is that since its origins, the duration of the assignment should have been parameterized to the capital invested by the concessionaire and the need for its fair remuneration. Therefore, even for long-duration assignments, made in the period prior to Legislative Decree No. 201/2022, the Entity was required to demonstrate the existence of an actual connection between the duration of the assignment and the remuneration of the invested capital and not already on the basis of the aforementioned Legislative Decree No. 201/2022 - of which no retroactive application is invoked, in respect of the fundamental principle of legal certainty and the rights acquired by the concessionaires - but by virtue of the general principle recalled above and in force in our legal system since a long time ago.  </w:t>
        <w:br/>
        <w:t xml:space="preserve">In addition to the aforementioned general principle, which has been recalled several times in the past also by the Authority8, in the most recent interventions9 it has been recalled, also from a prospective point of view, what is now established by Article 19 of Legislative Decree No. 201/2022, according to which the duration of the assignments of local public services of economic relevance is set by the local authority and the other competent entities.  </w:t>
        <w:br/>
        <w:t xml:space="preserve">5  </w:t>
        <w:br/>
        <w:t xml:space="preserve">Containing "Approval of the consolidated text of the law on the direct assumption of public services by municipalities and provinces."  </w:t>
        <w:br/>
        <w:t xml:space="preserve">6  </w:t>
        <w:br/>
        <w:t xml:space="preserve">See Article 25 of Law No. 103/1903 and Article 24 of Royal Decree No. 2578/1925.  </w:t>
        <w:br/>
        <w:t xml:space="preserve">7  </w:t>
        <w:br/>
        <w:t xml:space="preserve">See Directive 2014/23/EU, on the award of concession contracts (see, in particular, Recital 52 and Article 18); Article 178 of Legislative Decree No. 36/2023 (containing "Public Contracts Code"); lastly, Article 19 of Legislative Decree No. 201/2022.  </w:t>
        <w:br/>
        <w:t xml:space="preserve">8  </w:t>
        <w:br/>
        <w:t xml:space="preserve">See, among others: AS026 - Competition and regulation in public utility services, in Bulletin No. 25-26/1994; AS988 - Proposals for competitive reform for the annual law for the market and competition year 2013, in Bulletin No. 38/2012; AS1550 - Concessions and competitive criticalities, in Bulletin No. 48/2018 and AS1730 - Proposals for competitive reform for the annual law for the market and competition year 2021, in Bulletin No. 13/2021.  </w:t>
        <w:br/>
        <w:t xml:space="preserve">9  </w:t>
        <w:br/>
        <w:t>See, among others, AS1999 - SPL Survey 2023, in Bulletin No. 25/2024.</w:t>
      </w:r>
    </w:p>
    <w:p>
      <w:r>
        <w:rPr>
          <w:b/>
        </w:rPr>
        <w:t>[Pages 226–228]</w:t>
      </w:r>
    </w:p>
    <w:p>
      <w:r>
        <w:t>228 BULLETIN NO. 32 OF AUGUST 18, 2025</w:t>
      </w:r>
    </w:p>
    <w:p>
      <w:r>
        <w:t>depending on the service provided, in proportion to the amount and duration of the investments proposed by the contractor and, in any case, not exceeding the period necessary to amortize the investments provided at the time of the award and indicated in the service contract, in accordance with European and national regulations on public contracts. In any case, without prejudice to sector regulations and in compliance with European Union law, the right to compensation10 remains in the event of a shorter duration or in the case of early termination, to be borne by the successor.</w:t>
      </w:r>
    </w:p>
    <w:p>
      <w:r>
        <w:t>According to the Authority's orientation, moreover, the possibility of granting an extension of the award, beyond the terms set in the original award procedure, should represent a completely exceptional and temporally limited circumstance, due to its potentially contrary impact on the principles of free competition, equal treatment, and non-discrimination. The extension, in fact, extends the duration of the contract, preventing the recourse to more efficient management of local public services, for which it is essential that "the tool of extension is confined to exceptional and unpredictable situations that cannot be managed otherwise"11, such as those that do not exceed the actual needs of the administrations, in a perspective of necessity and proportionality, to allow as soon as possible the use of suitable tools to promote an efficient use of public resources12. Today, the system of extensions also constitutes a clear restriction on the freedom of establishment and the free provision of services referred to in Articles 49 and 56 TFEU, as they are capable of unjustifiably delaying and hindering the awarding of local public services in the territory through a procedure compliant with current regulations and the competitive principles contained therein.</w:t>
      </w:r>
    </w:p>
    <w:p>
      <w:r>
        <w:t>All that has been said and specified above, in the specific case, the long duration of the surface rights concessions for parking structures is indeed covered by regulatory provisions (Law No. 122/1989) and the same Legislative Decree No. 201/2022 expressly preserves sector regulations regarding the duration of awards (Article 19). Nevertheless, the duration "up to 90 years" allowed by sector regulations must still be calibrated to the actual investments incurred, in light of the general principle mentioned above, of which the Authority has not accounted for.</w:t>
      </w:r>
    </w:p>
    <w:p>
      <w:r>
        <w:t>The same applies, even more so, regarding the long durations provided for the management of municipal pharmacies and the wholesale food center, with respect to which the municipal administration has limited itself to generically accounting for certain investments made by the managers to enhance/add services in the municipal pharmacies and to restructure the multipurpose food center, in the absence of any indication of the specific interventions carried out and the amount of the related investments incurred, from which the need to amortize the costs arises.</w:t>
      </w:r>
    </w:p>
    <w:p>
      <w:r>
        <w:t>Moreover, the precise indication, in the report referred to in Article 30 of Legislative Decree No. 201/2022, of the investments made and/or still to be made can allow the Authority to verify the actual managerial capacity of the contracting company and, in the case of unsatisfactory management performance, to undertake the necessary corrective measures, including the redefinition of the duration of the award, if not even its revocation13.</w:t>
      </w:r>
    </w:p>
    <w:p>
      <w:r>
        <w:t>In conclusion, the duration of the awards should always be temporally limited, inspired by criteria of proportionality and justified based on technical, economic, and financial evaluations, in order to avoid the preclusion of access to the market and to allow the Administration itself to achieve the efficiency benefits resulting from greater turnover over time in the management of public services. In any case, even where the awards require investments, the duration should not exceed the time necessary for the concessionaire to recover them and to ensure a fair return on the invested capital. This, of course, net of the operational risk that still weighs on the concessionaire.</w:t>
      </w:r>
    </w:p>
    <w:p>
      <w:r>
        <w:t>In conclusion, the Authority hopes that this Entity takes into utmost consideration the general principle mentioned above, present in our legal system since ancient times and now also resulting from current national and Union legislation, and that it endeavors to award contracts in accordance with current regulations and the competitive principles contained therein.</w:t>
      </w:r>
    </w:p>
    <w:p>
      <w:r>
        <w:t>Therefore, the Administration is invited to communicate, within thirty days from the receipt of this notification, the initiatives taken to remove the competition violations outlined above.</w:t>
      </w:r>
    </w:p>
    <w:p>
      <w:r>
        <w:t>This notification will be published in the Bulletin of the Antitrust Authority.</w:t>
      </w:r>
    </w:p>
    <w:p>
      <w:r>
        <w:t>THE PRESIDENT</w:t>
        <w:br/>
        <w:t>Roberto Rustichelli</w:t>
      </w:r>
    </w:p>
    <w:p>
      <w:r>
        <w:t>13 See, in this regard, AS1999 Survey SPL 2023, cited, and AS2045 Proposals for competitive reform for the annual law for the market and competition - year 2024, in Bulletin No. 1/2025.</w:t>
      </w:r>
    </w:p>
    <w:p>
      <w:r>
        <w:t>230 BULLETIN NO. 32 OF AUGUST 18, 2025</w:t>
      </w:r>
    </w:p>
    <w:p>
      <w:r>
        <w:t>UNFAIR COMMERCIAL PRACTICES</w:t>
      </w:r>
    </w:p>
    <w:p>
      <w:r>
        <w:t>PS10684B - VODAFONE - DISTANCE CONTRACTS / EXECUTION DURING THE WITHDRAWAL PERIOD - REDUCTION OF SANCTION</w:t>
      </w:r>
    </w:p>
    <w:p>
      <w:r>
        <w:t>Provision No. 31655</w:t>
      </w:r>
    </w:p>
    <w:p>
      <w:r>
        <w:t>THE ANTITRUST AUTHORITY</w:t>
      </w:r>
    </w:p>
    <w:p>
      <w:r>
        <w:t>IN ITS MEETING of July 29, 2025;</w:t>
      </w:r>
    </w:p>
    <w:p>
      <w:r>
        <w:t>HEARD the Rapporteur, Saverio Valentino;</w:t>
      </w:r>
    </w:p>
    <w:p>
      <w:r>
        <w:t>VIEWED Legislative Decree No. 206 of September 6, 2005 (hereinafter, "Consumer Code") and, in particular, Part III, Title III of said Code;</w:t>
      </w:r>
    </w:p>
    <w:p>
      <w:r>
        <w:t>VIEWED the "Regulation on investigative procedures in matters of consumer protection and misleading and comparative advertising" (hereinafter, "Regulation"), adopted by the Authority with resolution No. 31356 of November 5, 2024;</w:t>
      </w:r>
    </w:p>
    <w:p>
      <w:r>
        <w:t>VIEWED its provision of July 5, 2017, No. 26675, adopted at the conclusion of the investigative procedure relating to case PS10684, with which it was resolved that the company Vodafone Italia S.p.A. engaged in three distinct unlawful conducts after June 13, 2014, consisting of:</w:t>
      </w:r>
    </w:p>
    <w:p>
      <w:r>
        <w:t>a) in having failed to provide, in a clear and comprehensible manner and before the consumer was bound by a distance contract online via the website www.vodafone.it and/or by phone and/or negotiated outside commercial premises or by a corresponding offer directed to the professional (so-called role reversal), the information required by Article 49, paragraph 1, letter l) of the Consumer Code (hereinafter also "Violation A");</w:t>
      </w:r>
    </w:p>
    <w:p>
      <w:r>
        <w:t>b) in the conclusion of distance contracts (both online via the website www.vodafone.it and by phone) and/or negotiated outside commercial premises or in acquiring a corresponding binding proposal directed by the consumer to Vodafone, initiating the execution of the contract or proceeding with the activation process of the line and/or migration from another operator during the withdrawal period, without requiring the corresponding explicit autonomous request from the consumer as provided respectively by Article 51, paragraph 8, and Article 50, paragraph 3, of the Consumer Code and, in any case, without placing the consumer in a position to freely choose such an option and to conclude the distance contract and/or negotiate outside commercial premises even in the absence of such willingness (hereinafter also "Violation B");</w:t>
      </w:r>
    </w:p>
    <w:p>
      <w:r>
        <w:t>c) in the absence of the information referred to in Article 49, paragraph 1, letter l) of the Consumer Code and, in any case, in the absence of the explicit request referred to in Article 51, paragraph 8, and/or Article 50, paragraph 3, of the Consumer Code, in the request and/or charge to the consumer exercising the right of reconsideration from a distance contract online and/or negotiated outside commercial premises of a series of costs related to "any telephone and internet traffic generated until the completion of the portability procedure to another operator [...] charged according to the conditions provided for by the chosen telephone plan," deemed undue and contrary to what is provided for by the provision of Article 57, paragraph 3, of the Consumer Code (hereinafter also "Violation C");</w:t>
      </w:r>
    </w:p>
    <w:p>
      <w:r>
        <w:rPr>
          <w:b/>
        </w:rPr>
        <w:t>[Pages 229–231]</w:t>
      </w:r>
    </w:p>
    <w:p>
      <w:r>
        <w:t>BULLETIN NO. 32 OF AUGUST 18, 2025 231</w:t>
      </w:r>
    </w:p>
    <w:p>
      <w:r>
        <w:t>NOTING that, with the aforementioned provision, an administrative pecuniary sanction of a total of €1,900,000 was imposed on the company Vodafone Italia S.p.A., of which €600,000 for Violation A), €750,000 for Violation B), and €550,000 for Violation C);</w:t>
      </w:r>
    </w:p>
    <w:p>
      <w:r>
        <w:t>NOTING the ruling of the Council of State of March 11, 2025, no. 1989, which, in partial reform of the ruling of the Regional Administrative Court for Lazio no. 11594/2023, annulled the aforementioned provision of July 5, 2017, no. 26675, in the senses and within the limits indicated in the reasoning; in particular, the Council of State fully annulled the sanction imposed on Vodafone Italia S.p.A. with reference to Violation C), while at the same time assigning to the Authority the task of proceeding with the re-determination of the sanctions imposed on the same professional for Violations A) and B), "taking into account the conduct deemed not to constitute an offense." In this regard, the Council of State, concerning Violation A), deemed the information provided, after June 1, 2016, for distance contracts and, from October 1, 2014, for contracts negotiated outside commercial premises, regarding the costs that the consumer would have to bear in case of withdrawal following a request for immediate execution, to be adequate and compliant with the regulatory provision; with reference to Violation B), it noted that limited to distance contracts concluded via the web concerning telephony services (Single Play or Dual Play) with migration from another operator and contracts concluded by phone, the consumer had the option to authorize the activation of the service during the withdrawal period through an "express request," as required by the regulations. That said, "the Authority must, therefore, acquire data regarding the number of cases involved for which no violation was found by the Board, proceeding, therefore, to determine the new amounts";</w:t>
      </w:r>
    </w:p>
    <w:p>
      <w:r>
        <w:t>NOTING, furthermore, that the Council of State ruled that in the operations of re-determination of the sanctions "the impact of the conduct on consumers must be taken into account, given that [...] the administrative sanction imposed for violation of the regulations protecting consumers must, in any case, take into account the actual importance of any damage caused";</w:t>
      </w:r>
    </w:p>
    <w:p>
      <w:r>
        <w:t>NOTING its own provision of March 31, 2025, no. 31521, with which the Authority, in compliance with what was established by the Council of State with the aforementioned ruling, decided to initiate the procedure for the re-determination of the sanction imposed on the company Vodafone Italia S.p.A., in contradiction with the Party;</w:t>
      </w:r>
    </w:p>
    <w:p>
      <w:r>
        <w:t>CONSIDERING that the Party has already made the total payment of the sanctions related to Violations A), B), and C) for a total amount of €1,900,000;</w:t>
      </w:r>
    </w:p>
    <w:p>
      <w:r>
        <w:t>NOTING its own no-objection of June 26, 2025, issued to the Ministry of Enterprises and Made in Italy for the return to the company Vodafone Italia S.p.A. of the sum of €550,000.00, as the amount paid for the sanction imposed by the Authority with the provision of July 5, 2017, no. 26675, relating to Violation C), in compliance with the aforementioned ruling of the Council of State;</w:t>
      </w:r>
    </w:p>
    <w:p>
      <w:r>
        <w:t>NOTING the acts of the procedure;</w:t>
      </w:r>
    </w:p>
    <w:p>
      <w:r>
        <w:t>CONSIDERING the following:</w:t>
      </w:r>
    </w:p>
    <w:p>
      <w:r>
        <w:t>232 BULLETIN NO. 32 OF AUGUST 18, 2025</w:t>
      </w:r>
    </w:p>
    <w:p>
      <w:r>
        <w:t>I. THE PARTY</w:t>
      </w:r>
    </w:p>
    <w:p>
      <w:r>
        <w:t>1. Vodafone Italia S.p.A. (VAT No. 08539010010), hereinafter also "Vodafone" or "Company," in its capacity as a professional, pursuant to Article 18, paragraph 1, letter b), of the Consumer Code. The Company's balance sheet, relating to the financial year closed on March 31, 2024, shows a production value of over €5 billion.</w:t>
      </w:r>
    </w:p>
    <w:p>
      <w:r>
        <w:t>II. THE INITIATION OF THE PROCEDURE</w:t>
      </w:r>
    </w:p>
    <w:p>
      <w:r>
        <w:t>2. Following the ruling of the Council of State no. 1989 of March 11, 2025, the Authority initiated procedure PS10684B "Vodafone distance contracts/execution during the withdrawal period - Re-determination of sanction," in order to proceed with the re-determination of the sanction imposed on the company Vodafone Italia S.p.A. with provision no. 26675 of July 5, 2017, based on the criteria indicated in the cited ruling of the Council of State.</w:t>
      </w:r>
    </w:p>
    <w:p>
      <w:r>
        <w:t>III. THE PARTY'S ARGUMENTS</w:t>
      </w:r>
    </w:p>
    <w:p>
      <w:r>
        <w:t>3. The Party, with a memorandum received on April 23, 2025, pointed out that the ruling of the Council of State highlighted two distinct profiles to be considered for the re-determination of the sanctions related to Violations A) and B). In particular, the Authority must therefore proceed: 1) to quantify the conduct for which the Council of State found no violations in order to assess their impact in relation to the overall conduct already declared unlawful in the sanctioning provision; 2) to determine the amount of the new sanction specifically evaluating the actual potential damage that the non-annulled conduct would have caused to consumers.</w:t>
      </w:r>
    </w:p>
    <w:p>
      <w:r>
        <w:t>Violation A)</w:t>
      </w:r>
    </w:p>
    <w:p>
      <w:r>
        <w:t>4. More precisely, with reference to profile 1), Vodafone noted that the quantitative data provided during the procedure would demonstrate that the distance contracts and contracts negotiated outside commercial premises for which the Council of State found no violations11 represent the majority, that is, over [omitted]*, compared to the same type of contracts indicated as unlawful in the sanctioning provision2.</w:t>
      </w:r>
    </w:p>
    <w:p>
      <w:r>
        <w:t>5. With regard to profile 2), the Party pointed out that the harm caused to consumers by the remaining conduct not affected by the annulment perimeter of the ruling would be substantially negligible, for the following reasons:</w:t>
        <w:br/>
        <w:t>- the data provided shows that only a marginal percentage of consumers who concluded a contract outside commercial premises or who concluded a contract online subsequently exercised the right of withdrawal;</w:t>
        <w:br/>
        <w:t>1 *In this version, some data are omitted, as elements of confidentiality or secrecy of the information were deemed to exist.</w:t>
        <w:br/>
        <w:t>1 It is noted that the ruling deemed the information provided, after June 1, 2016, for distance contracts and, from October 1, 2014, for contracts negotiated outside commercial premises, to be adequate and compliant with the regulatory provision.</w:t>
        <w:br/>
        <w:t>2 At the same time, the ruling confirmed the existence of the offense regarding the information provided, from June 14, 2014, to the end of May 2016, for distance contracts and, from June 14, 2014, to September 30, 2014, for contracts negotiated outside commercial premises.</w:t>
      </w:r>
    </w:p>
    <w:p>
      <w:r>
        <w:t>BULLETIN NO. 32 OF AUGUST 18, 2025 233</w:t>
      </w:r>
    </w:p>
    <w:p>
      <w:r>
        <w:t>- as reported in a passage of the ruling (point 11.6), Vodafone's corporate policy provided that "the consumer exercising the right of withdrawal would not incur any charges for the services used nor for the fees agreed for the period from the activation of the service to the moment the withdrawal communication was received," a charge that would be permitted by Article 56 of the Consumer Code;</w:t>
        <w:br/>
        <w:t>- during the reference period, neither Vodafone nor the Authority received complaints and/or reports from consumers regarding the conduct in question.</w:t>
      </w:r>
    </w:p>
    <w:p>
      <w:r>
        <w:t>Violation B)</w:t>
      </w:r>
    </w:p>
    <w:p>
      <w:r>
        <w:t>6. With reference to the aforementioned profile 1), Vodafone noted that the quantitative data provided during the procedure would indicate that the number of contracts concluded only via the web/phone concerning telephony services (Single Play or Dual Play) with migration from another operator for which the Council of State found no violations represents a significant share, that is, [omitted], compared to the same type of contracts indicated as unlawful in the sanctioning provision3.</w:t>
      </w:r>
    </w:p>
    <w:p>
      <w:r>
        <w:t>7. With regard to profile 2), the Party recalled the elements already indicated concerning Violation A) that would demonstrate the absence of any actual and concrete harm to consumers.</w:t>
      </w:r>
    </w:p>
    <w:p>
      <w:r>
        <w:t>8. In light of the above, Vodafone requests that the Authority:</w:t>
        <w:br/>
        <w:t>- assess the non-existence of the legal prerequisites to sanction Violations A) and B), as circumscribed following the cited ruling of the Council of State;</w:t>
        <w:br/>
        <w:t>- alternatively, re-determine the sanctions to an amount not exceeding 10% of the original sanctions and, therefore, not exceeding €60,000 for Violation A) and €75,000 for Violation B).</w:t>
      </w:r>
    </w:p>
    <w:p>
      <w:r>
        <w:t>IV. EVALUATIONS</w:t>
      </w:r>
    </w:p>
    <w:p>
      <w:r>
        <w:t>a) On the Party's requests</w:t>
      </w:r>
    </w:p>
    <w:p>
      <w:r>
        <w:t>9. Preliminary, regarding the criteria to be used for the re-determination of the sanctions related to Violations A) and B), Vodafone's considerations that in this case, having not caused any harm to consumers, there would be no grounds for imposing a sanction, are not shareable. The Council of State, in fact, for both Violation A) and Violation B), agreed with the Authority's assessment of unlawfulness made in the sanctioning provision, although circumscribing it to certain contractual types or, with reference to the same contractual type, to certain periods, and also indicated a circumstance capable of reducing the severity of the infringement, while confirming the seriousness regarding the other indices identified by the Authority in the provision of July 5, 2017. Furthermore, one of the circumstances that according to Vodafone would demonstrate that the violations in question did not cause any real harm to consumers - namely the corporate policy that excluded charging amounts to the consumer if they exercised the withdrawal after explicitly requesting the activation of the service during the fourteen-day withdrawal period - is not sufficient to negate the unlawfulness established by the Council of State.</w:t>
        <w:br/>
        <w:t>3 It is noted that the ruling confirmed the existence of the offense regarding contracts negotiated outside commercial premises and contracts concluded via the web concerning a new activation of telephony services (Single Play or Dual Play).</w:t>
      </w:r>
    </w:p>
    <w:p>
      <w:r>
        <w:rPr>
          <w:b/>
        </w:rPr>
        <w:t>[Pages 232–234]</w:t>
      </w:r>
    </w:p>
    <w:p>
      <w:r>
        <w:t>234 BULLETIN NO. 32 OF AUGUST 18, 2025</w:t>
      </w:r>
    </w:p>
    <w:p>
      <w:r>
        <w:t>days - cannot be taken into consideration since it constitutes a factual element related to violation C), already assessed by the Council of State in order to exclude the existence of the same violation C) (see point 11.6 et seq. of the ruling).</w:t>
      </w:r>
    </w:p>
    <w:p>
      <w:r>
        <w:t>b) Quantification of the sanction</w:t>
      </w:r>
    </w:p>
    <w:p>
      <w:r>
        <w:t>10. That said, regarding the quantification of the sanction,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11. More specifically, for the purposes of quantifying the sanction, in compliance with the aforementioned ruling of the Council of State and without prejudice to all other assessments made in the decision of July 5, 2017, No. 26675, not challenged by the administrative judge, in the case at hand it is deemed necessary to take into account the number of contracts for which the Council of State has confirmed the assessment of unlawfulness (equal to [omitted] for Violation A) and [omitted] for Violation B)) in relation to the totality of the conduct already declared unlawful in the sanctioning decision, as well as the actual damage that such non-annulled conduct would have caused to consumers.</w:t>
      </w:r>
    </w:p>
    <w:p>
      <w:r>
        <w:t>12. In conclusion, it is deemed appropriate to re-determine the amount of the sanctions originally imposed for Violations A) and B) taking into account only the conduct for which the assessment of unlawfulness has been confirmed. Therefore, the base amounts are €276,000 for Violation A) and €468,750 for Violation B).</w:t>
      </w:r>
    </w:p>
    <w:p>
      <w:r>
        <w:t>Furthermore, it is deemed appropriate to reduce the base amounts thus determined to one third, considering the limited impact of the non-annulled conduct on consumers and the need to ensure the deterrent effectiveness of the sanction.</w:t>
      </w:r>
    </w:p>
    <w:p>
      <w:r>
        <w:t>Based on these elements, the re-determined amounts of the sanctions to be imposed on Vodafone Italia S.p.A. are €92,000 for Violation A) and €156,250 for Violation B).</w:t>
      </w:r>
    </w:p>
    <w:p>
      <w:r>
        <w:t>All of the above having been stated and considered;</w:t>
      </w:r>
    </w:p>
    <w:p>
      <w:r>
        <w:t>RESOLVES</w:t>
      </w:r>
    </w:p>
    <w:p>
      <w:r>
        <w:t>a) to re-determine the administrative pecuniary sanction to be imposed on Vodafone Italia S.p.A., as per letter d) of the device of decision No. 26675 of July 5, 2017, in the amount of €92,000 (ninety-two thousand euros);</w:t>
      </w:r>
    </w:p>
    <w:p>
      <w:r>
        <w:t>b) to re-determine the administrative pecuniary sanction to be imposed on Vodafone Italia S.p.A., as per letter e) of the device of decision No. 26675 of July 5, 2017, in the amount of €156,250 (one hundred fifty-six thousand two hundred fifty euros);</w:t>
      </w:r>
    </w:p>
    <w:p>
      <w:r>
        <w:t>This decision will be notified to the interested parties and published in the Bulletin of the Competition and Market Authority.</w:t>
      </w:r>
    </w:p>
    <w:p>
      <w:r>
        <w:t>Against this decision, an appeal may be submitted to the TAR of Lazio, pursuant to Article 135, paragraph 1, letter b), of the Code of Administrative Procedure (Legislative Decree of July 2, 2010, No. 104), within sixty days from the date of notification of the decision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decision itself.</w:t>
      </w:r>
    </w:p>
    <w:p>
      <w:r>
        <w:t>THE SECRETARY GENERAL THE PRESIDENT</w:t>
      </w:r>
    </w:p>
    <w:p>
      <w:r>
        <w:t>Guido Stazi Roberto Rustichelli</w:t>
      </w:r>
    </w:p>
    <w:p>
      <w:r>
        <w:t>Competition and Market Authority Weekly Bulletin Year XXXV - No. 32 - 2025</w:t>
      </w:r>
    </w:p>
    <w:p>
      <w:r>
        <w:t>Editorial Coordination Giulia Antenucci</w:t>
      </w:r>
    </w:p>
    <w:p>
      <w:r>
        <w:t>Editorial Staff Angela D’Auria, Valerio Ruocco, Manuela Villani</w:t>
      </w:r>
    </w:p>
    <w:p>
      <w:r>
        <w:t>Competition and Market Authority Document Management, Protocol and Statistical Services</w:t>
      </w:r>
    </w:p>
    <w:p>
      <w:r>
        <w:t>Piazza Giuseppe Verdi, 6/a - 00198 Rome</w:t>
      </w:r>
    </w:p>
    <w:p>
      <w:r>
        <w:t>Tel.: 06-858211 Fax: 06-85821256</w:t>
      </w:r>
    </w:p>
    <w:p>
      <w:r>
        <w:t>Web: https://www.agcm.it</w:t>
      </w:r>
    </w:p>
    <w:p>
      <w: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