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https://www.agcm.it/dotcmsDOC/bollettini/33-15.pdf</w:t>
      </w:r>
    </w:p>
    <w:p>
      <w:r>
        <w:t>Pages translated : 38</w:t>
      </w:r>
    </w:p>
    <w:p/>
    <w:p>
      <w:r>
        <w:rPr>
          <w:b/>
        </w:rPr>
        <w:t>[Pages 1–3]</w:t>
      </w:r>
    </w:p>
    <w:p>
      <w:r>
        <w:t>Bulletin</w:t>
        <w:br/>
        <w:t>Weekly</w:t>
        <w:br/>
        <w:t>Year XXV - No. 33</w:t>
        <w:br/>
        <w:t>Published on the website www.agcm.it</w:t>
        <w:br/>
        <w:t>21 September 2015</w:t>
      </w:r>
    </w:p>
    <w:p>
      <w:r>
        <w:t>SUMMARY</w:t>
        <w:br/>
        <w:t>AGREEMENTS AND ABUSE OF DOMINANT POSITION 5</w:t>
        <w:br/>
        <w:t>I723B - AGREEMENT IN THE ROAD BARRIER MARKET-REDETERMINATION OF THE</w:t>
        <w:br/>
        <w:t>SANCTION METALMECCANICA FRACASSO</w:t>
        <w:br/>
        <w:t>Measure No. 25608 5</w:t>
        <w:br/>
        <w:t>A476 - CONAI-MANAGEMENT OF PLASTIC PACKAGING WASTE</w:t>
        <w:br/>
        <w:t>Measure No. 25609 8</w:t>
        <w:br/>
        <w:t>I748C - RESTRICTIVE CONDUCT OF THE CNF-REDETERMINATION OF SANCTION</w:t>
        <w:br/>
        <w:t>Measure No. 25613 26</w:t>
        <w:br/>
        <w:t>CONCENTRATION OPERATIONS 28</w:t>
        <w:br/>
        <w:t>C12008 - TRILANTIC CAPITAL PARTNERS V (EUROPE) G.P.-TRILANTIC CAPITAL PARTNERS V</w:t>
        <w:br/>
        <w:t>MANAGEMENT/DOPPEL PHARMACEUTICALS</w:t>
        <w:br/>
        <w:t>Measure No. 25610 28</w:t>
        <w:br/>
        <w:t>C12009 – SUPERMARKET DISTRIBUTION CENTER - C.D.S./BRANCH OF G.S. COMPANY</w:t>
        <w:br/>
        <w:t>Measure No. 25611 31</w:t>
        <w:br/>
        <w:t>REPORTING AND CONSULTATIVE ACTIVITIES 33</w:t>
        <w:br/>
        <w:t>AS1208 - TENDER FOR THE PURCHASE SUPPLY OF PET/CT TOMOGRAPHS, CONNECTED SERVICES,</w:t>
        <w:br/>
        <w:t>DEVICES AND ACCESSORY SERVICES 33</w:t>
        <w:br/>
        <w:t>AS1209 - MUNICIPALITY OF FERRARA - MANDATORY CLOSURE HOURS FOR EVENING AND NIGHT</w:t>
        <w:br/>
        <w:t>FOOD AND BEVERAGE SERVICE ESTABLISHMENTS 35</w:t>
        <w:br/>
        <w:t>UNFAIR TRADE PRACTICES 38</w:t>
        <w:br/>
        <w:t>PS9890 – ALL YOUR MUSIC-UNREQUESTED SUBSCRIPTION</w:t>
        <w:br/>
        <w:t>Notice of extension of the deadline for concluding the procedure 38</w:t>
      </w:r>
    </w:p>
    <w:p>
      <w:r>
        <w:t>BULLETIN NO. 33 OF 21 SEPTEMBER 2015 5</w:t>
        <w:br/>
        <w:t>AGREEMENTS AND ABUSE OF DOMINANT POSITION</w:t>
        <w:br/>
        <w:t>I723B - AGREEMENT IN THE ROAD BARRIER MARKET-</w:t>
        <w:br/>
        <w:t>REDETERMINATION OF THE SANCTION METALMECCANICA FRACASSO</w:t>
        <w:br/>
        <w:t>Measure No. 25608</w:t>
        <w:br/>
        <w:t>THE ITALIAN COMPETITION AUTHORITY</w:t>
        <w:br/>
        <w:t>IN ITS MEETING of 3 September 2015;</w:t>
        <w:br/>
        <w:t>HEARD the Rapporteur Dr. Gabriella Muscolo;</w:t>
        <w:br/>
        <w:t>HAVING REGARD to the law of 10 October 1990, no. 287;</w:t>
        <w:br/>
        <w:t>HAVING REGARD to its own measure no. 23931 of 28 September 2012 closing the investigation I723 –</w:t>
        <w:br/>
        <w:t>Market of road barriers, by which it was decided that the companies Car Segnaletica Stradale S.r.l., Ilva Pali Dalmine S.p.A. in extraordinary administration, Ilva Pali Dalmine Industries S.r.l. (formerly S.p.A.), Industria Meccanica Varricchio – I.Me.Va. S.p.A., Marcegaglia S.p.A., Metalmeccanica Fracasso S.p.A., San Marco S.p.A. – Industria Costruzioni Meccaniche in liquidation and Tubosider S.p.A. engaged in an agreement restrictive of competition contrary to Article 101 of the Treaty on the Functioning of the European Union (TFEU), consisting of a single and complex agreed practice continued over time aimed at strongly distorting the competitive comparison mechanisms in the national market for metal safety devices;</w:t>
        <w:br/>
        <w:t>CONSIDERING that for the aforementioned established violations, due to the seriousness and duration of the infringements, administrative pecuniary sanctions have been imposed on the companies Car Segnaletica Stradale S.r.l., Ilva Pali Dalmine Industries S.r.l. (formerly S.p.A.), Industria Meccanica Varricchio – I.Me.Va. S.p.A., Marcegaglia S.p.A., Metalmeccanica Fracasso S.p.A., San Marco S.p.A. – Industria Costruzioni Meccaniche in liquidation and Tubosider S.p.A., in the amounts indicated in the following table:</w:t>
        <w:br/>
        <w:t>COMPANY EURO</w:t>
        <w:br/>
        <w:t>Industria Meccanica Varricchio – I.Me.Va.</w:t>
        <w:br/>
        <w:t>4,866,689.50</w:t>
        <w:br/>
        <w:t>S.p.A.</w:t>
        <w:br/>
        <w:t>Marcegaglia S.p.A. 11,865,216.65</w:t>
        <w:br/>
        <w:t>Metalmeccanica Fracasso S.p.A. 11,013,165.40</w:t>
        <w:br/>
        <w:t>San Marco S.p.A. – Industria Costruzioni</w:t>
        <w:br/>
        <w:t>814,519.66</w:t>
        <w:br/>
        <w:t>Meccaniche in liquidation</w:t>
        <w:br/>
        <w:t>Tubosider S.p.A. 7,385,805.00</w:t>
        <w:br/>
        <w:t>Car Segnaletica Stradale S.r.l. 1,338,994.07</w:t>
        <w:br/>
        <w:t>Ilva Pali Dalmine Industries S.r.l. (formerly S.p.A.) 33,174.10</w:t>
      </w:r>
    </w:p>
    <w:p>
      <w:r>
        <w:rPr>
          <w:b/>
        </w:rPr>
        <w:t>[Pages 4–6]</w:t>
      </w:r>
    </w:p>
    <w:p>
      <w:r>
        <w:t>6 BULLETIN NO. 33 OF 21 SEPTEMBER 2015</w:t>
        <w:br/>
        <w:t>HAVING REGARD to the judgment of the Council of State, Section VI, no. 3291 of 2 July 2015, which upheld the main appeal filed by the Authority for the reform of the judgment of the Lazio TAR, Section I, no. 8674 of 8 October 2013, and partially upheld the incidental appeal presented by the company Metalmeccanica Fracasso S.p.A., thereby annulling, as a result, the Authority's measure no. 23931 of 28 September 2012 limited to the part relating to the quantification of the sanction imposed on the company Metalmeccanica Fracasso S.p.A.;</w:t>
        <w:br/>
        <w:t>CONSIDERED, in particular, that in the aforementioned judgment the Council of State, while confirming the first-instance ruling and the contested measure regarding the ascertainment of the anticompetitive conduct, deemed that the "undoubted seriousness of the sanctioned behavior does not diminish the duty, for the Authority, to consider the effectiveness of the revenues obtained by the subject that engaged in such behavior as a result of the contested unlawful act, as well as the extent of its possible contribution to the agreement itself. If such elements, as stated, do not affect the imputability of the unlawful act and the definition of the agreement in the terms seen, they are nonetheless relevant for the purpose of quantifying the concrete sanction to be imposed on the subject acting in the agreement. In the case at hand, the revenues obtained by the sanctioned company as a result of the unlawful behavior, and its contribution to the formation of the unlawful agreement, have not been adequately specified by the Authority";</w:t>
        <w:br/>
        <w:t>CONSIDERED, furthermore, that the Council of State has entrusted the Authority with the concrete new quantification of the sanction imposed on the company Metalmeccanica Fracasso S.p.A., "in renewal of the procedure for the part in question, so that all relevant elements are taken into detailed consideration";</w:t>
        <w:br/>
        <w:t>DEEMED that the determination of the sanction to be imposed on the company Metalmeccanica Fracasso S.p.A., for the violation ascertained with measure no. 23931 of 28 September 2012 closing the investigation I723 – Market for road barriers, must occur in contradiction with the party;</w:t>
        <w:br/>
        <w:t>DEEMED therefore necessary, in compliance with the aforementioned decision of the Council of State, to initiate a procedure aimed at the redetermination of the sanction to be imposed for the ascertained violation;</w:t>
        <w:br/>
        <w:t>RESOLVES</w:t>
        <w:br/>
        <w:t>a) to initiate an investigation against the company Metalmeccanica Fracasso S.p.A.;</w:t>
        <w:br/>
        <w:t>b) to set a deadline of thirty days, starting from the date of notification of this measure, for the exercise by the legal representatives of the party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Gianluca Oliva;</w:t>
        <w:br/>
        <w:t>d) that the documents of the procedure can be viewed at the Manufacturing and Services Directorate of this Authority by the legal representatives of the party or by persons delegated by them;</w:t>
      </w:r>
    </w:p>
    <w:p>
      <w:r>
        <w:t>BULLETIN NO. 33 OF 21 SEPTEMBER 2015 7</w:t>
        <w:br/>
        <w:t>e) that the procedure must be concluded by 31 December 2015.</w:t>
        <w:br/>
        <w:t>This measure will be notified to the interested parties and published in the Bulletin of the Italian Competition Authority.</w:t>
        <w:br/>
        <w:t>THE SECRETARY GENERAL THE PRESIDENT</w:t>
        <w:br/>
        <w:t>Roberto Chieppa Giovanni Pitruzzella</w:t>
      </w:r>
    </w:p>
    <w:p>
      <w:r>
        <w:t>8 BULLETIN NO. 33 OF 21 SEPTEMBER 2015</w:t>
        <w:br/>
        <w:t>A476 - CONAI-MANAGEMENT OF PLASTIC PACKAGING WASTE</w:t>
        <w:br/>
        <w:t>Measure no. 25609</w:t>
        <w:br/>
        <w:t>THE ITALIAN COMPETITION AUTHORITY</w:t>
        <w:br/>
        <w:t>IN ITS MEETING of 3 September 2015;</w:t>
        <w:br/>
        <w:t>HEARD the Rapporteur Dr. Salvatore Rebecchini;</w:t>
        <w:br/>
        <w:t>HAVING REGARD to the law of 10 October 1990, no. 287 and, in particular, Article 14-ter introduced by the law of 4 August 2006, no. 248, which converted with amendments the decree-law of 4 July 2006, no. 223;</w:t>
        <w:br/>
        <w:t>HAVING REGARD to Article 102 of the Treaty on the Functioning of the European Union (hereinafter TFEU);</w:t>
        <w:br/>
        <w:t>HAVING REGARD to Council Regulation no. 1/2003 of 16 December 2002, concerning the implementation of the competition rules referred to in Articles 81 and 82 of the EC Treaty (now Articles 101 and 102 of the TFEU);</w:t>
        <w:br/>
        <w:t>HAVING REGARD to its own resolution of 17 July 2015, with which an investigation was initiated pursuant to Article 14 of law no. 287/90, against the National Packaging Consortium (hereinafter, "CONAI") and the National Consortium for the Collection, Recycling and Recovery of Plastic Packaging Waste (hereinafter, "COREPLA"), aimed at ascertaining any violations of Article 102 of the Treaty on the Functioning of the European Union in relation to the behaviors adopted in the market for the organization of the management of waste from special plastic packaging;</w:t>
        <w:br/>
        <w:t>HAVING REGARD to the "Communication on the procedures for the application of Article 14-ter of law 10 October 1990, no. 287," adopted in the meeting of 6 September 2012 and published in Bulletin no. 35 of 17 September 2012;</w:t>
        <w:br/>
        <w:t>HAVING REGARD to the communication of 20 February 2015, with which CONAI and COREPLA submitted commitments, pursuant to Article 14-ter of law no. 287/90, according to the modalities specifically indicated in the appropriate "Form for the submission of commitments pursuant to Article 14-ter of law no. 287/90," aimed at removing the anticompetitive profiles subject to the investigation;</w:t>
        <w:br/>
        <w:t>HAVING REGARD to its own resolution of 1 April 2015, with which it was ordered the publication, on 7 April 2015, of the commitments proposed by CONAI and COREPLA on the Authority's website and in the bulletin, in order to allow interested third parties to express their observations;</w:t>
        <w:br/>
        <w:t>HAVING REGARD to the observations of the parties to the procedure and of interested third parties;</w:t>
        <w:br/>
        <w:t>HAVING REGARD to the accessory modifications to the commitments, presented by CONAI and COREPLA on 6 June 2015;</w:t>
        <w:br/>
        <w:t>HAVING REGARD to its own communication to the European Commission, pursuant to Article 11, paragraph 4, of Regulation (EC) no. 1/2003;</w:t>
        <w:br/>
        <w:t>HAVING REGARD to the documents of the procedure;</w:t>
        <w:br/>
        <w:t>CONSIDERED as follows:</w:t>
      </w:r>
    </w:p>
    <w:p>
      <w:r>
        <w:rPr>
          <w:b/>
        </w:rPr>
        <w:t>[Pages 7–9]</w:t>
      </w:r>
    </w:p>
    <w:p>
      <w:r>
        <w:t>BULLETIN NO. 33 OF 21 SEPTEMBER 2015 9</w:t>
        <w:br/>
        <w:t>I. INTRODUCTION</w:t>
        <w:br/>
        <w:t>1. Following a report received on September 30, 2013, from Aliplast S.p.A. (hereinafter, "Aliplast"), the Authority initiated an investigation on July 17, 2014, pursuant to Article 14 of Law No. 287/90, aimed at ascertaining any violations of Article 102 TFEU, in relation to the conduct adopted by CONAI, also in the interest of COREPLA, in the market for the organization of the management of waste from special plastic packaging, namely products from non-domestic users.</w:t>
        <w:br/>
        <w:t>II. THE PARTIES</w:t>
        <w:br/>
        <w:t>2. CONAI is a mandatory consortium established by law, endowed with legal personality, non-profit, constituted by producers and users of packaging, obliged to finance the management of waste resulting from the use of their packaging, pursuant to the European principle of Extended Producer Responsibility (“EPR”). The consortium was initially established by Legislative Decree No. 22 of February 5, 1997 (the so-called Ronchi Decree) and is now governed by Legislative Decree No. 152 of April 3, 2006 (the so-called Consolidated Environmental Act, hereinafter “TUA”).</w:t>
        <w:br/>
        <w:t>3. CONAI provides this compliance service to the aforementioned legal obligation by utilizing the activities carried out by six sector consortia, each representing the companies that produce packaging in steel (CNA), aluminum (CIAL), paper (COMIECO), wood (RILEGNO), glass (COREVE), and plastic (COREPLA), which were also established by the Ronchi Decree and are now governed by the TUA. CONAI also ensures the coordination between the waste management activities carried out by these consortia and the public service of separate collection organized by the municipalities, through the so-called ANCI-CONAI agreement.</w:t>
        <w:br/>
        <w:t>4. Aliplast is a company operating in the sector of collection, storage, recovery, and recycling of plastic packaging. As a producer of plastic packaging, pursuant to Article 221, paragraph 3, letter c), TUA, the company has established a so-called “autonomous system” for managing its secondary and tertiary packaging waste in low-density polyethylene (LDPE), called “Sistema P.A.R.I.”, which allows it to trace, collect, and recycle them, without using the infrastructures and services provided by CONAI and COREPLA (hereinafter also referred to as the “consortia”) and without paying the CONAI environmental contribution (hereinafter, “CAC”).</w:t>
        <w:br/>
        <w:t>III. THE CONDUCTS ALLEGED</w:t>
        <w:br/>
        <w:t>5. The investigative hypothesis underlying the procedure initiated on July 17, 2014, is that CONAI, also in the interest of COREPLA, has implemented a single articulated exclusionary strategy, continued over time, aimed at hindering the entry of the Sistema P.A.R.I. into the market for the organization of the recycling of waste from special plastic packaging, by imposing obstacles to its recognition and operation in the market.</w:t>
        <w:br/>
        <w:t>6. This exclusionary design seemed to be evident, first and foremost, in the numerous objections regarding the legitimacy of the P.A.R.I. autonomous system, raised by CONAI, with the support of COREPLA, within the two administrative procedures concerning the recognition of the autonomous system. Article 221, paragraph 5, TUA, indeed establishes that the MATTM (and previously the ONR) acquires “the necessary evaluation elements” from CONAI to verify the compliance of autonomous system projects with legal requirements. However, the breadth and pervasiveness of the interventions concretely carried out by CONAI within these administrative proceedings – as mentioned, also with the support of COREPLA – had led the Authority to believe that the Consortium had instrumentalized the consultative function entrusted to it by the legislator and had, instead, acted with the aim of pursuing merely anti-competitive purposes.</w:t>
        <w:br/>
        <w:t>7. This systematic and instrumental opposition would also have continued through the refusal by CONAI and COREPLA to quantify the contribution owed to them by Aliplast for the management of packaging marked P.A.R.I. that may have entered the separate collection, as imposed on the parties by the ONR, and as subsequently reiterated by the MATTM, which, for this purpose, had requested the parties to enter into a proper agreement. In this context, to the explicit and formal requests for quantification of the aforementioned contributions by Aliplast, CONAI had never responded. This refusal appeared, on the one hand, economically irrational, as the conclusion of such an agreement would have brought an economic benefit to the consortium, and on the other hand, instrumental, since the agreement was essential for the recognition of the autonomous system. The refusal to negotiate thus did not seem explainable except for the purpose of hindering, delaying, and probably preventing the definitive recognition of the autonomous system.</w:t>
        <w:br/>
        <w:t>8. Furthermore, CONAI, with the support of COREPLA, also seemed to have engaged in denigratory actions against the Sistema P.A.R.I., manifested, first of all, in the publication, on CONAI's website, of a press release informing the market, and thus all users of the Sistema P.A.R.I., that the latter was, following the ruling of the Council of State in June 2013, “without recognition.” Moreover, the Authority had noted the possibility that CONAI's request to Aliplast's customers, users of the Sistema P.A.R.I., to pay the unpaid CAC from the company between July 2009 and June 2013 (hereinafter, “previous CAC”), could discredit Aliplast and compromise commercial relations with its customers. All this seemed to have created a state of overall uncertainty regarding the actual ability of the Sistema P.A.R.I. to operate as an autonomous management system, and represented, in this way, an additional obstacle to the entry of the autonomous system into the market.</w:t>
        <w:br/>
        <w:t>9. In conclusion, CONAI and COREPLA seemed to have acted with an exclusionary intent that, moreover, could have created, through a signaling effect, a barrier to entry for potential other autonomous systems, competitors of the consortium system in the relevant market.</w:t>
        <w:br/>
        <w:t>10. At the start of the investigation, the described behavior of CONAI was deemed capable of harming intra-community trade, as it lends itself to conditioning the possibility of establishing autonomous systems even for foreign producers of plastic packaging interested in operating in Italy. Therefore, it was considered that the case could constitute the elements for an infringement of Article 102 TFEU.</w:t>
        <w:br/>
        <w:t>IV. RELEVANT MARKETS</w:t>
        <w:br/>
        <w:t>11. At the start of the procedure, the Authority identified a specific relevant market corresponding, in terms of goods, to the market for the organization and financing of the management of waste from special plastic packaging, and having a national dimension. This definition derives from specific constitutive elements of the case, found in the fact that COREPLA operates exclusively in the plastic sector and that Aliplast, by virtue of the applicable regulatory framework, holds an authorization that allows it to operate as an autonomous system exclusively for producers of secondary and tertiary plastic packaging waste. In the relevant market thus defined, on the demand side, one can identify the producers of secondary and tertiary plastic packaging, subject to the obligation to finance the management of waste resulting from the use of such goods, while, on the supply side, CONAI operates, also through COREPLA, and the autonomous systems, the only competitors of the former in providing the service of fulfilling the aforementioned obligation.</w:t>
        <w:br/>
        <w:t>12. In the relevant market thus identified, CONAI relieves producers and users of this obligation by requiring them to pay the CAC. These sums contribute to financing the waste management activities carried out by COREPLA, which, however, initiates recycling.</w:t>
      </w:r>
    </w:p>
    <w:p>
      <w:r>
        <w:rPr>
          <w:b/>
        </w:rPr>
        <w:t>[Pages 10–12]</w:t>
      </w:r>
    </w:p>
    <w:p>
      <w:r>
        <w:t>12 BULLETIN NO. 33 OF 21 SEPTEMBER 2015</w:t>
        <w:br/>
        <w:t>almost exclusively urban plastic packaging waste and effectively manages a negligible share of special plastic packaging waste. In this market, COREPLA operates through a system of affiliated platforms, where the selection of the relevant waste takes place. After selection, COREPLA proceeds to auction the materials obtained.</w:t>
        <w:br/>
        <w:t>13. Autonomous systems also provide producers and users of secondary and tertiary packaging with a service to fulfill the obligation to finance the management of their packaging by requiring them to pay an environmental contribution instead of the CAC. With these funds, they organize and finance the activities of collection, selection, and recycling of the relevant waste. The two currently operational autonomous systems, P.A.R.I. and C.O.N.I.P., in 2014 collected the environmental contribution and managed approximately 15% of the special plastic packaging waste managed in Italy.</w:t>
        <w:br/>
        <w:t>14. In the market for the organization and financing of the management of special plastic packaging waste, adherence to the consortium system seems to represent the overwhelmingly predominant form of compliance with the management obligation. In fact, CONAI collects the CAC on approximately 85% of the special plastic packaging sent for recycling in the national territory. Therefore, CONAI, also through the activities carried out by COREPLA, can be classified as an operator in a dominant position in this market.</w:t>
        <w:br/>
        <w:t>V. THE COMMITMENTS PROPOSED BY CONAI AND COREPLA</w:t>
        <w:br/>
        <w:t>15. In response to the competitive concerns raised by the Authority in the initiation measure, on February 20, 2015, CONAI and COREPLA submitted commitments pursuant to Article 14-ter of Law No. 287/90.</w:t>
        <w:br/>
        <w:t>16. The commitments proposed by CONAI and COREPLA (hereinafter, the "Commitments"), accompanied by three Guidelines that constitute an integral part thereof, concern the management of special plastic packaging waste, have an indefinite duration, and are illustrated below:</w:t>
        <w:br/>
        <w:t>- Commitment No. 1 (and related Guidelines No. 1), on the role of CONAI in the administrative procedures for the recognition of autonomous systems for the management of special plastic packaging waste;</w:t>
        <w:br/>
        <w:t>- Commitment No. 2 (and related Guidelines No. 2), on the definition of criteria for determining the contributions for special plastic packaging waste from the autonomous system delivered to the public service;</w:t>
        <w:br/>
        <w:t>- Commitment No. 3, on the obligations of transparency and publicity towards the market in relation to autonomous systems and their recognition procedures;</w:t>
        <w:br/>
        <w:t>- Commitment No. 4, on the application of the criteria of Commitment No. 2 for determining the contribution due from Aliplast;</w:t>
        <w:br/>
        <w:t>8 That is equal to 2.6% in 2012 of the total special plastic waste sent for recycling in the national territory.</w:t>
        <w:br/>
        <w:t>9 C.O.N.I.P. is a voluntary consortium established pursuant to Article 38, paragraph 3, letter a) of Legislative Decree No. 22/97, which obtained the approval of the ONR on November 11, 1999. C.O.N.I.P. organizes, guarantees, and promotes the recovery, collection, recycling, and recovery of plastic boxes at the end of their life cycle collected on private surfaces.</w:t>
        <w:br/>
        <w:t>10 Of these secondary and tertiary packaging on which CONAI collects the CAC, 97.4% is materially sent for recycling by so-called independent operators, mainly users, who, while adhering to the consortium system and having paid the CAC paid by the producers of such packaging, prefer to transfer, for compensation, the waste derived from these products to collectors and recyclers, rather than confer them to the platforms made available by the consortium system, because the transfer to independent operators is nevertheless economically more convenient. The remaining part, or 2.6% referred to in note 8 above, is managed by COREPLA.</w:t>
      </w:r>
    </w:p>
    <w:p>
      <w:r>
        <w:t>BULLETIN NO. 33 OF 21 SEPTEMBER 2015 13</w:t>
        <w:br/>
        <w:t>- Commitment No. 5 (and related Guidelines No. 3), on the agreement with Aliplast that defines the pending disputes in a transactional manner.</w:t>
        <w:br/>
        <w:t>17. Evaluating these Commitments as not manifestly unfounded, by resolution of April 1, 2015, the Authority ordered their publication on the Authority's website and in the Authority's bulletin on April 7, 2015, in order to allow interested third parties to express their observations.</w:t>
        <w:br/>
        <w:t>18. By the deadline set for the conclusion of the market test, observations were received from fifteen parties, including both private operators (individual companies, associations, and consortia) and public entities and administrations that intervened in the recognition procedure of the P.A.R.I. System.</w:t>
        <w:br/>
        <w:t>19. In response to the outcome of the public consultation on the Commitments, CONAI and COREPLA provided, on June 6, 2015, a definitive version of the same, attached to this measure, which constitutes an integral part thereof (Annex 1). In this version, the original Commitments No. 1, 2, 3, and 5 were subject to ancillary modifications. Furthermore, Guidelines No. 1 and No. 2 were also modified, while Guidelines No. 3 were eliminated. Below, for each of the commitments presented, the original and definitive content is illustrated in light of the ancillary modifications made following the market test, to assess their suitability to address the competitive concerns raised in the initiation measure of the procedure in question.</w:t>
        <w:br/>
        <w:t>V.1. Commitment No. 1: Role of CONAI in the administrative procedure for the recognition of autonomous systems</w:t>
        <w:br/>
        <w:t>V.1.1. The originally proposed commitment</w:t>
        <w:br/>
        <w:t>20. Commitment No. 1 provides that CONAI shall perform its advisory role within the administrative procedures for the recognition of autonomous systems for the management of plastic packaging waste by entrusting a third party (monitoring trustee), with high professional qualifications, independence, and no exposure to conflicts of interest, with the task of formulating, based on Guidelines No. 1, the evaluation elements to be provided to the MATTM pursuant to Article 221, paragraph 5, TUA. Based on the same Guidelines, the monitoring trustee also provides any additional evaluation elements requested from CONAI throughout the recognition process by the Ministry. Pursuant to Commitment No. 1, CONAI bears the costs of the monitoring trustee, providing full support without exercising any interference, considering in every respect the indications provided by them binding for the transmission to the MATTM of the requested evaluation elements. COREPLA, in turn, commits to respecting the Commitment, particularly regarding non-interference, independence, lack of conflicts of interest, and the commitment to collaborate with the monitoring trustee, making available to them, upon request, all quantitative, statistical, economic data, and any other useful information.</w:t>
        <w:br/>
        <w:t>21. The mechanism for the designation of the monitoring trustee provides for the identification, within 60 days from the date of any closure with commitments of the procedure in question, by CONAI of a name to be submitted for the Authority's approval. In the absence of such approval, CONAI indicates a new name within the following 15 days. In the event that this last name is also not approved by the Authority, it is the Authority that identifies the monitoring trustee. The term of the monitoring trustee lasts three years. Upon expiration of this term, the assignment may be renewed for another three years, or it may be entrusted to another party, in both cases subject to the Authority's approval. The evaluation elements provided by the monitoring trustee to the MATTM bind CONAI in its intervention within the administrative recognition procedure and are transmitted within the deadline assigned to it by the Administration and, in the absence of a deadline, in any case no later than 45 days from the request of the applicant.</w:t>
        <w:br/>
        <w:t>22. The original Guidelines No. 1 provide that the monitoring trustee evaluates:</w:t>
        <w:br/>
        <w:t>1. the framework of the relevant production sector and the market dynamics and use of the packaging subject to the autonomous system;</w:t>
        <w:br/>
        <w:t>2. the consistency of the project with the policies and actions in place regarding packaging management;</w:t>
        <w:br/>
        <w:t>3. the organicity, completeness, and clarity of the project;</w:t>
        <w:br/>
        <w:t>4. the functionality of the project in light of the technical and economic characteristics of the packaging and the relevant waste;</w:t>
        <w:br/>
        <w:t>5. the autonomy of the organization of waste management provided for in the project or self-sufficiency of the system for the return of its packaging;</w:t>
        <w:br/>
        <w:t>6. the presence of a nationwide network for the collection/return of waste;</w:t>
        <w:br/>
        <w:t>7. the organization of the system according to criteria of effectiveness, efficiency, and economy;</w:t>
        <w:br/>
        <w:t>8. the suitability of the system to become effectively and autonomously operational;</w:t>
        <w:br/>
        <w:t>9. the suitability of the system to achieve the recycling objectives of its packaging set by the regulations;</w:t>
        <w:br/>
        <w:t>10. the identification of adequate tools for achieving the objectives set by law;</w:t>
        <w:br/>
        <w:t>11. the adequacy of the organizational and operational structure of the system for achieving the expected objectives;</w:t>
        <w:br/>
        <w:t>12. the suitability of the tools to ensure the identifiability and traceability of the packaging;</w:t>
        <w:br/>
        <w:t>13. the identification of indicators capable of representing the progress over time of the implementation of the project;</w:t>
        <w:br/>
        <w:t>14. the provision of adequate reporting of the actual consumption, collection, and recycling;</w:t>
        <w:br/>
        <w:t>15. the presence of clear and complete information to users and end-users on the functioning of the autonomous system.</w:t>
      </w:r>
    </w:p>
    <w:p>
      <w:r>
        <w:rPr>
          <w:b/>
        </w:rPr>
        <w:t>[Pages 13–15]</w:t>
      </w:r>
    </w:p>
    <w:p>
      <w:r>
        <w:t>BULLETIN NO. 33 OF 21 SEPTEMBER 2015 15</w:t>
        <w:br/>
        <w:t>V.1.2. Observations resulting from the market test</w:t>
        <w:br/>
        <w:t>23. The critical observations made regarding Commitment No. 1 by the parties that participated in the market test primarily concern the evaluative nature of the elements contained in Guidelines No. 1. In particular, there is a concern that the application of these criteria may lead to interpretations of CONAI's role that are inconsistent with the limited task it should have in the recognition procedures, or that it allows CONAI to conduct a parallel investigation to that of the MATTM, thereby attributing to it a function that, instead, the law reserves exclusively for the Ministry. Specifically, according to ISPRA, the consultative support of CONAI regarding only the elements referred to in points 1 to 4 of the Guidelines appears to be acceptable. Conversely, ISPRA believes that for other aspects the Consortium should limit itself to identifying, among the evaluation elements, any impacts that could arise from the operation of new systems and that could lead to an imbalance in the consortium management cycle.</w:t>
        <w:br/>
        <w:t>24. Secondly, the critical observations received, apart from those relating to the stated lack of independence of the monitoring trustee from CONAI, pertain to the risk of an increase in costs borne by the consortium system and to a burdening of the administrative procedure for the recognition of autonomous systems.</w:t>
        <w:br/>
        <w:t>V.1.3. Accessory modifications</w:t>
        <w:br/>
        <w:t>25. In the new version of Commitment No. 1 proposed by the consortia in light of the observations from the market test, it is specified that CONAI, through the monitoring trustee, never intervenes on its own initiative at any stage of the administrative procedure for the recognition of autonomous systems, but always and only at the request of the MATTM. Furthermore, the content of the monitoring trustee's intervention is now limited to the issues explicitly raised by the Ministry.</w:t>
        <w:br/>
        <w:t>26. Only where the MATTM presents a generic request for an opinion, without specifying the elements of the recognition request on which it wishes to receive information and data, can CONAI express its opinion based on five evaluation elements indicated in the new version of Guidelines No. 1 (hereinafter, "New Guidelines No. 1"):</w:t>
        <w:br/>
        <w:t>a. indication of the quantity of packaging placed on the market by producers adhering to the autonomous system, the category of registration with CONAI, and the type of packaging and their users;</w:t>
        <w:br/>
        <w:t>b. updated framework of the plastic packaging sector and the specific type of packaging subject to the autonomous system, as well as the related market dynamics and usage;</w:t>
        <w:br/>
        <w:t>c. analysis of the integration of the project within the context of policies and actions in place regarding the management of packaging waste, of plastic waste, and of the type subject to the autonomous system, indicating the packaging that the autonomous system intends to recycle and those recycled by COREPLA;</w:t>
        <w:br/>
        <w:t>d. indication of any positive or negative impacts that the system may have on the management of packaging waste, with specific regard to plastic waste;</w:t>
        <w:br/>
        <w:t>e. indication of the coordination methods with CONAI, particularly regarding the preparation and transmission of the specific prevention and management plan and the management report.</w:t>
      </w:r>
    </w:p>
    <w:p>
      <w:r>
        <w:t>16 BULLETIN NO. 33 OF 21 SEPTEMBER 2015</w:t>
        <w:br/>
        <w:t>27. CONAI and COREPLA explicitly commit, moreover, not to interfere in the activities of the monitoring trustee and to be bound by its outcome in their relations with the Ministry, without modifying and/or integrating the report produced by the monitoring trustee. In particular, CONAI commits to transmit it to the MATTM upon receipt and, in any case, no later than thirty days from the request for an opinion. COREPLA, for its part, commits, if requested, to provide the monitoring trustee with all statistical and economic data and the necessary information so that it can carry out its task.</w:t>
        <w:br/>
        <w:t>V.1.4. Evaluation</w:t>
        <w:br/>
        <w:t xml:space="preserve">28. It is believed that the final version of Commitment No. 1 is suitable to eliminate the competitive concerns highlighted at the start of the procedure, to the extent that, given the regulatory context - namely, in the presence of Article 221, paragraph 5, TUA - it predefines, limiting it, the role that CONAI must play within the administrative procedures for the recognition of autonomous systems. </w:t>
        <w:br/>
        <w:t xml:space="preserve">In fact, the Commitment ensures that CONAI, through the monitoring trustee, does not intervene in the procedure on its own initiative, but only when solicited by the Ministry, and only on the elements on which the latter expressly requests the submission of information. </w:t>
        <w:br/>
        <w:t xml:space="preserve">This obligation of non-interference, combined with the fact that only in the residual case of a generic request from the MATTM does the monitoring trustee express an opinion on five informational elements chosen by it (but predetermined ex ante in Guidelines No. 1), effectively limits the risk that CONAI intervenes instrumentally in the administrative procedures for the recognition of autonomous systems and, therefore, that it implements exclusionary strategies to the detriment of the latter. </w:t>
        <w:br/>
        <w:t>Moreover, the rationalization and objectification of the elements contained in the New Guidelines No. 1 ensures that CONAI, even in the case of requests for information from the MATTM characterized by generality, provides simple instructive elements for the subsequent exercise by the Ministry of the evaluative competence that the norm attributes to it exclusively.</w:t>
        <w:br/>
        <w:t>29. Regarding the risk of burdening the administrative procedure, also in terms of costs, it is noted, first of all, that the recourse to the monitoring trustee is configured as a mere organizational choice internal to CONAI, in order to carry out once specific and predetermined functions. It follows that these are financed by the share of the CAC intended to support the operating expenses of CONAI, pursuant to Article 224, paragraph 8, last period TUA.</w:t>
        <w:br/>
        <w:t>30. In conclusion, Commitment No. 1 appears suitable to remedy the competitive concerns raised by the Authority at the start, as it precisely defines CONAI's function within the procedures for the recognition of autonomous systems and, in this way, is suitable to prevent the consortium from instrumentally using the consultative role that the law attributes to it.</w:t>
        <w:br/>
        <w:t>V.2. Commitment No. 2: Determination of the contribution for packaging waste from the autonomous system delivered to the public service</w:t>
        <w:br/>
        <w:t>V.2.1. The originally proposed commitment</w:t>
        <w:br/>
        <w:t>31. Pursuant to Commitment No. 2, CONAI, with the support of COREPLA, undertakes to initiate negotiations with the authorized autonomous systems, where this is provided for in the relevant recognition measures, for the determination of the contribution that the recognized parties are required to</w:t>
      </w:r>
    </w:p>
    <w:p>
      <w:r>
        <w:rPr>
          <w:b/>
        </w:rPr>
        <w:t>[Pages 16–18]</w:t>
      </w:r>
    </w:p>
    <w:p>
      <w:r>
        <w:t>18 BULLETIN NO. 33 OF 21 SEPTEMBER 2015</w:t>
        <w:br/>
        <w:t>Selection and Sorting Centers (hereinafter, "CSS"), and possibly the start-up costs for energy recovery16, from which are deducted iii) the revenues derived from the sale of the selected waste of the same type as the packaging managed by the autonomous system (monthly average €/ton).</w:t>
        <w:br/>
        <w:t>36. Finally, the Commitment provides that, if the alternative method cannot be used due to the unavailability of the necessary data, the total Contribution due from the autonomous system to CONAI shall be calculated according to a flat-rate method.</w:t>
        <w:br/>
        <w:t>V.2.2. Observations resulting from the market test</w:t>
        <w:br/>
        <w:t>37. During the market test, it was observed that the Commitment in question, in addition to not providing additional elements to the legal and regulatory obligations currently in force for CONAI, could entail a possible risk of overestimation of the Contribution, due to the method of calculating the Quantities provided by the alternative method. Furthermore, according to some respondents, the failure to identify ex ante the criteria for commodity similarity between packaging would generate uncertainty for those intending to establish an autonomous system. Finally, it was emphasized that the Commitment would be in contrast with the recognition measure of the P.A.R.I. System, as it provides that the Unit Contribution covers not only the collection costs, as indicated by the aforementioned measure, but also those of sorting and start-up for recovery and/or recycling.</w:t>
        <w:br/>
        <w:t>V.2.3. Accessory modifications</w:t>
        <w:br/>
        <w:t>38. In the new version of Commitment No. 2, CONAI commits to verify with the autonomous system, already at the stage of presenting the project to the MATTM, the need to enter into an agreement for the quantification of the Contribution, once the recognition measure has been issued. Furthermore, the maximum time period within which CONAI commits to conclude the agreement is reduced from 180 to 90 days from the date of issuance of the recognition measure17.</w:t>
        <w:br/>
        <w:t>39. In the new text of Commitment No. 2, the methods for calculating the Unit Contribution and the Quantities are also modified. CONAI and COREPLA propose that, both in the application of the analytical method and the alternative method, the Unit Contribution be set in such a way as to cover only the collection costs, if this is provided for by the recognition measure of the autonomous system in question. Only in the absence of specific provisions in this regard will the Unit Contribution cover, in addition to the collection costs, also the specific industrial management costs18.</w:t>
        <w:br/>
        <w:t>40. Regarding the determination of the Quantities in the application of the alternative method19, CONAI and COREPLA have modified the formula for calculation by providing that the dispersion rate to be applied to the portion of packaging not managed by autonomous systems is calculated based on the ratio between the portion of similar packaging that has entered the separate collection and the amount of such packaging produced, net of, not the quantities of packaging that, once used, are managed by independent operators, but of those that are sent for recycling by the autonomous system20.</w:t>
        <w:br/>
        <w:t>41. Finally, also with reference to the measurement of the Quantities through the alternative method, the consortia now provide an explicit breakdown of plastic packaging into categories that are commodity-wise similar21.</w:t>
        <w:br/>
        <w:t>V.2.4. Evaluation</w:t>
        <w:br/>
        <w:t>42. Commitment No. 2 in its latest version not only resolves the disputes raised at the start of the procedure regarding CONAI's refusal to conclude the memoranda of understanding with the autonomous system, but also ensures the conclusion of such agreements in a timely and certain manner. From this perspective, the fact that the verification of the possible need to conclude an agreement is brought forward to the moment of project submission, and that the quantification phase of the Contribution has a maximum duration of 90 days, undoubtedly produces the positive effect of facilitating the access of autonomous systems to the market.</w:t>
        <w:br/>
        <w:t>43. Furthermore, by specifically defining the methods for implementing the legal obligations already in force for CONAI regarding the conclusion of agreements with autonomous systems, this Commitment reduces uncertainty regarding the amount of the Contribution that the latter must pay to the consortia.</w:t>
        <w:br/>
        <w:t>44. Regarding the definition of the Unit Contribution, it is noted that it appears to be set in a sufficiently flexible manner, so as to reconcile with any prescriptions contained in the administrative measures recognizing the autonomous systems.</w:t>
        <w:br/>
        <w:t>45. Finally, concerning the formula used for determining the Quantities in the final version of Commitment No. 2, it is noted that it appears reasonable, as it is constructed based on the recycling activities carried out by the autonomous systems22.</w:t>
        <w:br/>
        <w:t>QS</w:t>
        <w:br/>
        <w:t>Q= ∗(IA−QRA)</w:t>
        <w:br/>
        <w:t>IS−QRA</w:t>
        <w:br/>
        <w:t>where:</w:t>
        <w:br/>
        <w:t>QS: quantity of waste packaging commodity-wise similar to the packaging of the autonomous system found at the CSS;</w:t>
        <w:br/>
        <w:t>IS: total consumption of packaging commodity-wise similar to the packaging of the autonomous system;</w:t>
        <w:br/>
        <w:t>IA: consumption of the autonomous system;</w:t>
        <w:br/>
        <w:t>QRA: quantity of its own packaging managed by the autonomous system.</w:t>
        <w:br/>
        <w:t>20 In the denominator of the formula, in fact, a variable, QRA, has been inserted, which systematically takes on a value lower than the original variable QRI. The variable QRA indicates the quantities of packaging managed solely by the autonomous system while the variable QRI represented all the quantities of waste packaging commodity-wise similar to those of the autonomous system collected by independent recyclers.</w:t>
        <w:br/>
        <w:t>21 The categories are as follows: 1) stretch and shrink film; 2) industrial use bags; 3) big bags; 4) bubble wrap and similar; 5) other (flexible packaging); 6) crates; 7) crates made of expanded material; 8) industrial/agricultural boxes and containers; 9) drums; 10) cans - capacity over 5 liters; 11) buckets - capacity over 5 liters; 12) small tanks or parts thereof; 13) pallets; 14) interlayers; 15) rolls, tubes, and cylinders on which flexible material is wound; 16) straps; 17) protective elements made of expanded material; 18) other.</w:t>
        <w:br/>
        <w:t>22 The final formula, in fact, takes into account the fact that the dispersion rate of packaging managed by autonomous systems tends to reasonably increase with the size of the autonomous systems, since it could increase the likelihood that the packaging managed by the latter, once used, is intercepted by the public collection circuit. This eliminates the paradoxical result, observable in the original version of the formula, that the more similar packaging to that of the autonomous system is sent for recycling by independent operators (QRI above), and thus, the less they burden the consortia system, the more i) the estimated dispersion rate of waste managed by the autonomous system increases and ultimately ii) the likelihood that they enter the separate collection increases and ultimately iii) the Quantities on which to calculate the Contribution increase.</w:t>
        <w:br/>
        <w:t>23 Regarding the first, the publication of information concerning the ministerial recognition measure, the evaluation elements provided by the third party to the MATTM, and any other information useful for the knowledge of the system by users and end-users is provided.</w:t>
      </w:r>
    </w:p>
    <w:p>
      <w:r>
        <w:rPr>
          <w:b/>
        </w:rPr>
        <w:t>[Pages 19–21]</w:t>
      </w:r>
    </w:p>
    <w:p>
      <w:r>
        <w:t xml:space="preserve">BULLETIN NO. 33 OF SEPTEMBER 21, 2015 21  </w:t>
        <w:br/>
        <w:t xml:space="preserve">V.3.4. Evaluation  </w:t>
        <w:br/>
        <w:t xml:space="preserve">50. The Commitment is capable of providing extensive and accurate information to the market regarding the recognized autonomous systems and the procedures actually applied for their authorization. Furthermore, it prevents the consortial system from using information related to the progress of the recognition procedures for autonomous systems in a manipulative manner and for potentially defamatory purposes. Moreover, this Commitment enhances the informational framework for the establishment of autonomous systems and duly considers the need to protect commercially sensitive data. Therefore, it is suitable for removing further possible obstacles to the market entry of potential competitors of COREPLA.  </w:t>
        <w:br/>
        <w:t xml:space="preserve">V.4. Commitment No. 4: Application of Commitment 2 to the P.A.R.I. system.  </w:t>
        <w:br/>
        <w:t xml:space="preserve">V.4.1. The originally proposed commitment  </w:t>
        <w:br/>
        <w:t xml:space="preserve">51. Pursuant to Commitment No. 4, CONAI undertakes, should Aliplast request it, to apply the procedure indicated in Commitment No. 2 for the determination of the Contribution.  </w:t>
        <w:br/>
        <w:t xml:space="preserve">52. Should the Contribution owed by Aliplast as a result of the application of Commitment No. 2 be lower than that provided for in the agreement concluded in implementation of the provisions of the definitive recognition measure of August 4, 2014, CONAI undertakes to apply the former retroactively, starting from the day following the date of adoption of said measure.  </w:t>
        <w:br/>
        <w:t xml:space="preserve">53. Additionally, if the ongoing negotiations with Aliplast for the agreement provided for by the definitive recognition measure conclude before the Authority has possibly made the Commitments mandatory, CONAI agrees to renegotiate retroactively the agreement based on what is indicated in Commitment No. 2.  </w:t>
        <w:br/>
        <w:t xml:space="preserve">V.4.2. Observations resulting from the market test  </w:t>
        <w:br/>
        <w:t xml:space="preserve">54. The only observation received from the participants in the market test regarding this Commitment is that it does not add anything to the existing legal obligations of CONAI.  </w:t>
        <w:br/>
        <w:t xml:space="preserve">V.4.3. Evaluation  </w:t>
        <w:br/>
        <w:t xml:space="preserve">55. This Commitment allows Aliplast, which is currently in the negotiation phase of the agreement with CONAI, to benefit from the procedure for determining the Contribution regulated by Commitment No. 2, should it result in a more advantageous outcome for the company compared to that resulting from the negotiation. This "more favorable condition" appears suitable for removing any discrimination against Aliplast and in favor of other autonomous systems that may be authorized in the future. Therefore, it is appreciable from a competitive perspective.  </w:t>
        <w:br/>
        <w:t xml:space="preserve">V.5. Commitment No. 5: Settlement agreements with Aliplast regarding the recognition of the P.A.R.I. system.  </w:t>
        <w:br/>
        <w:t xml:space="preserve">V.5.1. The originally proposed commitment  </w:t>
        <w:br/>
        <w:t xml:space="preserve">56. Pursuant to Commitment No. 5, CONAI and COREPLA undertake to settle, at the request of Aliplast, the pending administrative dispute regarding the recognition of the P.A.R.I. System, provided that the latter submits to a verification by the monitoring trustee to ascertain the actual achievement of the recovery and recycling objectives set by the applicable regulations.  </w:t>
        <w:br/>
        <w:t xml:space="preserve">57. In this case, the verification by the monitoring trustee, the costs of which would be borne by CONAI, is carried out in accordance with guidelines (so-called Guidelines No. 3), previously adopted by the MATTM on the procedures to be applied for the verification of autonomous packaging waste management systems.  </w:t>
        <w:br/>
        <w:t xml:space="preserve">V.5.2. Observations resulting from the market test  </w:t>
        <w:br/>
        <w:t xml:space="preserve">58. The MATTM and Aliplast, who were the only parties to express opinions regarding the Commitment in question, noted that the Commitment could conflict with Article 220 of the TUA, which provides that the verification of the achievement of recovery and recycling objectives by autonomous systems must be carried out by a public entity. Furthermore, according to the MATTM, Guidelines No. 3 are excessive and, in any case, outdated, as they have been surpassed in practice by the Ministry. Aliplast also noted that the commitment does not unconditionally resolve the pending dispute with CONAI.  </w:t>
        <w:br/>
        <w:t xml:space="preserve">V.5.3. Accessory modifications  </w:t>
        <w:br/>
        <w:t xml:space="preserve">59. The definitive Commitment introduces some modifications to the original version. In particular, Guidelines No. 3 have been eliminated, and it is provided that new guidelines will be drafted by a leading quality certification company selected through a procedure agreed upon with Aliplast.  </w:t>
        <w:br/>
        <w:t xml:space="preserve">60. Furthermore, the consortia unilaterally and unconditionally commit to i) waive the initiation and/or continuation of any civil action for the recovery of the credit claimed by CONAI against Aliplast concerning the amounts owed by the latter for unpaid CAC for the period July 15, 2009 – June 20, 2013, and ii) to allow the installment of Aliplast's debt for the CAC for the period June 21, 2013 – August 4, 2014.  </w:t>
        <w:br/>
        <w:t xml:space="preserve">V.5.4. Evaluation  </w:t>
        <w:br/>
        <w:t xml:space="preserve">61. While not going as far as the desired outcome by Aliplast to unconditionally end the pending dispute, Commitment No. 5, in its new formulation, first of all, defines for the new entrant Aliplast an opportunity to resolve the pending dispute. The new version of the Commitment, in this respect, qualitatively improves the characteristics of the opportunity offered compared to the original version (notably, through the elimination of Guidelines No. 3 and the provision for the drafting of new guidelines by a leading quality certification company). Furthermore, the waiver of the credit related to the past CAC assumes a positive significance from a competitive perspective, as it clarifies in favor of Aliplast the uncertain issue regarding the actual entitlement of CONAI to the past CAC. The Commitment benefits not only Aliplast but also the customers of the company, who are jointly liable with it. This contributes to improving Aliplast's financial situation and, by clarifying the existing credit relationships between Aliplast and its customers, avoids compromising the commercial relationships that the company maintains with them.  </w:t>
        <w:br/>
        <w:t xml:space="preserve">62. Therefore, the Commitment serves to dispel the competitive concerns expressed by the Authority at the outset, as it resolves the uncertainty regarding the actual existence of the debt owed by Aliplast and consequently improves its competitiveness and ability to remain in the market.  </w:t>
        <w:br/>
        <w:t xml:space="preserve">VI. CONCLUSIONS  </w:t>
        <w:br/>
        <w:t xml:space="preserve">63. The competitive concerns expressed by the Authority at the outset of the investigation procedure related to the intervention of CONAI and COREPLA, with obstructive purposes, in the recognition procedures of the P.A.R.I. System, the refusal to conclude the agreement for the quantification of the contribution owed by Aliplast to CONAI for the management of packaging marked P.A.R.I. that may have entered the separate collection, the threats of recourse against Aliplast's customers for the payment of the past CAC that may be owed by the company to CONAI, and the dissemination by CONAI of information about the P.A.R.I. System with potentially defamatory effects.  </w:t>
        <w:br/>
        <w:t xml:space="preserve">64. The Commitments presented by CONAI and COREPLA define a framework of obligations that, first of all, limit the role of CONAI in the recognition procedures of autonomous systems to a merely consultative function that is carried out in ways and contents exclusively defined by the MATTM.  </w:t>
        <w:br/>
        <w:t xml:space="preserve">65. Secondly, by providing a certain timeline and reasonable and predetermined economic conditions, the Commitments prevent CONAI from evading the obligation to enter into the aforementioned agreements or delaying them over time.  </w:t>
        <w:br/>
        <w:t xml:space="preserve">66. Furthermore, they regulate the type of information that CONAI and COREPLA can provide to the market regarding recognized and in the process of recognition autonomous systems, ensuring their objectivity and purely informational purpose for the market.  </w:t>
        <w:br/>
        <w:t xml:space="preserve">67. Finally, the waiver of the credit related to the past CAC eliminates the uncertainty regarding the existence of a debt of Aliplast towards CONAI and, consequently, also removes any potential discrediting effect of the company in the eyes of its customers.  </w:t>
        <w:br/>
        <w:t xml:space="preserve">68. In conclusion, the Commitments presented by CONAI and COREPLA appear overall suitable to remedy the aforementioned competitive concerns, as they allow for the cessation and avoidance, even in the future, of instrumental conduct aimed at obstructing and/or delaying the entry into the relevant market of new autonomous systems for the management of special plastic packaging waste.  </w:t>
        <w:br/>
        <w:t xml:space="preserve">69. The Authority will monitor the execution of the commitments and reserves the right to reopen the procedure ex officio for the purposes and effects of what is provided for by Article 14-ter, paragraphs 2 and 3, of Law No. 287/90.  </w:t>
        <w:br/>
        <w:t xml:space="preserve">CONSIDERING, therefore, that the commitments presented by CONAI and COREPLA are suitable to eliminate the anticompetitive profiles subject to the investigation;  </w:t>
        <w:br/>
        <w:t xml:space="preserve">CONSIDERING to order the mandatory nature of the commitments presented by CONAI and COREPLA pursuant to Article 14-ter, paragraph 1, of Law No. 287/90;  </w:t>
        <w:br/>
        <w:t>all of the above having been stated and considered:</w:t>
      </w:r>
    </w:p>
    <w:p>
      <w:r>
        <w:rPr>
          <w:b/>
        </w:rPr>
        <w:t>[Pages 22–24]</w:t>
      </w:r>
    </w:p>
    <w:p>
      <w:r>
        <w:t>24 BULLETIN NO. 33 OF 21 SEPTEMBER 2015</w:t>
        <w:br/>
        <w:t>RESOLUTION</w:t>
        <w:br/>
        <w:t>a) to make the commitments presented by CONAI and COREPLA mandatory, pursuant to Article 14-ter, paragraph 1, of law no. 287/90, in the terms described above and attached to this measure, which are an integral part thereof;</w:t>
        <w:br/>
        <w:t>b) to close the proceeding without establishing the infringement, pursuant to Article 14-ter, paragraph 1, of law no. 287/90;</w:t>
        <w:br/>
        <w:t>c) that the consortia CONAI and COREPLA submit to the Authority, within 60 days from the notification of this measure, and subsequently within 60 days from the expiration of the mandate conferred, in case of non-renewal, a proposal for the appointment of the monitoring trustee accompanied by a report certifying its competence and experience in the sector and illustrating the procedure followed for its identification;</w:t>
        <w:br/>
        <w:t>d) that the consortia CONAI and COREPLA submit to the Authority, by December 31, 2015, an illustrative report on the implementation of the Commitments with reference to the relationships with the company Aliplast, and the changes made, at the time of first application, to the websites of CONAI and COREPLA as indicated by Commitment no. 3;</w:t>
        <w:br/>
        <w:t>e) that the consortia CONAI and COREPLA submit to the Authority, by December 31 of each year, a detailed report on the implementation of the commitments undertaken, accounting for: i) any requests for recognition of autonomous systems for the management of special plastic packaging waste submitted to the Ministry and their outcomes, ii) the information processed by the monitoring trustee and transmitted by CONAI to the Ministry within the recognition procedures of autonomous systems, also providing a copy of the correspondence exchanged with the Ministry, as well as iii) the timing and contractual conditions provided for in the agreements possibly entered into with the autonomous systems, referred to in Commitment no. 2 and Commitment no. 4; iv) any further changes to the contents of the websites of CONAI and COREPLA as indicated by Commitment no. 3.</w:t>
        <w:br/>
        <w:t>This measure will be notified to the interested parties and published in the Bulletin of the Italian Competition Authority.</w:t>
      </w:r>
    </w:p>
    <w:p>
      <w:r>
        <w:t>BULLETIN NO. 33 OF 21 SEPTEMBER 2015</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measure itself.</w:t>
        <w:br/>
        <w:t>THE SECRETARY GENERAL THE PRESIDENT</w:t>
        <w:br/>
        <w:t>Roberto Chieppa Giovanni Pitruzzella</w:t>
      </w:r>
    </w:p>
    <w:p>
      <w:r>
        <w:t>26 BULLETIN NO. 33 OF 21 SEPTEMBER 2015</w:t>
        <w:br/>
        <w:t>I748C - RESTRICTIVE CONDUCT OF THE CNF-REDETERMINATION OF SANCTION</w:t>
        <w:br/>
        <w:t>Measure No. 25613</w:t>
        <w:br/>
        <w:t>THE COMPETITION AND MARKET AUTHORITY</w:t>
        <w:br/>
        <w:t>IN ITS MEETING of September 3, 2015;</w:t>
        <w:br/>
        <w:t>HEARD the Rapporteur Dr. Salvatore Rebecchini;</w:t>
        <w:br/>
        <w:t>HAVING REGARD to Article 101 of the Treaty on the Functioning of the European Union (TFEU);</w:t>
        <w:br/>
        <w:t>HAVING REGARD to the law of October 10, 1990, no. 287, and, in particular, Article 14;</w:t>
        <w:br/>
        <w:t>HAVING REGARD to its own measure no. 25154 of October 22, 2014, by which it was established that the National Forensic Council (CNF), in violation of Article 101 TFEU, engaged in a single and continuous agreement, restrictive of competition, consisting of the adoption of two decisions aimed at limiting the autonomy of professionals with respect to the determination of their economic behavior in the market, stigmatizing as a disciplinary offense the request for fees below the minimum tariffs, thus effectively reintroducing minimum price levels for services (circular no. 22-C/2006) and limiting the use of a promotional and informational channel through which the economic convenience of the professional service is also conveyed (opinion no. 48/2012);</w:t>
        <w:br/>
        <w:t>HAVING REGARD to the ruling of the Regional Administrative Court for Lazio (TAR Lazio), section I, no. 8778 of July 1, 2015, which, in partial acceptance of the appeal proposed by the National Forensic Council, ordered the annulment of the contested measure of the Authority in the part relating to the qualification as an agreement from the CNF circular no. 22-C/2006, specifically not considering "the AGCM's assumption that republishing circular no. 22-C/2006 on the website and in the database represents the anti-competitive intent of the CNF to reintroduce - through its revival - the obligation of minimum tariffs, under penalty of being subjected to disciplinary proceedings and the imposition of sanctions for professionals who deviate from the minimums identified in the (repealed) ministerial tariffs"1, while confirming the findings made by the Authority with reference to opinion no. 48/2012;</w:t>
        <w:br/>
        <w:t>CONSIDERING that the TAR Lazio, as a consequence of the above, ordered that "the amount of the sanction must be reviewed only in the part in which the circular 22-C/2006 is also considered as an anti-competitive agreement" and referred "to the AGCM the redetermination of the new amount of the sanction but taking into account that the current amount (€ 912,536.40) has been influenced, in addition to the severity, also by the duration of the infringement, which has been deemed to have started from February 18, 2008, that is, from the date of republishing the circular, while the opinion - with respect to which, however, there has been no repentance - was adopted on July 11, 2012"2;</w:t>
        <w:br/>
        <w:t>HAVING REGARD, therefore, to proceed, in compliance with the aforementioned ruling of the TAR Lazio, to initiate an investigation in order to redetermine the sanction to be imposed on the CNF for the established violation;</w:t>
        <w:br/>
        <w:t>1 TAR Lazio, Section I, ruling no. 8778 of July 1, 2015, para. 5.</w:t>
        <w:br/>
        <w:t>2 Ibidem, para. 11.</w:t>
      </w:r>
    </w:p>
    <w:p>
      <w:r>
        <w:rPr>
          <w:b/>
        </w:rPr>
        <w:t>[Pages 25–27]</w:t>
      </w:r>
    </w:p>
    <w:p>
      <w:r>
        <w:t>BULLETIN NO. 33 OF SEPTEMBER 21, 2015 27</w:t>
        <w:br/>
        <w:t>CONSIDERING that the aforementioned redefinition of the sanction does not constitute acquiescence and, therefore, all determinations by the Authority following the appeal against the aforementioned judgment of the TAR Lazio no. 8778/2015 remain unaffected;</w:t>
        <w:br/>
        <w:t>RESOLVES</w:t>
        <w:br/>
        <w:t>a) to initiate an investigation against the National Forensic Council;</w:t>
        <w:br/>
        <w:t>b) to set a deadline of thirty days, starting from the date of notification of this measure, for the exercise by the legal representatives of the National Forensic Council or by a person delegated by them, of the right to be heard, specifying that the request for a hearing must be received by the Manufacturing and Services Directorate of this Authority at least seven days before the expiration of the aforementioned deadline;</w:t>
        <w:br/>
        <w:t>c) that the person responsible for the procedure is Dr. Matteo Pierangelo Negrinotti;</w:t>
        <w:br/>
        <w:t>d) that the documents of the procedure can be viewed at the Manufacturing and Services Directorate of this Authority;</w:t>
        <w:br/>
        <w:t>e) that the procedure must be concluded by November 15, 2015.</w:t>
        <w:br/>
        <w:t>This measure will be notified to the interested parties and published in the Bulletin of the Italian Competition Authority.</w:t>
        <w:br/>
        <w:t>THE SECRETARY GENERAL THE PRESIDENT</w:t>
        <w:br/>
        <w:t>Roberto Chieppa Giovanni Pitruzzella</w:t>
      </w:r>
    </w:p>
    <w:p>
      <w:r>
        <w:t>28 BULLETIN NO. 33 OF SEPTEMBER 21, 2015</w:t>
        <w:br/>
        <w:t>CONCENTRATION OPERATIONS</w:t>
        <w:br/>
        <w:t>C12008 - TRILANTIC CAPITAL PARTNERS V (EUROPE) G.P.-TRILANTIC CAPITAL</w:t>
        <w:br/>
        <w:t>PARTNERS V MANAGEMENT/DOPPEL FARMACEUTICI</w:t>
        <w:br/>
        <w:t>Measure No. 25610</w:t>
        <w:br/>
        <w:t>THE COMPETITION AND MARKET AUTHORITY</w:t>
        <w:br/>
        <w:t>IN ITS MEETING of September 3, 2015;</w:t>
        <w:br/>
        <w:t>HEARD the Rapporteur Dr. Gabriella Muscolo;</w:t>
        <w:br/>
        <w:t>HAVING REGARD to the law of October 10, 1990, no. 287;</w:t>
        <w:br/>
        <w:t>HAVING REGARD to the communication from Trilantic Capital Partners V (Europe) G.P. S.a.r.l. and Trilantic Capital Partners V Management Ltd., received on August 6, 2015;</w:t>
        <w:br/>
        <w:t>CONSIDERING the following:</w:t>
        <w:br/>
        <w:t>I. THE PARTIES</w:t>
        <w:br/>
        <w:t>Trilantic Capital Partners V (Europe) G.P. S.a.r.l. and Trilantic Capital Partners V Management Ltd. (hereinafter, jointly, Trilantic) are two limited liability companies, respectively incorporated in Luxembourg and Guernsey, active in the management of private equity funds specialized in acquiring stakes in industrial companies. The two companies are controlled by three individuals holding equal shares.</w:t>
        <w:br/>
        <w:t>The two Trilantic companies were established in 2014, thus they do not yet have a directly attributable operating revenue; for its part, the aggregate of the companies directly or indirectly controlled by Trilantic achieved a worldwide revenue of approximately 1.7 billion euros in 2014, of which 1 billion in the EU and approximately 614 million in Italy.</w:t>
        <w:br/>
        <w:t>Doppel Farmaceutici S.r.l. (hereinafter, Doppel) is an Italian limited liability company, active in the production and packaging of pharmaceuticals on behalf of third parties, as well as, to a marginal extent, in applied pharmaceutical research on behalf of third parties.</w:t>
        <w:br/>
        <w:t>The total revenue generated by Doppel in 2014 amounted to approximately 83 million euros, of which about 64 million were generated in Italy.</w:t>
        <w:br/>
        <w:t>II. DESCRIPTION OF THE OPERATION</w:t>
        <w:br/>
        <w:t>The operation consists of the exclusive acquisition by Trilantic of 90% of the share capital of Doppel. The remaining 10% will be held by an individual who will be part, together with Trilantic, of a shareholders' agreement aimed at regulating the governance of Doppel, from which no veto rights other than those commonly recognized to minority shareholders for the protection of their financial interests can be inferred.</w:t>
      </w:r>
    </w:p>
    <w:p>
      <w:r>
        <w:t>BULLETIN NO. 33 OF SEPTEMBER 21, 2015 29</w:t>
        <w:br/>
        <w:t>III. QUALIFICATION OF THE OPERATION</w:t>
        <w:br/>
        <w:t>The notified operation, as it involves the acquisition of exclusive control over a series of companies and parts of companies, constitutes a concentration pursuant to Article 5, paragraph 1, letter b), of law no. 287/90. It falls within the scope of application of law no. 287/90, as the conditions set out in Article 1 of EC Regulation no. 139/2004 do not apply and is subject to the obligation of prior notification provided for by Article 16, paragraphs 1 and 2, of the same law, as the total revenue generated in the last financial year at the national level by the aggregate of the companies involved exceeded 492 million euros and that of the acquired company exceeded 49 million euros.</w:t>
        <w:br/>
        <w:t>IV. THE RELEVANT MARKET</w:t>
        <w:br/>
        <w:t>Considering the nature of the activities currently carried out by Doppel, the operation concerns the market for the production and packaging of pharmaceuticals on behalf of third parties: this market, in accordance with the precedents of this Authority1, does not need to be further segmented into subcategories based on the manufactured product, as the production and packaging techniques are independent of the active ingredients and materials used.</w:t>
        <w:br/>
        <w:t>Although there has long been an intensified process of regulatory and legislative harmonization at the EU level regarding the pharmaceutical sector, the geographical dimension of the markets for the production and marketing of pharmaceuticals is still considered national due to the persistent differences between the health policies of individual countries (including price regulation, reimbursement methods, classification of medicines, distribution channels, etc.) and the different access regimes (i.e., patenting and marketing authorization regimes). Consequently, even in the case of the market for the production and packaging of pharmaceuticals on behalf of third parties, the geographical dimension is currently considered to be national in scope.</w:t>
        <w:br/>
        <w:t>V. EFFECTS OF THE OPERATION</w:t>
        <w:br/>
        <w:t>In the national market for the production and packaging on behalf of third parties of pharmaceutical products identified by the Parties, and according to the estimates made by them, Doppel holds a market share of approximately 7% in value, against at least two competitors with higher market shares (namely Pantheon Italia and Corden Pharma, with estimated shares of 14% and 10%, respectively), as well as several other qualified competitors with estimated shares exceeding 4%.</w:t>
        <w:br/>
        <w:t>As for Trilantic, currently none of the controlled or affiliated companies operates in the relevant market identified above: consequently, the operation will not result in any overlaps and there will be no changes to the competitive conditions that could harm the structure of the supply.</w:t>
        <w:br/>
        <w:t>In light of the above considerations, the concentration under examination does not appear to be capable of significantly altering the competitive dynamics in the relevant market.</w:t>
        <w:br/>
        <w:t>1 See C9917 - Haupt Pharma/Branch of Pfizer Italia, decision of the Authority no. 19509 of February 5, 2009.</w:t>
      </w:r>
    </w:p>
    <w:p>
      <w:r>
        <w:rPr>
          <w:b/>
        </w:rPr>
        <w:t>[Pages 28–30]</w:t>
      </w:r>
    </w:p>
    <w:p>
      <w:r>
        <w:t>30 BULLETIN NO. 33 OF 21 SEPTEMBER 2015</w:t>
        <w:br/>
        <w:t>CONSIDERED, therefore, that the operation in question does not result, pursuant to Article 6, paragraph 1, of law no. 287/90, in the establishment or strengthening of a dominant position in the relevant market,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Roberto Chieppa Giovanni Pitruzzella</w:t>
      </w:r>
    </w:p>
    <w:p>
      <w:r>
        <w:t>BULLETIN NO. 33 OF 21 SEPTEMBER 2015 31</w:t>
        <w:br/>
        <w:t>C12009 – SUPERMARKET DISTRIBUTION CENTER - C.D.S./BRANCH OF COMPANY OF G.S.</w:t>
        <w:br/>
        <w:t>Measure no. 25611</w:t>
        <w:br/>
        <w:t>THE COMPETITION AND MARKET AUTHORITY</w:t>
        <w:br/>
        <w:t>IN ITS MEETING of September 3, 2015;</w:t>
        <w:br/>
        <w:t>HEARD the Rapporteur Dr. Salvatore Rebecchini;</w:t>
        <w:br/>
        <w:t>HAVING REGARD to the law of October 10, 1990, no. 287;</w:t>
        <w:br/>
        <w:t>HAVING REGARD to the communication from the company C.D.S. S.p.A., received on August 13, 2015;</w:t>
        <w:br/>
        <w:t>CONSIDERED the following:</w:t>
        <w:br/>
        <w:t>I. THE PARTIES</w:t>
        <w:br/>
        <w:t>1. Centro Distribuzione Supermercati - C.D.S. S.p.A. (hereinafter also CDS) is a company active in the modern distribution sector of food and non-food products of mass and general consumption, operating in Sicily.</w:t>
        <w:br/>
        <w:t>There is currently in force a master franchising contract, exclusive for the Sicily Region, between CDS and Carrefour Italia S.p.A. (hereinafter Carrefour Italia).</w:t>
        <w:br/>
        <w:t>The total revenue generated in Italy by CDS in 2014 was approximately 152 million euros.</w:t>
        <w:br/>
        <w:t>The share capital of CDS is 99.99% owned by the company 5 Erre S.p.A (hereinafter 5 Erre).</w:t>
        <w:br/>
        <w:t>CDS and 5 Erre in turn control Max Market S.r.l (hereinafter Max Market) with 94.60% and 5.40% of the share capital, respectively.</w:t>
        <w:br/>
        <w:t>2. The subject of acquisition is the branch of company (hereinafter Branch of Company) belonging to the company G.S. S.p.A. (hereinafter GS), operating in the modern retail distribution of food and mass consumption products (GDO) in the provinces of Palermo and Trapani. GS is a wholly owned subsidiary of Carrefour Italia.</w:t>
        <w:br/>
        <w:t>The Branch of Company subject to acquisition consists of: i) a wholesale distribution hub located in the Municipality of Carini (PA), on Via Don Milani, for storage and logistics use, and the related instrumental goods and equipment contained therein; ii) 19 sales points located in the province of Palermo and 1 sales point located in the province of Trapani, with the related instrumental goods and equipment contained therein and the availability of the related properties; iii) the employees engaged in the activities referred to in points i) and ii) above. They generated, in total, in 2014, a revenue of approximately 95 million euros.</w:t>
        <w:br/>
        <w:t>II. DESCRIPTION OF THE OPERATION</w:t>
        <w:br/>
        <w:t>3. The operation consists of the exclusive acquisition of control by CDS of the described Branch of Company. In particular, the Branch of Company will be transferred by GS to a Newco whose share capital, at the end of the operation, will be held directly by CDS for a share equal to 90% and for the remaining 10% by Max Market.</w:t>
      </w:r>
    </w:p>
    <w:p>
      <w:r>
        <w:t>32 BULLETIN NO. 33 OF 21 SEPTEMBER 2015</w:t>
        <w:br/>
        <w:t>III. QUALIFICATION OF THE OPERATION</w:t>
        <w:br/>
        <w:t>4. The notified operation, as it involves the acquisition of control of parts of a business, constitutes a concentration pursuant to Article 5, paragraph 1, letter b), of law no. 287/90.</w:t>
        <w:br/>
        <w:t>5. However, it does not fall within the scope of application of the same law, as the conditions of Article 16, paragraph 1, are not met, since, at the national level, the total revenue generated by the group of interested companies in the last available financial year did not exceed 492 million euros.</w:t>
        <w:br/>
        <w:t>CONSIDERED, therefore, that the concentration operation in question is not subject to the obligation of prior notification;</w:t>
        <w:br/>
        <w:t>RESOLVES</w:t>
        <w:br/>
        <w:t>that there is no need to take action.</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Roberto Chieppa Giovanni Pitruzzella</w:t>
      </w:r>
    </w:p>
    <w:p>
      <w:r>
        <w:rPr>
          <w:b/>
        </w:rPr>
        <w:t>[Pages 31–33]</w:t>
      </w:r>
    </w:p>
    <w:p>
      <w:r>
        <w:t>BULLETIN NO. 33 OF 21 SEPTEMBER 2015 33</w:t>
        <w:br/>
        <w:t>ACTIVITIES OF REPORTING AND CONSULTATION</w:t>
        <w:br/>
        <w:t>AS1208 - TENDER FOR THE PURCHASE OF PET/CT SCANNERS, CONNECTED SERVICES, DEVICES AND ACCESSORY SERVICES</w:t>
        <w:br/>
        <w:t>Rome, 24 July 2015</w:t>
        <w:br/>
        <w:t>Ministry of Economy and Finance</w:t>
        <w:br/>
        <w:t>With reference to the request for an opinion, formulated pursuant to Article 22 of the law of 10 October 1990, no. 287, by the Ministry of Economy and Finance, concerning the drafts of the tender and the related Regulations for the "purchase of PET/CT scanners, connected services, devices and accessory services - First edition" prepared by the Public IT Services Concessionaire - CONSIP S.p.A., it is communicated that the Italian Competition Authority (hereinafter Authority), in its meeting of 22 July 2015, deemed that the provisions contained in such drafts are substantially in accordance with the guidelines already expressed regarding tenders prepared by CONSIP1.</w:t>
        <w:br/>
        <w:t>The Authority, however, intends to reiterate some observations, already expressed in a recent opinion2, regarding the provision in paragraph 5.3 of the tender Regulations, which identifies as a specific reason for exclusion "from participation in subsequent tender procedures called by Consip S.p.A. itself and having the same object as this tender" the companies for which anti-competitive conduct has been established.</w:t>
        <w:br/>
        <w:t>As also stated in the previous opinion, the Authority positively evaluates this provision, as it is intended to safeguard, with a deterrent purpose, the correct conduct of competitive play within the tender procedures aimed at the awarding of public contracts.</w:t>
        <w:br/>
        <w:t>In this regard, it is highlighted that, with reference to possible anti-competitive conduct identifiable during the tender in question, the contracting authority has all the public and private enforcement tools offered by current legislation to protect competition, being able to report the case to this Authority for the activation of its supervisory powers and, should an antitrust violation be established, to take legal action against those responsible for the purpose of obtaining compensation for damages according to civil law rules.</w:t>
        <w:br/>
        <w:t>That said, the Authority, however, suggests extending the scope of application of the aforementioned exclusion cause to anti-competitive conduct established in relation to any tender procedure, regardless of the type of service being awarded. The limitation of the operation of the exclusion cause to only those tenders having the same object as those conditioned in an anti-competitive sense appears, in fact, unreasonably restrictive and likely to create application uncertainties in the case of mixed contracts or characterized by combinations of different services.</w:t>
        <w:br/>
        <w:t>In this sense, a specific reference to this exclusion cause, reformulated in the terms indicated above, could be included in the special law of all tenders subsequent to the one in question, regardless of the sectors involved.</w:t>
        <w:br/>
        <w:t>Lastly, as indicated in the previous opinion, there is a need to update the references to the EU antitrust rules mentioned in the provision in question, replacing the reference to Article 81 of the EC Treaty with a reference to Article 101 of the TFEU.</w:t>
        <w:br/>
        <w:t>The Authority hopes that the observations made can be usefully considered in the definition of the tender procedure and the related documentation. In any case, the Authority reserves the right to evaluate the outcomes of the tender, should elements emerge during its conduct that could configure anti-competitive offenses.</w:t>
        <w:br/>
        <w:t>THE PRESIDENT</w:t>
        <w:br/>
        <w:t>Giovanni Pitruzzella</w:t>
      </w:r>
    </w:p>
    <w:p>
      <w:r>
        <w:t>BULLETIN NO. 33 OF 21 SEPTEMBER 2015 35</w:t>
        <w:br/>
        <w:t>AS1209 - MUNICIPALITY OF FERRARA - MANDATORY EVENING AND NIGHT CLOSURE HOURS FOR FOOD AND BEVERAGE SERVICE ESTABLISHMENTS</w:t>
        <w:br/>
        <w:t>Rome, 10 September 2015</w:t>
        <w:br/>
        <w:t>Municipality of Ferrara</w:t>
        <w:br/>
        <w:t>The Italian Competition Authority, in its meeting of 3 September 2015, decided to formulate a report pursuant to Article 21 of the law of 10 October 1990, no. 287, regarding the content of the municipal regulations for the exercise of food and beverage service activities: procedures, small entertainments, hours, approved by resolution of the Municipal Council no. 54259 of 12/07/2010 and subsequent amendments.</w:t>
        <w:br/>
        <w:t>With this resolution, the Municipality of Ferrara established mandatory evening and night closure hours for food and beverage service establishments, variously articulated based on, among other things, the location of the establishment within the municipal territory and the type of activity carried out.</w:t>
        <w:br/>
        <w:t>The Authority intends to make the following considerations on this point. Article 31 of the decree-law of 6 December 2011, no. 201 (so-called Save Italy decree) amended Article 3, paragraph 1, letter d-bis, of the decree-law of 4 July 2006, no. 223 (so-called Bersani decree), which, as a result of the amendments introduced, provides that "commercial activities, as identified by the legislative decree of 31 March 1998, no. 114, and food and beverage service activities, are carried out, among other things, without the following limits and prescriptions: (...) d-bis) compliance with opening and closing hours, the obligation of Sunday and holiday closure, as well as that of a half-day closure during the week."</w:t>
        <w:br/>
        <w:t>Following the amendment, national legislation therefore provides that commercial activities cannot be subject to limits regarding opening and closing hours.</w:t>
        <w:br/>
        <w:t>In this regard, it is noted that the Authority has intervened several times on the hours of commercial establishments within the exercise of its advisory powers, highlighting that, like price and service characteristics, the opening hours of shops constitute one of the dimensions in which effective competition can occur among operators. Restrictions on the freedom of economic operators regarding opening and closing hours of commercial establishments therefore hinder the normal unfolding of competitive dynamics, reducing the ability of active operators to differentiate the service by adapting it to the characteristics of demand and are likely to worsen the conditions of supply and the freedom of choice for consumers, without having a valid justification in terms of efficiency from the operators' perspective, nor of particular public interests.</w:t>
      </w:r>
    </w:p>
    <w:p>
      <w:r>
        <w:rPr>
          <w:b/>
        </w:rPr>
        <w:t>[Pages 34–36]</w:t>
      </w:r>
    </w:p>
    <w:p>
      <w:r>
        <w:t>36 BULLETIN NO. 33 OF 21 SEPTEMBER 2015</w:t>
        <w:br/>
        <w:t>The Constitutional Court has also ruled on the legitimacy of Article 31, paragraph 1, of the Save Italy decree, reaffirming that the "protection of competition" referred to in the second paragraph, letter e), of Article 117 of the Constitution - which falls within the exclusive competences of the state legislator - also includes legislative measures aimed at opening a market by removing constraints on the methods of conducting economic activities and that it, as "cross-cutting," can also affect matters of legislative competence, concurrent or residual, of the Regions, such as the regulation of commercial opening hours. The Court has reiterated, however, that such liberalization does not create exceptions regarding the protection of other constitutionally relevant interests such as, for example, the environment, public order, public safety, health, and the protection of workers.</w:t>
      </w:r>
    </w:p>
    <w:p>
      <w:r>
        <w:t>The resolution of the Municipality of Ferrara under examination raises competitive concerns insofar as, contrary to the provisions of Article 31 of the D.L. 2011, it removes from the autonomy of the operator the full determination of the operating hours of food and beverage establishments, authoritatively setting the evening or night closing times. Such provisions, as indicated in the resolution, appear to be aimed at ensuring "the maintenance of good living conditions in residential areas."</w:t>
      </w:r>
    </w:p>
    <w:p>
      <w:r>
        <w:t>In this regard, it is noted that the protection of additional constitutionally relevant interests, such as health and public tranquility, does not justify the maintenance of limitations that are not strictly necessary for the free exercise of economic initiative, but must be ensured by applying the specific existing regulations established to safeguard such interests. In fact, the same Constitutional Court has clarified that "The liberalization of the hours of commercial establishments as well as the days of opening, however, does not create any exceptions to the obligations and prescriptions to which such establishments are subject under the legislation protecting other constitutionally relevant interests such as the environment, public order, public safety, health, and public tranquility."</w:t>
      </w:r>
    </w:p>
    <w:p>
      <w:r>
        <w:t>In conclusion, the resolution subject to this report appears to be in conflict with the fundamental principles regarding competition established by the current liberalization legislation. Therefore, the Authority invites the Municipality to implement the measures deemed most appropriate and adequate to restore correct competitive dynamics regarding the opening hours of commercial establishments.</w:t>
      </w:r>
    </w:p>
    <w:p>
      <w:r>
        <w:t>1 See ruling of the Constitutional Court of December 19, 2012, no. 299. The administrative jurisprudence has also expressed itself in the same sense, according to which Article 3, paragraph 1, letter d-bis, of the Bersani decree, as amended by Article 31, paragraph 1, of the Save Italy decree, "therefore eliminates any possibility of limitation on the hours or days of opening and closing of commercial establishments. This is an immediately operational norm that does not require any adjustment of regional legislation, which, if in conflict, is immediately repealed given the specific exclusive state competence in the matter (protection of competition)" (TAR Molise, ruling no. 205/2014 and TAR Abruzzo, ruling no. 99/2013).</w:t>
      </w:r>
    </w:p>
    <w:p>
      <w:r>
        <w:t>2 In this sense, the Court has specified that "It will, for example, therefore be possible, already on the basis of the current legislation, for the administrative authority, in exercising its powers, to order the prohibition of the sale of alcoholic beverages at certain times, in addition to that legislatively provided for by Article 6 of the D.L. of August 3, 2007, no. 117, containing "Urgent provisions amending the Highway Code to increase safety levels in circulation" (examined by this Court with ruling no. 152 of 2010); or to order the closure of commercial establishments for reasons of public order (ruling no. 259 of 2010, relating to the application of Article 100 of the Royal Decree of June 16, 1931, containing "Approval of the consolidated text of public safety laws"); as well as the rules prohibiting excessively loud emissions to protect public tranquility must be respected (against which a criminal protection is also provided by Article 659 of the Penal Code).” See ruling no. 299/2012, cited.</w:t>
      </w:r>
    </w:p>
    <w:p>
      <w:r>
        <w:t>BULLETIN NO. 33 OF 21 SEPTEMBER 2015</w:t>
        <w:br/>
        <w:t>This report will be published in the Authority's Bulletin pursuant to Article 26 of Law no. 287/90.</w:t>
        <w:br/>
        <w:t>THE PRESIDENT</w:t>
        <w:br/>
        <w:t>Giovanni Pitruzzella</w:t>
      </w:r>
    </w:p>
    <w:p>
      <w:r>
        <w:t>38 BULLETIN NO. 33 OF 21 SEPTEMBER 2015</w:t>
        <w:br/>
        <w:t>UNFAIR TRADE PRACTICES</w:t>
        <w:br/>
        <w:t>PS9890 – ALL YOUR MUSIC-UNREQUESTED SUBSCRIPTION</w:t>
        <w:br/>
        <w:t>Notice of extension of the deadline for concluding the procedure</w:t>
        <w:br/>
        <w:t>THE ITALIAN COMPETITION AUTHORITY</w:t>
        <w:br/>
        <w:t>Notice of extension of the deadline for concluding the procedure, pursuant to Article 19, paragraph 2, of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of April 1, 2015, in relation to the procedure PS9890 All Your Music – Unrequested Subscription.</w:t>
      </w:r>
    </w:p>
    <w:p>
      <w:r>
        <w:t>I. THE PARTIES</w:t>
        <w:br/>
        <w:t>All Your Music Ltd, as a professional pursuant to Article 18, letter b) of Legislative Decree of September 6, 2005, no. 206, and subsequent amendments, containing "Consumer Code," based in the State of Saint Vincent and the Grenadines and operating in the sector of paid music services through subscriptions with consumers.</w:t>
        <w:br/>
        <w:t>All Your Music Management Ltd, as a professional pursuant to Article 18, letter b) of Legislative Decree of September 6, 2005, no. 206 and subsequent amendments, containing "Consumer Code," based in Malta, a company that controls All Your Music Ltd and manages payments arising from the commercial activities of the latter.</w:t>
        <w:br/>
        <w:t>Center for Citizen Rights, based in Rome, as a consumer association admitted to participate in the procedure.</w:t>
      </w:r>
    </w:p>
    <w:p>
      <w:r>
        <w:t>II. NOTICE</w:t>
        <w:br/>
        <w:t>Hereby, the company All Your Music Ltd is informed that the deadline for concluding the procedure is extended by 40 days, as there is a need to ensure adequate counterarguments to the Parties following the publication in the Authority's Bulletin on July 27, 2015, of the communication initiating the procedure. Therefore, the new deadline for concluding the procedure is set for February 23, 2016.</w:t>
        <w:br/>
        <w:t>It is also communicated that on August 7, 2015, the request for admission to the procedure submitted by the Center for Citizen Rights on July 29, 2015, pursuant to Article 10 of the Regulation, was accepted.</w:t>
        <w:br/>
        <w:t>The publication of this notice in the weekly Bulletin of the Italian Competition Authority is made pursuant to and for the effects of Article 19, paragraph 2.</w:t>
      </w:r>
    </w:p>
    <w:p>
      <w:r>
        <w:rPr>
          <w:b/>
        </w:rPr>
        <w:t>[Pages 37–38]</w:t>
      </w:r>
    </w:p>
    <w:p>
      <w:r>
        <w:t>BULLETIN NO. 33 OF 21 SEPTEMBER 2015 39</w:t>
        <w:br/>
        <w:t>of the Regulation, given the lack of receipt of responses to the attempt to transmit the communication initiating the procedure, carried out on 18 June 2015, prot. no. 41125.</w:t>
        <w:br/>
        <w:t>For any communication addressed to the Authority regarding the case in question, please refer to Directorate B of the General Directorate for Consumer Protection and the reference PS9890.</w:t>
        <w:br/>
        <w:t>THE PERSON RESPONSIBLE FOR THE PROCEDURE</w:t>
      </w:r>
    </w:p>
    <w:p>
      <w:r>
        <w:t>Competition and Market Authority Weekly Bulletin</w:t>
        <w:br/>
        <w:t>Year XXV - No. 33 - 2015</w:t>
        <w:br/>
        <w:t>Editorial Coordination Giulia Antenucci</w:t>
        <w:br/>
        <w:t>Editorial Staff Elisabetta Allegra, Sandro Cini, Alberto Fardin, Valerio</w:t>
        <w:br/>
        <w:t>Ruocco, Simonetta Schettini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