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https://www.agcm.it/dotcmsdoc/bollettini/2022/33-22.pdf</w:t>
      </w:r>
    </w:p>
    <w:p>
      <w:r>
        <w:t>Pages translated : 30</w:t>
      </w:r>
    </w:p>
    <w:p/>
    <w:p>
      <w:r>
        <w:rPr>
          <w:b/>
        </w:rPr>
        <w:t>[Pages 1–3]</w:t>
      </w:r>
    </w:p>
    <w:p>
      <w:r>
        <w:t>Bulletin</w:t>
        <w:br/>
        <w:t>Weekly</w:t>
        <w:br/>
        <w:t>Year XXXII - No. 33</w:t>
        <w:br/>
        <w:t>Published on the website www.agcm.it</w:t>
        <w:br/>
        <w:t>September 12, 2022</w:t>
      </w:r>
    </w:p>
    <w:p>
      <w:r>
        <w:t>SUMMARY</w:t>
        <w:br/>
        <w:t>REPORTING AND CONSULTATIVE ACTIVITIES 5</w:t>
        <w:br/>
        <w:t>AS1853 – CONSIP - CALL FOR TENDER FOR THE PROVISION OF SUBSTITUTE CANTEEN SERVICE</w:t>
        <w:br/>
        <w:t>5</w:t>
        <w:br/>
        <w:t>THROUGH MEAL VOUCHERS FOR PUBLIC ADMINISTRATION – EDITION 10</w:t>
        <w:br/>
        <w:t>AS1854 – MITE - DRAFT DECREE FOR THE INFORMED ENTRY OF FINAL CUSTOMERS INTO</w:t>
        <w:br/>
        <w:t>6</w:t>
        <w:br/>
        <w:t>ELECTRICITY MARKETS</w:t>
        <w:br/>
        <w:t>AS1855 – MUNICIPALITY OF VILLANOVA DEL BATTISTA (AV) - PURCHASE OF SHARES IN</w:t>
        <w:br/>
        <w:t>12</w:t>
        <w:br/>
        <w:t>ASMEA SRL</w:t>
        <w:br/>
        <w:t>AS1856 – MINISTRY OF INFRASTRUCTURES AND SUSTAINABLE MOBILITY - CODE</w:t>
        <w:br/>
        <w:t>16</w:t>
        <w:br/>
        <w:t>OF NAUTICAL/PROFESSIONAL SAILING INSTRUCTOR</w:t>
        <w:br/>
        <w:t>17</w:t>
        <w:br/>
        <w:t>AS1857 – MINISTRY OF THE INTERIOR - TULPS/PROFESSION OF SECURITY GUARD IN ITALY</w:t>
        <w:br/>
        <w:t>AS1858 – MUNICIPALITY OF CASTELVETRANO (TP) - URBAN WASTE MANAGEMENT SERVICE FOR</w:t>
        <w:br/>
        <w:t>18</w:t>
        <w:br/>
        <w:t>NON-DOMESTIC USERS</w:t>
        <w:br/>
        <w:t>UNFAIR COMMERCIAL PRACTICES 21</w:t>
        <w:br/>
        <w:t>PS12185 - NUTRISCORE-DUKAN</w:t>
        <w:br/>
        <w:t>Measure No. 30242 21</w:t>
      </w:r>
    </w:p>
    <w:p>
      <w:r>
        <w:t>BULLETIN NO. 33 OF SEPTEMBER 12, 2022 5</w:t>
        <w:br/>
        <w:t>REPORTING AND CONSULTATIVE ACTIVITIES</w:t>
        <w:br/>
        <w:t>AS1853 – CONSIP - CALL FOR TENDER FOR THE PROVISION OF SUBSTITUTE CANTEEN SERVICE</w:t>
        <w:br/>
        <w:t>THROUGH MEAL VOUCHERS FOR PUBLIC ADMINISTRATION – EDITION 10</w:t>
        <w:br/>
        <w:t>Rome, May 27, 2022</w:t>
        <w:br/>
        <w:t>Minister of Economy and Finance</w:t>
        <w:br/>
        <w:t>With reference to the request for an opinion, formulated pursuant to Article 22 of Law October 10, 1990, No. 287, by the Ministry of Economy and Finance, concerning the "Call for tender for the assignment of the substitute canteen service through meal vouchers for public administration – Edition No. 10 – Lots 15", prepared by the Public IT Services Concessionaire - CONSIP S.p.A., it is communicated that the Competition and Market Authority (hereinafter Authority), in its meeting of May 24, 2022, deemed it appropriate to formulate the following.</w:t>
        <w:br/>
        <w:t>Based on the documentation in possession, it is observed that the design of the tender strategy and the subject of the assignment, as well as the participation requirements and the award criteria defined by the special law of the public procurement procedure for the assignment of the agreement, appear, at first glance, to be compliant with the applicable regulatory framework and suitable to allow the correct conduct of the competitive comparison.</w:t>
        <w:br/>
        <w:t>This opinion will be published in the bulletin referred to in Article 26 of Law No. 287/90, following the publication of the call for tender.</w:t>
        <w:br/>
        <w:t>In any case, the Authority reserves the right to evaluate the outcomes of the tender, should elements emerge during its conduct that could configure anti-competitive illicit activities.</w:t>
        <w:br/>
        <w:t>THE PRESIDENT</w:t>
        <w:br/>
        <w:t>Roberto Rustichelli</w:t>
      </w:r>
    </w:p>
    <w:p>
      <w:r>
        <w:rPr>
          <w:b/>
        </w:rPr>
        <w:t>[Pages 4–6]</w:t>
      </w:r>
    </w:p>
    <w:p>
      <w:r>
        <w:t>6 BULLETIN NO. 33 OF SEPTEMBER 12, 2022</w:t>
      </w:r>
    </w:p>
    <w:p>
      <w:r>
        <w:t>AS1854 – MITE-DRAFT DECREE FOR THE INFORMED ENTRY OF FINAL CUSTOMERS INTO THE ELECTRICITY MARKETS</w:t>
      </w:r>
    </w:p>
    <w:p>
      <w:r>
        <w:t>Rome, June 23, 2022</w:t>
      </w:r>
    </w:p>
    <w:p>
      <w:r>
        <w:t>Ministry of Ecological Transition</w:t>
      </w:r>
    </w:p>
    <w:p>
      <w:r>
        <w:t>The Competition and Market Authority, in its meeting of June 21, 2022, resolved to express the following considerations, pursuant to Article 22 of Law No. 287 of October 10, 1990, regarding the draft decree for defining the methods and criteria for an informed entry of final customers into the electricity market, transmitted to the Authority by this Ministry on June 7, 2022, in order to obtain the opinion required by Article 1, paragraph 60-bis of Law No. 124 of August 4, 2017 ("Competition Law").</w:t>
      </w:r>
    </w:p>
    <w:p>
      <w:r>
        <w:t>The draft decree, which identifies methods to promote the informed entry of final customers into the free market for electricity and natural gas, provides for the implementation of numerous activities aimed at introducing informational campaigns and institutional communication, addressed to the generality of customers currently supplied under the Enhanced Protection Service (Article 2) and identifies specific criteria and methods for the transition to the market with explicit reference to the so-called "microenterprises" that are still supplied under this regime, but for which the same will terminate by law on January 1, 2023 (Article 3).</w:t>
      </w:r>
    </w:p>
    <w:p>
      <w:r>
        <w:t>The Authority intends, preliminarily and generally, to express appreciation for the adoption of the aforementioned act, as a further step - following the one already taken for small enterprises - necessary to comply with the timelines recently established by law for overcoming the enhanced protection regime (hereinafter also referred to as "MT") for the various customer categories.</w:t>
      </w:r>
    </w:p>
    <w:p>
      <w:r>
        <w:t>At the same time, the Authority takes this opportunity to emphasize the importance, for the effective protection of consumer interests, of the timely adoption of provisions for overcoming enhanced protection also for domestic customers, currently set for the same date of January 1, 2023, but with an extension period for the completion of the tender procedures to be finalized by January 10, 2024 (cf. Article 16-ter of Decree-Law No. 152/2021, as converted into Law No. 233/2021).</w:t>
      </w:r>
    </w:p>
    <w:p>
      <w:r>
        <w:t>1 These are enterprises with fewer than ten employees and that generate an annual turnover or a total annual balance not exceeding two million euros, for which Article 1, paragraph 60 of the Competition Law has provided for the cessation of the possibility of being served under the Enhanced Protection regime as of January 1, 2023. The Ministry has deferred to a subsequent decree the definition of the methods and criteria applicable for entry into the free market for electricity and gas for the remaining, much larger, domestic customer base.</w:t>
      </w:r>
    </w:p>
    <w:p>
      <w:r>
        <w:t>2 Cf. MiSE Decree of December 31, 2020.</w:t>
      </w:r>
    </w:p>
    <w:p>
      <w:r>
        <w:t>BULLETIN NO. 33 OF SEPTEMBER 12, 2022 7</w:t>
      </w:r>
    </w:p>
    <w:p>
      <w:r>
        <w:t>It is emphasized that the importance of the current steps is fully understood with reference to the objective of achieving the effective liberalization of the retail segment of electricity and natural gas sales in Italy, after years in which there has been a repeated extension of the enhanced protection regime, with negative effects on the market structure, particularly noticeable in the electricity sector. These effects stem, as is well known, from the discriminatory choice made at the time to assign the exercise of the MT exclusively to companies linked to the territorially competent distributor and the consequent effects in terms of market concentration levels. As the Authority has been able to verify over the years, however, such effects have been amplified by the opportunistic behaviors of some operators exercising the MT who have been able, through often improper (as well as abusive with respect to the competitive structure of the market) means, to steer customers towards their own division or company active in the free market.</w:t>
      </w:r>
    </w:p>
    <w:p>
      <w:r>
        <w:t>Also, preliminarily, it is certainly worth noting the particular delicacy of the current historical moment, characterized by exceptionally critical dynamics of energy prices. It is believed that, in this context, the transition to the free market will allow small users to have a range of advantageous opportunities from which to choose the most convenient, even in terms of price. For this reason, the need to effectively guide consumers towards the advantages currently obtainable in the free market through targeted and effective information emerges strongly (in addition to recalling that the free market allows the activation of a whole series of value-added services that the enhanced protection - and the service with gradual protections - do not allow). Moreover, the definitive cessation of the enhanced protection service (and the related distorting effects on the market) appears to be able to operate in conjunction with the recent approval of the Decree establishing the List of electricity sellers, in disincentivizing misleading behaviors towards users (and, possibly, abusive with respect to the competitive process), while enhancing the possibility for operators to compete on equal terms and virtuously for the contracting of customers in the free market.</w:t>
      </w:r>
    </w:p>
    <w:p>
      <w:r>
        <w:t>Having said that, with specific reference to what is provided for in Article 2 of the transmitted DM, titled "Promotion of the informed entry of final customers into the energy markets," the Authority intends to express appreciation for the initiatives contemplated, aimed at realizing a massive institutional informational campaign towards customers, in order to increase their level of awareness regarding the current regulations on market opening, the related timelines, the obligations and rights of final customers, as well as the opportunities of the market itself, which appear to be designed with the necessary attention to effectively reach the user base (for example, with reference to the expressed intentions to set up the communication campaign primarily through television channels and during peak viewing times).</w:t>
      </w:r>
    </w:p>
    <w:p>
      <w:r>
        <w:t>With specific reference to the message to be conveyed, the Authority believes that it should remind that the service with gradual protections (hereinafter also referred to as "STG") represents a transitional regime that accompanies users towards the market and not instead a final point of the ongoing process, thus providing an explicit invitation to users to seek a supplier in the free market within the period of permanence within the temporary regime of gradual protections.</w:t>
      </w:r>
    </w:p>
    <w:p>
      <w:r>
        <w:t>With explicit reference, then, to the transition methods outlined for microenterprises, it should be noted that the draft decree, in Article 3 ("Criteria for ensuring microenterprises the supply of electricity as of January 1, 2023"), does not yet identify specific transition tools to the free market, but establishes that as of January 1, 2023, microenterprises remaining in the regulated MT regime will be served, until the exercise of the right to choose the supplier, through the Service with Gradual Protections regulated by ARERA pursuant to Article 1, paragraph 60, of Law No. 124/2017.</w:t>
      </w:r>
    </w:p>
    <w:p>
      <w:r>
        <w:t>To this end, the draft decree identifies some characteristics of the STG establishing that this service, lasting no more than four years, will be entrusted through competitive procedures conducted by the Acquirente Unico, regulated in ways aimed at promoting the widest participation of operators in the procedures and avoiding the concentration of supply, by identifying territorial areas characterized by a balanced level of risk related to customer default and by dimensional homogeneity in terms of withdrawal points and providing for the establishment of a maximum threshold of such areas that can be awarded to a single operator equal to 35 percent, to be applied throughout the national territory and cumulatively in the case of multiple companies belonging to the same group (Article 3, paragraph 1, letters a) and b)).</w:t>
      </w:r>
    </w:p>
    <w:p>
      <w:r>
        <w:t>It should be noted that the detailed regulation regarding the methods for identifying the operators of the STG for microenterprises has already been issued by the sector regulator ARERA, through Resolution No. 208 of May 10, 2022. The following considerations therefore concern the entirety of the provisions related to the methods of designation of the operators, contained both in the draft decree and in the already issued regulatory acts.</w:t>
      </w:r>
    </w:p>
    <w:p>
      <w:r>
        <w:t>On this point, the Authority observes first of all that, in light of the purpose of the decree in question to achieve the overcoming of the MT regime taking into account "the need to ensure competition and a plurality of suppliers and offers in the free market," the adoption of a competition mechanism for the market, open to all qualified operators, for the purpose of selecting the supplier of the STG is particularly commendable.</w:t>
      </w:r>
    </w:p>
    <w:p>
      <w:r>
        <w:t>With reference to achieving maximally competitive conditions in the tender procedures, the Authority intends to express its appreciation for the following elements:</w:t>
      </w:r>
    </w:p>
    <w:p>
      <w:r>
        <w:t>i. the identification of the requirements for participation in the tenders, which appear to allow for the selection of correctly qualified operators, without however depressing the level of competition expressible also by smaller entities;</w:t>
      </w:r>
    </w:p>
    <w:p>
      <w:r>
        <w:t>ii. the information made available to participants, which appears adequate and also enhanced compared to the information set that was made available in the case of tenders for the identification of suppliers of the STG to small enterprises;</w:t>
      </w:r>
    </w:p>
    <w:p>
      <w:r>
        <w:t>iii. the identification of the tender lots, which appear adequate in terms of number and level of default as homogeneous as possible, as well as constructed in such a way as to aggregate territories that are also distant from each other and thus neutralize as much as possible the competitive advantage of the outgoing enhanced protection operators;</w:t>
      </w:r>
    </w:p>
    <w:p>
      <w:r>
        <w:rPr>
          <w:b/>
        </w:rPr>
        <w:t>[Pages 7–9]</w:t>
      </w:r>
    </w:p>
    <w:p>
      <w:r>
        <w:t>BULLETIN NO. 33 OF SEPTEMBER 12, 2022 9</w:t>
      </w:r>
    </w:p>
    <w:p>
      <w:r>
        <w:t xml:space="preserve">iv. the establishment of an "antitrust ceiling" on the maximum number of areas that can be awarded to a single operator, set at 35%, analogous to what has been done for small businesses;  </w:t>
        <w:br/>
        <w:t xml:space="preserve">v. the overall structuring of the auction mechanism (so-called "ascending iterative auction"), which appears to respond primarily to the need to limit the excessive reliance on drawing lots that has characterized the experience of auctions for small businesses. In particular, regarding the auction design, it is noted that the choice to limit the disclosure of information for participants during the procedure (especially, not revealing in any case the identity of the bidders active on individual lots at each auction round) is aimed at limiting the risk of collusive behavior among operators;  </w:t>
        <w:br/>
        <w:t>vi. the imposition of specific informational obligations, in addition to the institutional communication campaigns, in this case imposed on the outgoing enhanced protection operators and the incoming STG managers towards each individual customer involved in the transition process (e.g., communications in the closing and activation bills), an element that is deemed to be correctly adopted for improvement compared to the experience had for small businesses.</w:t>
      </w:r>
    </w:p>
    <w:p>
      <w:r>
        <w:t>Considering all these elements, which undoubtedly support a positive judgment on the proposed STG allocation design from the referenced documents (DM and ARERA Resolution), it is observed at the same time that the general conditions of the STG and largely also its economic offer conditions tend to make it much more similar to a regulated offer than to a free market offer. Consequently, the use of this instrument appears consistent with the regulatory framework only to the extent that the users' permanence in the STG assumes a declaredly transitional nature, for a single predetermined duration, without the repetition of substantially similar auction procedures at the end of such service assignment period.</w:t>
      </w:r>
    </w:p>
    <w:p>
      <w:r>
        <w:t>In this regard, it is certainly necessary to avoid that the choice to use the STG produces the undesirable effect of strengthening, in the affected demand segments, attitudes of inertia and resistance to actively seeking the best offer, due to the awareness of the recurring nature of the service in question at the expiration of the first multi-year period, with the risk that the transition to the market does not take place at all, but instead perpetuates, for the supply of electricity service, the coexistence of market offers with offers under regulated conditions (an element that, moreover, appears destined to remain concerning domestic users falling within the category of so-called vulnerable customers).</w:t>
      </w:r>
    </w:p>
    <w:p>
      <w:r>
        <w:t>To avoid such a risk, the Authority believes that a residual opt-out mechanism should be expressly introduced and regulated, whereby, at the end of the first transitional period of gradual protections, customers will move to a free market offer from the supplier designated through the auction procedures, unless they have independently chosen a different option (in this new scenario, subsequent auctions would be called to designate exclusively the suppliers of a specific last resort service, similar to the so-called "safeguard," currently existing for larger customers).</w:t>
      </w:r>
    </w:p>
    <w:p>
      <w:r>
        <w:t>Consistent with this approach, an additional pervasive informational obligation should be provided for the STG awardees who, with adequate notice before the end of the duration of the regime (for example, starting from the beginning of the last year of service), should send one or more communications to each customer to inform them of the expiration of the gradual protection supply period, the possibility of independently choosing any other supplier in the free market or any free market offer in their portfolio (with an obligation to indicate the available offers), warning of the circumstance that, in the absence of an express choice, the same customer will be supplied by the writing supplier through a standard free market offer (optionally, minimum characteristics of such an offer for "inactive" customers could be established for further protection).</w:t>
      </w:r>
    </w:p>
    <w:p>
      <w:r>
        <w:t>The Authority reiterates that, in the absence of such a different approach, the risk is that the gradual protections – net of some undoubtedly improving aspects compared to the previous enhanced protection regime, including primarily the selection of operators through auction procedures and the absence of discrimination in favor of only those integrated into distribution – will do nothing but reiterate the indefinite continuation of a regime largely regulated, without ever achieving the effective liberalization of the market and the empowerment of the consumer to act in it as a fully aware subject, able to navigate and choose their offer in the free market.</w:t>
      </w:r>
    </w:p>
    <w:p>
      <w:r>
        <w:t>The objective to be pursued, in the Authority's opinion, is to have a simplified customer electricity supply system in place - after the first temporary period of STG operation - in which most users are served by operators in the free market and there are also a regulated regime aimed exclusively at so-called vulnerable domestic customers and a residual last resort service for those who remain without a supplier, both assigned through competitive and non-discriminatory methods. This arrangement appears, moreover, to be the most consistent with the provisions of the recent Directive No. 944/2019 on the electricity market, which provides for the possibility of maintaining protected price regimes, different from mere accompaniment mechanisms to liberalization, only in favor of specific categories of customers identified by Member States, falling within a notion of vulnerability.</w:t>
      </w:r>
    </w:p>
    <w:p>
      <w:r>
        <w:t>Secondly, with more specific reference to the methods of designating the STG operators outlined for microenterprises, the Authority finds it useful to draw attention to an additional aspect of greater detail regarding the functioning mechanism of the auction procedures. In particular, some considerations are intended regarding the current absence of an explicit floor on the offers that can be expressed by operators (so-called parameter δ, to cover marketing and imbalance costs not covered by other fees set by the regulator), which could abstractly lead to the formulation of offers at very low or even negative levels, in the event that some operators exhibit particularly aggressive behavior on one or more lots. However, it is believed that some characteristics of the auction, and in particular the provision of a finite number of rounds, the presence of an auctioneer who identifies a current offer price for each lot at each round, along with the fact that the ARERA regulator must still identify, with its own act, the value of the initial price for each lot and the variation with which that price decreases during the auction, may effectively operate to identify an implicit floor on the offers during the auction so as to limit both any overly aggressive behavior by participating subjects who enjoy dimensional and financial advantages over others, and auction outcomes capable of disincentivizing the search for a free market offer by final consumers.</w:t>
      </w:r>
    </w:p>
    <w:p>
      <w:r>
        <w:t>Finally, the Authority intends to make an additional and conclusive invitation to respect the timelines recently defined for the liberalization process. In this sense, to comply with the current deadline for domestic customers, set for January 10, 2024 (moreover, in "technical extension" compared to the cessation of the enhanced protection regime, which remains set by law for January 1, 2023), the subsequent ministerial decree relating to this category of customers should be issued immediately after the knowledge of the outcomes of the auctions for microenterprises and, therefore, at the latest by the end of the current year, in order to allow both the respect of a more physiological order between the adoption of the general criteria within the DM and the definition of detailed regulation by the sector Authority, as well as the technical times for the conduct of the ARERA consultation process with the related resolution in the first part of the new year, all to guarantee the effective execution of the auction procedures and related steps for the transition of customers in the second part of the year, for the entry into service of the new operators on January 10, 2024, without further extensions. To this end, with specific reference to another of the contents of the DM submitted for opinion, namely the ARERA report on the auction outcomes for microenterprises (art. 3.3), a possible modification of the deadline is suggested to provide that it be issued not within 90 days as currently provided in the text, but within a shorter time (at most 60 days after the conclusion of the procedures themselves).</w:t>
      </w:r>
    </w:p>
    <w:p>
      <w:r>
        <w:t>The Authority hopes that the above considerations will be adequately taken into account for the definitive adoption of the Decree and the subsequent measures expected for the completion of the liberalization process of the retail electricity sales sector.</w:t>
      </w:r>
    </w:p>
    <w:p>
      <w:r>
        <w:t>This opinion will be published in the Bulletin of the Competition and Market Authority. Any confidentiality needs must be communicated to the Authority within thirty days of receiving this opinion, specifying the reasons.</w:t>
      </w:r>
    </w:p>
    <w:p>
      <w:r>
        <w:t xml:space="preserve">THE PRESIDENT  </w:t>
        <w:br/>
        <w:t>Roberto Rustichelli</w:t>
      </w:r>
    </w:p>
    <w:p>
      <w:r>
        <w:rPr>
          <w:b/>
        </w:rPr>
        <w:t>[Pages 10–12]</w:t>
      </w:r>
    </w:p>
    <w:p>
      <w:r>
        <w:t xml:space="preserve">12 BULLETIN NO. 33 OF SEPTEMBER 12, 2022  </w:t>
        <w:br/>
        <w:t xml:space="preserve">AS1855 – MUNICIPALITY OF VILLANOVA DEL BATTISTA (AV) - ACQUISITION OF SHARES IN ASMEA SRL  </w:t>
        <w:br/>
        <w:t xml:space="preserve">Rome, July 25, 2022  </w:t>
        <w:br/>
        <w:t>Municipality of Villanova del Battista</w:t>
      </w:r>
    </w:p>
    <w:p>
      <w:r>
        <w:t>The Competition and Market Authority, in its meeting of July 19, 2022, resolved to express its opinion, pursuant to Article 21-bis of Law October 10, 1990, No. 287, regarding the content of resolution No. 14 of May 30, 2022, of the Municipal Council of the Municipality of Villanova del Battista, received by the Authority on June 23, 2022, concerning the acquisition of shares in Asmea S.r.l.1.</w:t>
      </w:r>
    </w:p>
    <w:p>
      <w:r>
        <w:t>It follows from the aforementioned resolution that, within the framework of a capital increase, the Municipality has authorized the purchase of a stake in the company Asmea S.r.l. for the in-house assignment of the management, redevelopment, and enhancement of its own assets. The capital increase of Asmea S.r.l. is intended exclusively for the participation of public entities, members of the founding entities, in a measure corresponding to the number of residents at €0.60, rounded up to the nearest euro.</w:t>
      </w:r>
    </w:p>
    <w:p>
      <w:r>
        <w:t>The company Asmea S.r.l. was established by Asmel Consortile soc. cons. arl. and the Asmel association (Association for Subsidiarity and Modernization of Local Authorities). The corporate purpose of Asmea S.r.l., pursuant to Article 4 of the Statute, consists of activities aimed at the "management, redevelopment, and enhancement of the assets, particularly of the Member Entities. These objectives may also be pursued through demolition and reconstruction, total and partial restructuring, structural, seismic, and energy redevelopment, integration of renewable sources, installation of intelligent remote control systems, regulation, monitoring, and optimization of energy consumption and pollutant emissions..." and furthermore, the company "may intervene in all matters concerning the intangible assets of territorial entities, namely the environment. To this end, by way of example and not exhaustively, to realize and/or manage energy plants such as: wind, photovoltaic, biomass, and other energy sources." It is also provided that 80% of the company's turnover will be generated in the performance of the tasks entrusted to it by the public entity or the public member entities.</w:t>
      </w:r>
    </w:p>
    <w:p>
      <w:r>
        <w:t xml:space="preserve">Regarding the organizational structure of the company, Article 19 of the Statute provides that "the members entrusted with the exercise of similar control may conclude specific shareholders' agreements" and Article 20 states that "the members of the administrative body may also be non-members."  </w:t>
        <w:br/>
        <w:t>1 The resolution was communicated pursuant to Article 5, paragraph 3, of Legislative Decree August 19, 2016, No. 175 (Consolidated Law on public participation companies, also "TUSPP").</w:t>
      </w:r>
    </w:p>
    <w:p>
      <w:r>
        <w:t>BULLETIN NO. 33 OF SEPTEMBER 12, 2022 13</w:t>
      </w:r>
    </w:p>
    <w:p>
      <w:r>
        <w:t>In support of the operation in question, the Municipality of Villanova del Battista highlights: i) the significant difficulties faced by municipalities and local entities in "taking on tasks and interventions that allow for the effective realization of territorial development policies," and that ii) "the regulatory complexity and the high specialization required, combined with chronic difficulties in finding adequate professional, financial, and economic resources for the purpose, make the management and enhancement of real estate assets difficult for this Administration." Therefore, the Municipality, "in order to pursue the aforementioned objectives, intends to equip itself with a structure that initiates and supports the related decision-making process," believing it "appropriate to maintain control over the management of its real estate assets through a public company on which it exercises the so-called similar control," since "in-house management allows for optimal use of public resources, a benefit for the community in compliance with the community principles of universality, sociality, efficiency, and cost-effectiveness of the service, which the market could not guarantee."</w:t>
      </w:r>
    </w:p>
    <w:p>
      <w:r>
        <w:t>The aforementioned resolution does not identify the real estate assets subject to conferment and, therefore, enhancement.</w:t>
      </w:r>
    </w:p>
    <w:p>
      <w:r>
        <w:t>That said, it is noted that over 70% of the share capital of Asmea S.r.l. is held by Asmel Consortile soc. cons. arl., regarding which the Authority has already expressed its opinion in the context of opinions pursuant to Article 21-bis of Law October 10, 1990, No. 287/90, in which, among other things, it excludes its nature as an in-house company, given the non-compliance of the statutory provisions with those provided for in Article 2, paragraph 1, letter c) of Legislative Decree August 19, 2016, No. 175 (Consolidated Law on public participation companies, also "TUSPP") concerning similar control2. It follows, in cascade, that the company Asmea S.r.l. cannot be considered an in-house company either. On the other hand, the aforementioned statutory norms regarding the organizational structure of Asmea S.r.l. do not provide adequate guarantees in terms of similar control, deferring to future shareholders' agreements the shared management of the company and providing that the board of directors may also include non-members. In this regard, the motivation provided by the Municipality of Villanova to support the acquisition operation, linked to the opportunity to maintain control over its real estate assets, is certainly lacking.</w:t>
      </w:r>
    </w:p>
    <w:p>
      <w:r>
        <w:t>It is noted, in this regard, that the TUSPP in Article 4, paragraph 3, provides that "for the sole purpose of optimizing and enhancing the use of real estate assets that are part of their own heritage, public administrations may also, even in derogation of paragraph 1, acquire shares in companies whose exclusive corporate purpose is the enhancement of the assets of the administrations themselves, through the conferment of real estate for the purpose of making an investment according to the criteria of any market operator."</w:t>
      </w:r>
    </w:p>
    <w:p>
      <w:r>
        <w:t>On this point, the Court of Auditors of Emilia Romagna has also intervened through Resolution 1/2021, which distinguished two hypotheses for the enhancement of public assets, namely the establishment of a new mixed company and participation in an existing company. If the administration intends to proceed with the establishment of a new mixed company, it will be necessary to call a double-object tender for the selection of the private partner and for the direct assignment of the service to the newly established company, while in the case of acquiring a stake in an already operational private company, the administration will have an obligation to provide an analytical motivation for the reasons of public interest underlying its determination: "the Administration must indeed account, pursuant to Article 5 of the TUSPP, for the purpose pursued by the company in which it intends to participate and justify the actual connection between the corporate purpose and the objectives of enhancing its own assets, also highlighting the reasons and purposes that justify the choice, even in terms of convenience and financial sustainability."</w:t>
      </w:r>
    </w:p>
    <w:p>
      <w:r>
        <w:t>In light of the above, it is considered that the acquisition of the participation in Asmea S.r.l. by the Municipality of Villanova del Battista, as represented, does not comply with the provisions of Articles 16 and 4, paragraph 3, of the TUSPP and the competitive principles that they intend to express regarding the enhancement of public assets, which could lead to critical issues due to the exclusion from competitive dynamics of the numerous activities contained in the corporate purpose without adequate and analytical motivation.</w:t>
      </w:r>
    </w:p>
    <w:p>
      <w:r>
        <w:t>What is proposed by the Municipality, in fact, is lacking both in terms of the non-conferment of the real estate assets to be enhanced and regarding the lack of motivation concerning the specific connection of the activities of the corporate purpose of Asmea S.r.l. to the objectives of enhancing the assets and the convenience and sustainability of the investment thus made.</w:t>
      </w:r>
    </w:p>
    <w:p>
      <w:r>
        <w:t>Pursuant to Article 21-bis, paragraph 2, of Law No. 287/90, the Municipality of Villanova del Battista must communicate to the Authority, within sixty days from the receipt of this opinion, the initiatives adopted. If within the aforementioned term such initiatives do not prove to be compliant with the competitive principles expressed above, the Authority may file an appeal within the following thirty days.</w:t>
      </w:r>
    </w:p>
    <w:p>
      <w:r>
        <w:t xml:space="preserve">This opinion will be published in the Bulletin of the Competition and Market Authority.  </w:t>
        <w:br/>
        <w:t xml:space="preserve">THE PRESIDENT  </w:t>
        <w:br/>
        <w:t>Roberto Rustichelli</w:t>
      </w:r>
    </w:p>
    <w:p>
      <w:r>
        <w:t xml:space="preserve">__________________________________________________________________________  </w:t>
        <w:br/>
        <w:t>Communication regarding the adjustment of the Municipality of Villanova del Battista to the motivated opinion expressed by the Authority pursuant to Article 21-bis of Law No. 287/1990 regarding the acquisition of a share of the capital of the company Asmea S.r.l.</w:t>
      </w:r>
    </w:p>
    <w:p>
      <w:r>
        <w:t>In its meeting of July 19, 2022, the Authority resolved to send a motivated opinion pursuant to Article 21-bis of Law October 10, 1990, No. 287, published above this communication, regarding the Resolution of the Municipal Council of Villanova del Battista No. 14 of May 30, 2022, concerning "Acquisition of shares in Asmea S.r.l. for the in-house providing of the service of management, redevelopment, and enhancement of public assets."</w:t>
      </w:r>
    </w:p>
    <w:p>
      <w:r>
        <w:t>In particular, the opinion highlighted how the acquisition of the participation in Asmea S.r.l. by the Municipality of Villanova del Battista, as represented, did not comply with the provisions of Articles 4, paragraph 3, and 16 of the TUSP and the competitive principles that it intends to express regarding the enhancement of public assets.</w:t>
      </w:r>
    </w:p>
    <w:p>
      <w:r>
        <w:rPr>
          <w:b/>
        </w:rPr>
        <w:t>[Pages 13–15]</w:t>
      </w:r>
    </w:p>
    <w:p>
      <w:r>
        <w:t>BULLETIN NO. 33 OF SEPTEMBER 12, 2022 15</w:t>
      </w:r>
    </w:p>
    <w:p>
      <w:r>
        <w:t>In particular, what was proposed by the Municipality was lacking both in terms of the failure to confer the real estate to be enhanced and regarding the lack of justification concerning the specific connection of the activities referred to in the corporate purpose of Asmea S.r.l. to the objectives of enhancing the assets and the convenience and sustainability of the investment thus made.</w:t>
      </w:r>
    </w:p>
    <w:p>
      <w:r>
        <w:t>On August 11, 2022, the Municipality of Villanova del Battista transmitted to the Authority Resolution No. 20 of the Municipal Council of August 8, 2022, with which it revoked Resolution No. 14 of the Municipal Council of May 30, 2022, by which it had ordered the purchase of the shares of Asmea S.r.l.</w:t>
      </w:r>
    </w:p>
    <w:p>
      <w:r>
        <w:t>Acknowledging the Administration's compliance with the motivated opinion of July 19, 2022, pursuant to Article 21-bis of Law No. 287/1990, the Competition and Market Authority, in its meeting of September 6, 2022, therefore decided not to appeal against the aforementioned Resolution No. 14/2022.</w:t>
      </w:r>
    </w:p>
    <w:p>
      <w:r>
        <w:t>16 BULLETIN NO. 33 OF SEPTEMBER 12, 2022</w:t>
      </w:r>
    </w:p>
    <w:p>
      <w:r>
        <w:t>AS1856 – MINISTRY OF INFRASTRUCTURES AND SUSTAINABLE MOBILITY - NAVIGATION CODE/PROFESSIONAL SAILING INSTRUCTOR</w:t>
      </w:r>
    </w:p>
    <w:p>
      <w:r>
        <w:t>Rome, August 5, 2022</w:t>
      </w:r>
    </w:p>
    <w:p>
      <w:r>
        <w:t>Ministry of Infrastructures and Sustainable Mobility</w:t>
      </w:r>
    </w:p>
    <w:p>
      <w:r>
        <w:t>With reference to the request for an opinion formulated, pursuant to Article 3, paragraph 3, of Legislative Decree 142/2020, by this Administration regarding the amendments to Legislative Decree July 18, 2005, No. 171 (Navigation Code for recreational boating and implementation of Directive 2003/44/EC, pursuant to Article 6 of Law July 8, 2003, No. 172), Articles 49-quinquies and 49-sexies concerning professional sailing instructors, the Competition and Market Authority, in its meeting of August 4, 2022, deemed the following.</w:t>
      </w:r>
    </w:p>
    <w:p>
      <w:r>
        <w:t>In light of the reasons highlighted in the table attached to the request for an opinion and considering that the regulation removes previously existing constraints on the profession of sailing instructor, it appears proportionate to the objectives pursued and non-discriminatory.</w:t>
      </w:r>
    </w:p>
    <w:p>
      <w:r>
        <w:t>The provisions in question, therefore, do not seem capable of introducing unjustified restrictions on competition in the sector in question.</w:t>
      </w:r>
    </w:p>
    <w:p>
      <w:r>
        <w:t>This opinion will be published in the bulletin of the Competition and Market Authority. Any confidentiality requirements must be expressed within thirty days of receipt of the opinion, specifying the reasons.</w:t>
      </w:r>
    </w:p>
    <w:p>
      <w:r>
        <w:t xml:space="preserve">THE PRESIDENT f.f. </w:t>
        <w:br/>
        <w:t>Michele Ainis</w:t>
      </w:r>
    </w:p>
    <w:p>
      <w:r>
        <w:t>BULLETIN NO. 33 OF SEPTEMBER 12, 2022 17</w:t>
      </w:r>
    </w:p>
    <w:p>
      <w:r>
        <w:t>AS1857 – MINISTRY OF THE INTERIOR - TULPS/PROFESSION OF SECURITY GUARD IN ITALY</w:t>
      </w:r>
    </w:p>
    <w:p>
      <w:r>
        <w:t>Rome, August 5, 2022</w:t>
      </w:r>
    </w:p>
    <w:p>
      <w:r>
        <w:t>Ministry of the Interior</w:t>
      </w:r>
    </w:p>
    <w:p>
      <w:r>
        <w:t>With reference to the request for an opinion formulated, pursuant to Article 3, paragraph 3, of Legislative Decree 142/2020, by this Administration regarding the amendments to Article 134, paragraph 3, of Royal Decree June 18, 1931, No. 773 (TULPS), the Competition and Market Authority, in its meeting of August 4, 2022, intended to make the following considerations.</w:t>
      </w:r>
    </w:p>
    <w:p>
      <w:r>
        <w:t>In light of the reasons highlighted in the table attached to the request for an opinion, the amendment in question appears proportionate to the objectives pursued and non-discriminatory, considering that the sector regulation - which prescribes the obligation to carry out the activity of special security guard in an employment context with a security institute or another authorized entity - responds to superior public safety needs.</w:t>
      </w:r>
    </w:p>
    <w:p>
      <w:r>
        <w:t>The provisions in question, therefore, do not seem capable of introducing unjustified restrictions on competition in the sector in question.</w:t>
      </w:r>
    </w:p>
    <w:p>
      <w:r>
        <w:t>This opinion will be published in the bulletin of the Competition and Market Authority. Any confidentiality requirements must be expressed to the Authority within thirty days of receipt of this opinion, specifying the reasons.</w:t>
      </w:r>
    </w:p>
    <w:p>
      <w:r>
        <w:t xml:space="preserve">THE PRESIDENT f.f. </w:t>
        <w:br/>
        <w:t>Michele Ainis</w:t>
      </w:r>
    </w:p>
    <w:p>
      <w:r>
        <w:rPr>
          <w:b/>
        </w:rPr>
        <w:t>[Pages 16–18]</w:t>
      </w:r>
    </w:p>
    <w:p>
      <w:r>
        <w:t>18 BULLETIN NO. 33 OF SEPTEMBER 12, 2022</w:t>
      </w:r>
    </w:p>
    <w:p>
      <w:r>
        <w:t>AS1858 – MUNICIPALITY OF CASTELVETRANO (TP) - URBAN WASTE MANAGEMENT SERVICE FOR NON-DOMESTIC USERS</w:t>
      </w:r>
    </w:p>
    <w:p>
      <w:r>
        <w:t>Rome, August 5, 2022</w:t>
      </w:r>
    </w:p>
    <w:p>
      <w:r>
        <w:t xml:space="preserve">Municipality of Castelvetrano  </w:t>
        <w:br/>
        <w:t>National Association of Italian Municipalities</w:t>
      </w:r>
    </w:p>
    <w:p>
      <w:r>
        <w:t>The Competition and Market Authority, in its meeting on August 4, 2022, deemed it appropriate to carry out, following a report received on May 8, 2022, from FISE-Assoambiente, the following observations, pursuant to Article 22 of Law No. 287/1990, regarding the application methods of Article 238, paragraph 10, of Legislative Decree No. 152/2006 (hereinafter "TUA") by the Municipality of Castelvetrano (hereinafter also "the Municipality"), as last amended by Legislative Decree No. 116/2020.</w:t>
      </w:r>
    </w:p>
    <w:p>
      <w:r>
        <w:t>It is recalled that Legislative Decree No. 116/2020, for what is currently of interest, has: (i) modified the definition of urban waste by introducing, in Article 183, paragraph 1, letter b-ter), TUA, the category of waste produced by non-domestic users (hereinafter, "UND") similar to urban waste taxonomically identified in Annex L-quater of the TUA, which replaces the previous category of waste assimilated to urban waste, the identification of which was, instead, left to individual municipalities; (ii) amended Article 238, paragraph 10, TUA, excluding the UND that have chosen to confer similar urban waste outside the public service - and that have demonstrated "to have sent them for recovery through certification issued by the entity that carries out the waste recovery activity" - from the payment of the tariff component related to the quantity of waste conferred.</w:t>
      </w:r>
    </w:p>
    <w:p>
      <w:r>
        <w:t>The Municipality of Castelvetrano, in response to a request for information sent by the Authority, specified that it applies, in line with the position expressed in this regard by the Institute for Finance and Local Economy (hereinafter, "IFEL"), the aforementioned amendment, in the sense that the UND can exercise the option to confer similar urban waste outside the public service with reference to the totality of the similar waste produced and not also with regard to their individual fractions. Consequently, the Municipality has entirely suspended the collection service for those UND that have exercised this choice concerning certain types of similar waste (for example, only for paper and cardboard). The municipal administration believes, in fact, that the amended Article 238, paragraph 10, TUA "never refers to individual types of urban waste but only to the management of urban waste produced by the UND as defined by Article 183, paragraph 1, letter b-ter, TUA, therefore in their entirety" and that, therefore, where Article 238, paragraph 10, TUA refers to the management of these wastes, it can only refer to them in a unitary manner, no longer allowing them to be subjected to differentiated regimes by type of fraction as was possible when the identification of the so-called assimilated waste was left to the competence of individual municipalities.</w:t>
      </w:r>
    </w:p>
    <w:p>
      <w:r>
        <w:t>The Authority does not consider the position expressed by the Municipality of Castelvetrano and IFEL to be shareable, as it is likely to deprive the UND of the effectiveness of the faculty to confer their urban waste outside the public service. In fact, whenever there are no active industrial entities in the territory where the UND operate to which to confer all fractions of waste similar to urban waste produced, they would, in fact, be forced to adhere to the public service, even in the presence of potentially more efficient private operators for the treatment of individual types of waste, thereby ensuring, on the other hand, an unjustified extension of the monopoly of the urban hygiene service manager. Ultimately, the interpretation of the norm given by the Municipality and IFEL would end up discouraging the conferment of recoverable waste outside the public service by the UND, undermining the expected possibility of their conferment to the market, through an unjustified restriction on the demand side, which would ensure, on the other hand, a considerable expansion of the monopoly in favor of the public urban hygiene service manager.</w:t>
      </w:r>
    </w:p>
    <w:p>
      <w:r>
        <w:t>The Regulatory Authority for Energy, Networks and Environment (hereinafter, "ARERA") has also expressly provided, in the "Consolidated Text for the Regulation of the Quality of Urban Waste Management Service," the possibility for the UND to confer "in whole or in part" their urban waste outside the public service, in order to obtain a reduction or exemption from the tariff. To prove the lack of univocity of positions on the subject in question, it is emphasized how ANCI Emilia Romagna has adopted ARERA's position in the draft regulation for the discipline of TARI that it has prepared, thus believing that the UND can confer - in whole or even only in part - their so-called similar waste outside the public service.</w:t>
      </w:r>
    </w:p>
    <w:p>
      <w:r>
        <w:t>The interpretation of the legislation proposed by the Municipality of Castelvetrano, moreover, does not appear to be consistent even with the literal data of the norm but, above all, with the teleological one, since the rationale of the reform under Legislative Decree No. 116/2020 appears rather - as confirmed by the Circular of the Ministry for Ecological Transition No. 37259 of April 21, 2021 precisely at the request of IFEL - that, on the one hand, it aims to introduce greater certainty regarding the types of waste produced by the UND that can be considered "similar" to urban waste, thus overcoming the differentiations between the various municipalities and, on the other hand, to expand the scope of waste management operations that justify a reduction of the TARI from mere "recycling" (as provided for by Article 1, paragraph 649, Law No. 147/2013) to "recovery," in order to incentivize all operations falling within this broader category.</w:t>
      </w:r>
    </w:p>
    <w:p>
      <w:r>
        <w:t>The Authority, in conclusion, hopes that ANCI will promote the interpretation of the legislation in question in a pro-competitive sense that seems to be its own and that the Municipality of Castelvetrano will apply it accordingly.</w:t>
      </w:r>
    </w:p>
    <w:p>
      <w:r>
        <w:t>The present opinion will be published in the Bulletin of the Competition and Market Authority. Any confidentiality needs must be communicated to the Authority within thirty days of receiving this opinion, specifying the reasons.</w:t>
      </w:r>
    </w:p>
    <w:p>
      <w:r>
        <w:t xml:space="preserve">THE PRESIDENT ff  </w:t>
        <w:br/>
        <w:t>Michele Ainis</w:t>
      </w:r>
    </w:p>
    <w:p>
      <w:r>
        <w:rPr>
          <w:b/>
        </w:rPr>
        <w:t>[Pages 19–21]</w:t>
      </w:r>
    </w:p>
    <w:p>
      <w:r>
        <w:t>BULLETIN NO. 33 OF SEPTEMBER 12, 2022 21</w:t>
        <w:br/>
        <w:t>UNFAIR COMMERCIAL PRACTICES</w:t>
        <w:br/>
        <w:t>PS12185 - NUTRISCORE-DUKAN</w:t>
        <w:br/>
        <w:t>Measure No. 30242</w:t>
        <w:br/>
        <w:t>THE COMPETITION AND MARKET AUTHORITY</w:t>
        <w:br/>
        <w:t>IN ITS MEETING of July 12, 2022;</w:t>
        <w:br/>
        <w:t>HEARD the Rapporteur Professor Michele Ainis;</w:t>
        <w:br/>
        <w:t>HAVING REGARD TO Part II, Title III, of Legislative Decree September 6,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its own measures of March 29 and May 17, 2022, with which, pursuant to Article 7, paragraph 3, of the Regulation, the extension of the deadline for concluding the procedure was ordered for specific investigative needs;</w:t>
        <w:br/>
        <w:t>HAVING REGARD TO the acts of the procedure;</w:t>
      </w:r>
    </w:p>
    <w:p>
      <w:r>
        <w:t>I. THE PARTIES</w:t>
        <w:br/>
        <w:t>1. Régime Dukan Société par actions simplifiée, as a professional, pursuant to Article 18, paragraph 1, letter b), of the Consumer Code. The company is active in the trade of food products including those branded "Dukan". The company declared to have achieved a turnover in Italy in 2021 amounting to €499,809.</w:t>
        <w:br/>
        <w:t>2. Diet Lab S.A.S. as a professional, pursuant to Article 18, paragraph 1, letter b), of the Consumer Code. The company conveys information about the dietary regime created by the French doctor Pierre Dukan, to be followed also through the consumption of products branded "Dukan" via the website https://www.dietadukan.it.</w:t>
        <w:br/>
        <w:t>3. ConfAgricoltura, Associazione Articolo 32 - 97 Associazione italiana per i diritti del malato e del cittadino and Codici, as consumer associations reporting.</w:t>
      </w:r>
    </w:p>
    <w:p>
      <w:r>
        <w:t>II. THE COMMERCIAL PRACTICE</w:t>
        <w:br/>
        <w:t>4. The procedure concerns an informational omission on the packaging of certain food products branded "Dukan" (regarding the name or corporate name and the address of the food sector operator marketing them), as well as the application of a front-of-pack labeling system (FOP), called NutriScore, on the front of the product packaging. For example, coconut cookies are assigned the category "A", in green. The aforementioned traffic light label is prominently displayed on the packaging, without further specifications or clarifying elements regarding the meaning of such information.</w:t>
        <w:br/>
        <w:t>5. The NutriScore expresses the nutritional quality of the food through two correlated scales: a color scale divided into five gradations from green to red and an alphabetical scale with letters ranging from A (highest quality) to E. Food products are divided into five categories based on a score calculated using a complex algorithm that subtracts the total value of "unfavorable" elements (energy/calories, saturated fatty acids, simple sugars, sodium) from that of "favorable" elements (percentage of fruits, vegetables, legumes, and oilseeds, olive oil, nuts, and rapeseed; fiber, proteins). Foods with very low scores are assigned to category A (green), while those with the highest scores are assigned to category E (red). The score refers to a quantity of product equal to 100 grams or 100 milliliters.</w:t>
      </w:r>
    </w:p>
    <w:p>
      <w:r>
        <w:t>III. THE RESULTS OF THE PROCEDURE</w:t>
        <w:br/>
        <w:t>III.1 The procedure process</w:t>
        <w:br/>
        <w:t>6. According to the information acquired for the application of the Consumer Code and the reports from a professional protection organization and consumer associations, received in July and September 2021, on November 5, 2021, the investigative procedure PS12185 was initiated against the company Régime Dukan Société par actions simplifiée and the company Diet Lab SAS to verify whether the conduct of the professionals could constitute a violation of Articles 20, 21, letter b), and 22 of the Consumer Code, as it was contrary to professional diligence and capable of misleading the average consumer regarding the corporate name and address of the food sector operator marketing the products branded "Dukan", the nature and functioning of the parameters on which the evaluation expressed with the NutriScore label is based, the benefits derived from the consumption of the products on which it is present, as well as the health results associated with this type of labeling.</w:t>
        <w:br/>
        <w:t>7. ConfAgricoltura accessed the case file on December 27, 2021, and March 10, 2022, and submitted notes on March 2 and July 1, 2022.</w:t>
        <w:br/>
        <w:t>8. On February 7, 2022, the President of the National Committee for Food Safety at the Ministry of Health was heard in a teleconference via the Webex platform. Centromarca, as the association representing brands in the fast-moving consumer goods and GDO sector, was also heard on February 21, 2022, in the same manner.</w:t>
        <w:br/>
        <w:t>9. By note of March 21, 2022, the Ministry of Economic Development transmitted copies of the detailed opinions filed with the European Commission, provided by the Italian Government on the proposal to introduce the traffic light label advanced by some Member States.</w:t>
        <w:br/>
        <w:t>10. On March 31, 2022, the parties were informed of the sixty-day extension of the deadline for concluding the procedure pursuant to Article 7, paragraph 3, of the Regulation. On May 20, 2022, the parties were informed of the further extension of the deadline for concluding the procedure.</w:t>
        <w:br/>
        <w:t>11. On May 25, 2022, the parties were informed of the conclusion date of the investigative phase, pursuant to Article 16, paragraph 1, of the Regulation. Regarding Diet Lab S.A.S., the communication of the conclusion of the investigative phase was made through publication in the Authority's Bulletin, pursuant to and for the effects of Article 19, paragraph 2, of the Regulation on investigative procedures.</w:t>
        <w:br/>
        <w:t>12. On June 20, 2022, the memorandum from the company Régime Dukan was received.</w:t>
      </w:r>
    </w:p>
    <w:p>
      <w:r>
        <w:t>III.2 The elements acquired and the information provided by the professionals</w:t>
        <w:br/>
        <w:t>13. ConfAgricoltura, in summary, argued that the NutriScore would not fall within the scope of Article 35 of Regulation (EU) No. 1169/2011, as it provides an overall nutritional assessment of foods, while the supplementary forms of expression refer to the content of individual items of the mandatory nutritional declaration pursuant to Article 30 of the aforementioned Regulation. Therefore, the NutriScore could not qualify as a form of voluntary supplementary expression. According to ConfAgricoltura, moreover, the label in question could be in conflict with Article 34 of the Treaty on the Functioning of the European Union, as it is capable of creating undue discrimination between products bearing such a scheme and those that do not or that use another, resulting in a distortion of the free movement of goods. The NutriScore system would also be misleading as it does not convey adequate information to consumers, is not supported by solid and suitable scientific bases, and provides an absolute judgment on the healthiness of a particular product without contextualizing it with respect to an individual's overall diet, with the risk that, if not accompanied by further actions aimed at informing and educating the consumer, such a judgment may be harmful to health. ConfAgricoltura referred to the detailed opinions issued by some Member States within the notification procedures of the NutriScore to the European Commission by France and the other Member States.</w:t>
      </w:r>
    </w:p>
    <w:p>
      <w:r>
        <w:rPr>
          <w:b/>
        </w:rPr>
        <w:t>[Pages 22–24]</w:t>
      </w:r>
    </w:p>
    <w:p>
      <w:r>
        <w:t>24 BULLETIN NO. 33 OF SEPTEMBER 12, 2022</w:t>
      </w:r>
    </w:p>
    <w:p>
      <w:r>
        <w:t>Belgium, from which the lack of solid scientific foundations of the NutriScore system emerges, as well as the concern regarding the consumers' limited ability to understand the functioning mechanism of NutriScore and the necessity for consumers to receive comprehensive food education. The studies published on NutriScore would only demonstrate that the graphic evidence of the scheme is capable of guiding consumers' choices towards the purchase of products marked with the letter "A," but would not prove any correlation between these products and a reduced incidence of cardiovascular or cancer diseases: the consumer may, therefore, be led to believe that, regardless of their dietary needs, the food is certainly preferable to others in the same category, encouraging its consumption (without limits), since the green color identifies a food that is certainly not harmful to health. ConfAgricoltura adds that the NutriScore system is based on an arbitrary calculation methodology that does not provide adequate information to consumers regarding its functioning, preventing them from independently assessing its reliability. In fact, the algorithm underlying the traffic light evaluation does not encourage consumers to make healthy food choices but rather seems suitable to mislead them regarding the nutritional and health characteristics of a given food.</w:t>
      </w:r>
    </w:p>
    <w:p>
      <w:r>
        <w:t>14. In order to gather useful elements for the assessment of the case subject to investigation, the President of the National Food Safety Committee at the Ministry of Health was heard in a hearing on February 7, 2022; as well as, on February 21, 2022, Centromarca, as the association representing brands in the fast-moving consumer goods and large-scale distribution sector.</w:t>
      </w:r>
    </w:p>
    <w:p>
      <w:r>
        <w:t>15. According to the President of the National Food Safety Committee, "although created with the aim of guiding consumers towards a healthy diet, the NutriScore method has many limitations as it does not take into account the subjective conditions of each individual. [...] The traffic light labeling system appears to be based on statistical elements that lead to classifying foods in an absolutist manner as positive or negative," while no food can be classified as healthy or unhealthy in itself, irrespective of an overall assessment of the person consuming it. What is relevant, instead, in clinical experience, to assess the correctness of the dietary regime followed, is linked to a holistic view of multiple variables (genetic heritage, health status, lifestyle, age, and work activity). The NutriScore would also be the result of a mathematical algorithm that overlooks some relevant parameters from a nutritional point of view (micronutrients, macronutrients, absence of hydrogenated fats...) and assigns an unbalanced score, effectively creating a synthesis based merely on statistics, unsuitable for representing the actual properties of foods. Furthermore, the methodology used by NutriScore does not take into account the evolution of scientific and medical knowledge and the consequent changed approach aimed at increasing prevention activities.</w:t>
      </w:r>
    </w:p>
    <w:p>
      <w:r>
        <w:t>15 See, in addition to that of Italy, the opinions of Bulgaria, Portugal, the Czech Republic, Poland, and Germany.</w:t>
      </w:r>
    </w:p>
    <w:p>
      <w:r>
        <w:t>16 On this point, the President noted that updates and the development of practices and medical protocols are particularly relevant in the field of nutrition: for example, compared to the 1960s, the reference values for the diagnosis of certain diseases such as diabetes or hypercholesterolemia have changed.</w:t>
      </w:r>
    </w:p>
    <w:p>
      <w:r>
        <w:t>BULLETIN NO. 33 OF SEPTEMBER 12, 2022 25</w:t>
      </w:r>
    </w:p>
    <w:p>
      <w:r>
        <w:t>16. Centromarca retraced the characteristics of front-of-pack (FOP) labeling systems based on the calculation of an unsuitable score, which alone is inadequate to adequately synthesize the healthiness of the food for the individual consuming it, emphasizing the need to associate FOPs with a food education policy that involves not only the school system but also the media. It also represented that this type of labeling is inadequate to inform consumers in the absence of a food education campaign that highlights the role of consumed quantities and lifestyles.</w:t>
      </w:r>
    </w:p>
    <w:p>
      <w:r>
        <w:t>17. On March 21, 2022, the Ministry of Economic Development produced documentation regarding the discussions between the Commission and the Member States during the "notifications" related to the NutriScore label made by some countries (starting from France in 2017) pursuant to Article 35, paragraph 2, of Regulation (EU) No. 1169/2011, from which the following emerged.</w:t>
      </w:r>
    </w:p>
    <w:p>
      <w:r>
        <w:t>18. During these discussions, the MISE argued that the NutriScore system guides consumer choice towards the consumption of foods deemed favorable to health based on an excessively synthetic expression, as it condenses an overall judgment on the food product without focusing on its specific content of energy and nutrients. Structured in this way, the NutriScore label does not provide any support in identifying a correct dietary regime, leading the consumer to believe that, regardless of their dietary needs, the green product is preferable to others in the same commodity category. Therefore, the consumer is encouraged to consume it (without limits) on the assumption that the green color distinguishes a food that certainly does not harm health. Furthermore, the MISE stated that "the use of colors, while it may have an immediate effect in directing socially disadvantaged parts of the population towards healthy foods, does not help to understand the contribution of nutrients that a food brings to a diet but simply suggests a distinction between 'good' and 'bad' food products. This distinction is in blatant contrast to the principle that every food has its place in the human diet (food pyramid). The consumer may therefore be driven to predominantly purchase products with the 'green light' without evaluating the balance of their diet. In fact, the importance of the synergistic action of nutrients consumed through the diet cannot be reduced to a color, a letter, or other excessively simplistic symbols. Systems of this type, in fact, communicate with the consumer in an unclear manner." The methods of assigning scores and letters determine, in the opinion of the MISE, a flattening of the differences between various foods, with the consequence that products belonging to contiguous color classifications may present very different nutritional properties.</w:t>
      </w:r>
    </w:p>
    <w:p>
      <w:r>
        <w:t>19. The synthetic representation is also simplistic as it is based on the reference to 100 g/100 ml of product, not taking into account the fact that nutrition consists of portions and consumption frequencies: some foods are consumed in extremely low quantities (such as olive oil), others in medium portions (such as cheese or meat), and others in larger portions (water, fruits, and vegetables). The system's approach is therefore contrary to the principles of simplification and immediacy that it should inspire, does not guide towards the consumption of adequate portions, nor does it help in comparing different foods.</w:t>
      </w:r>
    </w:p>
    <w:p>
      <w:r>
        <w:t>20. The NutriScore system is also characterized by an arbitrary classification of positive foods (fruits, vegetables, fibers, and proteins) and negative ones (salt, sugars, and saturated fats) since, for example, in the score, the quantity of proteins is weighted without distinguishing their different sources (plant or animal), which is relevant from the health impact perspective; saturated fats are not distinguished into monounsaturated and polyunsaturated; fruits and vegetables are considered on par with proteins. The described bias in judgment does not encourage the consumer to make an adequate assessment to follow a diet useful for meeting daily nutrient intake.</w:t>
      </w:r>
    </w:p>
    <w:p>
      <w:r>
        <w:t>21. On March 24, 2022, at the request of the Commission, EFSA adopted a scientific opinion regarding the "nutrient profiling for the development of a harmonized mandatory front-of-pack nutrition labeling" in the European Union. EFSA did not express itself on a specific type of label or on reference quantities but identified the nutrients and food components relevant to public health, the categories of foods that play an important role in the diet, as well as the scientific criteria to guide the choice of nutrients to be consumed. This is due to the dietary behavior observed in most European populations, which shows the inadequacy of the quantities of potassium and dietary fibers consumed, excessive intake of saturated fats, sodium, and added sugars, as well as not always sufficient intake of iron, calcium, vitamin D, folate, and iodine.</w:t>
      </w:r>
    </w:p>
    <w:p>
      <w:r>
        <w:t>22. Régime Dukan, in its memorandum of June 20, 2022, asserted the compliance of its operations with the decrees of the French Ministry of Health of July 19, 2016, and October 31, 2017. It also claimed that the current packaging layouts bear the indication of its name and address in accordance with Article 9 of Regulation (EU) No. 1169/2011.</w:t>
      </w:r>
    </w:p>
    <w:p>
      <w:r>
        <w:t>23. The company Diet Lab SAS did not participate in the proceedings. From the elements in the records, its extraneousness to the practice subject to the proceedings emerged, as the Régime Dukan company, as represented in its memorandum, is the only operator responsible for the information reported on the product packaging.</w:t>
      </w:r>
    </w:p>
    <w:p>
      <w:r>
        <w:t>IV. EVALUATIONS</w:t>
      </w:r>
    </w:p>
    <w:p>
      <w:r>
        <w:t>24. The allegations made against the professionals in the communication initiating the proceedings concern the application, on the front of the packaging of the products branded "Dukan," of the NutriScore labeling system, in the absence of specifications or clarifying elements regarding the meaning of such labeling, as well as an informational omission on the packaging of said products (regarding the name or business name and address of the food operator marketing them).</w:t>
      </w:r>
    </w:p>
    <w:p>
      <w:r>
        <w:t>25. The indication of the identity of the food operator under whose name or business name the products are marketed is one of the mandatory labeling requirements pursuant to Article 9, paragraph 1, letter h), of Regulation (EU) No. 1169/2011: its omission appears to be relevant, pursuant to Article 22 of the Consumer Code, as it does not allow the consumer to fully exercise their contractual rights.</w:t>
      </w:r>
    </w:p>
    <w:p>
      <w:r>
        <w:rPr>
          <w:b/>
        </w:rPr>
        <w:t>[Pages 25–27]</w:t>
      </w:r>
    </w:p>
    <w:p>
      <w:r>
        <w:t>BULLETIN NO. 33 OF SEPTEMBER 12, 2022 27</w:t>
      </w:r>
    </w:p>
    <w:p>
      <w:r>
        <w:t>26. Since it has emerged from the investigation that Régime Dukan is the operator in the food sector responsible for the information provided on the packaging, the company Diet Lab SAS is found to be unrelated to the contested practice in the initiation communication.</w:t>
      </w:r>
    </w:p>
    <w:p>
      <w:r>
        <w:t>27. As stated above, this investigative intervention is also aimed at verifying whether the application of the traffic light label on the packaging of products branded "Dukan" - in the absence of contextual and adequate clarifications - may lead the average consumer to the erroneous belief that the food marked with green is always and in any case to be preferred, disregarding the interaction it develops with the overall dietary regime followed, as well as the subjective conditions of the individual consuming it.</w:t>
      </w:r>
    </w:p>
    <w:p>
      <w:r>
        <w:t>28. In this regard, it should be noted that the debate within Europe has increasingly focused on evaluating the possibility of adopting a single supplementary labeling scheme that helps consumers make healthy food choices in light of a growing consumer attention to issues of personal well-being and food safety. This objective has recently been reaffirmed within the framework of the Green Deal and, in particular, the so-called "Farm to Fork" strategy, which sets goals to guide the transition towards a more balanced and environmentally sustainable food system, intervening on many aspects of the supply chain, from agriculture to food labeling. Indeed, also in order to pursue the objectives of this crucial pillar of the Green Deal, the Commission has announced that by the end of 2022, it will present a legislative proposal to harmonize, on a mandatory basis, the FOP Schemes throughout the European Union.</w:t>
      </w:r>
    </w:p>
    <w:p>
      <w:r>
        <w:t>29. In the absence of a harmonized regulation, some States have relied on Article 35 of Regulation (EU) No. 1169/2011, concerning the provision of information on food to consumers, which allows the use of supplementary forms of expression and presentation, subject to notification to the Commission, to adopt a FOP labeling system, such as NutriScore.</w:t>
      </w:r>
    </w:p>
    <w:p>
      <w:r>
        <w:t>30. On this point, however, the European Commission itself has deemed that the NutriScore system does not fall within the scope of Article 35 of Regulation (EU) No. 1169/2011 as "The labeling system attached to the notified project does not require an indication of the energy value or the energy value and quantities of nutrients as such, but refers to the overall nutritional quality of the foods in question." In other words, the NutriScore system provides an overall assessment of the product to which it applies and does not constitute, therefore, a description of the contents of the individual nutritional components of the given food, as required in the case of supplementary expressions.</w:t>
      </w:r>
    </w:p>
    <w:p>
      <w:r>
        <w:t>31. It is worth adding that Article 36 of the aforementioned Regulation (EU) No. 1169/2011, while recognizing the option to provide supplementary information on food on a voluntary basis, makes this choice conditional on compliance with the principle of informational clarity to avoid misleading the consumer.</w:t>
      </w:r>
    </w:p>
    <w:p>
      <w:r>
        <w:t>32. From the evidence on record, it has emerged that the NutriScore labeling system, although in principle it may be used as a facilitating factor for food information, as employed by the professional, may not fulfill this function in the absence of clear indications to the consumer regarding the intrinsic characteristics of the system and a broad educational campaign on the importance of a balanced diet and a healthy lifestyle.</w:t>
      </w:r>
    </w:p>
    <w:p>
      <w:r>
        <w:t>33. Indeed, the overall methods of realization and communication of the traffic light label provide an apodictic presentation of the healthiness of a product, as the synthetic graphic and chromatic representation (green/A = "healthy food" – red/E = "unhealthy food") does not take into account the multiple variables that affect the correctness of an individual's dietary regime: genetic characteristics, general health conditions, age, lifestyle, work activity, as well as the interaction of the "promoted" product by the traffic light with other foods consumed. Thus, communication based solely on the label in question risks, for example, underestimating the potential harmful effects that the consumption of significant amounts of foods labeled green may have on the consumer's health.</w:t>
      </w:r>
    </w:p>
    <w:p>
      <w:r>
        <w:t>34. Additionally, in the absence of adequate clarifications, the fact that the NutriScore system is based on fixed quantities (equal to 100 g or 100 ml) is likely to convey misleading information because the assessment does not concern the portion of food corresponding to the average daily recommended intake for a balanced diet, but rather a dose that could be significantly different from the ordinary intake.</w:t>
      </w:r>
    </w:p>
    <w:p>
      <w:r>
        <w:t>35. Another critical issue related to the use of the label in the absence of information on this point concerns the operating criteria of the algorithm generating the NutriScore, which does not take into account all relevant nutritional parameters (e.g., micronutrients, macronutrients, absence of trans fats) and results in the assignment of an unbalanced score. In fact, some components such as fibers, whose daily intake is correlated with better diet quality, are not considered. The incomplete information conveyed in this way leads the consumer to overlook the overall effect of all nutrients present in a food, also linked to their quantity and frequency of intake.</w:t>
      </w:r>
    </w:p>
    <w:p>
      <w:r>
        <w:t>36. Furthermore, for the purpose of constructing the final result, the NutriScore system assigns a greater weight to unfavorable elements (40 points) and a significantly lower weight to favorable ingredients (15 points); in fact, the NutriScore appears more sensitive to variations in "negative" elements (energy, sugars, fats, sodium) than to those of "positive" elements (fiber, protein, percentage of fruit/vegetables/legumes/nuts). The presence of the latter is only relevant upon exceeding a certain threshold level (by weight or percentage), but the greater or lesser distance from the threshold does not matter in any way, and therefore the final score is determined in an unbalanced manner. The failure to explicitly state this specific aspect does not allow the consumer to fully appreciate the evaluation assigned by the professional to the food.</w:t>
      </w:r>
    </w:p>
    <w:p>
      <w:r>
        <w:t>37. The aforementioned limits result in a lack of transparency to the detriment of consumers who are not placed in a position to understand the nature and functioning of the parameters on which the evaluation expressed with the traffic light is based.</w:t>
      </w:r>
    </w:p>
    <w:p>
      <w:r>
        <w:t>38. In conclusion, the application of the traffic light label on products branded "Dukan" - in the absence of contextual and adequate clarifications - is found to be in violation of Articles 20, 21, letter b), and 22 of the Consumer Code, as it is contrary to professional diligence and likely to mislead the average consumer into believing that those presented are health-oriented food consumption choices in absolute terms and that the product rated as green can be considered the "best" in its category to the detriment of orange or yellow products. More precisely, the lack of clarifying elements regarding the characteristics and limits of the methodology used does not allow the consumer to consciously utilize the evaluation expressed. Finally, the informational omission on the packaging of the products regarding the company name and address of the food sector operator is found to be in violation of Article 22 of the Consumer Code, as it omits information that the consumer needs to exercise their rights.</w:t>
      </w:r>
    </w:p>
    <w:p>
      <w:r>
        <w:t>V. QUANTIFICATION OF THE SANCTION</w:t>
      </w:r>
    </w:p>
    <w:p>
      <w:r>
        <w:t>39.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40. Regarding the quantification of the sanction, account must be taken, as applicable, of the criteria identified by Article 11 of Law No. 689 of November 24, 1981,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41. With regard to the severity of the violation, in the case at hand, it is noted that the conduct affects, in part, the full exercise of contractual rights and, in part, the food consumption choices, in the absence of elements that allow the consumer to consciously utilize the evaluation expressed through the labeling.</w:t>
      </w:r>
    </w:p>
    <w:p>
      <w:r>
        <w:rPr>
          <w:b/>
        </w:rPr>
        <w:t>[Pages 28–30]</w:t>
      </w:r>
    </w:p>
    <w:p>
      <w:r>
        <w:t>30 BULLETIN NO. 33 OF SEPTEMBER 12, 2022</w:t>
      </w:r>
    </w:p>
    <w:p>
      <w:r>
        <w:t>42. Regarding the duration of the violation, it is believed, based on the evidence gathered, that the practice described in point II has been carried out by the professional at least since September 2021 and is still ongoing; the mere omission of information regarding the name and address of the responsible operator appears, based on the evidence gathered, to have been in effect at least since September 2021 and has ceased.</w:t>
      </w:r>
    </w:p>
    <w:p>
      <w:r>
        <w:t>43. Based on these elements, it is deemed appropriate to determine the amount of the administrative pecuniary sanction to be imposed on Régime Dukan Société par actions simplifiée for the conduct described in point II in the amount of €30,000 (thirty thousand euros);</w:t>
      </w:r>
    </w:p>
    <w:p>
      <w:r>
        <w:t>CONSIDERING, therefore, based on the aforementioned considerations, that the practice described in point II, carried out by Régime Dukan Société par actions simplifiée, is deemed unfair pursuant to Articles 20, 21, letter b), and 22 of the Consumer Code;</w:t>
      </w:r>
    </w:p>
    <w:p>
      <w:r>
        <w:t>RESOLVES</w:t>
      </w:r>
    </w:p>
    <w:p>
      <w:r>
        <w:t>a) that the commercial practice described in point II of this measure, carried out by the company Régime Dukan Société par actions simplifiée, constitutes, for the reasons and within the limits stated in the motivation, an unfair commercial practice pursuant to Articles 20, 21, letter b), and 22 of the Consumer Code and prohibits its dissemination and continuation;</w:t>
      </w:r>
    </w:p>
    <w:p>
      <w:r>
        <w:t>b) to impose on the company Régime Dukan Société par actions simplifiée for the violation referred to in the previous letter a), an administrative pecuniary sanction of €30,000 (thirty thousand euros);</w:t>
      </w:r>
    </w:p>
    <w:p>
      <w:r>
        <w:t>c) that the professional shall communicate to the Authority, within ninety days from the notification of this measure, the initiatives taken in compliance with the injunction referred to in point a).</w:t>
      </w:r>
    </w:p>
    <w:p>
      <w:r>
        <w:t>The imposed administrative sanction must be paid within thirty days from the notification of this measure. Payment must be made electronically by debiting one's bank or postal account, through home banking and CBI services provided by banks or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submitted to the TAR for Lazio, pursuant to Article 135, paragraph 1, letter b), of the Administrative Process Code (Legislative Decree July 2, 2010, No. 104), within sixty days from the date of notification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measure itself.</w:t>
      </w:r>
    </w:p>
    <w:p>
      <w:r>
        <w:t>THE SECRETARY GENERAL THE PRESIDENT</w:t>
        <w:br/>
        <w:t>Guido Stazi Roberto Rustichelli</w:t>
      </w:r>
    </w:p>
    <w:p>
      <w:r>
        <w:t>Competition and Market Authority Weekly Bulletin</w:t>
        <w:br/>
        <w:t>Year XXXII - No. 33 - 2022</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