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https://www.agcm.it/dotcmsdoc/bollettini/2024/33-24.pdf</w:t>
      </w:r>
    </w:p>
    <w:p>
      <w:r>
        <w:t>Pages translated : 77</w:t>
      </w:r>
    </w:p>
    <w:p/>
    <w:p>
      <w:r>
        <w:rPr>
          <w:b/>
        </w:rPr>
        <w:t>[Pages 1–3]</w:t>
      </w:r>
    </w:p>
    <w:p>
      <w:r>
        <w:t>Bulletin</w:t>
        <w:br/>
        <w:t>Weekly</w:t>
        <w:br/>
        <w:t>Year XXXIV - No. 33</w:t>
        <w:br/>
        <w:t>Published on the website www.agcm.it</w:t>
        <w:br/>
        <w:t>August 19, 2024</w:t>
      </w:r>
    </w:p>
    <w:p>
      <w:r>
        <w:t>SUMMARY</w:t>
        <w:br/>
        <w:t>AGREEMENTS AND ABUSE OF DOMINANT POSITION 5</w:t>
        <w:br/>
        <w:t>I865 - TERMINAL OPERATORS PORT OF NAPLES - ENERGY SURCHARGE</w:t>
        <w:br/>
        <w:t>Decision No. 31308 5</w:t>
        <w:br/>
        <w:t>I866 - AGREEMENTS BETWEEN FOUNDARIES</w:t>
        <w:br/>
        <w:t>Decision No. 31309 37</w:t>
        <w:br/>
        <w:t>CONCENTRATION OPERATIONS 39</w:t>
        <w:br/>
        <w:t>C12626B - ECOSUNTEK - SERGIO MARINANGELI / +ENERGY</w:t>
        <w:br/>
        <w:t>Decision No. 31304 39</w:t>
        <w:br/>
        <w:t>C12654 - DIGITAL VALUE / INFORDATA</w:t>
        <w:br/>
        <w:t>Decision No. 31305 47</w:t>
        <w:br/>
        <w:t>C12656 - CRYPTO - NATURAL PERSONS / VISTA VISION</w:t>
        <w:br/>
        <w:t>Decision No. 31306 52</w:t>
        <w:br/>
        <w:t>C12657 - CIEP SPIN BIDCO / ENERGEAN CAPITAL</w:t>
        <w:br/>
        <w:t>Decision No. 31307 57</w:t>
        <w:br/>
        <w:t>UNFAIR TRADE PRACTICES 61</w:t>
        <w:br/>
        <w:t>IP373 - E.A.S. SICILIAN AQUEDUCTS AUTHORITY - BIENNIAL PRESCRIPTION</w:t>
        <w:br/>
        <w:t>Decision No. 31310 61</w:t>
        <w:br/>
        <w:t>PS12674 - WIZZAIR - PRICES OF ANCILLARY SERVICES</w:t>
        <w:br/>
        <w:t>Decision No. 31311 65</w:t>
        <w:br/>
        <w:t>VARIOUS 71</w:t>
        <w:br/>
        <w:t>REGULATION ON FORMS OF COLLABORATION AND COOPERATION PURSUANT</w:t>
        <w:br/>
        <w:t>TO ARTICLE 18 OF LAW NO. 214 OF DECEMBER 30, 2023</w:t>
        <w:br/>
        <w:t>Decision No. 31295 71</w:t>
      </w:r>
    </w:p>
    <w:p>
      <w:r>
        <w:t>BULLETIN NO. 33 OF AUGUST 19, 2024 5</w:t>
        <w:br/>
        <w:t>AGREEMENTS AND ABUSE OF DOMINANT POSITION</w:t>
        <w:br/>
        <w:t>I865 - TERMINAL OPERATORS PORT OF NAPLES - ENERGY SURCHARGE</w:t>
        <w:br/>
        <w:t>Decision No. 31308</w:t>
        <w:br/>
        <w:t>THE ANTITRUST AUTHORITY</w:t>
        <w:br/>
        <w:t>IN ITS MEETING of July 30, 2024;</w:t>
        <w:br/>
        <w:t>HEARD the Rapporteur, Professor Elisabetta Iossa;</w:t>
        <w:br/>
        <w:t>HAVING REGARD TO Article 101 of the Treaty on the Functioning of the European Union (TFEU);</w:t>
        <w:br/>
        <w:t>HAVING REGARD TO Council Regulation (EC) No. 1/2003 of December 16, 2002, concerning</w:t>
        <w:br/>
        <w:t>the application of the competition rules laid down in Articles 101 and 102 TFEU;</w:t>
        <w:br/>
        <w:t>HAVING REGARD TO Law No. 287 of October 10, 1990;</w:t>
        <w:br/>
        <w:t>HAVING REGARD TO Presidential Decree No. 217 of April 30, 1998;</w:t>
        <w:br/>
        <w:t>HAVING REGARD TO its resolution of June 18, 2023, No. 30375, which initiated an investigation pursuant</w:t>
        <w:br/>
        <w:t>to Article 14 of Law No. 287/1990, against CO.NA.TE.CO. - Consorzio Napoletano Terminal Containers S.p.A., SoTeCo S.r.l., Marinvest S.r.l. and Terminal Flavio Gioia S.p.A.</w:t>
        <w:br/>
        <w:t>(collectively, the parties) to ascertain the existence of violations of Article 101 TFEU and</w:t>
        <w:br/>
        <w:t>Article 2, paragraph 2, of Law No. 287/1990;</w:t>
        <w:br/>
        <w:t>HAVING REGARD TO its resolutions of October 24, 2023, No. 30846 and November 14, 2023, No. 30882, by which</w:t>
        <w:br/>
        <w:t>the Authority rejected the commitments submitted respectively by Terminal Flavio Gioia</w:t>
        <w:br/>
        <w:t>S.p.A. and the companies CO.NA.TE.CO. - Consorzio Napoletano Terminal Containers S.p.A., SoTeCo</w:t>
        <w:br/>
        <w:t>S.r.l. and Marinvest S.r.l.;</w:t>
        <w:br/>
        <w:t>HAVING REGARD TO the Communication of Investigative Results, sent to the parties on May 3, 2024;</w:t>
        <w:br/>
        <w:t>HAVING REGARD TO the final submissions of the parties sent on June 13 and 14, 2024;</w:t>
        <w:br/>
        <w:t>HEARD in the final hearing, on June 18, 2024, the representatives of the parties and the National Federation of International Shipping Companies and the General Confederation of Italian Transport and Logistics, intervening in this proceeding;</w:t>
        <w:br/>
        <w:t>HAVING REGARD TO the acts of the proceeding and the documentation acquired during the investigation;</w:t>
        <w:br/>
        <w:t>CONSIDERED the following:</w:t>
        <w:br/>
        <w:t>I. THE PARTIES</w:t>
        <w:br/>
        <w:t>1. CO.NA.TE.CO. - Consorzio Napoletano Terminal Containers S.p.A. (hereinafter, "Conateco"), is</w:t>
        <w:br/>
        <w:t>a company with its registered office in Naples that carries out, with authorization valid until March 23, 2027,</w:t>
        <w:br/>
        <w:t>the activity of port terminal operator, managing the largest terminal in the Port of Naples1. The main activity</w:t>
        <w:br/>
        <w:t>of Conateco consists of the unloading/loading of containers from/to ships carried out with the</w:t>
        <w:br/>
        <w:t>1 It is the fourth terminal in Italy as it occupies an area of approximately 157,000 square meters in the Bausan Pier.</w:t>
      </w:r>
    </w:p>
    <w:p>
      <w:r>
        <w:rPr>
          <w:b/>
        </w:rPr>
        <w:t>[Pages 4–6]</w:t>
      </w:r>
    </w:p>
    <w:p>
      <w:r>
        <w:t>6 BULLETIN NO. 33 OF AUGUST 19, 2024</w:t>
      </w:r>
    </w:p>
    <w:p>
      <w:r>
        <w:t>by the "LO-LO" method (load on - load off), that is, through quay cranes that handle the loading and unloading of goods2. Conateco also carries out some ancillary activities performed during the stay of containers in the terminal areas such as, for example: (i) the movement of containers within the terminal using self-propelled trucks or portal cranes; (ii) the custody of unloaded containers and the goods contained therein during the period they are stored in the areas belonging to the company (so-called "port stops") and (iii) the emptying and/or filling of containers and assistance with customs checks.</w:t>
      </w:r>
    </w:p>
    <w:p>
      <w:r>
        <w:t>In 2023, Conateco generated a revenue of 47,745,017 euros3.</w:t>
      </w:r>
    </w:p>
    <w:p>
      <w:r>
        <w:t>2. The Container Terminal Company - SoTeCo S.r.l. (hereinafter, "Soteco") operates as a port terminal operator on an area of approximately 41,500 square meters located in the port of Naples, Calata Pollena. The main activity carried out by Soteco consists of the unloading and loading of containers and rolling stock using the "RO-RO" method (roll on - roll off)4. This activity is accompanied, as necessary, by the storage and custody of containers5. In particular, Soteco, by virtue of a specific authorization, also carries out the handling of hazardous goods in the port of Naples.</w:t>
      </w:r>
    </w:p>
    <w:p>
      <w:r>
        <w:t>In 2023, Soteco generated a revenue of 4,423,932 euros6.</w:t>
      </w:r>
    </w:p>
    <w:p>
      <w:r>
        <w:t>3. Marinvest S.r.l. (hereinafter, "Marinvest") is a company of the MSC group ("MSC"), active internationally in the sectors of passenger shipping and cruises, maritime freight transport, port handling services, and logistics. Marinvest holds the entire share capital of Conateco and controls Soteco, holding directly a 30% stake and indirectly, through Conateco, a 40% stake.</w:t>
      </w:r>
    </w:p>
    <w:p>
      <w:r>
        <w:t>The consolidated revenue of Marinvest in 2023 was [1-2 billion euros]*7.</w:t>
      </w:r>
    </w:p>
    <w:p>
      <w:r>
        <w:t>4. The company Terminal Flavio Gioia S.p.A. (hereinafter, "TFG") operates in the Port of Naples as a multi-purpose terminal operator, holder of a maritime state concession8. The activity carried out by TFG consists mainly of the handling of containers and various goods, performed with the aid of self-propelled port cranes (so-called "LO-LO" method). The company also carries out ancillary activities related to the loading and unloading cycle, such as handling and sorting of units within the terminal, storage of the same for related control and custody, emptying and filling of containers, assistance and execution of customs checks.</w:t>
      </w:r>
    </w:p>
    <w:p>
      <w:r>
        <w:t>In 2023, TFG generated a revenue of [10-35 million euros]9.</w:t>
      </w:r>
    </w:p>
    <w:p>
      <w:r>
        <w:t>II. THE INTERVENERS</w:t>
      </w:r>
    </w:p>
    <w:p>
      <w:r>
        <w:t>5. The Italian General Confederation of Transport and Logistics ("Confetra") represents, at the political, economic, social, and trade union level, the entrepreneurial categories operating in the sectors of transport, shipping, logistics, and warehousing of goods, as well as in related and auxiliary sectors.</w:t>
      </w:r>
    </w:p>
    <w:p>
      <w:r>
        <w:t>6. The National Federation of International Freight Forwarders ("Fedespedi") is a business organization based in Milan that protects the interests of international freight forwarding companies in Italy.</w:t>
      </w:r>
    </w:p>
    <w:p>
      <w:r>
        <w:t>III. THE INQUIRY PROCEDURE</w:t>
      </w:r>
    </w:p>
    <w:p>
      <w:r>
        <w:t>7. On July 18, 2023, the Authority initiated an inquiry procedure against the Companies Soteco, Conateco, Marinvest, and TFG to ascertain the existence of an agreement pursuant to Article 2, paragraph 2, of Law No. 287/1990 and Article 101, paragraph 1, TFEU, concerning the coordinated and agreed application of a specific tariff to shippers operating in the port of Naples.</w:t>
      </w:r>
    </w:p>
    <w:p>
      <w:r>
        <w:t>8. The procedure originated from a communication received from the Central Tyrrhenian Sea Port Authority (hereinafter, "AdSP-MTC")10, aimed at reporting the conduct of the terminal companies in the Port of Naples consisting of the joint application of a new tariff item, called "energy surcharge," for all import containers11. The report was subsequently supplemented on April 21, 202312. Given the peculiarity and complexity of the sector affected by the reported conduct, an in-depth pre-inquiry activity was carried out, also thanks to requests for information to TFG, Soteco, and Conateco13 as well as to AdSP-MTC, which led, in particular, on May 4, 2023, to the acquisition of documentation supporting the conduct reported by the port authority14.</w:t>
      </w:r>
    </w:p>
    <w:p>
      <w:r>
        <w:t>9. The parties during the procedure presented commitments pursuant to Article 14-ter of Law No. 287/199015. The Authority, with resolution No. 30846 of October 24, 2023 adopted against TFG and with resolution No. 30882 of November 14, 2023 adopted against Soteco, Conateco, and Marinvest, rejected the proposed measures due to the existence of an interest in proceeding with the ascertainment of any infringement, given the nature of the contested conduct16.</w:t>
      </w:r>
    </w:p>
    <w:p>
      <w:r>
        <w:t>10. In order to acquire documentation supporting the inquiry hypothesis, further requests for information were sent to AdSP-MTC17 and the parties18.</w:t>
      </w:r>
    </w:p>
    <w:p>
      <w:r>
        <w:t>11. On September 8, 2023, Confetra and Fedespedi were admitted to participate in the procedure, following a motivated request19, as interested third parties20.</w:t>
      </w:r>
    </w:p>
    <w:p>
      <w:r>
        <w:t>12. The parties were heard in hearings before the offices: TFG on October 4, 2023, Conateco and Soteco on October 16, 2023, and March 19, 2024. Confetra and Fedespedi were heard on December 19, 2023, and April 2, 2024.</w:t>
      </w:r>
    </w:p>
    <w:p>
      <w:r>
        <w:t>13. TFG, Conateco, Soteco, Marinvest, Confetra, and Fedespedi have repeatedly requested and obtained to exercise the right of access to the documentation of the file not covered by confidentiality21.</w:t>
      </w:r>
    </w:p>
    <w:p>
      <w:r>
        <w:t>14. TFG, Soteco, and Conateco communicated, respectively on January 17, 2024, and January 26, 2024, that they had adopted antitrust compliance programs, submitting the relevant documentation22.</w:t>
      </w:r>
    </w:p>
    <w:p>
      <w:r>
        <w:t>15. On May 3, 2024, the Communication of the inquiry results (hereinafter also the "CRI") was sent to the parties and the interveners.</w:t>
      </w:r>
    </w:p>
    <w:p>
      <w:r>
        <w:t>16. Finally, on June 13 and 14, 2024, the parties submitted their final submissions23 and on June 18, 2024, the final hearing took place before the College, attended by both the parties and the interveners.</w:t>
      </w:r>
    </w:p>
    <w:p>
      <w:r>
        <w:t>IV. THE INQUIRY RESULTS</w:t>
      </w:r>
    </w:p>
    <w:p>
      <w:r>
        <w:t>IV.1 The reference sector</w:t>
      </w:r>
    </w:p>
    <w:p>
      <w:r>
        <w:t>17. Conateco, Soteco, and TFG are port terminal operators that mainly carry out goods handling activities via containers24 as well as ancillary activities related to the loading and unloading cycle.</w:t>
      </w:r>
    </w:p>
    <w:p>
      <w:r>
        <w:t>18. In general, the activities of goods handling, including those unitized in containers, represent a category of port services, as regulated and defined by Regulation (EU) 2017/352 of the European Parliament and of the Council of February 15, 2017, which establishes a framework</w:t>
      </w:r>
    </w:p>
    <w:p>
      <w:r>
        <w:t>16 See docs. 39 and 45. In particular, the cited provisions state that "the case subject to the procedure concerns an agreement between the Parties concerning the joint and coordinated application of the same tariff item in relation to all import containers destined for the terminals of the port of Naples and that, therefore, in order to ensure compliance with the rules for the protection of competition in the mentioned sector, it is necessary for the Authority to reach a decision regarding the potential restrictive nature of competition of the contested conduct."</w:t>
      </w:r>
    </w:p>
    <w:p>
      <w:r>
        <w:t>17 See doc. 48 and the response of AdSP in doc. 53.</w:t>
      </w:r>
    </w:p>
    <w:p>
      <w:r>
        <w:t>18 See docs. 54-57 and 118.</w:t>
      </w:r>
    </w:p>
    <w:p>
      <w:r>
        <w:t>19 See doc. 17.</w:t>
      </w:r>
    </w:p>
    <w:p>
      <w:r>
        <w:t>20 See doc. 21.</w:t>
      </w:r>
    </w:p>
    <w:p>
      <w:r>
        <w:t>21 In particular, TFG accessed the documents on September 29, 2023, January 17, 2024, June 13 and 14, 2024, Conateco and Soteco on September 29, 2023, March 28, 2024, and June 14, 2024, Confetra and Fedespedi on October 5, 2023, February 13, 2024, May 21, 2024, and June 14, 2024, and Marinvest on April 12, 2024, and June 14, 2024.</w:t>
      </w:r>
    </w:p>
    <w:p>
      <w:r>
        <w:t>22 See doc. 50 (TFG compliance program) and doc. 52 (Conateco and Soteco compliance program).</w:t>
      </w:r>
    </w:p>
    <w:p>
      <w:r>
        <w:t>23 See docs. 103 (final submission TFG of June 13, 2024); 105 (final submission Marinvest) and 106 (Conateco and Soteco).</w:t>
      </w:r>
    </w:p>
    <w:p>
      <w:r>
        <w:t>24 The size of containers is conventionally measured in feet. In particular, containers of two sizes are used, namely 20’ (“twenty-feet equivalent unit”, TEU) and 40’ (“forty-feet equivalent units”, FEU).</w:t>
      </w:r>
    </w:p>
    <w:p>
      <w:r>
        <w:rPr>
          <w:b/>
        </w:rPr>
        <w:t>[Pages 7–9]</w:t>
      </w:r>
    </w:p>
    <w:p>
      <w:r>
        <w:t>BULLETIN NO. 33 OF AUGUST 19, 2024</w:t>
      </w:r>
    </w:p>
    <w:p>
      <w:r>
        <w:t>regulatory framework for the provision of port services and common rules regarding financial transparency of ports. In particular, the handling of goods refers to "the organization and movement of cargo between the ship carrying out the transport and the port areas, in the case of both import and export and transit of goods, including treatment, lashing, unlashing, stowing, transport, and temporary storage of goods in the relevant port terminal and operations directly related to the transport of goods, but excluding, unless otherwise established by the Member State, storage, unpacking, re-packaging, or any other service that adds value to the cargo;"25.</w:t>
      </w:r>
    </w:p>
    <w:p>
      <w:r>
        <w:t>19. At the national level, these activities are governed by Law No. 84/1994 titled "Reorganization of Port Legislation," which, in Article 16, defines port operations as the activities of loading, unloading, transshipment, storage, general movement of goods, and any other material carried out within the port area26. Port services, on the other hand, are considered those related to specialized, complementary, and ancillary services to the cycle of port operations.</w:t>
      </w:r>
    </w:p>
    <w:p>
      <w:r>
        <w:t>20. In line with national and community decision-making practices27, the handling of containerized goods is generally considered a distinct activity from other loading and unloading operations related to other types of goods, particularly general cargo28, given that the provision of such services by terminal operators requires the use of specific equipment for loading/unloading, storage, and ground handling for the internal transport of containerized goods.</w:t>
      </w:r>
    </w:p>
    <w:p>
      <w:r>
        <w:t>21. In particular, the aforementioned activity includes both: i) transit in "terminal" ports, meaning the transfer of goods to/from ship to/from another mode of transport (road, rail, air); and ii) transshipment activity, consisting of the transfer of containers to/from ships operating on intercontinental routes to/from ships providing a shorter and more direct maritime service to "terminal" ports (so-called feeder services)29.</w:t>
      </w:r>
    </w:p>
    <w:p>
      <w:r>
        <w:t>22. In addition to the main activity of unloading and loading goods contained in containers, the parties to the proceedings carry out a series of additional activities related to unloading such as: i) the movement of containers within the Terminal; ii) the custody of unloaded containers and the goods contained therein during the period they are stored in the areas belonging to the companies (port stops); iii) assistance with other activities related to the unloaded containers such as, for example, emptying/filling and carrying out customs checks.</w:t>
      </w:r>
    </w:p>
    <w:p>
      <w:r>
        <w:t>23. The exercise of the aforementioned activities in the port area is subject, pursuant to Article 16, paragraph 3, to the issuance of an authorization by the Port System Authority, and the authorized companies are registered in specific registers "and are subject to the payment of an annual fee and the provision of a security deposit determined by the same authorities"30.</w:t>
      </w:r>
    </w:p>
    <w:p>
      <w:r>
        <w:t>24. The operations of handling goods via containers and the ancillary services are carried out by authorized terminal operators within the specific areas and docks subject to the relevant public concessions, granted pursuant to Article 18 of Law No. 84/1994, as amended by Law No. 118/2022. The aforementioned Article 18, in paragraph 1, expressly provides that "the Port System Authority and, where not established, the Maritime Authority, grant the public areas and docks included within the port area to the companies referred to in Article 16, paragraph 3, for the performance of port operations [...]" and further that "[...] The concessions are awarded, following the determination of the relevant fees, also commensurate with the volume of port traffic carried out there, based on public procedures, initiated also at the request of parties, with the publication of a notice, in compliance with the principles of transparency, impartiality, and proportionality, ensuring conditions of effective competition"31.</w:t>
      </w:r>
    </w:p>
    <w:p>
      <w:r>
        <w:t>25. In the Port of Naples, whose area is divided into different functional areas32 and which falls under the jurisdiction of the Central Tyrrhenian Port System Authority (like the Ports of Salerno33 and Castellammare di Stabia34), the following entities are currently present as operators holding concessions for the performance of container handling activities35:</w:t>
      </w:r>
    </w:p>
    <w:p>
      <w:r>
        <w:t>Table 1 – Terminal Operators of the Port of Naples</w:t>
        <w:br/>
        <w:t>Name Purpose</w:t>
        <w:br/>
        <w:t>Conateco S.p.A. Container terminal</w:t>
        <w:br/>
        <w:t>Container terminal and various types of cargo</w:t>
        <w:br/>
        <w:t>So.te.co S.r.l. Cargo handled by Ro-Ro and Lo-Lo ships</w:t>
        <w:br/>
        <w:t>Terminal Flavio Gioia S.p.A. Container terminal and various cargo</w:t>
        <w:br/>
        <w:t>Source: point 2, doc. 53.</w:t>
      </w:r>
    </w:p>
    <w:p>
      <w:r>
        <w:t>26. As confirmed by the AdSP-MTC, these operators, namely the parties to the proceedings, represent all the terminal operators offering container handling services along with ancillary services in the Port of Naples36, with market shares, in volume and value, reported in the table below.</w:t>
      </w:r>
    </w:p>
    <w:p>
      <w:r>
        <w:t>Table 2 - Market share of the parties in volume and value</w:t>
        <w:br/>
        <w:t>Market share - Total number (import and export) Market share - Revenue</w:t>
        <w:br/>
        <w:t>containers (20’ and 40’)</w:t>
        <w:br/>
        <w:t>2022 2023 2022 2023</w:t>
        <w:br/>
        <w:t>[15- TFG 20-25%] [20-25%] [15-20%] [20%]</w:t>
        <w:br/>
        <w:t>[70- CONATECO [70-75%] [75-80%] [70-75%] [75%]</w:t>
        <w:br/>
        <w:t>SOTECO [1-5%] [1-5%] [5-10%] [5-10%]</w:t>
        <w:br/>
        <w:t>Total 100.0% 100.0% 100.0% 100.0%</w:t>
        <w:br/>
        <w:t>Source: docs. 53; 65, annex 1 and 68, annexes 1 and 2.</w:t>
      </w:r>
    </w:p>
    <w:p>
      <w:r>
        <w:t>The demand for services offered by terminal operators</w:t>
      </w:r>
    </w:p>
    <w:p>
      <w:r>
        <w:t>27. The terminal operators primarily serve shipping companies active in international maritime freight transport37 and maintain commercial relationships with freight forwarders who organize the transport of goods on behalf of third parties.</w:t>
      </w:r>
    </w:p>
    <w:p>
      <w:r>
        <w:t>28. Shipping companies are contractually bound to terminal operators, with contracts known as Terminal Service Agreements (TSA), which govern the handling of containers (unloading, loading, transshipment) and the related handling activities, i.e., the typical activity carried out by terminal operators38. These activities are therefore performed on behalf of the shipping companies' clientele and compensated based on the multi-year contracts signed with them. In general, indeed, the costs of handling goods within the terminal (Terminal Handling Charges, THC) are paid by the shipping companies, which typically pass the related cost on to the final recipient of the goods39.</w:t>
      </w:r>
    </w:p>
    <w:p>
      <w:r>
        <w:t>29. Freight forwarders provide assistance services for logistical and customs activities - for example, customs clearance, unloading assistance, transport, and ancillary services - for importers and exporters of goods transported by sea. In particular, they organize the transport of goods on behalf of their clients, based on their needs, as intermediaries or freight agents. To this end, freight forwarders enter into contracts with various interested parties, primarily with shipping companies36. Since the Port of Naples is a so-called direct call port that almost exclusively performs functions as a port of origin/destination for goods, the main activity carried out by the parties is represented by transit activity, while transshipment activity (understood as feeder services) is performed almost entirely only to a marginal extent.37 For example, TFG currently operates for the following Shipping Companies: CMA-CGM, HAMBURG SUD, HAPAG LLOYD, MAERSK, MELFI, MSC, ONE (source: https://www.flaviogioia.it/container/).38 See doc. 4.39 See TFG statements in doc. 35.</w:t>
      </w:r>
    </w:p>
    <w:p>
      <w:r>
        <w:rPr>
          <w:b/>
        </w:rPr>
        <w:t>[Pages 10–12]</w:t>
      </w:r>
    </w:p>
    <w:p>
      <w:r>
        <w:t>12 BULLETIN NO. 33 OF AUGUST 19, 2024</w:t>
      </w:r>
    </w:p>
    <w:p>
      <w:r>
        <w:t>shipping companies that provide, for what is relevant in this context, liner shipping services via container.40</w:t>
      </w:r>
    </w:p>
    <w:p>
      <w:r>
        <w:t>30. Generally, shippers do not have direct contractual relationships with the port terminal operator. However, the latter charges shippers a fee based on the ancillary services requested for the goods in port after unloading/loading. Such services may include, by way of example: (i) movements to the yard for customs checks; (ii) unloading of containers and extraction of goods; (iii) intra-terminal transfers following a change of ship/voyage; (iv) transfers for phytosanitary inspections; and (v) storage services for goods at the yard (stays)41. The costs of activities carried out following unloading in the interest of the goods are charged by the terminal operator directly to the parties that collect the containers from the terminal on behalf of the final recipients, namely the shippers or, in some cases, directly to the owners of the goods42.</w:t>
      </w:r>
    </w:p>
    <w:p>
      <w:r>
        <w:t>31. In the context outlined above, characterized by complex and interconnected contractual and commercial relationships, Conateco, Soteco, and TFG operate, which represent, as seen, the entirety of the companies active in the port area of Naples in offering goods handling services via container along with ancillary services, namely the services involved in the agreement. These are companies that maintain contractual relationships with large operators active at the international level. In particular, Conateco and Soteco, controlled by Marinvest, belong to the MSC group, one of the main groups operating internationally in the sectors of passenger shipping and cruises, cargo shipping, port handling services, and logistics.</w:t>
      </w:r>
    </w:p>
    <w:p>
      <w:r>
        <w:t>IV.2 The documentation on file related to the agreement</w:t>
      </w:r>
    </w:p>
    <w:p>
      <w:r>
        <w:t>32. The documentation overall acquired on file, described in detail below, provides unequivocal evidence of the existence of a price agreement among competitors aimed at coordinating commercial strategies in alteration of competitive dynamics. The parties have indeed agreed to jointly react to the increase in costs (in particular those related to concession fees) incurred in carrying out their terminal operator activities, through the introduction of the same tariff increase.</w:t>
      </w:r>
    </w:p>
    <w:p>
      <w:r>
        <w:t>IV.2.1 The joint communication</w:t>
      </w:r>
    </w:p>
    <w:p>
      <w:r>
        <w:t>33. The existence of an agreement among the parties is first evidenced by doc. 9, containing a joint communication signed by Conateco, TFG, and Soteco, dated January 23, 2023, addressed to the associations A.C.C.S.E.A., ASSOSPENA, the Customs Shippers' Compartment Council of Naples, and for information to the AdSP-MTC, in which it is acknowledged that these operators have decided to "introduce, in their respective tariffs, a new item, conveniently named 'energy surcharge' which will be applied from the next 1.2.2023 to all import containers that will disembark at their respective terminals, in the amount of 25 euros for each 20’ container and 30 euros for each 40’ container." Furthermore, the note indicates that "the amount will be invoiced upon the container's exit from the terminal, along with any other expenses incurred after unloading"43.</w:t>
      </w:r>
    </w:p>
    <w:p>
      <w:r>
        <w:t>34. In the communication, the cited companies also clarify that "they are facing a situation of generalized cost increases that find their genesis mainly in the extraordinary events that have occurred in the last 2/3 years, foremost among them the global pandemic and the conflict between Russia and Ukraine. In particular, this has led to an 'unpredictable and disproportionate increase in electricity costs (+130% compared to 2021) and other fuel sources (+40% diesel for road use) as well as in the increase/adaptation of concession fees which has reached an incredible increase of 25%, following the 10% increase recorded the previous year"44.</w:t>
      </w:r>
    </w:p>
    <w:p>
      <w:r>
        <w:t>IV.2.2 The reaction of the shippers</w:t>
      </w:r>
    </w:p>
    <w:p>
      <w:r>
        <w:t>35. From the information acquired, it appears that in response to the decision of the companies TFG, Conateco, and Soteco to introduce a new tariff item, there was an almost immediate reaction from the shippers. The port logistics associations adhering to Confetra, recipients of the communication, in a response dated January 27, 202345, expressed to the involved terminal operators their opposition to the application of this tariff item to the category of shippers, believing that the natural recipients of it should have been the shipping companies, namely the true clients of the cited operators "to whom our associates already pay for all ancillary services," clarifying, in fact, that "We, as shippers, cannot be involved in increases for services not requested and not within our competence."</w:t>
      </w:r>
    </w:p>
    <w:p>
      <w:r>
        <w:t>IV.2.3 The joint reply of the terminal operators</w:t>
      </w:r>
    </w:p>
    <w:p>
      <w:r>
        <w:t>36. Also on January 27, 2023, immediately after receiving the communication from the shippers, the parties drafted and disseminated another joint statement to reaffirm the decision to proceed "to apply the new tariff item under the terms of commencement already indicated." This document serves as further evidence of the agreement among the parties regarding the alignment of their respective conduct in the market, and indeed, in this communication, the cited operators also adopt a new common position, contemplating a possible modification of what has already been established. In fact, TFG, Conateco, and Soteco express the possibility of "a dialogue aimed at a revision of our decision" (emphasis added) should the AdSP MTC intervene to sterilize or minimize the increase in concession fees.</w:t>
      </w:r>
    </w:p>
    <w:p>
      <w:r>
        <w:t>IV.2.4 The acknowledgment by the shippers</w:t>
      </w:r>
    </w:p>
    <w:p>
      <w:r>
        <w:t>37. Confetra Campania46, finally, with a statement dated February 1, 2023, acknowledging the decision of the terminal companies at the port of Naples, highlighted to these operators the absence of similar initiatives in other Italian port realities, emphasizing that this "should perhaps lead to a more careful consideration regarding tariff actions that would result in a migration of traffic to other ports, even within our own region"47.</w:t>
      </w:r>
    </w:p>
    <w:p>
      <w:r>
        <w:t>IV.2.5 The application of the new tariff item</w:t>
      </w:r>
    </w:p>
    <w:p>
      <w:r>
        <w:t>38. Effective from February 1, 2023, as announced, TFG, Conateco, and Soteco have indeed introduced the so-called "energy surcharge" on import containers, thus requiring shippers, at the time of the container's exit from the terminal, to pay 25 euros for 20-foot containers and 30 euros for 40-foot containers.</w:t>
      </w:r>
    </w:p>
    <w:p>
      <w:r>
        <w:t>39. This tariff, identical in amount for all terminal operators who signed the agreement, is presented, as clarified by the parties, as a "lump-sum compensatory measure"48 to cover (allegedly partial) the expected cost increases in 2023.</w:t>
      </w:r>
    </w:p>
    <w:p>
      <w:r>
        <w:t>40. From the information on file, it appears, in particular, that TFG applied the tariff in question from February 1, 2023, to September 30, 202349. During this period, TFG is reported to have handled [omitted] and [omitted] containers respectively of 20’ and 40’. Conateco and Soteco applied the cited tariff to shippers for the unloading of import containers at their respective terminals until August 20, 2023. During this time frame, Conateco applied the tariff to [omitted] and [omitted] containers respectively of 20’ and 40’, while Soteco applied it to [omitted] containers of 20’ and [omitted] containers of 40’.</w:t>
      </w:r>
    </w:p>
    <w:p>
      <w:r>
        <w:t>IV.2.6 The increase in costs</w:t>
      </w:r>
    </w:p>
    <w:p>
      <w:r>
        <w:t>41. In the communication dated January 23, 2023, described above, the parties represented a picture characterized by significant cost increases, particularly those related to electricity, other fuel sources, and concession fees. The information collected confirms a general increase in the costs of the identified items, but in the terms indicated below.</w:t>
      </w:r>
    </w:p>
    <w:p>
      <w:r>
        <w:t>42. In particular, with reference to electricity, from the information acquired it appears50 that, compared to 2021, there was indeed a significant increase in costs in euros/Megawatt in 2022 for all three terminal companies - [omitted], [omitted], and [omitted] respectively for Conateco, Soteco, and TFG51 - while between 2022 and 2023 this upward trend slowed for Soteco ([omitted]) and TFG ([omitted]) and, in the case of Conateco, even reversed ([omitted]).</w:t>
      </w:r>
    </w:p>
    <w:p>
      <w:r>
        <w:t>43. Regarding other fuel sources, similarly, the evidence collected52 highlights a trend towards an increase in the average purchase price per liter of fuel for both Conateco and Soteco, particularly in 2022 for the former ([omitted]) and in 2023 for the latter ([omitted]). Regarding TFG, a substantial stability is observed between 2022 and 202353.</w:t>
      </w:r>
    </w:p>
    <w:p>
      <w:r>
        <w:t xml:space="preserve">47 See docs. 10 and 66.  </w:t>
        <w:br/>
        <w:t xml:space="preserve">48 See doc. 4.  </w:t>
        <w:br/>
        <w:t xml:space="preserve">49 See doc. 53, annex 1.  </w:t>
        <w:br/>
        <w:t xml:space="preserve">50 See docs. 4, annex 1; 5, annex 1; 6, annex 2; 65, annex 6 and 68, annexes 1 and 2.  </w:t>
        <w:br/>
        <w:t xml:space="preserve">51 In order to ensure comparability among the parties, in the case of TFG, the variation in cost in euros/Megawatt related to the entire company was considered.  </w:t>
        <w:br/>
        <w:t xml:space="preserve">52 See docs. 4, annex 1; 5, annex 1; 65, annex 6 and 68, annexes 1 and 2.  </w:t>
        <w:br/>
        <w:t>53 Again, the variation in cost in euros/Megawatt related to the entire company was considered.</w:t>
      </w:r>
    </w:p>
    <w:p>
      <w:r>
        <w:rPr>
          <w:b/>
        </w:rPr>
        <w:t>[Pages 13–15]</w:t>
      </w:r>
    </w:p>
    <w:p>
      <w:r>
        <w:t>BULLETIN NO. 33 OF AUGUST 19, 2024</w:t>
      </w:r>
    </w:p>
    <w:p>
      <w:r>
        <w:t>44. With reference to the concession fees, Article 18 of Law No. 84/1994, titled "Reorganization of Port Legislation," provides that they must be determined by the Port System Authorities before the granting of concessions and "[...] also commensurate with the volume of port traffic carried out there [...]". It is also stipulated that, by decree of the Ministry of Infrastructure and Transport, in agreement with the Minister of Economy and Finance, the criteria for identifying the limits of the fees to be borne by the concessionaires must be defined (Article 18, paragraph 2, letter e).</w:t>
      </w:r>
    </w:p>
    <w:p>
      <w:r>
        <w:t>45. Therefore, the interministerial decree No. 202/2022 titled "Regulations for the granting of concessions for state-owned areas and docks" has been adopted, which, in Article 5, establishes the criteria for determining the fee, consisting of a fixed component, dependent on the location and the amount of investments proposed by the concessionaire, and a variable component, subject to periodic updates in accordance with the criteria established in Resolution No. 57, of May 30, 2018, of the Transport Regulatory Authority. By decree No. 110, of April 21, 2023, the Ministry of Infrastructure and Transport subsequently adopted specific guidelines on the application methods of Regulation No. 202/2022, which further detail the regulations regarding the granting of concessions, the verification of their economic-financial balance, and the indicators for determining the variable component of the fee.</w:t>
      </w:r>
    </w:p>
    <w:p>
      <w:r>
        <w:t>46. The concession fees requested by the AdSP-MTC within its areas of competence, which includes, as seen, the port of Naples, have been determined by applying the ISTAT adjustments over the years according to the indicators transmitted by the MIT54.</w:t>
      </w:r>
    </w:p>
    <w:p>
      <w:r>
        <w:t>Table 3 ISTAT index 2021-2023</w:t>
        <w:br/>
        <w:t>2021 2022 2023</w:t>
        <w:br/>
        <w:t>ISTAT Index -1.85% 7.95% 25.15%</w:t>
        <w:br/>
        <w:t>Source doc. 53</w:t>
      </w:r>
    </w:p>
    <w:p>
      <w:r>
        <w:t>47. In 2022 and 2023, there was thus an increase in the fees owed by all holders of concessions under Article 18 of Law No. 84/1994 at the port of Naples, including the parties to the proceedings.</w:t>
      </w:r>
    </w:p>
    <w:p>
      <w:r>
        <w:t>48. Finally, it appears that to mitigate the effects of the adjustment of the unitary measures of the 2023 fees, namely the ISTAT index of 25.15%, the aforementioned Port Authority adopted two measures. These are Presidential Resolutions No. 20 of January 31, 2023, and No. 183 of July 19, 2023, which introduced, for the ports under its jurisdiction, extensions of the payment terms for maritime state-owned fees55.</w:t>
      </w:r>
    </w:p>
    <w:p>
      <w:r>
        <w:t>49. The parties have had the opportunity to present their defenses in the proceedings both during the hearings with the Offices and the final hearing with the College, as well as through the documentation submitted to the records.</w:t>
      </w:r>
    </w:p>
    <w:p>
      <w:r>
        <w:t>V.1 The relevant market</w:t>
      </w:r>
    </w:p>
    <w:p>
      <w:r>
        <w:t>50. The companies contested the definition of the relevant market hypothesized by the Offices both from the product perspective and the geographical dimension56.</w:t>
      </w:r>
    </w:p>
    <w:p>
      <w:r>
        <w:t>51. From the product perspective, for the parties, the market should be identified exclusively based on the product scope actually affected by the energy surcharge, namely the sole activity of handling import containers.</w:t>
      </w:r>
    </w:p>
    <w:p>
      <w:r>
        <w:t>52. In particular, this activity would be the most affected by the increase in management costs since it would require the completion of a whole series of additional activities compared to the handling of export containers57. Secondly, according to the parties, if one were to follow the Authority's reconstruction, the entire range of activities carried out by terminal operators should be included in the relevant market, including the handling of liquid bulk goods operated by TFG.</w:t>
      </w:r>
    </w:p>
    <w:p>
      <w:r>
        <w:t>53. From the geographical perspective, the relevant territorial scope should not be limited to the port of Naples but, also in light of the Authority's precedents in this matter, should concern all ports located within a catchment area of about 200-300 km where container handling activities are carried out, namely the ports of Salerno, Civitavecchia, and Bari.</w:t>
      </w:r>
    </w:p>
    <w:p>
      <w:r>
        <w:t>54. In particular, for TFG, the port of Salerno would have an area designated for containerized goods of over 120,000 square meters, would fall within the jurisdiction of the same AdSP of the port of Naples, and would be located only about 50 km from it. For these reasons, the market shares of the parties would be significantly lower than those indicated in the CRI58.</w:t>
      </w:r>
    </w:p>
    <w:p>
      <w:r>
        <w:t>V.2 Inadequacy of the agreement to restrict competition</w:t>
      </w:r>
    </w:p>
    <w:p>
      <w:r>
        <w:t>55. The object of the agreement would not have been to restrict competition among the terminal operators at the port of Naples, but rather to act, with an attempt at collective pressure, on the AdSP-MTC to induce it to change its decision to increase the concession fees59.</w:t>
      </w:r>
    </w:p>
    <w:p>
      <w:r>
        <w:t>56. According to the parties, the joint communication would be justified by the increase in costs incurred following the rise, starting from the end of 2021, of energy prices and, from 2023, of the concession fees60. Such increases would be due to exogenous factors that would have affected all three terminal operators equally. The cited economic contingencies would have inevitably led the terminal operators to request, even unilaterally, an increase in the fee from shippers61.</w:t>
      </w:r>
    </w:p>
    <w:p>
      <w:r>
        <w:t>57. The new tariff item would therefore have aimed to recover, at least partially, the higher costs incurred. It follows that the agreement on the energy surcharge would differ from a typical cartel among companies aimed at raising prices62.</w:t>
      </w:r>
    </w:p>
    <w:p>
      <w:r>
        <w:t>58. In particular, for TFG, the joint communication to shippers regarding the introduction of the "energy surcharge" would represent an initiative likely inspired by the specific customs of the maritime sector, in which joint announcements are traditionally used63. In the maritime sector, transparency plays a fundamental role, so much so that even in the market in question, every tariff increase is public and must be communicated to the AdSP. It is in this peculiar context, therefore, that the joint communication of the parties should be read, aimed, in good faith, at ensuring maximum transparency. According to TFG, the nature of restriction by object would be diminished where the conduct is adequately considered in its context64.</w:t>
      </w:r>
    </w:p>
    <w:p>
      <w:r>
        <w:t>59. The application of the energy surcharge exclusively to shippers would derive from what is generally established in contracts with shipping companies, which would provide that expenses following unloading – including port stops – must be charged directly to the parties that collect the containers from the terminal, namely the shippers. This choice would also therefore be, according to the parties, entirely legitimate65.</w:t>
      </w:r>
    </w:p>
    <w:p>
      <w:r>
        <w:t>60. In particular, for Soteco and Conateco, the absence of a restriction of competition by object would also be due to the presence, within the catchment area related to the port of Naples (see above), of several other ports - particularly Salerno, Civitavecchia, and Bari - where a high number of containers would be handled and the same shipping companies active on comparable routes would be present. These ports would also have, according to the two companies, a high storage capacity for containers that would allow shippers to choose from the shipowners operating there. All this would translate into a significant competitive constraint on the terminal operators at the port of Naples.</w:t>
      </w:r>
    </w:p>
    <w:p>
      <w:r>
        <w:t>61. Not only would there be other terminal operators in the ports located in the relevant market, but the parties would not even be the only operators at the port of Naples engaged in container handling, as other companies authorized under Article 16 of Law No. 84/1994 to carry out port operations at the aforementioned port would also be active, concessionaires of areas in the port.</w:t>
      </w:r>
    </w:p>
    <w:p>
      <w:r>
        <w:rPr>
          <w:b/>
        </w:rPr>
        <w:t>[Pages 16–18]</w:t>
      </w:r>
    </w:p>
    <w:p>
      <w:r>
        <w:t>18 BULLETIN NO. 33 OF AUGUST 19, 2024</w:t>
      </w:r>
    </w:p>
    <w:p>
      <w:r>
        <w:t>pursuant to Article 18 of the same law. In particular, at least three other companies, namely Logistica Portuale, De Luca Impresa Marittima, and Magazzini Generali e Silos S.p.A., would be able to provide the same ancillary services to shippers (customs formalities, resealing, stacking, and storage of containers)66.</w:t>
      </w:r>
    </w:p>
    <w:p>
      <w:r>
        <w:t>62. In any case, the situation could be considered, in substance, a de minimis, given the limited impact of the conduct.</w:t>
      </w:r>
    </w:p>
    <w:p>
      <w:r>
        <w:t>63. In particular, the energy surcharge would represent a marginal item compared to the overall cost of transportation, so much so that the choice of the shipowner by the final customer would depend primarily on the freight price and not on this cost item. The case would therefore also be attributable to a de minimis in that the applied tariff would represent a marginal component of the overall price borne by the parties on behalf of whom the goods would be transported67.</w:t>
      </w:r>
    </w:p>
    <w:p>
      <w:r>
        <w:t>64. The tariff would also have a minimal impact on the costs incurred by shippers68, which would, in any case, be passed on by them to the final customers69.</w:t>
      </w:r>
    </w:p>
    <w:p>
      <w:r>
        <w:t>65. The ineffectiveness of the energy surcharge to alter market dynamics would also be supported, on the one hand, by the fact that, following its introduction, the tariffs practiced by the parties would have been extremely diversified and, on the other hand, that the increase in costs borne by shippers would be a negligible part of both the average value of the goods (less than 0.1%) and the average transportation cost (for example, in the case of a 40' container coming from the Far East, 0.7%)70. On this point, TFG emphasized that the amount of the energy surcharge would be entirely negligible compared to the value of the goods handled and the value of the services provided by the company as a port terminal operator, representing a percentage of its revenue of less than 3%71.</w:t>
      </w:r>
    </w:p>
    <w:p>
      <w:r>
        <w:t>V.3 The absence of anticompetitive effects</w:t>
      </w:r>
    </w:p>
    <w:p>
      <w:r>
        <w:t>66. Similarly, the parties to the proceedings assert that the introduction of the energy surcharge would not have had anticompetitive effects72.</w:t>
      </w:r>
    </w:p>
    <w:p>
      <w:r>
        <w:t>67. First, the parties would not be in a direct competition relationship, since their respective clientele would only partially overlap given that the activities carried out by the concerned Terminals would not be entirely interchangeable (either because performed in different ways or because relating to different services)73.</w:t>
      </w:r>
    </w:p>
    <w:p>
      <w:r>
        <w:t>68. Furthermore, according to Conateco and Soteco, the amount actually billed to shippers in relation to the energy surcharge would not have been sufficient to cover the sum of the additional costs incurred, retrospectively, by Conateco and Soteco in 2022 and 2023 compared to 202174. This would be true, according to Conateco and Soteco, even if one assumes the non-suspension of the energy surcharge by the two companies75. For Conateco and Soteco, the energy surcharge would not have covered even the costs incurred for the handling of import containers during the period of its application76.</w:t>
      </w:r>
    </w:p>
    <w:p>
      <w:r>
        <w:t>69. TFG also highlighted the very low incidence that this tariff item would have on the costs of shippers, confirmed by the fact that following the introduction of the contested tariff, TFG would not have lost customers77.</w:t>
      </w:r>
    </w:p>
    <w:p>
      <w:r>
        <w:t>70. Moreover, given the immediate suspension by the parties of the application of the tariff item in question, carried out following the opening of the investigation procedure, the conduct subject to contestation would not have produced tangible effects on the market78.</w:t>
      </w:r>
    </w:p>
    <w:p>
      <w:r>
        <w:t>71. In particular, Soteco and Conateco, after the suspension of the energy surcharge, would have awaited a substantial equivalence between the amount of the suspended tariff and the amount of the tariff applied before making any revision of their pricing, in order to ensure the full refund of the energy surcharge to shippers.</w:t>
      </w:r>
    </w:p>
    <w:p>
      <w:r>
        <w:t>V.4 The suitability of the commitments presented to eliminate any anticompetitive profiles</w:t>
      </w:r>
    </w:p>
    <w:p>
      <w:r>
        <w:t>72. According to TFG, the Authority's decision to reject the commitments presented by the company would be unlawful, as it cannot be deemed "inappropriate" to close the case with the acceptance of the commitments in this instance. This is because: i) the joint communication would find its basis in the transparency requirement typical of the sector; ii) the conduct would lack the requirement of secrecy; iii) there would be no profit motive, and iv) there would be no significant effects on the market. The proposed measures would also have been suitable to remove the competitive issues outlined at the start of the procedure.</w:t>
      </w:r>
    </w:p>
    <w:p>
      <w:r>
        <w:t>V.5 Observations on severity and duration</w:t>
      </w:r>
    </w:p>
    <w:p>
      <w:r>
        <w:t>73. Regarding the severity of the alleged infringement, the parties believe that, even if duly proven, the conduct should not be considered a serious restriction of competition79.</w:t>
      </w:r>
    </w:p>
    <w:p>
      <w:r>
        <w:t>74. The non-severity of the infringement would derive, first of all, from the lack of secrecy of the agreement, reached in a regulatory context, such as that of terminal and port services characterized, by law, by the complete transparency of the applied tariffs80.</w:t>
      </w:r>
    </w:p>
    <w:p>
      <w:r>
        <w:t>75. Such a context would exclude any harmful effect on competition since, in the absence of coordination, the potential consequences on the market would have been identical. Furthermore, given the total transparency of prices, the agreement would not have eliminated or mitigated the degree of uncertainty regarding the behavior of competitors. At the same time, in this context, the agreement would have provided, on the one hand, the opportunity for competing terminal operators operating in neighboring ports to increase their competitiveness – choosing not to raise tariffs – while leaving, on the other hand, the opportunity for customers to choose a supplier operating in another port.</w:t>
      </w:r>
    </w:p>
    <w:p>
      <w:r>
        <w:t>76. The contested conduct would not present an objective ability to produce competitive effects, and there would be no evidence to support this aspect.</w:t>
      </w:r>
    </w:p>
    <w:p>
      <w:r>
        <w:t>77. The conduct would have had a negligible or at most minimal anticompetitive impact (see above), especially considering the short duration of the application of the energy surcharge81.</w:t>
      </w:r>
    </w:p>
    <w:p>
      <w:r>
        <w:t>78. Finally, the anticompetitive intent of the agreement would not have been proven, and final consumers would not have suffered damages from the application of the tariff.</w:t>
      </w:r>
    </w:p>
    <w:p>
      <w:r>
        <w:t>V.6 Observations on the criteria for calculating the sanction</w:t>
      </w:r>
    </w:p>
    <w:p>
      <w:r>
        <w:t>79. The parties believe that the value of sales to be used for the quantification of the sanction in this case should be that relating only to the handling of import containers82 since "the energy surcharge was applied only for the services of handling full containers entering, and not also with reference to other services of handling containers nor, let alone, with reference to ancillary services for the handling of goods in containers in import or destined for export"83.</w:t>
      </w:r>
    </w:p>
    <w:p>
      <w:r>
        <w:t>80. The use of revenue that included the entire activity of handling goods via containers and the ancillary services performed at the port of Naples would be disproportionate, considering that the handling of import containers would amount to a marginal portion of the overall revenue of the parties84.</w:t>
      </w:r>
    </w:p>
    <w:p>
      <w:r>
        <w:t>81. In particular, for TFG, the consequences of applying a sanction could be significantly disproportionate compared to the actual impact of the conduct in question, jeopardizing the management of the terminal in the port of Naples by one of the independent companies operating in the port85.</w:t>
      </w:r>
    </w:p>
    <w:p>
      <w:r>
        <w:t>82. The parties have also highlighted that the sanction should be reduced due to some mitigating circumstances pursuant to §23 of the Guidelines on sanctions86.</w:t>
      </w:r>
    </w:p>
    <w:p>
      <w:r>
        <w:t>83. First, the voluntary suspension of conduct by Conateco and Soteco would not represent a mere interruption of the unlawful conduct, but a "genuine repentance" since, following the suspension of the energy surcharge, the two terminal operators would have decided to</w:t>
      </w:r>
    </w:p>
    <w:p>
      <w:r>
        <w:t>81 See, in particular, for Conateco and Soteco, the starting date of the infringement should coincide with the date on which it began to have effects on the market. Consequently, the period of the violation to be considered for the quantification of the sanction would run from February 1 to August 20, 2023 (see doc. 106 and the minutes of the final hearing before the College on June 18, 2024).</w:t>
      </w:r>
    </w:p>
    <w:p>
      <w:r>
        <w:t>82 See docs. 103 and 106.</w:t>
      </w:r>
    </w:p>
    <w:p>
      <w:r>
        <w:t>83 See doc. 103.</w:t>
      </w:r>
    </w:p>
    <w:p>
      <w:r>
        <w:t>84 See doc. 106.</w:t>
      </w:r>
    </w:p>
    <w:p>
      <w:r>
        <w:t>85 See doc. 103.</w:t>
      </w:r>
    </w:p>
    <w:p>
      <w:r>
        <w:t>86 See doc. 106.</w:t>
      </w:r>
    </w:p>
    <w:p>
      <w:r>
        <w:rPr>
          <w:b/>
        </w:rPr>
        <w:t>[Pages 19–21]</w:t>
      </w:r>
    </w:p>
    <w:p>
      <w:r>
        <w:t>BULLETIN NO. 33 OF AUGUST 19, 2024</w:t>
      </w:r>
    </w:p>
    <w:p>
      <w:r>
        <w:t>21. not to unilaterally reintroduce a similar tariff, effectively renouncing to recover the higher costs incurred. This choice would have been made with a clearly restitutive perspective, since the amount charged to shippers with the energy surcharge was found to have been almost fully compensated by the end of February 2024.</w:t>
      </w:r>
    </w:p>
    <w:p>
      <w:r>
        <w:t>83. As for the compliance programs, TFG believes that the program presented in a timely manner has all the necessary requirements to be considered for the recognition of a reduction of the sanction as a mitigating circumstance. Conateco and Soteco, on the other hand, believe that the programs they presented and implemented87 should be valued, even in the absence of a similar program presented by the parent company Marinvest. Otherwise, these companies would be excessively penalized due to the inertia of the parent company88.</w:t>
      </w:r>
    </w:p>
    <w:p>
      <w:r>
        <w:t>84. For Conateco and Soteco, the Ethical Codes already adopted in the past89 would essentially qualify as antitrust compliance programs90 and, therefore, the programs they adopted following the initiation of the proceedings should not be considered "new" under the Guidelines on sanctions, but rather an update of not manifestly inadequate existing programs. The mitigating factor related to compliance should therefore lead to a reduction of the sanction of up to a maximum of 10% of the sanction itself.</w:t>
      </w:r>
    </w:p>
    <w:p>
      <w:r>
        <w:t>85. In relation to the antitrust compliance programs presented following the initiation of the proceedings by Conateco and Soteco, Marinvest observes that point 44 of the Guidelines requires that it is the controlled companies - in cases of infringements attributed to them - that must have their own antitrust compliance program91. The presentation of the Programs by Conateco and Soteco deserves to be appreciated not only for its intrinsic value but also as an expression of a specific endorsement of the initiative by the parent company Marinvest, which has not adopted its own program because - in the absence of business activity - its personnel, composed of only a few units, would not have any role that could be considered exposed to the risk of causing market behaviors contrary to competition law92.</w:t>
      </w:r>
    </w:p>
    <w:p>
      <w:r>
        <w:t>87. See doc 52.</w:t>
      </w:r>
    </w:p>
    <w:p>
      <w:r>
        <w:t>88. See doc. 107. Conateco and Soteco also emphasize that Marinvest is a non-operating financial holding and not active in the provision of goods/container handling services at the port of Naples or in other areas.</w:t>
      </w:r>
    </w:p>
    <w:p>
      <w:r>
        <w:t>89. See doc. 107. Conateco and Soteco had adopted such Ethical Codes in July 2013 and May 2022, respectively.</w:t>
      </w:r>
    </w:p>
    <w:p>
      <w:r>
        <w:t>90. See doc. 107. In particular, the Ethical Codes: (i) clearly recognize the value of competition as an integral part of corporate culture and policy, (ii) establish a supervisory body that deals with the enforcement of the provisions contained therein, (iii) provide management processes aimed at reducing the risk of violations of competition law, (iv) are monitored and regularly updated, and (v) provide for a system of disciplinary measures functional to compliance with the obligations established therein.</w:t>
      </w:r>
    </w:p>
    <w:p>
      <w:r>
        <w:t>91. See communication of June 13, 2024 (doc. 101).</w:t>
      </w:r>
    </w:p>
    <w:p>
      <w:r>
        <w:t>92. Nevertheless, the Company emphasizes that the value of competition would still be central to the culture and policy of the company, whose Organization and Management Model pursuant to Legislative Decree No. 231/2001, approved by the Board of Directors of the company on March 21, 2024, imposes compliance with an Ethical Code that constitutes an integral part and expressly provides that "the Company and all recipients commit to comply with antitrust regulations (which prohibit behaviors aimed at restricting competition) and to avoid any unfair action towards commercial counterparts" (paragraphs 6.10). On this point, Marinvest also recalls the guarantees defined in the context of the Marinvest/Ignazio Messina &amp; C. S.P.A. and Ro-Ro Italia operation, carried out in 2019.</w:t>
      </w:r>
    </w:p>
    <w:p>
      <w:r>
        <w:t>V.7 The imputability of the conduct to Marinvest</w:t>
      </w:r>
    </w:p>
    <w:p>
      <w:r>
        <w:t>86. Marinvest has represented the incorrectness of its involvement in the subjective perimeter of the infringement, considering the notion of a single economic unit inapplicable in this case with respect to itself and to Conateco and Soteco93.</w:t>
      </w:r>
    </w:p>
    <w:p>
      <w:r>
        <w:t>87. As a preliminary matter, according to the party, the recourse to this concept, according to EU jurisprudence, has as its main purpose to ensure the full effectiveness of the rules protecting competition in cases where - unlike the case at hand - significant factors of complexity are found in relation to the economic sectors considered or to the corporate events and structures of the companies involved.</w:t>
      </w:r>
    </w:p>
    <w:p>
      <w:r>
        <w:t>88. Marinvest would have a solely financial holding role and would not have actively participated in the contested conduct, nor would it have had prior knowledge of it. There would have been no communication between Marinvest and the controlled companies regarding the introduction of the energy surcharge, and there would be no statutory provisions governing such communication.</w:t>
      </w:r>
    </w:p>
    <w:p>
      <w:r>
        <w:t>89. Furthermore, Marinvest would not have been able to learn about the initiative even through its directors present on the Board of Directors of Conateco (there would be no Marinvest directors in Soteco), as this is a matter that - according to the statute of the controlled company - does not need to be discussed in advance in the Board of Directors. The mere ex post knowledge of the adoption of the energy surcharge by the controlled companies would contribute to refuting the existence of the presumption of a determining influence of Marinvest on Conateco and Soteco regarding the conduct under examination.</w:t>
      </w:r>
    </w:p>
    <w:p>
      <w:r>
        <w:t>90. In this case, Marinvest's involvement as a parent company would have no effect on the effectiveness of the Authority's action, since a correct quantification of the sanction would lead to an amount that could not exceed the contributory capacity of the companies on whose sales value it should be measured, so that joint liability of Marinvest would be superfluous and devoid of any deterrent effect.</w:t>
      </w:r>
    </w:p>
    <w:p>
      <w:r>
        <w:t>V.8 Observations of third parties intervening</w:t>
      </w:r>
    </w:p>
    <w:p>
      <w:r>
        <w:t>91. For Confetra and Fedespedi, the conduct of the parties could not be considered justified by the alleged increase in raw material costs, as claimed by the terminal companies, since during the period of validity of the tariff subject to the unlawful agreement, the price indices of electricity (PUN) and gas (daily price) would have significantly decreased (in particular, the price of gas would have decreased by about 50%)94.</w:t>
      </w:r>
    </w:p>
    <w:p>
      <w:r>
        <w:t>92. The surcharge would weigh significantly on the accounts of shippers, thus ultimately impacting the price paid by the final recipient of the goods.</w:t>
      </w:r>
    </w:p>
    <w:p>
      <w:r>
        <w:t>93. The services provided by the three terminal companies involved in the proceedings would be substantially interchangeable except for a particular type of activity carried out by Soteco, the only terminal operator at the port of Naples authorized to handle hazardous goods. In fact, shippers at the port of Naples would normally have commercial relationships with all three terminal operators active there95.</w:t>
      </w:r>
    </w:p>
    <w:p>
      <w:r>
        <w:t>93. See doc. 105, memorandum of June 14, 2024, and minutes of the final hearing before the Board on June 18, 2024.</w:t>
      </w:r>
    </w:p>
    <w:p>
      <w:r>
        <w:t>94. See doc. 47.</w:t>
      </w:r>
    </w:p>
    <w:p>
      <w:r>
        <w:t>95. See minutes of the hearing of Confetra and Fedespedi on April 2, 2024 (doc. 70-bis).</w:t>
      </w:r>
    </w:p>
    <w:p>
      <w:r>
        <w:rPr>
          <w:b/>
        </w:rPr>
        <w:t>[Pages 22–24]</w:t>
      </w:r>
    </w:p>
    <w:p>
      <w:r>
        <w:t>24 BULLETIN NO. 33 OF AUGUST 19, 2024</w:t>
      </w:r>
    </w:p>
    <w:p>
      <w:r>
        <w:t>services provided by terminal operators at the port of Naples consisting, in particular, of goods handling services via containers and so-called ancillary services.</w:t>
      </w:r>
    </w:p>
    <w:p>
      <w:r>
        <w:t>101. According to the parties, the relevant product market should be limited to the services, subsequent to unloading, of handling import containers. However, consistent with the established jurisprudential orientation mentioned above, it can only be observed that the agreement - which stems from the increase in costs recorded in the operation of the entire activity carried out by the terminal operators and which also concerns the choice of the category of customers to whom to apply the increase (shippers vs shipping companies) - was capable of altering the overall competitive dynamics between the parties and therefore must necessarily be evaluated in this context and not only within the scope of the post-unloading handling services of import containers.99</w:t>
      </w:r>
    </w:p>
    <w:p>
      <w:r>
        <w:t>102. With reference to the relevant geographical scope, which the parties believe should be broader than just the port of Naples, while recalling in this case the aforementioned jurisprudential principle, it is noted that, even considering the other ports identified by the parties (Salerno, Bari, and Civitavecchia), Naples would still have a significantly relevant weight, representing about 43% of the total capacity in square meters and 53% in the number of TEUs handled. Narrowing the focus to just the ports of Naples and Salerno, which are closer and more comparable in terms of served routes, these percentages would rise to 70% and 63%, respectively.</w:t>
      </w:r>
    </w:p>
    <w:p>
      <w:r>
        <w:t>VI.3 The agreement</w:t>
      </w:r>
    </w:p>
    <w:p>
      <w:r>
        <w:t>103. The documentation on record proves unequivocally that the companies TFG, Conateco, and Soteco have jointly defined the introduction of a new item called "energy surcharge" to be included in their respective tariffs applicable to import containers and have then effectively implemented the agreement as agreed.</w:t>
      </w:r>
    </w:p>
    <w:p>
      <w:r>
        <w:t>104. These operators have thus concluded a price agreement among competitors, which, as is known, constitutes one of the most serious restrictions of competition. The agreement, evidenced by the joint communication dated January 23, 2023100 described above, appears particularly pervasive and detailed, not limiting itself to the mere indication - already prejudicial to the normal functioning of competition - of the common decision to introduce a tariff increase.</w:t>
      </w:r>
    </w:p>
    <w:p>
      <w:r>
        <w:t>105. The parties to the proceedings have, in fact, identified the same tariff item, also establishing its amount, different for 20’ or 40’ containers (25 euros for the former, 30 euros for the latter), its effective date (for all from February 1, 2023), its precise scope of application (import containers), the category of subjects to which to apply it (the shippers), as well as the billing methods (the same was to occur at the time of the container's exit from the terminal)101.</w:t>
      </w:r>
    </w:p>
    <w:p>
      <w:r>
        <w:t>106. The illicit concertation among the parties is evidenced not only by the aforementioned agreement but also by the subsequent communication of January 27, 2023. In fact, even the decision not to possibly follow up on the application of the energy surcharge where the AdSP-MTC intervened to modify the requested fees is the result of discussions among competitors. In the joint communication, TFG, Conateco, and Soteco, aligning their commercial strategies, indeed express the possibility of "a dialogue aimed at a revision of our decision" (emphasis added).</w:t>
      </w:r>
    </w:p>
    <w:p>
      <w:r>
        <w:t>107. The evidence on record thus shows unequivocally that Conateco, Soteco, and TFG have agreed on the necessity to increase their tariffs to cope with overall cost increases "arising from multiple causes" and decided to apply the new tariff item only to import containers102. The parties, which represent all operators offering goods handling services via containers and ancillary services at the port of Naples (specifically, Conateco holding a share of [70-75%], Soteco a share of [5-10%], and TFG a share of [15-20%]), have concluded a price agreement and aligned their respective commercial strategies in alteration of the competitive dynamics of the market.</w:t>
      </w:r>
    </w:p>
    <w:p>
      <w:r>
        <w:t>108. What was agreed upon and announced to the market has then been concretely implemented. TFG, Conateco, and Soteco have indeed requested 25 euros for each 20’ import container and 30 euros for each 40’ import container starting from February 1, 2023.</w:t>
      </w:r>
    </w:p>
    <w:p>
      <w:r>
        <w:t>109. The agreement among the parties to the proceedings regarding the application of a new tariff item for import containers handled at the port of Naples thus constitutes a restrictive agreement of competition by object capable of altering the competitive dynamics of the relevant market in violation of Article 101 TFEU.</w:t>
      </w:r>
    </w:p>
    <w:p>
      <w:r>
        <w:t>110. As is known, in fact, "Coordination between companies has a clear anti-competitive object whenever companies engage in mutual collaboration with the aim of replacing competition with a mechanism of concertation of their respective pricing policies, eliminating the uncertainty arising from the unfolding of the free play of competition"103.</w:t>
      </w:r>
    </w:p>
    <w:p>
      <w:r>
        <w:t>111. Therefore, it cannot be accepted what the parties have proposed regarding the classification of the case subject to the proceedings as a sort of de minimis, given its limited impact, since it is a form of collusion attributable to a price agreement among competitors that "[...] falls among the most serious restrictions of competition already for its 'object' (so-called 'hardcore'), without the need for its effect to be proven"104. These are indeed agreements that, under the Commission's Communication regarding minor agreements105, cannot be classified by their nature as agreements that do not result in significant restrictions of competition even where the market shares held by the parties to the agreement were below 10% (a hypothesis that, moreover, in the case at hand is far from occurring)106.</w:t>
      </w:r>
    </w:p>
    <w:p>
      <w:r>
        <w:t>112. Moreover, the aforementioned agreement, contrary to what the parties claim, concerns, as clarified by the AdSP-MTC107, all operators holding concessions under Article 18 of Law No. 84/1994, who offer container handling services at the port of Naples. These are therefore the only operators in this port area that offer the entire range of services mentioned in a context, as seen, of intertwined and complex commercial relationships among a multitude of different types of operators (shipping companies, end customers, and shippers).</w:t>
      </w:r>
    </w:p>
    <w:p>
      <w:r>
        <w:t>113. In any case, contrary to what the parties claim, the presence of other operators offering ancillary post-unloading services at the port of Naples does not negate the suitability of the agreement on the energy surcharge to restrict competition since, as expressly agreed, "the amount [is] billed at the exit of the container from the terminal"108.</w:t>
      </w:r>
    </w:p>
    <w:p>
      <w:r>
        <w:t>114. In this context, therefore, in the presence of a price agreement among competitors evidenced in the records, the objections raised by the parties aimed at denying the illicit nature of the contested conduct or at circumscribing its suitability to restrict competition appear unfounded.</w:t>
      </w:r>
    </w:p>
    <w:p>
      <w:r>
        <w:t>115. In this sense, in particular, the irrelevance of the assertion that the agreed introduction of the new tariff would be legitimate since, on the one hand, justified by objective price increases in a context where any tariff would be public and should be communicated to the competent Port Authority and, on the other hand, because the economic and legal context would have led the parties to request shippers a tariff increase even in the absence of the agreement, is evident.</w:t>
      </w:r>
    </w:p>
    <w:p>
      <w:r>
        <w:t>116. In this regard, it must first be emphasized that it is in any case illicit, under antitrust legislation, to adopt explicitly concerted conduct as described above to counter "unpredictable and disproportionate"109 increases in raw material costs, given that, even in a context of transparency, the principle underlying the prohibition of Article 101 TFEU still applies, according to which every economic operator must independently determine the conduct it intends to follow in the market.</w:t>
      </w:r>
    </w:p>
    <w:p>
      <w:r>
        <w:t>117. In the case at hand, the exercise of the autonomy that should characterize the activity of businesses has been compromised by the common decision of competing operators to align their conduct in the market, resulting in the simultaneous adoption of the same commercial strategy. The agreement reached among competitors has effectively eliminated any uncertainty regarding the behavior that other operators would have exhibited in the market concerning a particularly relevant competitive variable, namely price.</w:t>
      </w:r>
    </w:p>
    <w:p>
      <w:r>
        <w:t>118. As seen, in fact, the parties have agreed on the necessity of a tariff increase, defined its amount and effective date, as well as identified the recipients (i.e., the shippers) of the tariff.</w:t>
      </w:r>
    </w:p>
    <w:p>
      <w:r>
        <w:t>119. That said, it must nonetheless be highlighted that the decision to react to the increase in costs with a tariff increase does not appear to be a choice compelled by the economic context in which the parties operate since, at least Conateco and Soteco, recorded an increase in their margins in 2022 despite an increase in costs. The terminal operators who are parties to the illicit agreement also have different cost structures, so even a possible autonomous choice would not have been precluded.</w:t>
      </w:r>
    </w:p>
    <w:p>
      <w:r>
        <w:rPr>
          <w:b/>
        </w:rPr>
        <w:t>[Pages 25–27]</w:t>
      </w:r>
    </w:p>
    <w:p>
      <w:r>
        <w:t>BULLETIN NO. 33 OF AUGUST 19, 2024</w:t>
      </w:r>
    </w:p>
    <w:p>
      <w:r>
        <w:t>27. It would certainly not have led to the adoption by such operators of the same tariff to cover the different costs incurred110.</w:t>
      </w:r>
    </w:p>
    <w:p>
      <w:r>
        <w:t>120. The choice of shippers, and not shipowners, as recipients of the tariff increase cannot be considered a necessary consequence of the commercial dynamics of the sector, but rather the result of the illicit agreement between the parties.</w:t>
      </w:r>
    </w:p>
    <w:p>
      <w:r>
        <w:t>121. It suffices to note that the new tariff would have been introduced primarily to respond to the increase in the concession fee due for the operation of container handling, which, as clarified above, is the subject of contracts with shipping companies, which indeed represent the main clients of the terminal operators and towards whom they carry out the predominant part of their activity.</w:t>
      </w:r>
    </w:p>
    <w:p>
      <w:r>
        <w:t>122. This is further confirmed by the evidence on record and, in particular, by the joint communication of January 27, 2023, in which TFG, Conateco, and Soteco express their willingness to "engage in a dialogue aimed at revising our decision" should the AdSP-MTC intervene to sterilize or minimize the increase in concession fees111.</w:t>
      </w:r>
    </w:p>
    <w:p>
      <w:r>
        <w:t>123. Also relevant is the surprised reaction of the logistics associations, which, in the communication of January 27, 2023, expressed their opposition to the application of such a tariff item to the category of shippers, believing that "[...] the natural recipients of the tariff modification are your clients, namely the Shipping Companies to which our associates already pay for all ancillary services. We, as shippers, cannot be involved in increases for services not requested and not within our competence"112.</w:t>
      </w:r>
    </w:p>
    <w:p>
      <w:r>
        <w:t>124. Furthermore, similarly, in the presence of a price agreement among competitors, the arguments of the parties regarding the inadequacy of the energy surcharge to cover the increased costs of the terminal operators also appear irrelevant.</w:t>
      </w:r>
    </w:p>
    <w:p>
      <w:r>
        <w:t>125. In any case, even if one were to specifically follow this argument, it is observed that, as seen, Conateco and Soteco experienced an increase in their already significantly positive margins in 2022 compared to 2022113 and moreover, if the tariff had not been suspended, Conateco would have managed to recover in just 11 months (February 1 - December 31, 2023) approximately [80-100%] of the higher cumulative costs of the two years114, while Soteco would have managed to recover about [20-40%]115. Overall, the energy surcharge would have allowed the two companies, in just eleven months, to recover approximately [80-100%] of the higher costs incurred in the two-year period 2022-2023, compared to 2021116.</w:t>
      </w:r>
    </w:p>
    <w:p>
      <w:r>
        <w:t>126. In this context, the defenses of the parties aimed at denying the existence of a competitive relationship between Conateco, Soteco, and TFG to assert the inadequacy of the conduct to produce effects also appear unfounded.</w:t>
      </w:r>
    </w:p>
    <w:p>
      <w:r>
        <w:t>127. Firstly, there is no doubt that Conateco, Soteco, and TFG are all active operators in the port of Naples in the handling of goods via containers and in the provision of ancillary services. The fact that Soteco is the only one authorized to carry out such activities also concerning hazardous goods does not appear to be a suitable element to exclude a competitive relationship between the parties, nor can it be considered relevant that the same activity is carried out by the aforementioned operators in different ways (both TFG and Conateco carry out the loading and unloading of containers using the same so-called LO-LO method)117.</w:t>
      </w:r>
    </w:p>
    <w:p>
      <w:r>
        <w:t>128. Finally, it should be noted that the energy surcharge cannot be considered a negligible component of the price charged to shippers, as the parties have claimed, since it represents a significant part of the amount invoiced by the terminal operators to the shippers118. This is also confirmed by Confetra and Fedespedi, which have indeed emphasized how the aforementioned tariff has resulted in a significant increase in costs for shippers, not always transferable downstream119.</w:t>
      </w:r>
    </w:p>
    <w:p>
      <w:r>
        <w:t>129. In conclusion, the evidentiary framework that emerged during the proceedings, read in light of established jurisprudential principles in antitrust matters, refutes the defenses of the parties, which, as seen, are primarily aimed at downplaying the suitability of the conduct to restrict competition, instead highlighting incontrovertibly the existence of a price agreement among competitors, constituting a restriction by object, in violation of Article 101 TFEU.</w:t>
      </w:r>
    </w:p>
    <w:p>
      <w:r>
        <w:t>130. As extensively demonstrated above, the agreed and simultaneous introduction of the energy surcharge was indeed capable of restricting competition, facilitating its acceptance by the market and eliminating within the relevant port area the risk of demand shifts among the parties.</w:t>
      </w:r>
    </w:p>
    <w:p>
      <w:r>
        <w:t>131. Therefore, the agreement in question, concerning the agreement among the terminal operators of the port of Naples aimed at coordinating commercial strategies through the introduction of the same tariff item, is likely to restrict competition in the market for goods handling services via containers and ancillary services at the port of Naples in violation of Article 101 TFEU, to the detriment of the shippers operating there and, ultimately, their clients.</w:t>
      </w:r>
    </w:p>
    <w:p>
      <w:r>
        <w:t>132. Regarding the subjective profile, it should finally be emphasized that the agreement is attributable, on one hand, to TFG and, on the other, to the companies Conateco, Soteco, and Marinvest, which are part of the same group of companies. In this regard, it is noted that the illicit conduct described above - materially carried out by Conateco and Soteco - is also attributable to the company Marinvest, due to the determining influence that it, as the parent company, is able to exert on its subsidiaries.</w:t>
      </w:r>
    </w:p>
    <w:p>
      <w:r>
        <w:t>133. It should be emphasized, in fact, that, according to established European jurisprudence, the parent company to which the unlawful behavior of its subsidiary has been attributed is personally condemned for an infringement of the competition rules that it is deemed to have committed itself, due to the determining influence it exercised over the subsidiary, which allowed it to determine the behavior of the latter in the market120.</w:t>
      </w:r>
    </w:p>
    <w:p>
      <w:r>
        <w:t>134. In particular, in the case at hand, it can be presumed that Marinvest exercises a determining influence over Conateco by virtue of its total participation and, therefore, one can be deemed responsible for the conduct of the other, without the Authority needing to provide additional evidence121. In this regard, the arguments of Marinvest, particularly the fact that this company is exclusively a financial holding and is not directly active in the market concerned by the proceedings, do not appear suitable to refute the presumption of a determining influence over Conateco122. Furthermore, according to established jurisprudence on this point, the deduction of negative facts, such as, for example, the absence of instructions given by the parent company to the subsidiary regarding any specific policies to adopt, cannot be considered sufficient to demonstrate the commercial autonomy of the subsidiary123.</w:t>
      </w:r>
    </w:p>
    <w:p>
      <w:r>
        <w:t>135. As for Soteco, considering that Marinvest holds, directly and indirectly, control of 70% of its share capital, it is believed that, in this case, there are a series of indications recognized by established jurisprudence as proving the existence of a determining influence exercised in practice by the parent company over its subsidiary.</w:t>
      </w:r>
    </w:p>
    <w:p>
      <w:r>
        <w:t>136. In this regard, it is noted that, on June 8, 2018, Soteco complied with the publicity required by Article 2497-bis, paragraph 2, of the Civil Code by communicating its subjection to the direction and coordination activities of Marinvest. It is also noted that there are personal ties between Soteco and Conateco, as (i) the CEO of Soteco is also the Chairman of the Board of Directors of Conateco and (ii) the Chairman of the Board of Directors of Soteco is also the attorney of Conateco.</w:t>
      </w:r>
    </w:p>
    <w:p>
      <w:r>
        <w:rPr>
          <w:b/>
        </w:rPr>
        <w:t>[Pages 28–30]</w:t>
      </w:r>
    </w:p>
    <w:p>
      <w:r>
        <w:t>30 BULLETIN NO. 33 OF AUGUST 19, 2024</w:t>
      </w:r>
    </w:p>
    <w:p>
      <w:r>
        <w:t>137. In the case at hand, therefore, in line with established case law on the matter, this group of companies represents a single "enterprise" for the purposes of attributing the infringement124.</w:t>
      </w:r>
    </w:p>
    <w:p>
      <w:r>
        <w:t>VII. HARM TO INTRA-COMMUNITY TRADE</w:t>
      </w:r>
    </w:p>
    <w:p>
      <w:r>
        <w:t>138. The concept of harm to intra-community trade must be interpreted taking into account the direct or indirect, actual or potential influence on trade flows between Member States.</w:t>
      </w:r>
    </w:p>
    <w:p>
      <w:r>
        <w:t>139. In the present case, the unlawful agreement applies at the port of Naples and concerns port handling services aimed at ensuring, in particular, the loading and unloading of goods to and from other ports in the European Union125. The agreement specifically pertains to services directly related to the internationally relevant activity of maritime transport of goods and more generally to the international transport of goods, specifically concerning containerized goods, i.e., products subject to cross-border trade126.</w:t>
      </w:r>
    </w:p>
    <w:p>
      <w:r>
        <w:t>140. The agreement therefore appears potentially capable of affecting international transport services of goods by container, of which the services of the terminal operators involved in the agreement constitute, as seen, a cost component, considering that, as emerges from the investigation, there are elements that allow us to believe that the port of Naples is not perfectly substitutable with neighboring ports (such as, for example, that of Salerno)127.</w:t>
      </w:r>
    </w:p>
    <w:p>
      <w:r>
        <w:t>141. Therefore, the aforementioned agreement appears capable of affecting commercial traffic destined (final or intermediate) for the port of Naples and harming trade between Member States, in violation of Article 101 TFEU.</w:t>
      </w:r>
    </w:p>
    <w:p>
      <w:r>
        <w:t>VIII. SEVERITY AND DURATION OF THE INFRINGEMENT UNDER REVIEW</w:t>
      </w:r>
    </w:p>
    <w:p>
      <w:r>
        <w:t>142. Article 15, paragraph 1, of Law No. 287/1990 provides that the Authority, in cases of serious infringements, taking into account their severity and duration, shall impose an administrative pecuniary sanction of up to 10% of the revenue generated by each enterprise or association in the last financial year closed prior to the notification of the warning adopted as a result of an investigative procedure.</w:t>
      </w:r>
    </w:p>
    <w:p>
      <w:r>
        <w:t>143. According to established European and national case law, in assessing the severity of an infringement, a multiplicity of factors must be taken into account, the nature and importance of which vary depending on the type of infringement and the particular circumstances of the case at hand. Among these factors, the nature of the restriction of competition as well as the role and market representation of the companies involved are particularly relevant.</w:t>
      </w:r>
    </w:p>
    <w:p>
      <w:r>
        <w:t>124 CJEU, 14-12-2006, case C-217/05, Confederación Española de Empresarios de Estaciones de Servicio, in Collection, I-11987, §. 41.</w:t>
      </w:r>
    </w:p>
    <w:p>
      <w:r>
        <w:t>125 In a similar sense, see the decision 10-D-13 of April 15, 2010, of the French Competition Authority regarding anti-competitive conduct in the container handling sector at the port of Le Havre.</w:t>
      </w:r>
    </w:p>
    <w:p>
      <w:r>
        <w:t>126 See "Guidelines on the notion of harm to trade between Member States under Articles 81 and 82 of the Treaty" (2004/C 101/07).</w:t>
      </w:r>
    </w:p>
    <w:p>
      <w:r>
        <w:t>127 The limited infrastructure offer and the low capacity of neighboring ports in the region in terms of available space for unloading, storage, and handling of containers are relevant in this regard. As is known, in fact, the choice of the loading and unloading port is made by the shipping company also considering the expected volumes of containers (see doc. 70-bis minutes of Confetra and Fedespedi and doc. 6).</w:t>
      </w:r>
    </w:p>
    <w:p>
      <w:r>
        <w:t>BULLETIN NO. 33 OF AUGUST 19, 2024</w:t>
      </w:r>
    </w:p>
    <w:p>
      <w:r>
        <w:t>144. Based on the investigative findings, it has been established that the parties to the proceedings have engaged in a prohibited agreement under Article 101 TFEU, agreeing on the application of the same tariff increase.</w:t>
      </w:r>
    </w:p>
    <w:p>
      <w:r>
        <w:t>145. The described conduct is considered among the most serious violations of antitrust law as it aims at price-fixing, causing harm to the functioning of the market to the detriment of end customers128. Contrary to what the parties argued, the fact that the agreement was not characterized by secrecy does not deprive it of the capacity to harm the market, which may at most constitute an element to be considered in the quantification of the sanction (point 12 of the Guidelines on sanctions).</w:t>
      </w:r>
    </w:p>
    <w:p>
      <w:r>
        <w:t>146. As for the role and market representation of the companies involved, it is noted that the concertation involved all terminal companies active in the port area mentioned in the handling of goods via container and in the provision of ancillary services.</w:t>
      </w:r>
    </w:p>
    <w:p>
      <w:r>
        <w:t>147. The agreement has been fully implemented and the occurrence of anti-competitive effects has been limited since the initiation of the present proceedings.</w:t>
      </w:r>
    </w:p>
    <w:p>
      <w:r>
        <w:t>148. In particular, regarding the duration of the agreement, it is noted that it began at least on January 23, 2023 (the date on which the press release containing the terms of the unlawful agreement was disseminated)129 and ended: i) with respect to the company TFG on September 30, 2023 (from October 1, 2023, TFG no longer applied the agreed tariff); for Conateco and Soteco (jointly with the parent company Marinvest) on August 20, 2023 (from August 21, 2023, the application of the aforementioned tariff was suspended).</w:t>
      </w:r>
    </w:p>
    <w:p>
      <w:r>
        <w:t>IX. CRITERIA FOR THE QUANTIFICATION OF THE SANCTION</w:t>
      </w:r>
    </w:p>
    <w:p>
      <w:r>
        <w:t>149. In order to quantify the sanction, it is necessary to take into account the provisions of Article 11 of Law No. 689/1981, as recalled by Article 31 of Law No. 287/1990, as well as the interpretative criteria outlined in the "Guidelines on the application of the criteria for the quantification of administrative pecuniary sanctions imposed by the Authority in application of Article 15, paragraph 1, of Law No. 287/1990" (hereinafter, "Guidelines"), adopted by the Authority on October 22, 2014.</w:t>
      </w:r>
    </w:p>
    <w:p>
      <w:r>
        <w:t>150. Following points 7 and following of the Guidelines, the base amount of the sanction is obtained by multiplying a percentage of the value of sales, determined based on the level of severity of the infringement by the duration of each enterprise's participation in the infringement. In particular, points 8 and 9 of the Guidelines specify that the value of sales refers to the sales of goods or services that are the subject, directly or indirectly, of the infringement, made by the enterprise in the relevant market(s) in the last full year of participation in the same infringement.</w:t>
      </w:r>
    </w:p>
    <w:p>
      <w:r>
        <w:t>128 See the Authority's Guidelines on the application of the criteria for the quantification of administrative pecuniary sanctions, adopted by the Authority on October 22, 2014, point 5.</w:t>
      </w:r>
    </w:p>
    <w:p>
      <w:r>
        <w:t>129 This date thus identifies the first certain date, according to the documentation on file, to trace back the start of the conduct, as the joint signature communication cited proves the existence of the agreement already reached between the parties.</w:t>
      </w:r>
    </w:p>
    <w:p>
      <w:r>
        <w:t>31 BULLETIN NO. 33 OF AUGUST 19, 2024</w:t>
      </w:r>
    </w:p>
    <w:p>
      <w:r>
        <w:t>151. In the case at hand, for each of the Parties, the value of the sales affected by the infringement corresponds to the revenue generated in 2023 from the activity of handling goods via container and for the ancillary services performed at the port of Naples130.</w:t>
      </w:r>
    </w:p>
    <w:p>
      <w:r>
        <w:t>152. For the purpose of determining the base amount of the sanction, a specific percentage identified based on the severity of the violation must be applied to the base value as determined above, for which full reference is made to the paragraphs preceding this. According to the Guidelines, in particular, the proportion considered must be set at a level that can reach up to 30% of the value of sales (point 11).</w:t>
      </w:r>
    </w:p>
    <w:p>
      <w:r>
        <w:t>153. In assessing the severity of the violation, the Authority may consider the aggregated market share held by all the enterprises that participated in the infringement (point 13) as well as the nature of the infringement (point 12).</w:t>
      </w:r>
    </w:p>
    <w:p>
      <w:r>
        <w:t>154. Additional criteria for qualifying the severity that the Authority may take into account are those identified in point 14 of the Guidelines (such as, in particular: i) the competitive conditions in the affected market; ii) the implementation or not of the unlawful practice; iii) the relevance of the actual economic impact or, more generally, the harmful effects on the market and/or on consumers, if the Authority has elements that allow for a reliable estimate of the same).</w:t>
      </w:r>
    </w:p>
    <w:p>
      <w:r>
        <w:t>155. Considering the severity of the contested infringement - as outlined above, particularly with regard to its nature and actual implementation as well as the peculiarities of the case at hand - for the purpose of calculating the base amount of the sanction, a severity coefficient of [5-10%] is applied.</w:t>
      </w:r>
    </w:p>
    <w:p>
      <w:r>
        <w:t>156. The resulting value is then multiplied by the duration of participation in the infringement, expressed in number of years, also accounting for the actual months and days of participation. In the case at hand, the duration of participation in the infringement is from January 23, 2023, to August 20, 2023, for Conateco and Soteco, and from January 23, 2023, to September 30, 2023, for TFG.</w:t>
      </w:r>
    </w:p>
    <w:p>
      <w:r>
        <w:t>157. Conateco, Soteco, and Marinvest, as argued above, are part of the same group of companies. Consequently, the sanction is imposed jointly on these companies, as provided for in point 32 of the Guidelines, according to which "in the event that more companies belonging to the same group participated in the infringement, the Authority may impose the sanction jointly on these companies."</w:t>
      </w:r>
    </w:p>
    <w:p>
      <w:r>
        <w:t>158. The base amount for each party is, therefore, indicated in Table 4, in which the specific revenue for the Marinvest group is obtained from the sum of the revenues of the two controlled companies that are parties to the proceedings131.</w:t>
      </w:r>
    </w:p>
    <w:p>
      <w:r>
        <w:t>130 See, in particular, what is provided in point 8 of the Guidelines, which states: "in order for the sanction to have an effective deterrent effect, it is at least necessary that it is not lower than the benefits that the enterprise expects to derive from the infringement. Such benefits, depending on the type of infringement committed, are a function of the total value of the sales affected by the unlawful conduct. For this reason, the Authority believes that the sanctions applicable to antitrust violations should be calculated starting from the value of the sales of the goods or services that are the subject, directly or indirectly, of the infringement, made by the enterprise in the relevant market(s) in the last full year of participation in the same infringement (hereinafter, 'value of sales')."</w:t>
      </w:r>
    </w:p>
    <w:p>
      <w:r>
        <w:t>131 In particular, this refers to the revenue generated by Soteco in 2023, amounting to 4,423,932, and that generated in the same period by Conateco, amounting to 47,745,017 (source: Telemaco database).</w:t>
      </w:r>
    </w:p>
    <w:p>
      <w:r>
        <w:rPr>
          <w:b/>
        </w:rPr>
        <w:t>[Pages 31–33]</w:t>
      </w:r>
    </w:p>
    <w:p>
      <w:r>
        <w:t>BULLETIN NO. 33 OF AUGUST 19, 2024 33</w:t>
      </w:r>
    </w:p>
    <w:p>
      <w:r>
        <w:t>Table 4 – Calculation of the base amount</w:t>
      </w:r>
    </w:p>
    <w:p>
      <w:r>
        <w:t xml:space="preserve">Effective Duration Specific Revenue Severity Coefficient Amount </w:t>
        <w:br/>
        <w:t xml:space="preserve">Party 2023 base </w:t>
        <w:br/>
        <w:t xml:space="preserve">From To Duration </w:t>
        <w:br/>
        <w:t xml:space="preserve">Conateco, Soteco, € [35-100 million of € [5-10%] 23/01/2023 20/08/2023 0.58 € 2,411,365 </w:t>
        <w:br/>
        <w:t xml:space="preserve">(in solidum) </w:t>
        <w:br/>
        <w:t xml:space="preserve">TFG [5-10%] 23/01/2023 30/09/2023 0.69 € 658,920 </w:t>
        <w:br/>
        <w:t xml:space="preserve">€ [10-35 million of </w:t>
        <w:br/>
        <w:t>euro]</w:t>
      </w:r>
    </w:p>
    <w:p>
      <w:r>
        <w:t>159. Furthermore, the base amount of the sanction may be increased or decreased to take into account specific aggravating or mitigating circumstances of the liability of the author of the violation (points 19-23 of the Guidelines).</w:t>
      </w:r>
    </w:p>
    <w:p>
      <w:r>
        <w:t>160. Among the mitigating circumstances, the Guidelines mention: “the adoption and compliance with a specific compliance program, adequate and in line with European and national best practices. The mere existence of a compliance program will not be considered a mitigating circumstance in itself, in the absence of evidence of a genuine and concrete commitment to comply with the provisions of the program (for example, through full management involvement, identification of responsible personnel for the program, identification and assessment of risks based on the sector of activity and operational context, organization of training activities appropriate to the economic size of the company, provision of incentives for compliance with the program as well as disincentives for non-compliance, implementation of monitoring and auditing systems).”</w:t>
      </w:r>
    </w:p>
    <w:p>
      <w:r>
        <w:t>161. The “Guidelines on Antitrust Compliance” (hereinafter, “Compliance Guidelines”), adopted by the Authority on September 25, 2018, provide, among other things, that with respect to groups of companies, in antitrust proceedings involving the parent company, for the compliance program of the latter to be deemed adequate, it must be adopted and implemented at the group level (point 43)132.</w:t>
      </w:r>
    </w:p>
    <w:p>
      <w:r>
        <w:t>162. For the purpose of potentially attributing the mitigating circumstance, the Guidelines also establish that only compliance programs adopted, implemented, and submitted by the parties to the proceedings within six months from the notification of the opening of the investigation are evaluable (point 21)133.</w:t>
      </w:r>
    </w:p>
    <w:p>
      <w:r>
        <w:t>163. In this regard, it is noted that TFG communicated on January 17, 2024, the adoption of a new compliance program134 on October 17, 2023, and that Conateco and Soteco communicated on January 26, 2024, that they each adopted their own compliance program following the initiation of the investigation135 and outlined: i) the provisions regarding antitrust compliance already adopted by Conateco as part of the approved Code of Ethics, in addition to the Organization, Management, and Control Model pursuant to Legislative Decree No. 231/2001, by the Board of Directors of Conateco on July 4, 2013; (ii) and the provisions regarding antitrust compliance already adopted by Soteco as part of the approved Code of Ethics, in addition to the Organization, Management, and Control Model pursuant to Legislative Decree No. 231/2001, by the Board of Directors of Soteco on May 26, 2022136.</w:t>
      </w:r>
    </w:p>
    <w:p>
      <w:r>
        <w:t>164. In line with what is provided in point 23 of the Compliance Guidelines, TFG, Conateco, and Soteco have attached documentation regarding the content and adoption of the aforementioned programs, requesting recognition of a reduction of the sanction as a mitigating circumstance. Similarly, Marinvest has requested recognition of the antitrust compliance programs of its subsidiaries for the purpose of a reduction of the sanction; however, no communication regarding the adoption and implementation of a compliance program has been received from Marinvest.</w:t>
      </w:r>
    </w:p>
    <w:p>
      <w:r>
        <w:t>165. Regarding the new programs adopted after the initiation of the proceedings, point 27 of the Guidelines states that “[...], except in exceptional cases, it will not be possible to grant a reduction, as a mitigating circumstance, exceeding 5%.”</w:t>
      </w:r>
    </w:p>
    <w:p>
      <w:r>
        <w:t>166. Therefore, in accordance with what is reported in paragraphs 21 and 43 of the Compliance Guidelines, it is not deemed possible to recognize a reduction of the sanction as a mitigating circumstance to Marinvest and the subsidiaries Conateco and Soteco concerning the adoption of a compliance program at the group level, given the lack of adoption and transmission of the same by the parent company Marinvest.</w:t>
      </w:r>
    </w:p>
    <w:p>
      <w:r>
        <w:t>167. In line with what is provided in point 23 of the Antitrust Compliance Guidelines, it is instead deemed appropriate to grant TFG a reduction of the base amount of the sanction equal to 5%.</w:t>
      </w:r>
    </w:p>
    <w:p>
      <w:r>
        <w:t>168. Also with reference to mitigating circumstances, in line with what is defined in point 23 of the Sanctions Guidelines, unlike what is believed by Conateco and Soteco, a reduction of the sanction cannot be granted to them as a result of active repentance since the mere cessation of the unlawful behavior cannot be considered sufficient to constitute such a case137.</w:t>
      </w:r>
    </w:p>
    <w:p>
      <w:r>
        <w:t>169. The sanction for each party, resulting for TFG from the application of the mitigating circumstance related to compliance, is indicated in Table 5 that follows.</w:t>
      </w:r>
    </w:p>
    <w:p>
      <w:r>
        <w:t>135 See point 21 of the Compliance Guidelines according to which “only compliance programs [...] submitted [...] within six months from the notification of the opening of the investigation are evaluable for the purpose of potentially attributing the mitigating circumstance.”</w:t>
      </w:r>
    </w:p>
    <w:p>
      <w:r>
        <w:t>136 See doc 52.</w:t>
      </w:r>
    </w:p>
    <w:p>
      <w:r>
        <w:t>137 In a consistent sense, see among others, judgment No. 6973 of the Council of State, VI, October 14, 2019, I793 - Cement price increase, in which it is stated that: “on the one hand, mere interruptive behavior is insufficient to give rise to a concretely evaluable hypothesis of active repentance, an event that presupposes not merely the simple cessation of the unfair commercial practice but an active conduct aimed at eliminating the consequences of the previous conduct.”</w:t>
      </w:r>
    </w:p>
    <w:p>
      <w:r>
        <w:t>BULLETIN NO. 33 OF AUGUST 19, 2024 35</w:t>
      </w:r>
    </w:p>
    <w:p>
      <w:r>
        <w:t>Table 1 – Sanction</w:t>
      </w:r>
    </w:p>
    <w:p>
      <w:r>
        <w:t xml:space="preserve">% of the Sanction Amount Mitigating Total Revenue </w:t>
        <w:br/>
        <w:t xml:space="preserve">Parties Sanction on base % worldwide </w:t>
        <w:br/>
        <w:t xml:space="preserve">total revenue </w:t>
        <w:br/>
        <w:t xml:space="preserve">Conateco, Soteco, € 2,411,365 - € 2,411,365 [1-2 billion] [&lt;1%] </w:t>
        <w:br/>
        <w:t xml:space="preserve">Marinvest </w:t>
        <w:br/>
        <w:t xml:space="preserve">(in solidum) </w:t>
        <w:br/>
        <w:t>TFG € 658,920 5% € 625,974 [10-35 million] [1-5%]</w:t>
      </w:r>
    </w:p>
    <w:p>
      <w:r>
        <w:t>170. For none of the parties does the sanction exceed the statutory limit referred to in Article 15, paragraph 1-bis, of Law No. 287/90, identified as 10% of the total revenue generated worldwide by the company in the last financial year closed prior to the notification of the warning.</w:t>
      </w:r>
    </w:p>
    <w:p>
      <w:r>
        <w:t>CONSIDERING that the companies Conateco and Soteco in solidum with the parent company Marinvest, and TFG have engaged in a restrictive agreement of competition in violation of Article 101 TFEU consisting of an agreement aimed at the simultaneous introduction of the same tariff item called “energy surcharge” to be applied to import containers handled by the parties at the port of Naples;</w:t>
      </w:r>
    </w:p>
    <w:p>
      <w:r>
        <w:t>all of the above having been stated and considered;</w:t>
      </w:r>
    </w:p>
    <w:p>
      <w:r>
        <w:t>RESOLVES</w:t>
      </w:r>
    </w:p>
    <w:p>
      <w:r>
        <w:t>a) that the companies Conateco and Soteco in solidum with the parent company Marinvest, and TFG have engaged in a restrictive agreement of competition in violation of Article 101 TFEU consisting of an agreement aimed at the simultaneous introduction of the same tariff item called “energy surcharge” to be applied to import containers handled by the parties at the port of Naples;</w:t>
      </w:r>
    </w:p>
    <w:p>
      <w:r>
        <w:t>b) that Conateco, Soteco, Marinvest, and TFG refrain in the future from engaging in behaviors similar to those subject to the established infringement referred to in point a);</w:t>
      </w:r>
    </w:p>
    <w:p>
      <w:r>
        <w:t>c) that, due to the severity and duration of the infringement referred to in point a), the companies listed in the table that follows shall be subject to administrative monetary sanctions respectively and collectively equal to what is indicated in the following table:</w:t>
      </w:r>
    </w:p>
    <w:p>
      <w:r>
        <w:rPr>
          <w:b/>
        </w:rPr>
        <w:t>[Pages 34–36]</w:t>
      </w:r>
    </w:p>
    <w:p>
      <w:r>
        <w:t>36 BULLETIN NO. 33 OF AUGUST 19, 2024</w:t>
      </w:r>
    </w:p>
    <w:p>
      <w:r>
        <w:t>Part SANCTIONS</w:t>
        <w:br/>
        <w:t>Conateco, Soteco, Marinvest (jointly and severally) € 2,411,365</w:t>
        <w:br/>
        <w:t>TFG € 625,974</w:t>
      </w:r>
    </w:p>
    <w:p>
      <w:r>
        <w:t>The administrative sanctions referred to in the previous letter c) must be paid within ninety days from the notification of this provision, using the tax codes indicated in the attached F24 model with identifying elements, pursuant to Legislative Decree No. 241 of July 9, 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 Immediate notification of payments made must be given to the Authority, by sending a copy of the model certifying the payment made. 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Guido Stazi Roberto Rustichelli</w:t>
      </w:r>
    </w:p>
    <w:p>
      <w:r>
        <w:t>BULLETIN NO. 33 OF AUGUST 19, 2024</w:t>
      </w:r>
    </w:p>
    <w:p>
      <w:r>
        <w:t>I866 - AGREEMENTS BETWEEN FOUNDRIES</w:t>
        <w:br/>
        <w:t>Provision No. 31309</w:t>
      </w:r>
    </w:p>
    <w:p>
      <w:r>
        <w:t>THE COMPETITION AND MARKET AUTHORITY</w:t>
      </w:r>
    </w:p>
    <w:p>
      <w:r>
        <w:t>IN ITS MEETING of July 30, 2024;</w:t>
      </w:r>
    </w:p>
    <w:p>
      <w:r>
        <w:t>HEARD the Rapporteur, Professor Elisabetta Iossa;</w:t>
      </w:r>
    </w:p>
    <w:p>
      <w:r>
        <w:t>HAVING REGARD to Article 101 of the Treaty on the Functioning of the European Union (TFEU);</w:t>
      </w:r>
    </w:p>
    <w:p>
      <w:r>
        <w:t>HAVING REGARD to Council Regulation (EC) No. 1/2003 of the European Union of December 16, 2002;</w:t>
      </w:r>
    </w:p>
    <w:p>
      <w:r>
        <w:t>HAVING REGARD to Law No. 287 of October 10, 1990;</w:t>
      </w:r>
    </w:p>
    <w:p>
      <w:r>
        <w:t>HAVING REGARD to the D.P.R. No. 217 of April 30, 1998;</w:t>
      </w:r>
    </w:p>
    <w:p>
      <w:r>
        <w:t>HAVING REGARD to its resolution adopted on September 12, 2023, which initiated, pursuant to Article 14 of Law No. 287/1990, an investigation against the companies C2MAC Group S.p.A., Fonderia Corrà S.p.A., Fonderie Orazio e Fortunato De Riccardis S.r.l., Fonderie Guido Glisenti S.p.A., Lead Time S.p.A., Pilenga Baldassarre Foundry S.r.l. and Fonderie Mora Gavardo S.p.A., active in Italy in the sector of cast iron production, aimed at coordinating price increases of cast iron products to be applied to their customers, to ascertain the existence of violations of Article 101, paragraph 1, of the TFEU;</w:t>
      </w:r>
    </w:p>
    <w:p>
      <w:r>
        <w:t>HAVING REGARD to its resolution of April 3, 2024, by which the investigative procedure was objectively extended to the promotion and dissemination of Assofond indicators, at least since 2021, and subjectively against the companies Zanardi Fonderie S.p.A., VDP Fonderia S.p.A., Fonderie Ariotti S.p.A., Ironcastings S.p.A., Fonderia Zardo S.p.A., ZML Industries S.p.A., Cividale S.p.A., Camozzi Group S.p.A., E.F. Group S.p.A. and the trade association Assofond;</w:t>
      </w:r>
    </w:p>
    <w:p>
      <w:r>
        <w:t>HAVING REGARD to the acts of the procedure and, in particular, the elements acquired during the inspections carried out, pursuant to Article 14, paragraph 2-quater, of Law No. 287/90, on April 10, 2024, at the premises of the companies VDP Fonderia S.p.A., Fonderie Ariotti S.p.A., Ironcastings S.p.A., Fonderia Zardo S.p.A., ZML Industries S.p.A., Cividale S.p.A., Camozzi Group S.p.A., E.F. Group S.p.A. and the trade association Assofond;</w:t>
      </w:r>
    </w:p>
    <w:p>
      <w:r>
        <w:t>CONSIDERING that from the documentation acquired during the inspections conducted by the Authority on April 10, 2024, at the headquarters of Assofond, elements emerge that allow tracing the contested illicit coordination to the parties of the procedure at least back to 2001;</w:t>
      </w:r>
    </w:p>
    <w:p>
      <w:r>
        <w:t>CONSIDERING the supplementary investigation and the complexity of the case under analysis also due to the abundance of documentation acquired in the records, the high number of parties involved, and the multiplicity of behaviors to be examined;</w:t>
      </w:r>
    </w:p>
    <w:p>
      <w:r>
        <w:t>CONSIDERING, furthermore, the necessity to thoroughly process the information contained in the acquired documentation while ensuring, at the same time, the broad exercise of the right of defense for the parties of the procedure and the full unfolding of the adversarial process;</w:t>
      </w:r>
    </w:p>
    <w:p>
      <w:r>
        <w:t>THEREFORE CONSIDERING it necessary to objectively extend the investigation to behaviors carried out at least since 2001;</w:t>
      </w:r>
    </w:p>
    <w:p>
      <w:r>
        <w:t>FURTHER CONSIDERING it necessary to extend the deadline for concluding the procedure, currently set for December 31, 2024;</w:t>
      </w:r>
    </w:p>
    <w:p>
      <w:r>
        <w:t>RESOLVES</w:t>
      </w:r>
    </w:p>
    <w:p>
      <w:r>
        <w:t>a) to expand the subject matter of the investigative procedure initiated, pursuant to Article 14 of Law No. 287/1990, with the resolution adopted on September 12, 2023, and extended subjectively and objectively with the resolution of April 3, 2024, with reference to behaviors carried out at least since 2001;</w:t>
      </w:r>
    </w:p>
    <w:p>
      <w:r>
        <w:t>b) to extend the deadline for concluding the procedure to December 31, 2025;</w:t>
      </w:r>
    </w:p>
    <w:p>
      <w:r>
        <w:t>c) that the person responsible for the procedure is Dr. Maria Luisa Cirrincione;</w:t>
      </w:r>
    </w:p>
    <w:p>
      <w:r>
        <w:t>d) to set a deadline of thirty days, starting from the notification of this provision for the exercise, by the legal representatives of the Parties or persons delegated by them, of the right to be heard, specifying that the request for a hearing must be received by the Cartels, Leniency and Whistleblowing Directorate of this Authority at least fifteen days before the expiration of the above-mentioned deadline;</w:t>
      </w:r>
    </w:p>
    <w:p>
      <w:r>
        <w:t>e) that the acts of the procedure can be viewed at the Cartels, Leniency and Whistleblowing Directorate of this Authority by the legal representatives of the Parties or by persons delegated by them.</w:t>
      </w:r>
    </w:p>
    <w:p>
      <w:r>
        <w:t>This provision will be notified to the interested parties and published in the Bulletin of the Competition and Market Authority.</w:t>
      </w:r>
    </w:p>
    <w:p>
      <w:r>
        <w:t>THE SECRETARY GENERAL THE PRESIDENT</w:t>
        <w:br/>
        <w:t>Guido Stazi Roberto Rustichelli</w:t>
      </w:r>
    </w:p>
    <w:p>
      <w:r>
        <w:rPr>
          <w:b/>
        </w:rPr>
        <w:t>[Pages 37–39]</w:t>
      </w:r>
    </w:p>
    <w:p>
      <w:r>
        <w:t>BULLETIN NO. 33 OF AUGUST 19, 2024</w:t>
      </w:r>
    </w:p>
    <w:p>
      <w:r>
        <w:t>CONCENTRATION OPERATIONS</w:t>
      </w:r>
    </w:p>
    <w:p>
      <w:r>
        <w:t>C12626B - ECOSUNTEK-SERGIO MARINANGELI/+ENERGIA</w:t>
      </w:r>
    </w:p>
    <w:p>
      <w:r>
        <w:t>Provision No. 31304</w:t>
      </w:r>
    </w:p>
    <w:p>
      <w:r>
        <w:t>THE ANTITRUST AUTHORITY</w:t>
      </w:r>
    </w:p>
    <w:p>
      <w:r>
        <w:t>IN ITS MEETING of July 30, 2024;</w:t>
      </w:r>
    </w:p>
    <w:p>
      <w:r>
        <w:t>HEARD the Rapporteur, Professor Elisabetta Iossa;</w:t>
      </w:r>
    </w:p>
    <w:p>
      <w:r>
        <w:t>HAVING REGARD to Law No. 287 of October 10, 1990;</w:t>
      </w:r>
    </w:p>
    <w:p>
      <w:r>
        <w:t>HAVING REGARD, in particular, to Article 19, paragraph 2, of Law No. 287/1990, pursuant to which, in the event that the companies have not complied with the obligations of prior notification referred to in paragraph 1 of Article 16 of the same law, the Authority may impose administrative monetary sanctions of up to 1% of the revenue of the year preceding the year in which the contestation is made;</w:t>
      </w:r>
    </w:p>
    <w:p>
      <w:r>
        <w:t>HAVING REGARD to Law No. 689 of November 24, 1981;</w:t>
      </w:r>
    </w:p>
    <w:p>
      <w:r>
        <w:t>HAVING REGARD to Presidential Decree No. 217 of April 30, 1998;</w:t>
      </w:r>
    </w:p>
    <w:p>
      <w:r>
        <w:t>HAVING REGARD to the communication from Ecosuntek S.p.A. and Sergio Marinangeli, received on April 12, 2024;</w:t>
      </w:r>
    </w:p>
    <w:p>
      <w:r>
        <w:t>HAVING REGARD to its resolution of April 30, 2024, concerning the assessment of the concentration operation consisting of the acquisition of joint control of +Energia S.p.A. by Ecosuntek S.p.A., through Eco Trade S.r.l., and Sergio Marinangeli, with which the Authority decided not to initiate the investigation referred to in Article 16, paragraph 4, of Law No. 287 of October 10, 1990;</w:t>
      </w:r>
    </w:p>
    <w:p>
      <w:r>
        <w:t>HAVING REGARD to its resolution of May 7, 2024, notified on May 9, 2024, with which a procedure was initiated against Ecosuntek S.p.A. and Sergio Marinangeli, in relation to the same operation, for the possible imposition of the monetary sanction referred to in Article 19, paragraph 2, of Law No. 287 of October 10, 1990, provided for non-compliance with the obligation of prior notification of concentration operations, as established by Article 16, paragraph 1, of the same law;</w:t>
      </w:r>
    </w:p>
    <w:p>
      <w:r>
        <w:t>HAVING REGARD to the memorandum from Ecosuntek S.p.A. and Sergio Marinangeli, received on May 28, 2024, within the deadlines set forth in Article 18, paragraph 1, of Law No. 689 of November 24, 1981;</w:t>
      </w:r>
    </w:p>
    <w:p>
      <w:r>
        <w:t>HAVING REGARD to the acts of the procedure;</w:t>
      </w:r>
    </w:p>
    <w:p>
      <w:r>
        <w:t>CONSIDERING the following</w:t>
      </w:r>
    </w:p>
    <w:p>
      <w:r>
        <w:t>I. THE PARTIES</w:t>
      </w:r>
    </w:p>
    <w:p>
      <w:r>
        <w:t>1. Ecosuntek S.p.A. (hereinafter, "Ecosuntek") is the operational holding company of the Ecosuntek Group, active: (i) in the production and wholesale procurement (including trading) of electricity from renewable sources; (ii) in the retail sale of electricity to domestic and non-domestic customers connected at low and medium voltage; (iii) in the wholesale sale of natural gas and to end customers of small and medium/large sizes; as well as (iv) in the production and marketing of certificates of origin and in green building. Ecosuntek exercises exclusive direct control over Eco Trade S.r.l. (hereinafter, "Eco Trade"), which is in turn a direct buyer of +Energia S.p.A. Eco Trade is also active in the retail and wholesale sale of both electricity produced by photovoltaic plants owned by companies of the Ecosuntek Group and electricity purchased from third parties on the market. Eco Trade also engages in the retail and wholesale sale of natural gas and the marketing of certificates of origin. The Ecosuntek Group, in 2023, achieved a consolidated worldwide revenue of approximately 489.9 million euros, of which approximately [100-567 million]* euros in Italy.</w:t>
      </w:r>
    </w:p>
    <w:p>
      <w:r>
        <w:t>2. Sergio Marinangeli is a natural person holding a non-controlling stake (equal to 46.775%) in +Energia S.p.A. In 2022, Sergio Marinangeli had income of [omitted] euros and a controlling stake in the amateur sports company RS Racing s.r.l. (hereinafter "RS Racing") whose revenue in 2023 was 23,000 euros.</w:t>
      </w:r>
    </w:p>
    <w:p>
      <w:r>
        <w:t>3. +Energia S.p.A. (hereinafter, "+Energia" or "Target") is a company active in the retail sale of electricity to domestic and non-domestic customers connected at low and medium voltage. +Energia holds certificates of origin and limits itself to purchasing such certificates - subsequently subject to cancellation - for mere self-certification purposes - vis-à-vis its customers - of the renewable source origin of the energy it sells. +Energia does not hold stakes in any company. In 2022, +Energia achieved, entirely in Italy, revenue of approximately 204.3 million euros.</w:t>
      </w:r>
    </w:p>
    <w:p>
      <w:r>
        <w:t>II. DESCRIPTION OF THE OPERATION</w:t>
      </w:r>
    </w:p>
    <w:p>
      <w:r>
        <w:t>4. The operation in question (hereinafter, "Operation") consisted of the acquisition by the Ecosuntek Group, through Eco Trade, and Sergio Marinangeli of joint control over +Energia.</w:t>
      </w:r>
    </w:p>
    <w:p>
      <w:r>
        <w:t>5. In particular, prior to the Operation, [omitted]: none of these parties held control for antitrust purposes over +Energia. On October 31, 2023, three agreements were entered into through which: [omitted]. By virtue of the above, following the completion of the operation on January 8, 2024, the share capital of +Energia is held by Eco Trade (46.775%), Sergio Marinangeli (46.775%), and Mariano Musci (6.45%).</w:t>
      </w:r>
    </w:p>
    <w:p>
      <w:r>
        <w:t>6. On October 31, 2023, Eco Trade, Sergio Marinangeli, and Mariano Musci also signed a shareholders' agreement and approved a new statute for the Target, by virtue of which Eco Trade and Sergio Marinangeli acquired joint control over +Energia. [omitted].</w:t>
      </w:r>
    </w:p>
    <w:p>
      <w:r>
        <w:t>* In this version, some data are omitted, as elements of confidentiality or secrecy of the information were deemed to exist.</w:t>
      </w:r>
    </w:p>
    <w:p>
      <w:r>
        <w:t>III. QUALIFICATION OF THE OPERATION</w:t>
      </w:r>
    </w:p>
    <w:p>
      <w:r>
        <w:t>7. The operation in question constitutes a concentration pursuant to Article 5, paragraph 1, letter b), of Law No. 287/1990, as it involved the acquisition of joint control of a company.</w:t>
      </w:r>
    </w:p>
    <w:p>
      <w:r>
        <w:t>8. It falls within the scope of application of Law No. 287/1990, as the conditions of Article 1 of Regulation (EC) No. 139/2004 do not apply, and it is subject to the obligation of prior notification established by Article 16, paragraph 1, of the same law as the total revenue generated at the national level by the group of companies involved in 2022 (the last revenue available to the Parties for verifying the obligation of prior notification at the time the operation was completed) was over 532 million euros and the total revenue generated individually at the national level by at least two of the companies involved was over 32 million euros, thresholds applicable ratione temporis.</w:t>
      </w:r>
    </w:p>
    <w:p>
      <w:r>
        <w:t>IV. VIOLATION OF THE OBLIGATION OF PRIOR NOTIFICATION</w:t>
      </w:r>
    </w:p>
    <w:p>
      <w:r>
        <w:t>9. The Operation was not subject to prior notification to this Authority, which became aware of it only after its completion, following the communication from Ecosuntek S.p.A. and Sergio Marinangeli, with the submission of the relevant form, received on April 12, 2024.</w:t>
      </w:r>
    </w:p>
    <w:p>
      <w:r>
        <w:t>V. THE POSITION OF ECOSUNTEK S.p.A. AND SERGIO MARINANGELI</w:t>
      </w:r>
    </w:p>
    <w:p>
      <w:r>
        <w:t>10. The notifying Parties emphasize, preliminarily, that the failure to comply with the obligation of prior notification was not determined by the intention to fraudulently evade the Authority's control over concentration operations. The actions of the Parties indeed demonstrate the absence of any intent to conceal regarding the completion of the operation.</w:t>
      </w:r>
    </w:p>
    <w:p>
      <w:r>
        <w:t>11. In particular, Ecosuntek provided extensive and timely communication of the operation to the market, through press releases published well in advance of the date of its completion1. Secondly, Ecosuntek, upon realizing the omission it had incurred, immediately took steps to voluntarily notify the operation2. Both Parties then promptly responded to the requests for additional information made by the Authority during the pre-investigation phase, which concerned, inter alia, the reasons underlying the non-compliance that is the subject of this proceeding.</w:t>
      </w:r>
    </w:p>
    <w:p>
      <w:r>
        <w:t>12. As for the omission in which Ecosuntek involuntarily incurred, it would have been caused, unknowingly, by an "inaccurate internal process for determining the relevant revenue" for the assessments related to potential notification obligations under Law No. 287/1990.</w:t>
      </w:r>
    </w:p>
    <w:p>
      <w:r>
        <w:t>1 See the press releases from Ecosuntek in August and October 2023, as well as January 2024, available in the "Financial Press Releases" section of the Company's website, accessible at the following link: https://ecosuntek.com/comunicati-stampafinanziari/. These press releases were also picked up by national newspapers such as "La Stampa" (see the article "Ecosuntek concludes acquisition of 46.775% of +Energia," available at the following website: https://finanza.lastampa.it/News/2023/10/31/ecosuntek-conclude-acquisto-del-46-775percento-di+energia/MjA1XzIwMjMtMTAtMzFfVExC)</w:t>
      </w:r>
    </w:p>
    <w:p>
      <w:r>
        <w:t>2 For his part, Sergio Marinangeli did not raise objections regarding the publication of the press releases and, as soon as he became aware of the error, immediately agreed with Ecosuntek's intention to proceed with the notification of the Operation.</w:t>
      </w:r>
    </w:p>
    <w:p>
      <w:r>
        <w:rPr>
          <w:b/>
        </w:rPr>
        <w:t>[Pages 40–42]</w:t>
      </w:r>
    </w:p>
    <w:p>
      <w:r>
        <w:t>42 BULLETIN NO. 33 OF AUGUST 19, 2024</w:t>
      </w:r>
    </w:p>
    <w:p>
      <w:r>
        <w:t>More specifically, insofar as Eco Trade (and, in general, the Ecosuntek Group) primarily engages in the trading of electricity and natural gas - which, as is known, is characterized by significantly contained margins - the company would have erroneously believed that, for antitrust purposes, only operating profits should be taken into account. Moreover, it would have also erroneously believed that only the amounts attributable to the direct purchaser, namely Eco Trade, in the financial year 20223 were relevant. Considering also the limited significance of the revenue generated in the financial year 2022 by the only company controlled by Sergio Marinangeli (RS Racing), Ecosuntek thus considered that the antitrust thresholds were not met and erroneously concluded that it was not necessary to proceed with the prior notification of the operation.</w:t>
      </w:r>
    </w:p>
    <w:p>
      <w:r>
        <w:t>13. The Parties note that, in any case, no objection can be raised against Sergio Marinangeli "since, given the marginal revenue mentioned above, he legitimately and in good faith relied on the analyses and evaluations made by Ecosuntek."</w:t>
      </w:r>
    </w:p>
    <w:p>
      <w:r>
        <w:t>14. In the event that, despite the clarifications provided, the Authority finds the Parties responsible for the violation of the obligation of prior notification and, as a result, deems it appropriate to impose a sanction, the Parties request the imposition of a symbolic sanction that takes into account mitigating circumstances such as the absence of intent, the short duration of the violation, the spontaneous notification of the operation, and the collaborative spirit demonstrated by the Parties, as well as the fact that, as noted by the Authority, the operation did not raise any concerns regarding competition law in all relevant markets analyzed4.</w:t>
      </w:r>
    </w:p>
    <w:p>
      <w:r>
        <w:t>VI. EVALUATION REGARDING THE FAILURE TO NOTIFY</w:t>
      </w:r>
    </w:p>
    <w:p>
      <w:r>
        <w:t>15. From the documents of the proceedings, it appears that the Operation was carried out at a time prior to when it was communicated to the Authority, thus the aforementioned obligation of prior notification was violated.</w:t>
      </w:r>
    </w:p>
    <w:p>
      <w:r>
        <w:t>16. Regarding the identification of the responsible parties pursuant to Article 16 of Law No. 287/1990, it is observed that, since the obligation of prior notification falls on the companies acquiring control5, the responsibility for the failure to notify the operation can be attributed to Ecosuntek, through Eco Trade, and to Sergio Marinangeli, as acquirers of joint control over +Energia.</w:t>
      </w:r>
    </w:p>
    <w:p>
      <w:r>
        <w:t>17. With regard to the subjective element of the infringement, the established circumstances lead to the exclusion of the existence of an intention to willfully evade the Authority's control over concentration operations. However, since Article 3 of Law No. 689/1981 provides for liability for a fraudulent or negligent act or omission, in this case, there is a culpable delay in the communication of the concentration operation related to the acquisition, by Ecosuntek and Sergio Marinangeli, of joint control over +Energia, which was completed on January 8, 2024, and communicated only on April 12, 2024, attributable to a lack of diligence characterized by errors and inaccuracies in calculating the revenue figures necessary for assessing the existence of the notification obligation.</w:t>
      </w:r>
    </w:p>
    <w:p>
      <w:r>
        <w:t>18. Nor is it acceptable that any objection can be raised against Sergio Marinangeli. In fact, the circumstance that the evaluations regarding the acquisition agreements were made by Ecosuntek, as asserted by the notifying Parties, does not exempt Sergio Marinangeli from any liability, even negligent, since he is a signatory party to such agreements and, therefore, an acquirer of control on which the obligation of prior notification rests by law. Each acquirer indeed has a duty to act diligently to avoid unlawful conduct related to the conclusion of the agreements.</w:t>
      </w:r>
    </w:p>
    <w:p>
      <w:r>
        <w:t>19. Regarding the objective element of the infringement, it is noted that the Operation was subject to the obligation of prior notification provided for by Article 16, paragraph 1, of Law No. 287/1990; moreover, the Operation, completed on January 8, 2024, was not communicated in advance, in violation of the same article.</w:t>
      </w:r>
    </w:p>
    <w:p>
      <w:r>
        <w:t>20. It is also noted that any consideration regarding the effects of the operation is irrelevant both for the assessment of the violation of the obligation of prior notification and for the imposition of the related sanction. In fact, the provisions of Article 19, paragraph 2, of Law No. 287/1990 were established by the legislator to protect the respect of the Authority's competencies regarding the control of concentrations, which consists of necessarily preventive analysis and verification activities that are, consequently, irreparably evaded in the case of failure to notify.</w:t>
      </w:r>
    </w:p>
    <w:p>
      <w:r>
        <w:t>21. Having verified, based on the above considerations, the violation of Article 16, paragraph 1, of Law No. 287/1990, it is deemed appropriate to proceed with the imposition of the sanction. For this purpose, Article 11 of Law No. 689/1981 provides that, for the determination of the fine, "the severity of the violation, the efforts made by the agent to eliminate or mitigate the consequences of the violation, as well as the personality of the same and their economic conditions" should be taken into account.</w:t>
      </w:r>
    </w:p>
    <w:p>
      <w:r>
        <w:t>22. Regarding the severity of the infringement, this should be assessed taking into account a set of factors, including the absence of intent and the competitive effects of the tardily notified operation. From this latter point of view, in particular, no prejudicial effects were produced in the relevant market, as assessed in the decision of April 30, 2024, in which the Authority decided not to initiate the investigation referred to in Article 16, paragraph 4, of Law No. 287/1990.</w:t>
      </w:r>
    </w:p>
    <w:p>
      <w:r>
        <w:t>23. The duration of the delay, amounting to approximately three months, in the communication of the operation appears to be quite limited and, therefore, the infringement had a particularly contained duration.</w:t>
      </w:r>
    </w:p>
    <w:p>
      <w:r>
        <w:t>24. It should also be noted that the notification of the operation, although late, was made spontaneously and the Parties promptly responded to the requests for additional information made by the Authority.</w:t>
      </w:r>
    </w:p>
    <w:p>
      <w:r>
        <w:t>25. Finally, regarding the subjective characteristics of the companies in terms of their economic conditions, it is noted that in 2023 the Ecosuntek Group generated national revenue of [100-567 million] euros6; while Sergio Marinangeli had a personal income of [omitted] euros in 2022 (most recent available data7) and the company RS Racing, an amateur sports company in which he holds a controlling interest8, had revenue of 23,000 euros in 20239.</w:t>
      </w:r>
    </w:p>
    <w:p>
      <w:r>
        <w:t>26. For these reasons, considering the circumstances outlined above, the Authority deems it appropriate to impose sanctions on Ecosuntek S.p.A. and Sergio Marinangeli amounting to 15,000.00 € (fifteen thousand euros) and 1,500 € (one thousand five hundred euros), respectively.</w:t>
      </w:r>
    </w:p>
    <w:p>
      <w:r>
        <w:t>CONSIDERING, therefore, that the Operation, as it involved the acquisition of joint control of a company, constituted a concentration pursuant to Article 5, paragraph 1, letter b), of Law No. 287/1990;</w:t>
      </w:r>
    </w:p>
    <w:p>
      <w:r>
        <w:t>CONSIDERING that the Operation was subject to the obligation of prior notification provided for by Article 16, paragraph 1, of the aforementioned law, given that the revenue generated at the national level in the last financial year closed prior to the execution of the aforementioned Operation by the group of companies involved and the total revenue generated individually at the national level by at least two of the companies involved was above the thresholds set out in Article 16, paragraph 1, of Law No. 287/1990, as provided at the time of the execution of the operation itself;</w:t>
      </w:r>
    </w:p>
    <w:p>
      <w:r>
        <w:t>CONSIDERING that the operation was not communicated in advance pursuant to Article 16, paragraph 1, of Law No. 287/1990 and that, therefore, the Authority, pursuant to Article 19, paragraph 2, of the same law, may impose on the subject who has not complied with the related obligation, for the tardily communicated operation, administrative monetary sanctions of up to one percent of the revenue generated in the year preceding the year in which the contestation was made;</w:t>
      </w:r>
    </w:p>
    <w:p>
      <w:r>
        <w:t>CONSIDERING, regarding the identification of the subjects responsible for the contested infringement, that the Operation can be individually attributed to Ecosuntek S.p.A. and Sergio Marinangeli;</w:t>
      </w:r>
    </w:p>
    <w:p>
      <w:r>
        <w:t>HAVING REGARD to the existence of the conditions justifying the imposition of the sanction referred to in Article 19, paragraph 2, of Law No. 287/1990, against Ecosuntek, in the amount of 15,000 euros, and against Sergio Marinangeli, in the amount of 1,500 euros, sanctions that appear appropriate to achieve the objective of ensuring that the concentration control activity attributed to the Authority is based on the systematic and diligent respect of the obligation of prior notification established by Article 16 of Law No. 287/1990;</w:t>
      </w:r>
    </w:p>
    <w:p>
      <w:r>
        <w:rPr>
          <w:b/>
        </w:rPr>
        <w:t>[Pages 43–45]</w:t>
      </w:r>
    </w:p>
    <w:p>
      <w:r>
        <w:t>BULLETIN NO. 33 OF AUGUST 19, 2024</w:t>
      </w:r>
    </w:p>
    <w:p>
      <w:r>
        <w:t>DECISION</w:t>
      </w:r>
    </w:p>
    <w:p>
      <w:r>
        <w:t>a) that the conduct carried out by the company Ecosuntek S.p.A. and Sergio Marinangeli, consisting of the failure to communicate the acquisition of joint control over +Energia S.p.A., constitutes a violation of Article 16, paragraph 1, of Law No. 287/1990;</w:t>
      </w:r>
    </w:p>
    <w:p>
      <w:r>
        <w:t>b) to impose an administrative fine on Ecosuntek S.p.A. amounting to €15,000 (fifteen thousand/00 euros).</w:t>
      </w:r>
    </w:p>
    <w:p>
      <w:r>
        <w:t>c) to impose an administrative fine on Sergio Marinangeli amounting to €1,500 (one thousand five hundred/00 euros).</w:t>
      </w:r>
    </w:p>
    <w:p>
      <w:r>
        <w:t>The above administrative fine must be paid within ninety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fines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a copy of the model certifying the payments made.</w:t>
      </w:r>
    </w:p>
    <w:p>
      <w:r>
        <w:t>This provision will be published in the Bulletin of the Competition and Market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BULLETIN NO. 33 OF AUGUST 19, 2024</w:t>
      </w:r>
    </w:p>
    <w:p>
      <w:r>
        <w:t>C12654 - DIGITAL VALUE/INFORDATA</w:t>
      </w:r>
    </w:p>
    <w:p>
      <w:r>
        <w:t>Provision No. 31305</w:t>
      </w:r>
    </w:p>
    <w:p>
      <w:r>
        <w:t>THE COMPETITION AND MARKET AUTHORITY</w:t>
      </w:r>
    </w:p>
    <w:p>
      <w:r>
        <w:t>IN ITS MEETING of July 30, 2024;</w:t>
      </w:r>
    </w:p>
    <w:p>
      <w:r>
        <w:t>HEARD the Rapporteur, Professor Elisabetta Iossa;</w:t>
      </w:r>
    </w:p>
    <w:p>
      <w:r>
        <w:t>VIEWED Regulation (EC) No. 139/2004;</w:t>
      </w:r>
    </w:p>
    <w:p>
      <w:r>
        <w:t>VIEWED Law of October 10, 1990, No. 287;</w:t>
      </w:r>
    </w:p>
    <w:p>
      <w:r>
        <w:t>VIEWED the communication from Digital Value S.p.A., received on July 12, 2024;</w:t>
      </w:r>
    </w:p>
    <w:p>
      <w:r>
        <w:t>VIEWED the documentation on file;</w:t>
      </w:r>
    </w:p>
    <w:p>
      <w:r>
        <w:t>CONSIDERED the following</w:t>
      </w:r>
    </w:p>
    <w:p>
      <w:r>
        <w:t>I. THE PARTIES</w:t>
      </w:r>
    </w:p>
    <w:p>
      <w:r>
        <w:t>1. Digital Value S.p.A. (hereinafter, "DV"), a joint-stock company under Italian law with its registered office in Rome, engages in research, design, development, and marketing of information technology (hereinafter, "IT") solutions and services for the digitalization of clients operating in the telecommunications, manufacturing, energy services, and public utility sectors, as well as public administration entities and companies.</w:t>
      </w:r>
    </w:p>
    <w:p>
      <w:r>
        <w:t>2. In 2023, DV generated a total global revenue of [700-1,000]1 million euros, of which [700-1,000] million euros in Europe and [700-1,000] million euros in Italy.</w:t>
      </w:r>
    </w:p>
    <w:p>
      <w:r>
        <w:t>3. Infordata S.p.A. (hereinafter, "Infordata" or "Target" and, together with DV, the "Parties"), a joint-stock company under Italian law with its registered office in Latina, specializes in the design and development of programs for the automation of business procedures and in assistance, consulting, and training services for the implementation of IT systems. In particular, Infordata designs IT platforms for service management by clients.</w:t>
      </w:r>
    </w:p>
    <w:p>
      <w:r>
        <w:t>4. The share capital of Infordata is wholly controlled by In Holding S.p.A. (hereinafter, "In Holding"), whose share capital is held by three individuals, with respective shares of [35-40%], [35-40%], and [15-20%]. In 2023, Infordata generated a global revenue of approximately [100-567] million euros, of which approximately [100-567] million euros in Europe and approximately [100-567] million euros in Italy.</w:t>
      </w:r>
    </w:p>
    <w:p>
      <w:r>
        <w:t>1 In this version, some data are omitted, as it was deemed that there were elements of confidentiality or secrecy of the information.</w:t>
      </w:r>
    </w:p>
    <w:p>
      <w:r>
        <w:rPr>
          <w:b/>
        </w:rPr>
        <w:t>[Pages 46–48]</w:t>
      </w:r>
    </w:p>
    <w:p>
      <w:r>
        <w:t>48 BULLETIN NO. 33 OF AUGUST 19, 2024</w:t>
      </w:r>
    </w:p>
    <w:p>
      <w:r>
        <w:t>II. DESCRIPTION OF THE TRANSACTION</w:t>
      </w:r>
    </w:p>
    <w:p>
      <w:r>
        <w:t>5. The transaction in question (hereinafter, "transaction") consists of the acquisition, by DV, of the entire share capital of Infordata. The transaction is governed by a share purchase agreement representing the entirety of the share capital of Infordata (hereinafter, the "Agreement"), signed on [omitted] by DV and In Holding, and the individuals holding the share capital of the latter (hereinafter, collectively, "Sellers"). Following the completion of the transaction, the Target will therefore be exclusively controlled by DV.</w:t>
      </w:r>
    </w:p>
    <w:p>
      <w:r>
        <w:t>6. DV and the Sellers have also signed certain non-competition and non-solicitation clauses, providing that, for a period of [omitted].</w:t>
      </w:r>
    </w:p>
    <w:p>
      <w:r>
        <w:t>III. QUALIFICATION OF THE TRANSACTION</w:t>
      </w:r>
    </w:p>
    <w:p>
      <w:r>
        <w:t>7. The transaction,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w:t>
      </w:r>
    </w:p>
    <w:p>
      <w:r>
        <w:t>8. The aforementioned non-competition and non-solicitation agreements can be qualified as ancillary to the notified concentration to the extent that they contain restrictions directly related and necessary for the completion of the transaction2, safeguarding the value of the acquired company. In particular, they can be considered ancillary to this transaction to the extent that they are limited to the only markets (product and geographical) affected by the concentration and do not exceed a duration of two years3, given that, in this case, the value of the transferred company must be protected only in terms of goodwill and not also of know-how, as the acquiring company is already present in the IT services market.</w:t>
      </w:r>
    </w:p>
    <w:p>
      <w:r>
        <w:t>IV. ASSESSMENT OF THE CONCENTRATION</w:t>
      </w:r>
    </w:p>
    <w:p>
      <w:r>
        <w:t>Relevant markets</w:t>
      </w:r>
    </w:p>
    <w:p>
      <w:r>
        <w:t>9. Considering the activities carried out by the companies involved in the transaction, it primarily concerns the market for information technology services and, to a lesser extent, the market for data center and cloud computing services.</w:t>
      </w:r>
    </w:p>
    <w:p>
      <w:r>
        <w:t>2 See "Commission Communication on restrictions directly related and necessary to concentrations, in O.J. C.E. 2005/C-56/03 of March 5, 2005."</w:t>
      </w:r>
    </w:p>
    <w:p>
      <w:r>
        <w:t>3 Ibidem, para. 20.</w:t>
      </w:r>
    </w:p>
    <w:p>
      <w:r>
        <w:t>BULLETIN NO. 33 OF AUGUST 19, 2024 49</w:t>
      </w:r>
    </w:p>
    <w:p>
      <w:r>
        <w:t>(i) The provision of Information Technology services</w:t>
      </w:r>
    </w:p>
    <w:p>
      <w:r>
        <w:t>10. With reference to the IT services market, it is preliminarily noted that in the decision-making practice of the European Commission4 and the Authority5, this market has generally been considered segmentable based on the functionality of the services offered and the industrial sectors affected by the provision of such services.</w:t>
      </w:r>
    </w:p>
    <w:p>
      <w:r>
        <w:t>11. In this case, taking into account the activities carried out by the Parties, the IT services market can be divided, based on the functionality of the service, into the following segments: (i) consulting; (ii) implementation of applications and managed services; (iii) implementation of infrastructures and managed services; (iv) business process services; (v) infrastructure as a service; and (vi) hardware support. Furthermore, the IT services market can be segmented by industrial sector into: (i) banking and credit securities; (ii) communication; (iii) media; (iv) education; (v) healthcare services; (vi) government; (vii) insurance; (viii) manufacturing and natural resources; (ix) retail; (x) transportation; (xi) public service; and (xii) wholesale trade.</w:t>
      </w:r>
    </w:p>
    <w:p>
      <w:r>
        <w:t>12. The activities carried out by the Parties could fall within two segments of the Gartner classification identified based on the functionality of the service, namely implementation of applications and managed services and implementation of infrastructures and managed services.</w:t>
      </w:r>
    </w:p>
    <w:p>
      <w:r>
        <w:t>13. In any case, for the purposes of this assessment, the exact product market delineation can be left open, considering that the transaction does not raise concerns regarding competition protection and that the assessment is conducted with reference to the most restrictive hypothesis.</w:t>
      </w:r>
    </w:p>
    <w:p>
      <w:r>
        <w:t>14. From a geographical perspective, the aforementioned market can be conservatively considered to coincide with the national territory, given that the Authority, in its precedents, has noted the homogeneity of competitive conditions at the national level and the absence of significant imports of IT services, leaning towards a national market dimension although there is a trend towards the internationalization of demand and supply. For the purposes of this assessment, the exact definition of the geographical market can be left open as, even with reference to the national scope alone, no competitive concerns emerge.</w:t>
      </w:r>
    </w:p>
    <w:p>
      <w:r>
        <w:t>(ii) The provision of data center and cloud computing services</w:t>
      </w:r>
    </w:p>
    <w:p>
      <w:r>
        <w:t>15. With reference to the market for data center and cloud computing services, considered by the Parties as a distinct product market, it is noted that the Target is active there only to a very limited extent, providing in particular infrastructure as a service (IaaS) and software as a service (SaaS). The acquirer is active in the construction and management of data centers, including next-generation ones, which are increasingly being built directly on the cloud.</w:t>
      </w:r>
    </w:p>
    <w:p>
      <w:r>
        <w:t>4 See, among others, the decisions of the European Commission M.9205 - IBM/Red Hat, of June 27, 2019, and M.7458 - IBM/INF Business of Deutsche Lufthansa, of December 15, 2014.</w:t>
      </w:r>
    </w:p>
    <w:p>
      <w:r>
        <w:t>5 See, among others, the measures No. 30790 of September 26, 2023, C12564 - Fibonacci Bidco/OCS, in Bulletin No. 39/2023; No. 28342 of September 8, 2020, C12317 - Italian Investment Fund SGR-Elettra One/Maticmind, in Bulletin No. 38/2020; and the measure No. 24851 of March 27, 2014, C11943 - ICCREA Holding/I.S.I.D.E. in Bulletin No. 15/2014;</w:t>
      </w:r>
    </w:p>
    <w:p>
      <w:r>
        <w:t>50 BULLETIN NO. 33 OF AUGUST 19, 2024</w:t>
      </w:r>
    </w:p>
    <w:p>
      <w:r>
        <w:t>16. In relation to this market, it is noted that, in its precedents6, the Authority has deemed it appropriate to leave the definition of the market open from a product perspective, in line with what has also been done by the European Commission7.</w:t>
      </w:r>
    </w:p>
    <w:p>
      <w:r>
        <w:t>17. In this case, considering the entirely marginal presence of the Target in the considered market, also with reference to the distinct IaaS and SaaS services, the exact definition of the product market can be left open, given that the transaction does not raise concerns regarding competition protection.</w:t>
      </w:r>
    </w:p>
    <w:p>
      <w:r>
        <w:t>18. Finally, with reference to the definition of the market from a geographical perspective, it is noted that the Authority, in its precedents8, has considered that data center and cloud computing services presented certain economic characteristics that suggested a local definition of the relevant market, and that therefore the geographical dimension of the reference market can be identified in the macro-areas of North and Central-South, taking into account, in particular, the concentration of data centers in the areas of Milan and neighboring provinces and Rome, while leaving the exact definition of the geographical market open.</w:t>
      </w:r>
    </w:p>
    <w:p>
      <w:r>
        <w:t>19. Due to the modest impact of the transaction on the relevant market, in this case, the exact definition of the geographical scope can be left open, in continuity with the most recent precedents of the Authority.</w:t>
      </w:r>
    </w:p>
    <w:p>
      <w:r>
        <w:t>The effects of the transaction</w:t>
      </w:r>
    </w:p>
    <w:p>
      <w:r>
        <w:t>20. The transaction in question involves a horizontal overlap between the activities of the Parties in the national IT services market, in which in 2023 Infordata holds a market share of [less than 1%] and DV a share of [1-5%]. Therefore, as a result of the transaction, the companies involved will have a combined market share of [1-5%].</w:t>
      </w:r>
    </w:p>
    <w:p>
      <w:r>
        <w:t>21. If one were to consider the hypothesis of a narrower relevant market, such as the segment of the IT services market related to the implementation of applications and managed services, the market shares of Infordata and DV are [1-5%] and [5-10%], respectively, leading the Parties to have a post-merger share of [5-10%]. Finally, with reference to the segment of IT services related to the implementation of infrastructures and managed services, Infordata holds a market share of [less than 1%], while DV has a share of [5-10%], resulting in a post-merger share of [5-10%].</w:t>
      </w:r>
    </w:p>
    <w:p>
      <w:r>
        <w:t>22. Therefore, due to the marginality of the shares held by the Target in any considered market and in light of the negligible horizontal overlaps between the Parties, it can be concluded that the transaction in question does not give rise to horizontal effects. Furthermore, it is noted that the national IT services market appears to be particularly fragmented, with the presence of numerous and qualified competitors, such as IBM, Lutech, Maticmind, and TIM.</w:t>
      </w:r>
    </w:p>
    <w:p>
      <w:r>
        <w:t>23. It is also noted that, with reference to the national market for data center and cloud computing services, in 2023 the Target holds a market share of [less than 1%], and therefore</w:t>
      </w:r>
    </w:p>
    <w:p>
      <w:r>
        <w:t>6 See the measures No. 30625 of May 2, 2023, C12537 - Artemis Lux Bidco/Cumulus, in Bulletin No. 19/2023; No. 27414 of November 14, 2018, C12184 - IRIDEOS/CLOUDITALIA TELECOMUNICAZIONI, in Bulletin No. 45/2018; No. 26741 of September 14, 2017, C12106 - F2I/SGR/INFRACOM ITALIA, in Bulletin No. 37/2017; and No. 30382 of November 22, 2022, C12476 - MARBLES/IRIDEOS in Bulletin No. 44/2022.</w:t>
      </w:r>
    </w:p>
    <w:p>
      <w:r>
        <w:t>7 See the decision of the European Commission of October 25, 2021 M.10416 – Stellantis/FIH/JV.</w:t>
      </w:r>
    </w:p>
    <w:p>
      <w:r>
        <w:t>8 See the measure No. 30526 of May 2, 2023, C12537 – Artemis Lux Bidco/Cumulus, cited.</w:t>
      </w:r>
    </w:p>
    <w:p>
      <w:r>
        <w:rPr>
          <w:b/>
        </w:rPr>
        <w:t>[Pages 49–51]</w:t>
      </w:r>
    </w:p>
    <w:p>
      <w:r>
        <w:t>BULLETIN NO. 33 OF AUGUST 19, 2024</w:t>
      </w:r>
    </w:p>
    <w:p>
      <w:r>
        <w:t>51. The operation in question does not appear to be likely to cause a significant change in the structure of that market. In fact, given that DV holds a share of [1-5%], the Parties will jointly hold a share that is nonetheless below 2%, in a market where competitors such as Aruba, Stack Infrastructure, and Retelit operate.</w:t>
      </w:r>
    </w:p>
    <w:p>
      <w:r>
        <w:t>24. If one were to consider geographically confined areas such as those of Milan and Rome, where there is a particular concentration of data centers, given that, in any case, the Target holds a negligible share in the considered market, it is noted that the acquirer holds a market share of [1-5%] in the Milan area and [1-5%] in the Rome area in 2023.</w:t>
      </w:r>
    </w:p>
    <w:p>
      <w:r>
        <w:t>CONSIDERING, therefore, that the operation in question does not significantly impede effective competition in the relevant market pursuant to Article 6, paragraph 1, of Law No. 287/1990 and does not lead to the establishment or strengthening of a dominant position;</w:t>
      </w:r>
    </w:p>
    <w:p>
      <w:r>
        <w:t>CONSIDERING, furthermore, that the non-competition and non-solicitation clauses described above can be considered ancillary to this operation only to the extent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52 BULLETIN NO. 33 OF AUGUST 19, 2024</w:t>
      </w:r>
    </w:p>
    <w:p>
      <w:r>
        <w:t>C12656 – CRYPTO – NATURAL PERSONS/VISTA VISION</w:t>
      </w:r>
    </w:p>
    <w:p>
      <w:r>
        <w:t>Provision No. 31306</w:t>
      </w:r>
    </w:p>
    <w:p>
      <w:r>
        <w:t>THE ANTITRUST AUTHORITY</w:t>
      </w:r>
    </w:p>
    <w:p>
      <w:r>
        <w:t>IN ITS MEETING of July 30, 2024;</w:t>
      </w:r>
    </w:p>
    <w:p>
      <w:r>
        <w:t>HEARD the Rapporteur, Saverio Valentino;</w:t>
      </w:r>
    </w:p>
    <w:p>
      <w:r>
        <w:t>SEEN Regulation (EC) No. 139/2004;</w:t>
      </w:r>
    </w:p>
    <w:p>
      <w:r>
        <w:t>SEEN Law No. 287 of October 10, 1990;</w:t>
      </w:r>
    </w:p>
    <w:p>
      <w:r>
        <w:t>SEEN the communication made by Cripto S.p.A., received on July 15, 2024;</w:t>
      </w:r>
    </w:p>
    <w:p>
      <w:r>
        <w:t>SEEN the documentation on file;</w:t>
      </w:r>
    </w:p>
    <w:p>
      <w:r>
        <w:t>CONSIDERED the following</w:t>
      </w:r>
    </w:p>
    <w:p>
      <w:r>
        <w:t>I. THE PARTIES</w:t>
      </w:r>
    </w:p>
    <w:p>
      <w:r>
        <w:t>1. Cripto S.p.A. (hereinafter, "Cripto" or "HoldCo") is an Italian law company directly controlled by Calel S.p.A. (hereinafter, "Calel"), which, in turn, is directly 100% controlled by Ardian Expansion VI Fund SLP, an investment fund managed by Ardian France S.A. (hereinafter "Ardian"), a société anonyme under French law that is part of the Ardian group (hereinafter "Ardian Group"). Ardian is a French private equity fund management company that, through the Ardian Group, engages in investment activities in Europe, America, and Asia. It is 99.99% owned by the French Ardian Holding S.A.S., whose share capital is distributed among several minority shareholders, none of whom holds, individually or together with others, exclusive or joint control of the company1. In 2023, the Ardian Group generated worldwide revenue of over [20-30]* billion euros, of which approximately [5-6] billion in Italy.</w:t>
      </w:r>
    </w:p>
    <w:p>
      <w:r>
        <w:t>2. Vista Vision S.r.l. (hereinafter, "Vista Vision" or "Target") is a company active in managing a network of clinics in Italy and Romania that offer specialist visits, diagnostic tests, and surgical procedures on an outpatient basis, primarily in the ophthalmic sector. Additionally, Vista Vision is, to a marginal extent, active, through its subsidiaries, in managing retail outlets for glasses and contact lenses only in Romania. The revenue generated almost entirely in Italy by the Target in the financial year 2023 is [32-100] million euros. Vista Vision is currently controlled by two natural persons (hereinafter, together, the "Managers"), Italian citizens, managers of the same company. The Managers hold, through holdings entirely owned by them, approximately 33.5% each of the share capital of Vista Vision.</w:t>
      </w:r>
    </w:p>
    <w:p>
      <w:r>
        <w:t>1 See provision No. 30283 of August 4, 2022, C12474 - Ardian France-Italian Renewable Resources/Icq Holding, in Bulletin No. 32/2022.</w:t>
      </w:r>
    </w:p>
    <w:p>
      <w:r>
        <w:t>* In this version, some data are omitted, as it was deemed that there are elements of confidentiality or secrecy of the information.</w:t>
      </w:r>
    </w:p>
    <w:p>
      <w:r>
        <w:t>BULLETIN NO. 33 OF AUGUST 19, 2024</w:t>
      </w:r>
    </w:p>
    <w:p>
      <w:r>
        <w:t>53</w:t>
      </w:r>
    </w:p>
    <w:p>
      <w:r>
        <w:t>II. DESCRIPTION OF THE OPERATION</w:t>
      </w:r>
    </w:p>
    <w:p>
      <w:r>
        <w:t>3. The communicated operation (hereinafter "Operation") consists of the acquisition of joint indirect control of Vista Vision by Calel, on one side, and the Managers, on the other, through Cripto, which will acquire 100% of the share capital of Vista Vision2.</w:t>
      </w:r>
    </w:p>
    <w:p>
      <w:r>
        <w:t>4. In particular, in execution of the agreements made between the Parties and as a result of the Operation, Calel and the Managers will exercise joint control over Vista Vision, as: (i) Calel will have the right to appoint the majority of the members of the Board of Directors of Vista Vision; (ii) the Managers will be appointed as managing directors; and (iii) the Managers will be granted veto rights that will allow them - as long as at least one of the two Managers holds the position of managing director of Vista Vision - to exercise decisive influence over the strategic decisions of the Target.</w:t>
      </w:r>
    </w:p>
    <w:p>
      <w:r>
        <w:t>5. A non-competition agreement is provided for, under which the Managers, each individually, undertake to [omitted].</w:t>
      </w:r>
    </w:p>
    <w:p>
      <w:r>
        <w:t>6. An additional non-competition and non-solicitation agreement is also provided for, under which the Managers, each individually, undertake to [omitted].</w:t>
      </w:r>
    </w:p>
    <w:p>
      <w:r>
        <w:t>III. QUALIFICATION OF THE OPERATION</w:t>
      </w:r>
    </w:p>
    <w:p>
      <w:r>
        <w:t>7. The Operation, being aimed at the acquisition of joint control of a company, constitutes a concentration pursuant to Article 5, paragraph 1, letter b), of Law No. 287/1990. It falls within the scope of application of Law No. 287/1990 as the conditions of Article 1 of Regulation (EC) 139/2004 are not met, and it is subject to the obligation of prior notification provided for by Article 16, paragraph 1, of the same law as the total revenue generated, in the last financial year at the national level, by the group of interested companies exceeded 567 million euros and the total revenue generated, in the last financial year at the national level, by at least two of the interested companies exceeded 35 million euros.</w:t>
      </w:r>
    </w:p>
    <w:p>
      <w:r>
        <w:t>8. The non-competition agreements in force in competition with the continuation of the joint venture may be considered ancillary to the concentration, provided that they do not exceed the product and geographical scope of the Target's activity and to the extent that the individual Manager continues to hold (joint) control of Vista Vision3.</w:t>
      </w:r>
    </w:p>
    <w:p>
      <w:r>
        <w:t>9. The non-competition agreements and the non-solicitation agreement, in force only after the termination of the joint venture, to which the Managers are bound, may be subject to separate examination in the event that the resulting concentration operation is subject to notification obligation to the Authority.</w:t>
      </w:r>
    </w:p>
    <w:p>
      <w:r>
        <w:t>2 A few months after the completion of the Operation, the merger between HoldCo and Vista Vision will be completed, and therefore the joint indirect control will become direct.</w:t>
      </w:r>
    </w:p>
    <w:p>
      <w:r>
        <w:t>3 See "Commission Communication on restrictions directly related and necessary to concentrations," in O.J. C.E. 2005/C-56/03 of March 5, 2005, paras. 36-41.</w:t>
      </w:r>
    </w:p>
    <w:p>
      <w:r>
        <w:rPr>
          <w:b/>
        </w:rPr>
        <w:t>[Pages 52–54]</w:t>
      </w:r>
    </w:p>
    <w:p>
      <w:r>
        <w:t>54 BULLETIN NO. 33 OF AUGUST 19, 2024</w:t>
      </w:r>
    </w:p>
    <w:p>
      <w:r>
        <w:t>IV. ASSESSMENT OF THE OPERATION</w:t>
      </w:r>
    </w:p>
    <w:p>
      <w:r>
        <w:t>The relevant markets</w:t>
      </w:r>
    </w:p>
    <w:p>
      <w:r>
        <w:t>10. The Target company operates in the healthcare sector, where it offers specialist visits, diagnostic examinations, and surgical interventions on an outpatient basis, primarily of an ophthalmic nature. Therefore, from a product perspective, the market relevant to the Operation is that in which the acquired company operates, namely the market for outpatient healthcare services4.</w:t>
      </w:r>
    </w:p>
    <w:p>
      <w:r>
        <w:t>The market for outpatient healthcare services</w:t>
      </w:r>
    </w:p>
    <w:p>
      <w:r>
        <w:t>11. The market for outpatient healthcare services includes the services provided by the Regional Tariff Nomenclature for Specialist Services, which can be delivered at healthcare facilities to patients not admitted for hospitalization. Outpatient services can be provided by both public facilities belonging to the National Health Service (hereinafter, "SSN") and private facilities and/or professionals accredited with the SSN or outside of such accreditation. Furthermore, these services are performed at specialist clinics, both in and out of hospitals, at residential or semi-residential facilities, and at the patient's home.</w:t>
      </w:r>
    </w:p>
    <w:p>
      <w:r>
        <w:t>12. According to the cited national precedents, from the supply side, the market in question could be further distinguished based on the public or private nature of the service providers. Additionally, further segmentation of the aforementioned product markets could be made based on the type of services provided (i.e., services rendered through the SSN and services rendered on a private basis). This is because, from the demand side, patients who turn to public or accredited private facilities only pay the so-called health ticket - the amount of which varies depending on the requested service, income, and the region where the facility is located - while the remaining portion is covered by the SSN according to rates established at the regional level. Conversely, patients who receive healthcare services on a private basis (at a private facility) bear the entire cost of the service. In any case, in its precedents, the Authority has left the exact product market definition open.</w:t>
      </w:r>
    </w:p>
    <w:p>
      <w:r>
        <w:t>13. In this case, a precise delimitation of the product market is not necessary, as the assessment of the same would not change even in the most restrictive version of the market.</w:t>
      </w:r>
    </w:p>
    <w:p>
      <w:r>
        <w:t>14. Regarding the geographical dimension, the Authority has generally considered that the market for outpatient healthcare services has a regional dimension, considering: (i) the proximity constraint to the place of care that characterizes the demand needs and (ii) the Italian regulatory framework, which provides for regulation at the regional level of authorization and accreditation systems5.</w:t>
      </w:r>
    </w:p>
    <w:p>
      <w:r>
        <w:t>15. However, based on the analysis of user flows accessing outpatient services, the Authority has recently deemed it possible to hypothesize a lower geographical extension of the market in question, for example, provincial, and that the geographical extension of the relevant market could also vary depending on the type of service and/or the significance of the facility in relation to a specific pathology6.</w:t>
      </w:r>
    </w:p>
    <w:p>
      <w:r>
        <w:t>16. Notwithstanding the above, in this case, the exact geographical delimitation of the market does not appear necessary and can be left open.</w:t>
      </w:r>
    </w:p>
    <w:p>
      <w:r>
        <w:t>The effects of the Operation</w:t>
      </w:r>
    </w:p>
    <w:p>
      <w:r>
        <w:t>17. The Operation does not appear to be capable of producing distortive effects on competition. In fact, on one hand, there are no horizontal overlaps between the activities of the Parties, while on the other hand, the vertical relationships between them are entirely marginal, and there are no supply relationships for products or services between the Parties.</w:t>
      </w:r>
    </w:p>
    <w:p>
      <w:r>
        <w:t>18. In particular, regarding the horizontal relationships, the Ardian Group is not active in Italy in the outpatient healthcare sector, with the consequence that the Operation will merely result in the replacement of one operator with another without causing any change in the competitive structure of the market. Moreover, the Target's shares in the outpatient healthcare services markets are entirely marginal.</w:t>
      </w:r>
    </w:p>
    <w:p>
      <w:r>
        <w:t>19. Specifically, in 2023, in the market for outpatient services considered as a whole (i.e., both public and private services) and if deemed to have a regional dimension, the market shares held by the Target are below 1% in all regions where it is active (particularly Lombardy, Veneto, Liguria, Emilia-Romagna, Tuscany, Lazio, Puglia, and Sicily). Conversely, considering the market for outpatient services provided solely on a private basis, in 2023 the Target's shares, which operates exclusively in this regime, are below [1-5%] at the regional level.</w:t>
      </w:r>
    </w:p>
    <w:p>
      <w:r>
        <w:t>20. Even considering more restricted geographical areas, Vista Vision holds a completely marginal position even in the market for outpatient services considered to have a provincial dimension (particularly in the provinces of Milan, Brescia, Verona, Bologna, Genoa, Pisa, Florence, Rome, Bari, and Messina, where the Target is active). In fact, in 2023, in the Italian province where the Target holds the highest market share (Pisa), Vista Vision holds a share that does not exceed [1-5%] in the overall outpatient services and a share below [5-10%] in outpatient services on a private basis.</w:t>
      </w:r>
    </w:p>
    <w:p>
      <w:r>
        <w:t>21. Furthermore, in the aforementioned relevant market, numerous qualified competitors are active, each holding a market share greater than that of the parties. Therefore, the Operation is not likely to significantly alter the competitive structure in the market in question.</w:t>
      </w:r>
    </w:p>
    <w:p>
      <w:r>
        <w:t>22. Regarding the vertical relationships, only one subsidiary of the Ardian Group, Sintetica, operates in the production and marketing of sterile injectable solutions, including anesthetic drugs - upstream from the market in which the Target is active in Italy - generating in 2023 a revenue of [less than 1 million] euros in Italy. In light of the positions of the parties in the upstream and downstream markets, it does not appear that the post-merger entity has the incentives and capacity to engage in exclusionary conduct regarding such products.</w:t>
      </w:r>
    </w:p>
    <w:p>
      <w:r>
        <w:t>23. In light of the above considerations, the concentration in question does not appear to significantly hinder competition in the relevant market or to result in the establishment or strengthening of a dominant position.</w:t>
      </w:r>
    </w:p>
    <w:p>
      <w:r>
        <w:t>CONSIDERING, therefore, that the Operation does not significantly hinder effective competition in the relevant markets pursuant to Article 6, paragraph 1, of Law No. 287/1990 and does not result in the establishment or strengthening of a dominant position;</w:t>
      </w:r>
    </w:p>
    <w:p>
      <w:r>
        <w:t>CONSIDERING, also, that the non-competition and non-solicitation agreements can be considered ancillary to the Operation only to the limits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55–57]</w:t>
      </w:r>
    </w:p>
    <w:p>
      <w:r>
        <w:t xml:space="preserve">BULLETIN NO. 33 OF AUGUST 19, 2024 57  </w:t>
        <w:br/>
        <w:t xml:space="preserve">C12657 - CIEP SPIN BIDCO/ENERGEAN CAPITAL  </w:t>
        <w:br/>
        <w:t xml:space="preserve">Decision No. 31307  </w:t>
        <w:br/>
        <w:t xml:space="preserve">THE ANTITRUST AUTHORITY  </w:t>
        <w:br/>
        <w:t xml:space="preserve">IN ITS MEETING of July 30, 2024;  </w:t>
        <w:br/>
        <w:t xml:space="preserve">HEARD the Rapporteur, Professor Elisabetta Iossa;  </w:t>
        <w:br/>
        <w:t xml:space="preserve">HAVING REGARD to Regulation (EC) No. 139/2004 concerning the control of concentrations between undertakings;  </w:t>
        <w:br/>
        <w:t xml:space="preserve">HAVING REGARD to Law No. 287 of October 10, 1990;  </w:t>
        <w:br/>
        <w:t xml:space="preserve">HAVING REGARD to Presidential Decree No. 217 of April 30, 1998;  </w:t>
        <w:br/>
        <w:t xml:space="preserve">HAVING REGARD to the communication from CIEP Spin BidCo Ltd., received on July 19, 2024;  </w:t>
        <w:br/>
        <w:t xml:space="preserve">HAVING REGARD to the documentation on file;  </w:t>
        <w:br/>
        <w:t xml:space="preserve">CONSIDERING the following:  </w:t>
        <w:br/>
        <w:t xml:space="preserve">I. THE PARTIES  </w:t>
        <w:br/>
        <w:t xml:space="preserve">1. CIEP Spin BidCo Ltd. (hereinafter, "Buyer") is a recently established English vehicle company indirectly controlled by investment funds managed by companies affiliated with The Carlyle Group Inc ("Carlyle"). Carlyle is a public joint-stock company whose ordinary shares are listed on the NASDAQ Stock Exchange and manages investment funds primarily active in the sectors of (i) private equity; (ii) global credit; and (iii) investment solutions. In 2023, Carlyle generated total global revenue of approximately [100-200]* billion euros, of which approximately [40-50] in Europe and [1-2] in Italy.  </w:t>
        <w:br/>
        <w:t xml:space="preserve">2. Energean Capital Ltd. ("Target") is a Cypriot company active, through several subsidiaries, in the exploration, development, production, treatment, and marketing of oil and natural gas, as well as in the construction and management of facilities related to these activities. The company owns assets dedicated to the exploration and production of oil and natural gas in Egypt, Italy, and Croatia. Target is wholly owned by Energean PLC, an English company. In 2023, Target generated total global revenue of approximately [400-500] million euros, of which approximately [200-300] in Europe and [200-300] in Italy.  </w:t>
        <w:br/>
        <w:t xml:space="preserve">II. DESCRIPTION OF THE TRANSACTION  </w:t>
        <w:br/>
        <w:t xml:space="preserve">3. The notified transaction ("Transaction") consists of the acquisition by the Buyer of 100% of the shares of the Target. As a result of the Transaction, the share capital of the Target will be entirely held by the Buyer, which is indirectly controlled by investment funds managed by companies affiliated with Carlyle. The completion of the Transaction is conditional upon the prior exclusion (so-called carve-out) from the scope of the acquisition of certain entities based in the United Kingdom (in particular, [omitted]) that are currently indirectly controlled by the Target).  </w:t>
        <w:br/>
        <w:t>* In this version, some data are omitted, as there are elements of confidentiality or secrecy of the information.</w:t>
      </w:r>
    </w:p>
    <w:p>
      <w:r>
        <w:t xml:space="preserve">58 BULLETIN NO. 33 OF AUGUST 19, 2024  </w:t>
        <w:br/>
        <w:t xml:space="preserve">4. An integral part of the Transaction is a non-solicitation clause under which the Buyer agrees not to solicit employees and consultants of Energean PLC for 18 months following the completion of the Transaction without having first obtained written consent from Energean PLC. Therefore, this clause does not apply if (i) employees and consultants of Energean PLC respond independently to public announcements not directed at specific individuals or (ii) the employment relationship of such individuals with Energean PLC has ended.  </w:t>
        <w:br/>
        <w:t xml:space="preserve">III. QUALIFICATION OF THE TRANSACTION  </w:t>
        <w:br/>
        <w:t xml:space="preserve">5. The notified Transaction, as it involves the acquisition of control of an undertaking, constitutes a concentration pursuant to Article 5, paragraph 1, letter b), of Law No. 287/1990. It falls within the scope of application of Law No. 287/1990, as the conditions set out in Article 1 of Regulation (EC) No. 139/2004 do not apply, and it is subject to the prior notification obligation established by Article 16, paragraph 1, of the same law, as the total revenue generated, in the last financial year at the national level, by the group of undertakings concerned exceeded 567 million euros and the total revenue generated individually, in the last financial year at the national level, by at least two of the undertakings concerned exceeded 35 million euros.  </w:t>
        <w:br/>
        <w:t xml:space="preserve">6. The non-solicitation clause described above can be qualified as ancillary to the notified concentration, as it contains restrictions directly related to the realization of the Transaction. In particular, the commitments undertaken by the Buyer benefit the seller to the extent that they address the need to ensure the protection of the part of the business retained1. The non-solicitation clause is indeed limited to the geographical area and activities carried out by the seller and has a duration of less than two years.  </w:t>
        <w:br/>
        <w:t xml:space="preserve">IV. ASSESSMENTS OF THE CONCENTRATION  </w:t>
        <w:br/>
        <w:t xml:space="preserve">IV.1. RELEVANT MARKETS  </w:t>
        <w:br/>
        <w:t xml:space="preserve">7. Due to the operations of the Parties, the markets involved in the Transaction are: (i) the market for the exploration, development, and production of gaseous and liquid hydrocarbons; (ii) the market for the production and wholesale sale of crude oil; (iii) the market for the refining of crude oil, vertically linked to the market for the supply and wholesale sale of crude oil.  </w:t>
        <w:br/>
        <w:t xml:space="preserve">IV.1.1. Market for the exploration, development, and production of gaseous and liquid hydrocarbons  </w:t>
        <w:br/>
        <w:t xml:space="preserve">8. The activities of exploration, development, and production of hydrocarbons constitute the upstream phase in the natural gas and oil sectors. Such activities, pursuant to Article 4 of Legislative Decree No. 164/2000, are free in the national territory and subject to the issuance by the Ministry of Enterprises and Made in Italy of the relevant research permits and hydrocarbon production concessions. Pursuant to Article 4 of Legislative Decree No. 625/1996, the granting of research permits is subject to publicity and competitive procedures. The same Legislative Decree, in Article 6, recognizes the holder of the research permit, who has discovered liquid or gaseous hydrocarbons, the right to apply for the granting of the related production concession, without this initiating a competitive procedure. Considering, on the one hand, that at the time of exploration it is not known what may be contained in the subsoil and, on the other hand, that the technical skills necessary for the exploration and production of crude oil and natural gas are the same, a distinction of activities based on whether they relate to liquid or gaseous hydrocarbons does not appear justified. From a geographical perspective, the market is to be considered generally of global dimensions2.  </w:t>
        <w:br/>
        <w:t xml:space="preserve">9. In the market in question, only limited horizontal overlaps occur, as both the Carlyle group (through some subsidiaries) and the Target are active globally with a market share well below 1%3. Therefore, it can be excluded that the Transaction raises competitive concerns in this market.  </w:t>
        <w:br/>
        <w:t xml:space="preserve">IV.1.2. Market for the production and wholesale sale of crude oil  </w:t>
        <w:br/>
        <w:t xml:space="preserve">10. The market for the production and wholesale sale of crude oil is vertically linked to the market for the exploration, development, and production of gaseous and liquid hydrocarbons, which represents the upstream phase. Crude oil, commonly known as oil or crude, is a natural liquid, yellow-black in color, found in geological formations below the earth's surface, and is normally refined into a large number of products. Most crude oil is used for fuel production; however, many other products, such as naphtha, ethylene, solvents, oils, or bitumen, are also produced from crude oil. In its practice, the Authority has taken into account past decisions of the European Commission, which has considered the production and wholesale sale of crude oil as a distinct product market, generally of global geographical dimensions and, only in particular cases, of lesser scope, without, however, more precisely defining the geographical perimeter of the market in question4. Also in this case, the definition can be left open, as this does not change the outcome of the assessment; the Parties are indeed active globally and at the level of the European Economic Area with market shares well below 1%. Moreover, there is no overlap between the activities of the parties in the national market, as only the Target operates in Italy; therefore, it can be excluded that the Transaction raises competitive concerns in this market. Given the insignificant market shares, the Transaction is also unsuitable to give rise to restrictive vertical effects between the upstream market for the exploration, development, and production of gaseous and liquid hydrocarbons and the market for the production and wholesale sale of crude oil.  </w:t>
        <w:br/>
        <w:t xml:space="preserve">IV.1.3. Market for the refining of crude oil  </w:t>
        <w:br/>
        <w:t xml:space="preserve">11. The downstream market for the refining of crude oil is vertically linked to the market for the supply and wholesale sale of crude oil. Carlyle operates in this downstream market through two controlled companies, CEPSA and Varo Energy B.V., which  </w:t>
        <w:br/>
        <w:t xml:space="preserve">2 See, for example: Decision No. 22581 of July 7, 2011, C11114 - Adriatica Idrocarburi/Concessione Capparuccia, in Bulletin No. 27/2011; Decision No. 20924 of March 18, 2010, C10499 - Enel Trade/Longanesi Developments, in Bulletin No. 11/2010; Decision No. 14906 of November 23, 2005, C7356 - ENI Mediterranea Idrocarburi/Società Azionaria Ricerche Coltivazione Idrocarburi Sicilia-Sarcis, in Bulletin No. 47/2005.  </w:t>
        <w:br/>
        <w:t xml:space="preserve">3 Market shares refer to 2023 and are calculated based on the reserves of oil and gas subject to exploration, development, and production activities.  </w:t>
        <w:br/>
        <w:t>4 See, for example: Decision No. 28083 of January 14, 2020, C12273 - MOL Crossroads/Chevron Khazar, in Bulletin No. 5/2020.</w:t>
      </w:r>
    </w:p>
    <w:p>
      <w:r>
        <w:rPr>
          <w:b/>
        </w:rPr>
        <w:t>[Pages 58–60]</w:t>
      </w:r>
    </w:p>
    <w:p>
      <w:r>
        <w:t>60 BULLETIN NO. 33 OF AUGUST 19, 2024</w:t>
      </w:r>
    </w:p>
    <w:p>
      <w:r>
        <w:t>manage two refineries in Spain and one in Switzerland; Target sells crude oil to CEPSA under a wholesale supply contract (while it currently has no supply relationships with Varo Energy B.V.).</w:t>
      </w:r>
    </w:p>
    <w:p>
      <w:r>
        <w:t>12. In its practice, the Authority has considered oil refining to be the first phase of the production chain in the oil sector5. Refining is characterized as a processing activity in which the use of a substantially undifferentiated raw material (crude oil) allows for the production of a multitude of products (gasolines, diesel, etc.), based on specific technical relationships. The productions are of a joint type and the technologies are generally known and widespread. From a geographical perspective, the European Commission has often left the exact definition of the market open, hypothesizing in some cases an extension equal to the European Economic Area and in others a more restricted dimension, i.e. international or national6. Considering that, in the context of crude oil refining, Carlyle does not operate in Italy, the Operation is unsuitable to give rise to restrictive vertical effects on a hypothetical Italian national market.</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r>
    </w:p>
    <w:p>
      <w:r>
        <w:t>Guido Stazi Roberto Rustichelli</w:t>
      </w:r>
    </w:p>
    <w:p>
      <w:r>
        <w:t>5 See, for example: decision No. 11255 of October 3, 2002, C5444 - ERG/Branch of AgipPetroli, in Bulletin No. 40/2002; decision No. 10950 of July 11, 2002, C5317 - Q8 Quaser/Branch of CIT Petrol, in Bulletin No. 28/2002.</w:t>
      </w:r>
    </w:p>
    <w:p>
      <w:r>
        <w:t>6 See, for example: European Commission, M.4934 - Kazmunaigaz/Rompetrol of October 19, 2007; European Commission, M.4208 - Petroplus/European Petroleum Holdings of May 29, 2006; European Commission, M.3291 - Preem/Skandinaviska Raffinaderi of December 1, 2003; European Commission, M.3110 - OMV/BP of June 11, 2003.</w:t>
      </w:r>
    </w:p>
    <w:p>
      <w:r>
        <w:t>BULLETIN NO. 33 OF AUGUST 19, 2024</w:t>
      </w:r>
    </w:p>
    <w:p>
      <w:r>
        <w:t>UNFAIR TRADE PRACTICES</w:t>
      </w:r>
    </w:p>
    <w:p>
      <w:r>
        <w:t>IP373 - E.A.S. SICILIAN AQUEDUCTS AUTHORITY - BIENNIAL PRESCRIPTION</w:t>
      </w:r>
    </w:p>
    <w:p>
      <w:r>
        <w:t>Decision No. 31310</w:t>
      </w:r>
    </w:p>
    <w:p>
      <w:r>
        <w:t>THE ANTITRUST AUTHORITY</w:t>
      </w:r>
    </w:p>
    <w:p>
      <w:r>
        <w:t>IN ITS MEETING of July 30, 2024;</w:t>
      </w:r>
    </w:p>
    <w:p>
      <w:r>
        <w:t>HEARD the Rapporteur, Professor Elisabetta Iossa;</w:t>
      </w:r>
    </w:p>
    <w:p>
      <w:r>
        <w:t>VIEWED Part II, Title III, of Legislative Decree No. 206 of September 6, 2005, and subsequent amendments (hereinafter, Consumer Code);</w:t>
      </w:r>
    </w:p>
    <w:p>
      <w:r>
        <w:t>VIEWED, in particular, Article 27, paragraph 12, of the Consumer Code, according to which in the event of non-compliance with urgent measures or those prohibiting or removing effects, the Authority applies an administrative pecuniary sanction from 10,000 to 10,000,000 euros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r>
    </w:p>
    <w:p>
      <w:r>
        <w:t>VIEWED its resolution No. 30224 of July 5, 2022, with which the Authority established the unfairness of the commercial practice carried out by the Sicilian Aqueducts Authority in liquidation, a non-economic public entity, previously managing the water service in certain areas of Sicily (hereinafter also "EAS in liquidation"), consisting of conduct evading the obligations set forth in Article 1, paragraphs 4 and following, of Law No. 205 of December 27, 2017 (so-called 2018 Budget Law) regarding biennial prescription;</w:t>
      </w:r>
    </w:p>
    <w:p>
      <w:r>
        <w:t>VIEWED the documents of the proceeding;</w:t>
      </w:r>
    </w:p>
    <w:p>
      <w:r>
        <w:t>VIEWED, furthermore, the ruling of the TAR Lazio, Section I, of July 28, 2023, No. 12817, which fully confirmed resolution No. 30224 of July 5, 2022;</w:t>
      </w:r>
    </w:p>
    <w:p>
      <w:r>
        <w:t>CONSIDERING the following:</w:t>
      </w:r>
    </w:p>
    <w:p>
      <w:r>
        <w:t>1. With resolution No. 30224 of July 5, 2022, communicated to the professional on July 22, 20221, the Authority, at the conclusion of the investigative proceeding PS11743, declared the unfairness, pursuant to Articles 20, 22, 24, and 25 of the Consumer Code, of a commercial practice carried out by the Sicilian Aqueducts Authority in liquidation, consisting of:</w:t>
        <w:br/>
        <w:t>a) the non-compliance with the informational obligations provided by the current regulations regarding biennial prescription in the water sector, as well as</w:t>
      </w:r>
    </w:p>
    <w:p>
      <w:r>
        <w:t>1 Prot. No. 57666/2022.</w:t>
      </w:r>
    </w:p>
    <w:p>
      <w:r>
        <w:t>b) the unjustified rejection of requests and complaints from consumers aimed at raising the biennial prescription concerning credits related to consumption billed after January 1, 2020, and dating back more than two years from the date of issuance of the relevant bill. With the aforementioned resolution, the dissemination or continuation of the above-mentioned practice was prohibited, a pecuniary administrative sanction of five hundred thousand euros was imposed on EAS in liquidation, and it was ordered that the professional communicate - within sixty days from the notification of the provision - the initiatives taken in compliance with this warning.</w:t>
      </w:r>
    </w:p>
    <w:p>
      <w:r>
        <w:t>2. On August 19, 2022, EAS in liquidation submitted a request for a 30-day extension of the deadline for submitting the compliance report, which was accepted by the Authority on September 13, 2022.</w:t>
      </w:r>
    </w:p>
    <w:p>
      <w:r>
        <w:t>3. In the compliance report, submitted on October 20, 2022, the professional represented:</w:t>
        <w:br/>
        <w:t>i) that it had suspended the processing of requests and complaints from users aimed at raising the short prescription, as well as, prudently, the recovery of credits related to previously issued bills deemed illegitimate by the Authority2;</w:t>
        <w:br/>
        <w:t>ii) that it was about to appeal the aforementioned resolution No. 30224/2022, requesting the suspension of its effectiveness and reserving the right to publish a notice on its website to inform users about the possibility of raising the short prescription.</w:t>
      </w:r>
    </w:p>
    <w:p>
      <w:r>
        <w:t>4. The TAR Lazio, with order of November 24, 2022, accepted the request for suspension of the effectiveness of the Authority's resolution No. 30224/2022 and with ruling of July 28, 2023, fully confirmed the aforementioned resolution, rejecting the appeal of EAS in liquidation.</w:t>
      </w:r>
    </w:p>
    <w:p>
      <w:r>
        <w:t>5. Following the outcome of the first-instance litigation and the receipt of further consumer reports, the Offices urged the entity - with communications of December 13, 2023, and April 10, 20243 - to describe the policy adopted, as the former manager of the local water service, towards its consumer-users, regarding biennial prescription and the related methods of informing consumers.</w:t>
      </w:r>
    </w:p>
    <w:p>
      <w:r>
        <w:t>6. With notes received on January 10, May 13, and June 21, 2024, the professional represented:</w:t>
        <w:br/>
        <w:t>i) that it had integrated the payment reminder forms, including the information required by law regarding biennial prescription, recalling the explicit regulatory reference, as well as the two different interpretations - one provided by ARERA, the other by the Supreme Court of Cassation - regarding the moment when the biennial prescription begins to run, respectively, from the deadline by which the manager is obliged to issue the billing document (i.e., 45 days from the closure of the relevant solar period) and from the payment deadline indicated in the bill. This is to allow the consumer to evaluate the convenience of raising the prescription exception;</w:t>
        <w:br/>
        <w:t>ii) that it had sent payment reminders exclusively to users for whom the entity has certainty of the interruption of the prescription terms;</w:t>
        <w:br/>
        <w:t>iii) that it had consulted the District Attorney's Office, which, with an opinion of January 20, 2021, observed that the biennial prescription regime does not apply to the billing period 2016-2017, as the operations for verifying actual consumption and billing were prior to May 2020.</w:t>
      </w:r>
    </w:p>
    <w:p>
      <w:r>
        <w:t>2 See paragraphs 30, 32 and following, 76 and following of resolution No. 30224/2022.</w:t>
      </w:r>
    </w:p>
    <w:p>
      <w:r>
        <w:t>3 See prot. No. 102847/2023 and prot. No. 38514/2024.</w:t>
      </w:r>
    </w:p>
    <w:p>
      <w:r>
        <w:rPr>
          <w:b/>
        </w:rPr>
        <w:t>[Pages 61–63]</w:t>
      </w:r>
    </w:p>
    <w:p>
      <w:r>
        <w:t>BULLETIN NO. 33 OF AUGUST 19, 2024 63</w:t>
      </w:r>
    </w:p>
    <w:p>
      <w:r>
        <w:t>7. From the reading of the payment reminder forms on file, it appears that the warning has been included in the section titled "User Information": "Regarding the possible prescription of the amounts contained in this notice, in compliance with the communication obligations imposed on this Entity Acquedotti Siciliani in L.C.A., it is stated that: 1. Pursuant to Article 1, paragraph 4, of Law 205/2017, in the contracts for the supply of water service [...] the right to payment is subject to a two-year prescription. Regarding the provision indicated above in point 1), it is highlighted that: 1.1) ARERA has provided that the two-year prescription [...] begins from the deadline by which the operator is obliged to issue the billing document, identified by ARERA itself as the forty-fifth day following the closure of the relevant solar period; 1.2 the Court of Cassation has, however, clarified that the two-year prescription, introduced by Law 205/2017, begins from the payment deadline indicated in the invoice and is to be understood as referring only to the amounts due and not also to water consumption, for which the prescription period remains that of five years as provided for by Article 2498 of the Civil Code."</w:t>
      </w:r>
    </w:p>
    <w:p>
      <w:r>
        <w:t>8. In light of the elements on file, EAS in l.c.a. does not appear to have prepared adequate information for consumers regarding the two-year prescription, as the necessary data and elements for the user to verify the amount and effectiveness of the claimed credit, such as the meter reading activity, the calculation of consumption, and the specific indication of the acts interrupting the prescription, have been omitted. Furthermore, no evidence has been provided regarding the acceptance of the two-year prescription exception in favor of consumers, including those whose requests and complaints were rejected.</w:t>
      </w:r>
    </w:p>
    <w:p>
      <w:r>
        <w:t>9. Therefore, at this time, the commercial practice deemed unfair as per resolution no. 30224/2022 does not appear to have ceased.</w:t>
      </w:r>
    </w:p>
    <w:p>
      <w:r>
        <w:t>10. In conclusion, the conditions for initiating the procedure provided for by Article 27, paragraph 12, of the Consumer Code, aimed at imposing an administrative monetary sanction from 10,000 to 10,000,000 euros, are present.</w:t>
      </w:r>
    </w:p>
    <w:p>
      <w:r>
        <w:t>CONSIDERING, therefore, that the described facts constitute a case of non-compliance with the Authority's resolution no. 30224 of July 5, 2022, pursuant to Article 27, paragraph 12, of the Consumer Code;</w:t>
      </w:r>
    </w:p>
    <w:p>
      <w:r>
        <w:t>RESOLVES</w:t>
      </w:r>
    </w:p>
    <w:p>
      <w:r>
        <w:t>a) to contest to the Entity Acquedotti Siciliani in l.c.a., in its capacity as former operator of the water service in certain areas of Sicily, the violation referred to in Article 27, paragraph 12, of the Consumer Code, for failing to comply with the Authority's resolution no. 30224 of July 5, 2022;</w:t>
      </w:r>
    </w:p>
    <w:p>
      <w:r>
        <w:t>b) the initiation of the procedure for the possible imposition of the monetary sanction provided for by Article 27, paragraph 12, of the Consumer Code;</w:t>
      </w:r>
    </w:p>
    <w:p>
      <w:r>
        <w:t>c) that the person responsible for the procedure is Dr. Marina Catallozzi;</w:t>
      </w:r>
    </w:p>
    <w:p>
      <w:r>
        <w:t>d) that the acts of the procedure can be viewed at the Transport, Energy and Environment Directorate of the Department for Consumer Protection 1 of the Authority, by the legal representatives of the Entity Acquedotti Siciliani in l.c.a. or by persons delegated by it;</w:t>
      </w:r>
    </w:p>
    <w:p>
      <w:r>
        <w:t>64 BULLETIN NO. 33 OF AUGUST 19, 2024</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 of quantifying the possible monetary sanction provided for by Article 27, paragraph 12, of the Consumer Code, the Entity Acquedotti Siciliani in l.c.a. is requested to provide a copy of the latest financial statement or suitable accounting documentation certifying the economic conditions in the last year.</w:t>
      </w:r>
    </w:p>
    <w:p>
      <w:r>
        <w:t>This provision will be communicated to the interested parties and published in the Bulletin of the Authority for the Guarantee of Competition and the Market.</w:t>
      </w:r>
    </w:p>
    <w:p>
      <w:r>
        <w:t>THE SECRETARY GENERAL THE PRESIDENT</w:t>
      </w:r>
    </w:p>
    <w:p>
      <w:r>
        <w:t>Guido Stazi Roberto Rustichelli</w:t>
      </w:r>
    </w:p>
    <w:p>
      <w:r>
        <w:t>BULLETIN NO. 33 OF AUGUST 19, 2024 65</w:t>
      </w:r>
    </w:p>
    <w:p>
      <w:r>
        <w:t>PS12674 - WIZZAIR - PRICES FOR ANCILLARY SERVICES</w:t>
      </w:r>
    </w:p>
    <w:p>
      <w:r>
        <w:t>Provision no. 31311</w:t>
      </w:r>
    </w:p>
    <w:p>
      <w:r>
        <w:t>THE AUTHORITY FOR THE GUARANTEE OF COMPETITION AND THE MARKET</w:t>
      </w:r>
    </w:p>
    <w:p>
      <w:r>
        <w:t>IN ITS MEETING of July 30, 2024;</w:t>
      </w:r>
    </w:p>
    <w:p>
      <w:r>
        <w:t>HEARD the Rapporteur, Saverio Valentino;</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communication, received on December 15, 2023, and definitively integrated on June 7, 2024, with which Wizz Air Hungary Ltd. submitted commitments pursuant to Article 27, paragraph 7, of the Consumer Code and Article 9 of the Regulation;</w:t>
      </w:r>
    </w:p>
    <w:p>
      <w:r>
        <w:t>VIEWED its decision of April 30, 2024, with which, pursuant to Article 7, paragraph 3, of the Regulation, a 60 (sixty) day extension of the conclusion deadline of the procedure was ordered, for investigative needs;</w:t>
      </w:r>
    </w:p>
    <w:p>
      <w:r>
        <w:t>VIEWED the acts of the procedure;</w:t>
      </w:r>
    </w:p>
    <w:p>
      <w:r>
        <w:t>I. THE PARTIES</w:t>
      </w:r>
    </w:p>
    <w:p>
      <w:r>
        <w:t>1. Wizz Air Hungary Ltd. (hereinafter, Wizz Air or the Company), as a professional, pursuant to Article 18, letter b), of the Consumer Code, with its registered office in Hungary, is a low-cost airline whose main object is the operation of air connections for the transport of people and goods between Italy and foreign countries and in foreign countries.</w:t>
      </w:r>
    </w:p>
    <w:p>
      <w:r>
        <w:t>2. Mr. [omitted]*, as an intervenor.</w:t>
      </w:r>
    </w:p>
    <w:p>
      <w:r>
        <w:t>II. THE CONDUCT SUBJECT TO THE PROCEDURE</w:t>
      </w:r>
    </w:p>
    <w:p>
      <w:r>
        <w:t>3. Based on a report received on July 3, 20231, as well as information acquired for the purposes of the Consumer Code2, the Professional would have engaged in two practices in alleged violation of Articles 21 and 22 of the Consumer Code.</w:t>
      </w:r>
    </w:p>
    <w:p>
      <w:r>
        <w:t>4. Firstly, the Professional would not have provided adequate information to consumers during the booking process on its website, regarding the time window within which to check in online for free and regarding the imposition of a fee of forty euros for the consequent check-in at the airport.</w:t>
      </w:r>
    </w:p>
    <w:p>
      <w:r>
        <w:t>* In this version, some data are omitted, as elements of confidentiality or secrecy of the information were deemed to exist.</w:t>
      </w:r>
    </w:p>
    <w:p>
      <w:r>
        <w:t>1 See doc. no. 1 in the index of the file</w:t>
      </w:r>
    </w:p>
    <w:p>
      <w:r>
        <w:t>2 See doc. no. 2 in the index of the file</w:t>
      </w:r>
    </w:p>
    <w:p>
      <w:r>
        <w:rPr>
          <w:b/>
        </w:rPr>
        <w:t>[Pages 64–66]</w:t>
      </w:r>
    </w:p>
    <w:p>
      <w:r>
        <w:t>66 BULLETIN NO. 33 OF AUGUST 19, 2024</w:t>
      </w:r>
    </w:p>
    <w:p>
      <w:r>
        <w:t>5. Secondly, the Professional, during the booking process on its website, would have presented the price of the insurance policies offered in conjunction with flights in a non-transparent manner.</w:t>
      </w:r>
    </w:p>
    <w:p>
      <w:r>
        <w:t>6. With reference to online check-in, the professional's website informed consumers, once the so-called Basic fare was selected and the seat assignment was random, that it was possible to check in online "only in the 24 hours prior to departure," without further specifications. To obtain more detailed information, consumers had to exit the booking process and access the webpage titled "info and services," where it is specified that the online check-in service is available up to 3 hours before the flight departure and that the airport check-in service is subject to a fee. Furthermore, the cost of the latter service was only available by accessing an additional webpage, accessible via the link titled "by paying a supplement," which specifies that the cost for airport check-in is forty euros.</w:t>
      </w:r>
    </w:p>
    <w:p>
      <w:r>
        <w:t>7. Regarding the insurance policy offered in conjunction with flights, at the end of the booking process on its website, Wizz Air offered consumers the option to purchase the insurances called "Cancellation Insurance" and "Multirisk Insurance with Cancellation," indicating the price "/person." After selecting one of the aforementioned insurance services and entering the required data, the price "/person" was actually multiplied by the number of passengers included in the booking and by the number of days covered by the trip. Consumers were informed of the actual price of the insurance services only at the bottom of the webpage, where it was specified that "the price shown is per person, per day, taxes included."</w:t>
      </w:r>
    </w:p>
    <w:p>
      <w:r>
        <w:t>III. THE OUTCOMES OF THE PROCEDURE: THE PRESENTATION OF COMMITMENTS</w:t>
      </w:r>
    </w:p>
    <w:p>
      <w:r>
        <w:t>1) The procedure process</w:t>
      </w:r>
    </w:p>
    <w:p>
      <w:r>
        <w:t>8. Based on the elements in the records, on November 8, 2023, Wizz Air was notified of the initiation of investigative procedure no. PS/126743 in relation to the commercial practices described above, in possible violation of Articles 21 and 22 of the Consumer Code, as characterized by misleading and omissive profiles, being likely to appreciably distort the economic behavior of the average consumer, in relation to the online check-in service and the insurance policies offered in conjunction with flights.</w:t>
      </w:r>
    </w:p>
    <w:p>
      <w:r>
        <w:t>9. Wizz Air had access to the case files on November 15 and 21, 20234.</w:t>
      </w:r>
    </w:p>
    <w:p>
      <w:r>
        <w:t>10. On December 15, 2023, Wizz Air submitted a response to the request for information made during the communication of the initiation of the investigative procedure5. On the same date, Wizz Air presented an initial proposal of commitments, subsequently supplemented on April 12, 2024, and the consolidated version was filed on June 7, 20246.</w:t>
      </w:r>
    </w:p>
    <w:p>
      <w:r>
        <w:t>11. On December 18, 2023, Mr. [omitted] was admitted to participate in the procedure7, in acceptance of the request made on December 15, 2023.</w:t>
      </w:r>
    </w:p>
    <w:p>
      <w:r>
        <w:t>12. On February 2, 2024, Wizz Air was heard in a hearing, during which a request for information was made to which the Professional responded on March 27, 20248.</w:t>
      </w:r>
    </w:p>
    <w:p>
      <w:r>
        <w:t>13. On April 30 and June 4, 2024, the Authority communicated to the Parties the extension of the deadline for concluding the procedure by 60 days9.</w:t>
      </w:r>
    </w:p>
    <w:p>
      <w:r>
        <w:t>14. On June 10, 2024, the Parties were informed of the conclusion date of the investigative phase, pursuant to Article 16, paragraph 1, of the Regulation10.</w:t>
      </w:r>
    </w:p>
    <w:p>
      <w:r>
        <w:t>15. Mr. [omitted] had access to the documents on June 18, 202411 and submitted memoranda on June 20, 2024.</w:t>
      </w:r>
    </w:p>
    <w:p>
      <w:r>
        <w:t>16. On July 16, 2024, the opinion of the Authority for Communications Guarantees, requested on June 25, 2024, was received, pursuant to Article 27, paragraph 6, of the Consumer Code12.</w:t>
      </w:r>
    </w:p>
    <w:p>
      <w:r>
        <w:t>2) The acquired elements</w:t>
      </w:r>
    </w:p>
    <w:p>
      <w:r>
        <w:t>17. In the responses to the requests for information made in the communication of the initiation of the procedure13 and during the hearing14, Wizz Air stated that consumers were informed in multiple stages, during the online booking process on the Company's website, about the timing and methods of the online check-in and airport check-in services, highlighting that both pieces of information were specified both at the time of presenting the fares offered by the Company and in the "additional services" section.</w:t>
      </w:r>
    </w:p>
    <w:p>
      <w:r>
        <w:t>18. Regarding the insurance policies offered in conjunction with flights, the Company emphasized that the information regarding the composition of the final price of the services called "Cancellation Insurance" and "Multirisk Insurance with Cancellation" was not misleading, as it was provided after indicating the three possible insurance options: cancellation, multirisk, and no insurance.</w:t>
      </w:r>
    </w:p>
    <w:p>
      <w:r>
        <w:t>3) The commitments</w:t>
      </w:r>
    </w:p>
    <w:p>
      <w:r>
        <w:t>19. The commitments presented by the Company – which in their final version are attached to this provision and constitute an integral part thereof15 – include:</w:t>
      </w:r>
    </w:p>
    <w:p>
      <w:r>
        <w:t>1) the modification of the information provided to consumers on the Wizz Air website regarding the time window within which to check in online for free and regarding the costs related to the airport check-in service. In particular, the webpage that proposes the different air fares offered by the Company will specify that the time window within which consumers can check in online for free, included in the Basic fare, opens 24 hours before the flight departure and closes 3 hours before the departure. On the same webpage, consumers will be informed that the cost for the airport check-in service is forty euros. Furthermore, the information regarding the time window within which it is possible to check in online for free will be reiterated at the bottom of the presentation of the Basic fare;</w:t>
      </w:r>
    </w:p>
    <w:p>
      <w:r>
        <w:t>2) a refund to all consumers who, during the period 2019-2023, submitted a complaint to the Company stating that they encountered malfunctions during the online check-in phase on the Wizz Air website or app, being charged the cost of the aforementioned service at the airport. These consumers will be offered the option to choose between a refund equal to 100% and a voucher (so-called Wizz Credit) equal to 120% of what was spent for check-in;</w:t>
      </w:r>
    </w:p>
    <w:p>
      <w:r>
        <w:t>3) the modification of the information provided on the Wizz Air website regarding the insurance policies offered in conjunction with flights called "Cancellation Insurance" and "Multirisk Insurance with Cancellation." In particular, on the webpage where the services in question are offered, the wording will be added: "the price shown is per person, per day, taxes included. For the total price, refer to the summary box shown on the right." The aforementioned wording will be positioned at the bottom of the insurance policies offered, so as to be contextualizable and immediately visible.</w:t>
      </w:r>
    </w:p>
    <w:p>
      <w:r>
        <w:t>IV. OPINION OF THE AUTHORITY FOR COMMUNICATIONS GUARANTEES</w:t>
      </w:r>
    </w:p>
    <w:p>
      <w:r>
        <w:t>20. Since the commercial practice subject to this provision was disseminated via the internet, on June 25, 2024, the opinion was requested from the Authority for Communications Guarantees16, pursuant to Article 27, paragraph 6, of the Consumer Code.</w:t>
      </w:r>
    </w:p>
    <w:p>
      <w:r>
        <w:t>21. With the opinion received on July 16, 202417, the aforementioned Authority deemed that Wizz Air's use of the internet is suitable to develop a significant impact on consumers who, based on the information read on the website/app used by the professional, could be induced to make a commercial decision that they otherwise would not have made, thus concretely developing the full potential of the promotional and sales methods used.</w:t>
      </w:r>
    </w:p>
    <w:p>
      <w:r>
        <w:t>V. EVALUATION OF THE COMMITMENTS</w:t>
      </w:r>
    </w:p>
    <w:p>
      <w:r>
        <w:t>22. The Authority believes that the commitments proposed by the professional, consisting of a series of easily monitorable and verifiable measures and interventions, are suitable to remedy the possible profiles of illegitimacy contested in the communication of initiation of November 8, 2023.</w:t>
      </w:r>
    </w:p>
    <w:p>
      <w:r>
        <w:t>23. Overall, the proposed measures provide concrete elements to inform consumers about the characteristics of the services included in the different air fares offered by Wizz Air and about the conditions and costs of the services purchasable during the online booking phase.</w:t>
      </w:r>
    </w:p>
    <w:p>
      <w:r>
        <w:t>24. In this sense, the commitments no. 1 and 3 are particularly relevant as they allow overcoming the issues due to the lack of information regarding the online check-in service and the insurance policies offered in conjunction with flights.</w:t>
      </w:r>
    </w:p>
    <w:p>
      <w:r>
        <w:rPr>
          <w:b/>
        </w:rPr>
        <w:t>[Pages 67–69]</w:t>
      </w:r>
    </w:p>
    <w:p>
      <w:r>
        <w:t>BULLETIN NO. 33 OF AUGUST 19, 2024 69</w:t>
      </w:r>
    </w:p>
    <w:p>
      <w:r>
        <w:t>25. Regarding online check-in, the proposed corrective measures are suitable for making visible and clear the information related both to the time window within which consumers can perform online check-in, and regarding the cost associated with the check-in service at the airport. Furthermore, consumers will have access to information on multiple occasions, spread throughout the booking phase, regarding the time limit within which to perform online check-in for free associated with the Basic fare.</w:t>
      </w:r>
    </w:p>
    <w:p>
      <w:r>
        <w:t>26. Regarding the insurance policies offered in conjunction with flights, the proposed corrective measures make the information regarding the cost of the services called "Cancellation Insurance" and "Multirisk Insurance with Cancellation" complete and detailed. In this way, consumers are made aware of the actual monetary outlay associated with the different insurance policies proposed during the online booking phase.</w:t>
      </w:r>
    </w:p>
    <w:p>
      <w:r>
        <w:t>27. As for the compensation commitment, the refunds appear suitable to provide relief to consumers directly affected by the practice, as documented by the complaints filed by them during the reference period.</w:t>
      </w:r>
    </w:p>
    <w:p>
      <w:r>
        <w:t>28. In conclusion, from a perspective of full consumer protection, the described remedial measures address the misleading aspects highlighted in the initiation act (commitment 1 and 3), and provide compensation to all consumers who reported malfunctions to the Company during the online check-in phase (commitment 2), being charged for the cost of such service at the airport.</w:t>
      </w:r>
    </w:p>
    <w:p>
      <w:r>
        <w:t>29. In light of the above considerations, it is believed that the commitments presented meet the requirements set forth in Article 27, paragraph 7, of the Consumer Code.</w:t>
      </w:r>
    </w:p>
    <w:p>
      <w:r>
        <w:t>CONSIDERING, therefore, that the commitments presented by Wizz Air Hungary Ltd., in the terms outlined above, are suitable to eliminate the possible profiles of unlawfulness of the conduct subject to investigation;</w:t>
      </w:r>
    </w:p>
    <w:p>
      <w:r>
        <w:t>CONSIDERING, to impose the obligation of the aforementioned commitments on Wizz Air Hungary Ltd.;</w:t>
      </w:r>
    </w:p>
    <w:p>
      <w:r>
        <w:t>CONSIDERING, therefore, to be able to close the procedure without ascertaining the infringement;</w:t>
      </w:r>
    </w:p>
    <w:p>
      <w:r>
        <w:t>RESOLVES</w:t>
      </w:r>
    </w:p>
    <w:p>
      <w:r>
        <w:t>a) to make mandatory, with respect to Wizz Air Hungary Ltd., pursuant to Article 27, paragraph 7, of the Consumer Code and Article 9, paragraph 2, letter a), of the Regulation, the commitments proposed on December 15, 2023, subsequently supplemented on March 27, 2024, and presented in consolidated form on June 7, 2024,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Wizz Air Hungary Ltd., within sixty days from the date of notification of this resolution, informs the Authority of the implementation of the commitments.</w:t>
      </w:r>
    </w:p>
    <w:p>
      <w:r>
        <w:t>Pursuant to Article 9, paragraph 3, of the Regulation, the procedure may be reopened ex officio, where:</w:t>
      </w:r>
    </w:p>
    <w:p>
      <w:r>
        <w:t>70 BULLETIN NO. 33 OF AUGUST 19, 2024</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r>
    </w:p>
    <w:p>
      <w:r>
        <w:t>Guido Stazi Roberto Rustichelli</w:t>
      </w:r>
    </w:p>
    <w:p>
      <w:r>
        <w:t>BULLETIN NO. 33 OF AUGUST 19, 2024 71</w:t>
      </w:r>
    </w:p>
    <w:p>
      <w:r>
        <w:t>VARIOUS</w:t>
      </w:r>
    </w:p>
    <w:p>
      <w:r>
        <w:t>REGULATION ON FORMS OF COLLABORATION AND COOPERATION PURSUANT TO ARTICLE 18 OF LAW NO. 214 OF DECEMBER 30, 2023</w:t>
      </w:r>
    </w:p>
    <w:p>
      <w:r>
        <w:t>Provision No. 31295</w:t>
      </w:r>
    </w:p>
    <w:p>
      <w:r>
        <w:t>THE AUTHORITY FOR COMPETITION AND MARKET</w:t>
      </w:r>
    </w:p>
    <w:p>
      <w:r>
        <w:t>IN ITS MEETING of July 23, 2024;</w:t>
      </w:r>
    </w:p>
    <w:p>
      <w:r>
        <w:t>HAVING REGARD to Regulation (EU) 2022/1925 of the European Parliament and of the Council, of September 14, 2022, concerning fair and contestable markets in the digital sector;</w:t>
      </w:r>
    </w:p>
    <w:p>
      <w:r>
        <w:t>HAVING REGARD to Law No. 214 of December 30, 2023, containing the Annual Law for the Market and Competition 2022, and, in particular, Article 18, Measures for the implementation of Regulation (EU) 2022/1925 of the European Parliament and of the Council, of September 14, 2022, concerning fair and contestable markets in the digital sector;</w:t>
      </w:r>
    </w:p>
    <w:p>
      <w:r>
        <w:t>HAVING REGARD to Law No. 287 of October 10, 1990, containing Rules for the protection of competition and the market;</w:t>
      </w:r>
    </w:p>
    <w:p>
      <w:r>
        <w:t>HAVING REGARD to Presidential Decree No. 217 of April 30, 1998, containing Regulations on procedures for investigations under the jurisdiction of the Authority for Competition and Market, and its subsequent amendments;</w:t>
      </w:r>
    </w:p>
    <w:p>
      <w:r>
        <w:t>CONSIDERING the necessity to adopt the Regulation provided for by the aforementioned Article 18 of Law No. 214 of December 30, 2023, regarding the forms of collaboration and cooperation provided for by Regulation (EU) 2022/1925;</w:t>
      </w:r>
    </w:p>
    <w:p>
      <w:r>
        <w:t>HAVING REGARD to the observations received following the public consultation on the draft Regulation held from June 3, 2024, to July 3, 2024, taking into account that the relationship between consultation and the quality of regulation is valued even at the European level, as shared regulation allows for better enforcement of the rules;</w:t>
      </w:r>
    </w:p>
    <w:p>
      <w:r>
        <w:t>RESOLVES</w:t>
      </w:r>
    </w:p>
    <w:p>
      <w:r>
        <w:t>to approve the "Regulation on forms of collaboration and cooperation pursuant to Article 18 of Law No. 214 of December 30, 2023, containing Measures for the implementation of Regulation (EU) 2022/1925 of the European Parliament and of the Council, of September 14, 2022," the text of which is attached and is an integral part of this provision.</w:t>
      </w:r>
    </w:p>
    <w:p>
      <w:r>
        <w:rPr>
          <w:b/>
        </w:rPr>
        <w:t>[Pages 70–72]</w:t>
      </w:r>
    </w:p>
    <w:p>
      <w:r>
        <w:t>72 BULLETIN NO. 33 OF AUGUST 19, 2024</w:t>
      </w:r>
    </w:p>
    <w:p>
      <w:r>
        <w:t>This provision will be published in the Bulletin of the Competition and Market Authority and will also be published in the Official Gazette and will enter into force on the fifteenth day following the date of publication.</w:t>
      </w:r>
    </w:p>
    <w:p>
      <w:r>
        <w:t>THE SECRETARY GENERAL THE PRESIDENT</w:t>
        <w:br/>
        <w:t>Guido Stazi Roberto Rustichelli</w:t>
      </w:r>
    </w:p>
    <w:p>
      <w:r>
        <w:t>__________________________________________________________________________</w:t>
      </w:r>
    </w:p>
    <w:p>
      <w:r>
        <w:t>REGULATION ON FORMS OF COLLABORATION AND COOPERATION PURSUANT TO ARTICLE 18 OF LAW NO. 214 OF DECEMBER 30, 2023, CONCERNING MEASURES FOR THE IMPLEMENTATION OF REGULATION (EU) 2022/1925 OF THE EUROPEAN PARLIAMENT AND OF THE COUNCIL, OF SEPTEMBER 14, 2022.</w:t>
      </w:r>
    </w:p>
    <w:p>
      <w:r>
        <w:t>ART. 1. Definitions</w:t>
      </w:r>
    </w:p>
    <w:p>
      <w:r>
        <w:t>For the purposes of this regulation, the following definitions apply:</w:t>
        <w:br/>
        <w:t>a) "Regulation" refers to Regulation (EU) 2022/1925 of the European Parliament and of the Council, of September 14, 2022, concerning fair and contestable markets in the digital sector by law;</w:t>
        <w:br/>
        <w:t>b) "Implementing Regulation" refers to Implementing Regulation (EU) 2023/814 of the Commission of April 14, 2023, concerning the detailed modalities for the implementation by the Commission of certain procedures under Regulation (EU) 2022/1925 of the European Parliament and of the Council;</w:t>
        <w:br/>
        <w:t>c) "Competition Law for 2022" refers to Law No. 214 of December 30, 2023;</w:t>
        <w:br/>
        <w:t>d) "Law" refers to Law No. 287 of October 10, 1990;</w:t>
        <w:br/>
        <w:t>e) "Commission" refers to the European Commission;</w:t>
        <w:br/>
        <w:t>f) "Authority" refers to the Competition and Market Authority as per Article 10 of the Law;</w:t>
        <w:br/>
        <w:t>g) "College" refers to the president and the members of the Authority;</w:t>
        <w:br/>
        <w:t>h) "Offices" refers to the organizational units established pursuant to Article 10, paragraph 6, of the Law;</w:t>
        <w:br/>
        <w:t>i) "Bulletin" refers to that of Article 26 of the Law.</w:t>
      </w:r>
    </w:p>
    <w:p>
      <w:r>
        <w:t>ART. 2 General Principles</w:t>
      </w:r>
    </w:p>
    <w:p>
      <w:r>
        <w:t>1. The Authority operates in close collaboration and coordinates its enforcement actions with the Commission to ensure a consistent, effective, and complementary application of this regulation and the available legal instruments applicable to the designated entities pursuant to Article 3 of the Regulation for one or more core platform services referred to in Article 2 of the Regulation.</w:t>
      </w:r>
    </w:p>
    <w:p>
      <w:r>
        <w:t>BULLETIN NO. 33 OF AUGUST 19, 2024 73</w:t>
      </w:r>
    </w:p>
    <w:p>
      <w:r>
        <w:t>ART. 3 Scope of Application</w:t>
      </w:r>
    </w:p>
    <w:p>
      <w:r>
        <w:t>1. In implementation of Article 18 of the Competition Law for 2022, this regulation applies to investigations pursuant to Article 38, paragraph 7, of the Regulation and, where compatible, to all other forms of cooperation and collaboration provided for by the Regulation.</w:t>
      </w:r>
    </w:p>
    <w:p>
      <w:r>
        <w:t>ART. 4 Requests for Information and Document Production</w:t>
      </w:r>
    </w:p>
    <w:p>
      <w:r>
        <w:t>1. For the purposes of applying Article 38, paragraph 7, of the Regulation, for possible violations of Articles 5, 6, and 7 of the Regulation, the Authority exercises, at any time, the powers referred to in Article 12, paragraph 2-bis, of the Law.</w:t>
        <w:br/>
        <w:t>2. The sanctions and penalties for delay referred to in Article 12, paragraph 2-ter, of the Law are applied by a provision of the Authority.</w:t>
      </w:r>
    </w:p>
    <w:p>
      <w:r>
        <w:t>ART. 5 Initiation of the Investigation Pursuant to Article 38, Paragraph 7, of the Regulation</w:t>
      </w:r>
    </w:p>
    <w:p>
      <w:r>
        <w:t>1. The College, in cases of possible non-compliance with Articles 5, 6, and 7 of the Regulation, after evaluating the proposals of the Offices, may decide to initiate the investigation referred to in Article 38, paragraph 7, of the Regulation. Pursuant to Article 38, paragraph 7, of the Regulation, before the initiation of the investigation, the Authority informs the Commission.</w:t>
        <w:br/>
        <w:t>2. The provision for the initiation of the investigation indicates: the essential elements regarding the possible non-compliance with the Regulation; the deadline for concluding the investigation before the Authority; the person responsible for the investigation and the office where the investigation is lodged.</w:t>
        <w:br/>
        <w:t>3. The provision for the initiation of the investigation is notified to the interested companies, as well as to those who, having a direct, immediate, and current interest, have submitted complaints or requests useful for the initiation of the investigation.</w:t>
        <w:br/>
        <w:t>4. The initiation of the investigation is announced by publishing the relevant provision in the Bulletin.</w:t>
      </w:r>
    </w:p>
    <w:p>
      <w:r>
        <w:t>ART. 6 Participation in the Investigation Pursuant to Article 38, Paragraph 7, of the Regulation</w:t>
      </w:r>
    </w:p>
    <w:p>
      <w:r>
        <w:t>1. The following participate in the investigation:</w:t>
        <w:br/>
        <w:t>a) the subjects to whom the initiation provision has been notified, pursuant to Article 5, paragraph 3, of this regulation;</w:t>
        <w:br/>
        <w:t>b) subjects representing public or private interests, as well as consumer representative associations, who may suffer direct, immediate, and current harm from the violations of the Regulation subject to the investigation and who make a reasoned request to intervene within thirty days from the publication in the Bulletin of the initiation provision of the investigation.</w:t>
        <w:br/>
        <w:t>2. The subjects referred to in paragraph 1 have the right to:</w:t>
        <w:br/>
        <w:t>a) submit written statements, documents, submissions, and opinions;</w:t>
        <w:br/>
        <w:t>b) access documents, pursuant to Article 12 of this regulation.</w:t>
      </w:r>
    </w:p>
    <w:p>
      <w:r>
        <w:t>74 BULLETIN NO. 33 OF AUGUST 19, 2024</w:t>
      </w:r>
    </w:p>
    <w:p>
      <w:r>
        <w:t>3. The subjects referred to in paragraph 1 may participate in the investigation in person through their legal representative or a special attorney with appropriate documentation justifying the power of representation. They may also be assisted by trusted consultants.</w:t>
      </w:r>
    </w:p>
    <w:p>
      <w:r>
        <w:t>ART. 7 Investigation Powers</w:t>
      </w:r>
    </w:p>
    <w:p>
      <w:r>
        <w:t>1. The investigation powers referred to in Article 14, paragraphs 2 to 2-quinquies, of the Law are exercised from the notification of the initiation provision of the investigation to the companies and business associations, even simultaneously with the notification itself. In the event that the opening of the investigation has been notified to multiple subjects, the relevant powers may be exercised against each of them from the receipt of the notification addressed to them.</w:t>
        <w:br/>
        <w:t>2. The College is informed of the findings carried out during the investigations in any case.</w:t>
        <w:br/>
        <w:t>3. Pursuant to Article 18, paragraph 5, of the Competition Law for 2022 and Article 14, paragraph 2-septies, of the Law, the Authority may avail itself of the collaboration of the Guardia di Finanza, as well as other state bodies.</w:t>
        <w:br/>
        <w:t>4. The sanctions and penalties for delay referred to in Article 14 of the Law are applied by a provision of the Authority.</w:t>
      </w:r>
    </w:p>
    <w:p>
      <w:r>
        <w:t>ART. 8 Requests for Information, Document Production, and Summoning for Hearing</w:t>
      </w:r>
    </w:p>
    <w:p>
      <w:r>
        <w:t>1. Requests for information and document production are made in writing by the Offices, addressed to anyone in possession of information useful for the investigation, and are communicated according to the modalities referred to in Article 16.</w:t>
        <w:br/>
        <w:t>2. The requests referred to in paragraph 1 are proportionate and briefly indicate:</w:t>
        <w:br/>
        <w:t>a) the facts and circumstances regarding which clarifications are requested;</w:t>
        <w:br/>
        <w:t>b) the purpose of the request, with reference to the subject of the investigation;</w:t>
        <w:br/>
        <w:t>c) the deadline by which the response must be received or the document produced, which is reasonable in relation to the urgency of the case and the nature, quantity, and quality of the requested information, also taking into account the time necessary to prepare them;</w:t>
        <w:br/>
        <w:t>d) the modalities through which the information must be provided and the person or persons to whom the documents may be exhibited or the requested information communicated;</w:t>
        <w:br/>
        <w:t>e) the sanctions or penalties for delay applicable pursuant to Article 14, paragraphs 5 to 8, of the Law, in case of refusal, omission, or delay, without justified reason, to provide the requested information or produce the requested documents that are in the possession of the recipients of the request, as well as those provided for in the event that untrue, incomplete, or misleading information or documents are provided.</w:t>
        <w:br/>
        <w:t>3. The requests for information and document production referred to in paragraph 1 may also be made orally by the Offices during hearings or inspections, informing the interested party and recording the requests with the same indications provided for in paragraph 2, without prejudice to the assignment of a deadline, where the information or documents are not immediately available.</w:t>
      </w:r>
    </w:p>
    <w:p>
      <w:r>
        <w:rPr>
          <w:b/>
        </w:rPr>
        <w:t>[Pages 73–75]</w:t>
      </w:r>
    </w:p>
    <w:p>
      <w:r>
        <w:t>BULLETIN NO. 33 OF AUGUST 19, 2024</w:t>
      </w:r>
    </w:p>
    <w:p>
      <w:r>
        <w:t>4. Before the expiration of the term referred to in paragraph 2, letter c), and paragraph 3, it is possible to submit a reasoned request for an extension, formulated in writing. In the event of acceptance of the extension request, the Offices set a new deadline for the submission of the requested information and documents.</w:t>
      </w:r>
    </w:p>
    <w:p>
      <w:r>
        <w:t>5. The Offices may, at any time during the investigation, summon anyone who may possess relevant information for the investigation. The notice of summons for the hearing, communicated according to the methods provided for in Article 16 of this regulation, indicates the sanctions and penalties for delay provided for in Article 14, paragraphs 5 to 8, of the Law.</w:t>
      </w:r>
    </w:p>
    <w:p>
      <w:r>
        <w:t>6. A record of the hearing, the presentation of documents, and the information provided during the hearing is drawn up by the Offices, according to the methods provided for in Article 14 of this regulation. In the event that the individuals summoned pursuant to paragraph 5 do not appear at the hearing, a record of non-appearance is drawn up.</w:t>
      </w:r>
    </w:p>
    <w:p>
      <w:r>
        <w:t>7. The sanctions and penalties for delay referred to in Article 14, paragraphs 5 to 8, of the Law, are applied by a decision of the Authority.</w:t>
      </w:r>
    </w:p>
    <w:p>
      <w:r>
        <w:t>ART. 9 Inspections</w:t>
      </w:r>
    </w:p>
    <w:p>
      <w:r>
        <w:t>1. The Board, upon proposal from the Offices, authorizes inspections pursuant to Article 14, paragraphs 2-quater and 2-quinquies, of the Law. Prior to this, the production of documents by public administrations is requested.</w:t>
      </w:r>
    </w:p>
    <w:p>
      <w:r>
        <w:t>2. The officials of the Authority exercise their powers after notifying the inspection order. This order specifies the subject of the investigation, the sanctions provided for in Article 14, paragraph 5, letters a), b), and c), and paragraph 7, letter a), of the Law, the penalties for delay provided for in Article 14, paragraph 6, letter c), and paragraph 8, letter c), of the Law, for refusal or delay in submitting to the inspection and for refusal, omission, or delay, without justified reason, in providing information and presenting documents requested during the inspection, as well as in cases where untrue information and documents are provided.</w:t>
      </w:r>
    </w:p>
    <w:p>
      <w:r>
        <w:t>3. In the case of the inspection activity referred to in Article 14, paragraph 2-quinquies, of the Law, the appointed officials also notify the reasoned decree issued by the public prosecutor of the place where the access takes place.</w:t>
      </w:r>
    </w:p>
    <w:p>
      <w:r>
        <w:t>4. For the purposes of the sanctions provided for in Article 14, paragraph 5, letters a), b), and c), and paragraph 7, letter a), of the Law, as well as the penalties for delay provided for in Article 14, paragraph 6, letter c), and paragraph 8, letter c), of the Law, the following may not be opposed:</w:t>
        <w:br/>
        <w:t>a) confidentiality or competence constraints imposed by corporate regulations or internal provisions, even oral;</w:t>
        <w:br/>
        <w:t>b) needs for self-protection from the risk of tax or administrative sanctions;</w:t>
        <w:br/>
        <w:t>c) needs for the protection of business or industrial secrets.</w:t>
      </w:r>
    </w:p>
    <w:p>
      <w:r>
        <w:t>5. The sanctions provided for in Article 14, paragraph 5, letters a), b), and c), and paragraph 7, letter a), of the Law, and the penalties for delay provided for in Article 14, paragraph 6, letter c), and paragraph 8, letter c), of the Law, are applied by a decision of the Authority.</w:t>
      </w:r>
    </w:p>
    <w:p>
      <w:r>
        <w:t>6. A document is understood to mean any graphic, photographic, electromagnetic, or any other representation of the content of acts, including internal and informal ones, created and used for the purposes of the company's activity, regardless of the level of responsibility and representativeness of the author of the document on any form of support or device.</w:t>
      </w:r>
    </w:p>
    <w:p>
      <w:r>
        <w:t>7. During inspections, interested parties may be assisted by consultants of their choice, provided that the exercise of this right does not result in the suspension of the inspection.</w:t>
      </w:r>
    </w:p>
    <w:p>
      <w:r>
        <w:t>8. A record of all activities carried out during the inspection, with particular reference to the statements and documents acquired, is drawn up according to the methods provided for in Article 15 of this regulation.</w:t>
      </w:r>
    </w:p>
    <w:p>
      <w:r>
        <w:t>ART. 10 Expert Reports, Statistical and Economic Analyses, and Consultation of Experts</w:t>
      </w:r>
    </w:p>
    <w:p>
      <w:r>
        <w:t>1. Regarding any relevant element for the investigation, the Board authorizes expert reports and statistical and economic analyses, as well as the consultation of experts, proposed by the Offices.</w:t>
      </w:r>
    </w:p>
    <w:p>
      <w:r>
        <w:t>2. The decision ordering the expert reports and analyses, as well as their final results, is communicated to the subjects referred to in Article 6, paragraph 1, for the exercise of the rights provided for in Article 6, paragraph 2, letter a).</w:t>
      </w:r>
    </w:p>
    <w:p>
      <w:r>
        <w:t>ART. 11 Official Secrets</w:t>
      </w:r>
    </w:p>
    <w:p>
      <w:r>
        <w:t>1. The documents and information collected during investigations carried out pursuant to Article 38, paragraph 7, of the Regulation may be used by the Authority, in accordance with European Union legislation, for the exercise of its powers in the digital markets referred to in the Regulation, as well as in matters of restrictive agreements, abuse of dominant position, abuse of economic dependence, and concentration operations.</w:t>
      </w:r>
    </w:p>
    <w:p>
      <w:r>
        <w:t>2. The information referred to in paragraph 1 is protected by official secrecy even with respect to public administrations, without prejudice to the reporting obligations provided for in Article 331 of the Code of Criminal Procedure and those of cooperation with the institutions of the European Union referred to in Articles 1, paragraph 2, and 10, paragraph 4, of the Law.</w:t>
      </w:r>
    </w:p>
    <w:p>
      <w:r>
        <w:t>ART. 12 Access to Documents and Confidentiality of Collected Documentation</w:t>
      </w:r>
    </w:p>
    <w:p>
      <w:r>
        <w:t>1. The right of access to documents created or permanently held by the Authority in the context of investigations carried out pursuant to this regulation is allowed, upon written and reasoned request, to the subjects referred to in Article 6, paragraph 1, of this regulation.</w:t>
      </w:r>
    </w:p>
    <w:p>
      <w:r>
        <w:t>2. Documents containing business secrets or other confidential information relating to natural or legal persons are excluded from access. Interested parties may submit a specific request for confidentiality at the time of document production or within the time limits assigned by the Office, specifying the reasons and providing the non-confidential version of the documents for which confidentiality is requested. If the interested parties do not proceed according to the indicated methods, the Office may assume that the documents do not contain confidential information.</w:t>
      </w:r>
    </w:p>
    <w:p>
      <w:r>
        <w:t>The Office, if it does not consider the elements of confidentiality put forward to justify the requests to be valid, shall provide reasoned communication to the interested parties no later than the closure of the evidence acquisition phase.</w:t>
      </w:r>
    </w:p>
    <w:p>
      <w:r>
        <w:t>3. Documents whose disclosure may jeopardize the conduct, pursuant to the Regulation, of the Commission's investigative powers and the adoption of the acts of execution provided therein are excluded from access.</w:t>
      </w:r>
    </w:p>
    <w:p>
      <w:r>
        <w:t>4. Notes, proposals, and any other elaboration by the Offices for the purpose of studying and preparing the content of acts are excluded from access.</w:t>
      </w:r>
    </w:p>
    <w:p>
      <w:r>
        <w:t>5. Documents relating to relations between the Authority and the institutions of the European Union, as well as between the Authority and other competition authorities of the Member States for which disclosure has not been authorized, are excluded from access.</w:t>
      </w:r>
    </w:p>
    <w:p>
      <w:r>
        <w:t>6. The minutes of the meetings of the Board, as well as documents relating to relations between the Authority and other administrations or state bodies, for which disclosure has not been authorized, may be excluded from access, in whole or in part.</w:t>
      </w:r>
    </w:p>
    <w:p>
      <w:r>
        <w:t>ART. 13 Communication of Closure of the Evidence Acquisition Phase</w:t>
      </w:r>
    </w:p>
    <w:p>
      <w:r>
        <w:t>1. The Office, when it considers the investigation sufficiently instructed, communicates to the subjects referred to in Article 6, paragraph 1, the deadline for the closure of the evidence acquisition phase.</w:t>
      </w:r>
    </w:p>
    <w:p>
      <w:r>
        <w:t>ART. 14 Results of the Investigation Pursuant to Article 38, Paragraph 7, of the Regulation</w:t>
      </w:r>
    </w:p>
    <w:p>
      <w:r>
        <w:t>1. The Board resolves to send the results of the investigation carried out pursuant to this regulation to the Commission and informs the subjects referred to in Article 6, paragraph 1, of this regulation.</w:t>
      </w:r>
    </w:p>
    <w:p>
      <w:r>
        <w:t>2. The closure of the investigation and the sending of the results to the Commission may be announced by publishing a notice in the Bulletin.</w:t>
      </w:r>
    </w:p>
    <w:p>
      <w:r>
        <w:t>3. The Authority retains the right to decide to initiate proceedings pursuant to Article 14 of the Law, if during the investigation indications of violations of competition law have emerged, or of Article 9, paragraph 3-bis, of Law No. 192 of June 18, 1998.</w:t>
      </w:r>
    </w:p>
    <w:p>
      <w:r>
        <w:t>ART. 15 Records</w:t>
      </w:r>
    </w:p>
    <w:p>
      <w:r>
        <w:t>1. For the purposes of the records provided for in this regulation, the record containing the main statements of the companies involved in the operations subject to recording is signed, at the end of the hearing, also digitally by the recording official and by the owner or legal representative of the aforementioned companies or by a person to whom a specific power of attorney has been granted.</w:t>
      </w:r>
    </w:p>
    <w:p>
      <w:r>
        <w:t>2. When any of the subjects does not wish or is unable to sign the record, this is noted in the record itself with an indication of the reason.</w:t>
      </w:r>
    </w:p>
    <w:p>
      <w:r>
        <w:t>3. A copy of the record, or an excerpt thereof as appropriate, is delivered to the subjects who participated in the operations subject to recording who request it.</w:t>
      </w:r>
    </w:p>
    <w:p>
      <w:r>
        <w:t>4. For the sole purpose of preparing the record, recordings of the hearings may be made on any support deemed suitable.</w:t>
      </w:r>
    </w:p>
    <w:p>
      <w:r>
        <w:rPr>
          <w:b/>
        </w:rPr>
        <w:t>[Pages 76–77]</w:t>
      </w:r>
    </w:p>
    <w:p>
      <w:r>
        <w:t>78 BULLETIN NO. 33 OF AUGUST 19, 2024</w:t>
      </w:r>
    </w:p>
    <w:p>
      <w:r>
        <w:t>ART. 16 Notifications and communications</w:t>
      </w:r>
    </w:p>
    <w:p>
      <w:r>
        <w:t>1. Requests, the transmission of documents, and summons to recipients are made in one of the following ways:</w:t>
        <w:br/>
        <w:t>a) certified electronic mail or another certified electronic delivery service;</w:t>
        <w:br/>
        <w:t>b) registered letter with acknowledgment of receipt or another postal delivery service with proof of delivery;</w:t>
        <w:br/>
        <w:t>c) hand delivery against receipt;</w:t>
        <w:br/>
        <w:t>d) in case of impossibility to proceed according to letters a), b), and c), electronic mail or fax with a request for written confirmation of receipt;</w:t>
        <w:br/>
        <w:t>e) in other forms provided by the country of establishment of the recipient.</w:t>
      </w:r>
    </w:p>
    <w:p>
      <w:r>
        <w:t>2. The same provisions apply to the transmission of documents and requests related to the investigation by interested parties or third parties to the Authority, without prejudice to the possibility for the Offices to indicate a different method.</w:t>
      </w:r>
    </w:p>
    <w:p>
      <w:r>
        <w:t>3. In the case of transmission by electronic mail or fax, documents are considered received by the recipient on the same day they were sent, unless proven otherwise.</w:t>
      </w:r>
    </w:p>
    <w:p>
      <w:r>
        <w:t>4. When communications are signed by representatives of the parties or of companies and entities, such representatives prove to have the powers of representation.</w:t>
      </w:r>
    </w:p>
    <w:p>
      <w:r>
        <w:t>5. The notifications provided for by this regulation and pursuant to Article 15-nonies, paragraph 2, of the Law, may be made by an official or another employee specifically appointed by the Authority by delivery into the hands of the recipient, certified electronic mail, registered letter with acknowledgment of receipt, another postal delivery service with proof of delivery, or in other forms provided by the country of establishment of the recipient.</w:t>
      </w:r>
    </w:p>
    <w:p>
      <w:r>
        <w:t>Antitrust Authority Weekly Bulletin</w:t>
        <w:br/>
        <w:t>of Competition and Market Year XXXIV - No. 33 - 2024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