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https://www.agcm.it/dotcmsdoc/bollettini/2020/34-20.pdf</w:t>
      </w:r>
    </w:p>
    <w:p>
      <w:r>
        <w:t>Pages translated : 84</w:t>
      </w:r>
    </w:p>
    <w:p/>
    <w:p>
      <w:r>
        <w:rPr>
          <w:b/>
        </w:rPr>
        <w:t>[Pages 1–3]</w:t>
      </w:r>
    </w:p>
    <w:p>
      <w:r>
        <w:t>Bulletin</w:t>
        <w:br/>
        <w:t>Weekly</w:t>
        <w:br/>
        <w:t>Year XXX - No. 34</w:t>
        <w:br/>
        <w:t>Published on the website www.agcm.it</w:t>
        <w:br/>
        <w:t>August 24, 2020</w:t>
      </w:r>
    </w:p>
    <w:p>
      <w:r>
        <w:t>SUMMARY</w:t>
        <w:br/>
        <w:t>CONCENTRATION OPERATIONS 5</w:t>
        <w:br/>
        <w:t>C12279 - DIPERDÌ/BRANCHES OF SMA AND SOCIETÀ GENERALE DISTRIBUZIONE</w:t>
        <w:br/>
        <w:t>Decision No. 28326 5</w:t>
        <w:br/>
        <w:t>C12297 - BPER/BRANCH OF UBI</w:t>
        <w:br/>
        <w:t>Decision No. 28327 32</w:t>
        <w:br/>
        <w:t>C12304 - SO.FARMA MORRA/COROFAR-NEWCO</w:t>
        <w:br/>
        <w:t>Decision No. 28328 42</w:t>
        <w:br/>
        <w:t>C12308 - SNAM 4 EFFICIENCY/MIECI-EVOLVE</w:t>
        <w:br/>
        <w:t>Decision No. 28329 45</w:t>
        <w:br/>
        <w:t>C12309 - PELLEGRINI/I.F.M. INDUSTRIAL FOOD MENSE</w:t>
        <w:br/>
        <w:t>Decision No. 28330 51</w:t>
        <w:br/>
        <w:t>C12312 - OEP 14 COOPERATIEF U.A./TECHEDGE</w:t>
        <w:br/>
        <w:t>Decision No. 28331 55</w:t>
        <w:br/>
        <w:t>TELEVISION RIGHTS 60</w:t>
        <w:br/>
        <w:t>SR36 - LEGA PRO/GUIDELINES FOR THE MARKETING OF AUDIOVISUAL RIGHTS FOR THE</w:t>
        <w:br/>
        <w:t>2020/2021, 2021/2022 AND 2022/2023 SEASONS</w:t>
        <w:br/>
        <w:t>Decision No. 28335 60</w:t>
        <w:br/>
        <w:t>REPORTING AND CONSULTATIVE ACTIVITIES 70</w:t>
        <w:br/>
        <w:t>AS1692 - MUNICIPALITY OF MELZO (MI) - MANAGEMENT OF CEMETERY SERVICES 70</w:t>
        <w:br/>
        <w:t>UNFAIR COMMERCIAL PRACTICES 72</w:t>
        <w:br/>
        <w:t>IP334 - UNILIBRO-PIGGY BANK FUNCTION</w:t>
        <w:br/>
        <w:t>Decision No. 28332 72</w:t>
        <w:br/>
        <w:t>PS11783 - THERAPEUTIC BRACELET-THERAPEUTIC CHARACTERISTICS</w:t>
        <w:br/>
        <w:t>Decision No. 28276 75</w:t>
        <w:br/>
        <w:t>PS11783 - THERAPEUTIC BRACELET-THERAPEUTIC CHARACTERISTICS</w:t>
        <w:br/>
        <w:t>Decision No. 28333 78</w:t>
        <w:br/>
        <w:t>PS11824 - TROTEC-ANTICOVID PURIFIER</w:t>
        <w:br/>
        <w:t>Decision No. 28334 82</w:t>
      </w:r>
    </w:p>
    <w:p>
      <w:r>
        <w:t>BULLETIN NO. 34 OF AUGUST 24, 2020 5</w:t>
        <w:br/>
        <w:t>CONCENTRATION OPERATIONS</w:t>
        <w:br/>
        <w:t>C12279 - DIPERDÌ/BRANCHES OF SMA AND SOCIETÀ GENERALE</w:t>
        <w:br/>
        <w:t>DISTRIBUZIONE</w:t>
        <w:br/>
        <w:t>Decision No. 28326</w:t>
        <w:br/>
        <w:t>THE ANTITRUST AUTHORITY</w:t>
        <w:br/>
        <w:t>IN ITS MEETING of August 4, 2020;</w:t>
        <w:br/>
        <w:t>HEARD the Rapporteur Dr. Gabriella Muscolo;</w:t>
        <w:br/>
        <w:t>HAVING REGARD TO Regulation (EC) No. 139/2004;</w:t>
        <w:br/>
        <w:t>HAVING REGARD TO Law No. 287 of October 10, 1990;</w:t>
        <w:br/>
        <w:t>HAVING REGARD TO Presidential Decree No. 217 of April 30, 1998;</w:t>
        <w:br/>
        <w:t>HAVING REGARD TO the communication from the company DI PER DI S.r.l., received on January 8, 2020;</w:t>
        <w:br/>
        <w:t>HAVING REGARD TO the request for information, sent on January 22, 2020, with consequent interruption of the terms pursuant to Article 5, paragraph 3, of Presidential Decree No. 217 of April 30, 1998;</w:t>
        <w:br/>
        <w:t>HAVING REGARD TO the additional information sent by the company DI PER DI S.r.l., received on February 21, 2020 and supplemented on February 27, 2020;</w:t>
        <w:br/>
        <w:t>HAVING REGARD TO the further request for information, sent on March 17, 2020, with consequent interruption of the terms pursuant to Article 5, paragraph 3, of Presidential Decree No. 217 of April 30, 1998;</w:t>
        <w:br/>
        <w:t>HAVING REGARD TO the additional information sent by the company DI PER DI S.r.l., received on May 21, 2020 and supplemented on June 3, 2020;</w:t>
        <w:br/>
        <w:t>HAVING REGARD TO its resolution of June 17, 2020, with which it initiated, pursuant to Article 16, paragraph 4, of Law No. 287/90, the proceedings against the companies DI PER DI S.r.l. and Carrefour Italia S.p.A.;</w:t>
        <w:br/>
        <w:t>HAVING REGARD TO its resolution of July 14, 2020, which extended the deadline for closing the proceedings to August 7, 2020;</w:t>
        <w:br/>
        <w:t>HAVING REGARD TO the Communication of the Investigative Findings transmitted on July 21, 2020;</w:t>
        <w:br/>
        <w:t>HAVING REGARD TO the final submissions presented by the companies DI PER DI S.r.l. and Carrefour Italia S.p.A. and the final hearing before the College, held on July 28, 2020;</w:t>
        <w:br/>
        <w:t>HAVING REGARD TO the acts of the proceedings and the documentation acquired during the investigation;</w:t>
        <w:br/>
        <w:t>CONSIDERED the following:</w:t>
        <w:br/>
        <w:t>I. THE PARTIES</w:t>
        <w:br/>
        <w:t>1. DI PER DI S.r.l. (hereinafter also referred to as DI PER DI) is a company wholly owned by GS S.p.A., which is in turn controlled, through Carrefour Italia S.p.A., by Carrefour S.A., the holding company of the eponymous group. The latter is active, worldwide, in the modern retail distribution of food and non-food products of mass and general consumption, representing the first operator at the European level and the seventh distribution chain in Italy, where it is present through the companies: GS S.p.A., S.S.C. Società Sviluppo Commerciale S.r.l. and DI PER DI.</w:t>
      </w:r>
    </w:p>
    <w:p>
      <w:r>
        <w:rPr>
          <w:b/>
        </w:rPr>
        <w:t>[Pages 4–6]</w:t>
      </w:r>
    </w:p>
    <w:p>
      <w:r>
        <w:t>6 BULLETIN NO. 34 OF AUGUST 24, 2020</w:t>
        <w:br/>
        <w:t>2. The Carrefour Group operates in Italy through a network of over 1,000 points of sale located throughout the national territory, of which over 60% are not directly controlled as they are franchised. In particular, the Carrefour sales network consists of: hypermarkets branded "Carrefour"; supermarkets branded "Carrefour market"; small supermarkets or convenience stores named "Carrefour express." Additionally, Carrefour is present in the wholesale distribution sector of food and consumer goods with Cash and Carry under the Docs Market and GrossIper brands.</w:t>
        <w:br/>
        <w:t>3. In 2018, the Carrefour group generated a worldwide revenue of approximately [70-80]* billion euros, while at the national level, the group's sales amounted to approximately [4-5] billion euros.</w:t>
        <w:br/>
        <w:t>4. The business branches subject to acquisition (hereinafter also referred to as "Target") consist of 28 points of sale located in Lombardy, specifically made up of: i) 8 supermarkets, of which 5 are located in the province of Milan and the others in the provinces of Brescia, Lecco, and Mantova; ii) 20 convenience stores, of which 18 are located in the province of Milan and 2 in the province of Sondrio.</w:t>
        <w:br/>
        <w:t>5. The points of sale are currently held by SMA S.p.A. and Società Generale Distribuzione S.p.A., both controlled by Margherita Distribuzione S.p.A. (formerly Auchan S.p.A.). The latter is in turn controlled by BDC Italia, a recently established company in which Conad – Consorzio Nazionale Dettaglianti soc. coop. holds a 51% stake.</w:t>
        <w:br/>
        <w:t>6. The revenue generated by the Target in 2018 was approximately [31-100] million euros.</w:t>
        <w:br/>
        <w:t>II. DESCRIPTION OF THE OPERATION</w:t>
        <w:br/>
        <w:t>7. The concentration operation consists of the exclusive acquisition of control by DI PER DI of the 28 business branches described. It will involve the transfer to DI PER DI, by Auchan, of the shares representing the entire share capital of the vehicle company OpCo, specifically established, in which Auchan will have previously contributed the business branches.</w:t>
        <w:br/>
        <w:t>III. QUALIFICATION OF THE OPERATION</w:t>
        <w:br/>
        <w:t>8. The operation under examination, as it involves the acquisition of exclusive control over multiple business parts, constitutes a concentration pursuant to Article 5, paragraph 1, letter b), of Law No. 287/90.</w:t>
        <w:br/>
        <w:t>9. It falls within the scope of application of Law No. 287/90, as the conditions set out in Article 1 of Regulation No. 139/2004 do not apply, and it is subject to the obligation of prior notification provided for by Article 16, paragraph 1, of the same law (as amended by Article 1, paragraph 177, of Law No. 124 of August 4, 2017, in force since August 29, 2017), as the total revenue generated in the last financial year at the national level by the group of companies involved exceeded 504 million euros and as the total revenue generated individually at the national level by at least two of the companies involved exceeded 31 million euros.</w:t>
        <w:br/>
        <w:t>IV. INITIATION OF THE PROCEDURE AND INSTRUCTIONAL ACTIVITY</w:t>
        <w:br/>
        <w:t>10. On June 17, 2020, the Authority initiated the investigation related to procedure C12279, pursuant to Article 16, paragraph 4, of Law No. 287/90, against the companies DI PER DI S.r.l. and Carrefour Italia S.p.A., believing that the concentration operation involving these companies could lead to the creation or strengthening of a dominant position in 5 local markets of retail GDO, such as to eliminate or substantially and durably reduce competition in the same markets.</w:t>
        <w:br/>
        <w:t>11. During the investigation related to procedure C12279, the companies DI PER DI and Carrefour, Parties to the operation1, were heard in a hearing. Furthermore, the information provided was evaluated and processed, in addition to that from the Parties, from the main competitors operating in the relevant markets2. In particular, on April 1, requests for information were sent to deepen, with particular reference to the convenience store segment, the authorization procedures for new openings, as well as the commercial policies and expansion strategies of the various brands, also verifying the existence of any competitive concerns related to the effects of the concentration operation under examination3.</w:t>
        <w:br/>
        <w:t>12. Furthermore, in order to better understand consumer spending habits and demand dynamics in the GDO sector, the market research sample (hereinafter, briefly, the "survey") conducted within the framework of procedures C12246 and C12247B was acquired, aimed at collecting useful elements for the evaluation of concentrations in the GDO sector, conducted through a questionnaire administered by The Nielsen Company s.r.l. (hereinafter "Nielsen") to a representative national sample of consumers4.</w:t>
        <w:br/>
        <w:t>13. The Parties accessed the documents of the procedure on June 30, 20205.</w:t>
        <w:br/>
        <w:t>14. The Authority also requested information from the Parties on July 8, 20206. In relation to this request, the Parties communicated, on July 10, 2020, the impossibility of providing the complete documentation within the requested time7.</w:t>
        <w:br/>
        <w:t>15. Acknowledging the impossibility communicated by the Parties to transmit all the requested information necessary for the evaluation of the case within the established terms, the Authority, on July 14, 2020, decided to extend the deadline for concluding the procedure to August 7, 2020, pursuant to Article 16, paragraph 8, of Law No. 287/19908.</w:t>
        <w:br/>
        <w:t>16. The Parties responded to the Authority's request for information on July 16, 20209.</w:t>
        <w:br/>
        <w:t>17. On July 21, 2020, the Communication of Investigative Results10 (hereinafter also "CRI") was sent to the Parties.</w:t>
        <w:br/>
        <w:t>18. On July 27, 2020, the Parties submitted their final submissions, and Carrefour Italia S.p.A. and on July 28, 2020, the final hearing was held before the Board11.</w:t>
        <w:br/>
        <w:t>19. On July 28, 2020, the Parties provided some supplements and corrections on the data provided regarding the points of sale opened in the relevant markets during 202012.</w:t>
        <w:br/>
        <w:t>1 The hearing was held on July 7, 2020.</w:t>
        <w:br/>
        <w:t>2 Specifically: Conad, Esselunga, Finiper, Gruppo PAM, and Rewe (docs. 13-14, 16-19, and 21).</w:t>
        <w:br/>
        <w:t>3 Docs. 8-12.</w:t>
        <w:br/>
        <w:t>4 See doc. 54. In particular, the questionnaire, for which a self-administered CAWI methodology was employed, was sent online to a sample of 6,000 families representative of the Italian population, part of the Nielsen Consumer Panel. A total of 4,354 interviews were completed, with a redemption rate of 73%. The survey was conducted from September 12 to 22, 2019.</w:t>
        <w:br/>
        <w:t>5 Doc. 28.</w:t>
        <w:br/>
        <w:t>6 Doc. 30.</w:t>
        <w:br/>
        <w:t>7 Doc. 31.</w:t>
        <w:br/>
        <w:t>8 Docs. 33 and 34.</w:t>
        <w:br/>
        <w:t>9 Doc. 32.</w:t>
        <w:br/>
        <w:t>10 Doc. 35.</w:t>
        <w:br/>
        <w:t>11 Docs. 39 and 40.</w:t>
        <w:br/>
        <w:t>12 Doc. 41.</w:t>
      </w:r>
    </w:p>
    <w:p>
      <w:r>
        <w:t>8 BULLETIN NO. 34 OF AUGUST 24, 2020</w:t>
        <w:br/>
        <w:t>V. RELEVANT MARKETS</w:t>
        <w:br/>
        <w:t>20. As highlighted in the initiation provision, this operation concerns the retail and procurement markets for food and non-food consumer goods through points of sale of the Large-Scale Distribution (GDO), a sector in which multiple operators operate at the national level, with extremely varied dimensions, characteristics, and organizational formulas. According to the established practice of the Authority13, the following types of points of sale are particularly distinguished, differentiated based on a series of characteristics (size, positioning, range of products offered, presence of fresh counters, etc.) that contribute to determining their quality and the level of services offered: hypermarkets, supermarkets, convenience stores, and discount stores.</w:t>
        <w:br/>
        <w:t>21. The Authority, in particular, initiated the investigation on the operation under examination believing that it could lead, pursuant to Article 6, paragraph 1, of Law No. 287/90, to the creation or strengthening of a dominant position in the relevant markets of 5 convenience stores. These are, in particular, isochrones 11 ([omissis]), 12 ([omissis]), 14 ([omissis]), 17 ([omissis]), and 18 ([omissis]).</w:t>
        <w:br/>
        <w:t>22. Following the two most recent in-depth investigations conducted within the framework of procedures for the evaluation of concentration operations in the GDO sector14, the Authority updated the definition of the relevant market for convenience stores (points of sale with a size between 100 and 399 sqm), identifying it as the set of points of sale composed of convenience stores, supermarkets (points of sale with sizes between 400 and 2,499 sqm), and discount stores15, that is, points of sale with a surface area between 100 and 2,499 sqm.</w:t>
        <w:br/>
        <w:t>23. From a geographical perspective, the GDO markets have a local dimension, considering consumer purchasing behaviors and the importance they attribute to the proximity of points of sale. In the two aforementioned investigations, following a specific survey conducted on consumption habits in the GDO sector, the geographical extent of the convenience store markets was identified within the area bounded by isochrones of 10 minutes of driving, constructed around the relevant convenience stores.</w:t>
        <w:br/>
        <w:t>VI. INVESTIGATIVE RESULTS</w:t>
        <w:br/>
        <w:t>VI.1 Characteristics of the relevant markets</w:t>
        <w:br/>
        <w:t>24. The GDO markets include a set of differentiated products, characterized by complex and variable relationships of mutual substitutability depending on numerous factors, including, in addition to the specific type and size of the point of sale: its geographical location; the brand; the degree of specific attractiveness of the offer in terms of assortment, counter services, price positioning, etc.; the number, type, and location of competing points of sale present. Furthermore, given the predominant importance of the proximity of the point of sale among the factors that guide consumer choice, these substitutability relationships differ significantly among the various competitors.</w:t>
        <w:br/>
        <w:t>13 See, inter alia: C12247B - BDC ITALIA-CONAD/AUCHAN, provision No. 28163 of February 25, 2020, in Bulletin No. 10 of March 9, 2020; C12246 – FRATELLI ARENA/BRANCHES OF SMA-DISTRIBUZIONE CAMBRIA-ROBERTO ABATE, provision No. 28038 of December 20, 2019, in Bulletin No. 52/2019; C11968 - COOP CENTRO ITALIA/GRANDI MAGAZZINI SUPERCONTI - SUPERCONTI SUPERMERCATI TERNI - SUPERCONTI SERVICE, provision No. 25419 of April 8, 2015, in Bulletin No. 14/2015; IC43 – LARGE-SCALE DISTRIBUTION SECTOR, provision No. 24465 of July 24, 2013, in Bulletin No. 31/2013.</w:t>
        <w:br/>
        <w:t>14 See C12246 – FRATELLI ARENA/BRANCHES OF SMA-DISTRIBUZIONE CAMBRIA-ROBERTO ABATE and C12247B - BDC ITALIA-CONAD/AUCHAN, cited.</w:t>
        <w:br/>
        <w:t>15 Discount stores are not identified based on their respective dimensional characteristics but generally have sales areas within 2,000 sqm.</w:t>
      </w:r>
    </w:p>
    <w:p>
      <w:r>
        <w:rPr>
          <w:b/>
        </w:rPr>
        <w:t>[Pages 7–9]</w:t>
      </w:r>
    </w:p>
    <w:p>
      <w:r>
        <w:t>BULLETIN NO. 34 OF AUGUST 24, 2020 9</w:t>
        <w:br/>
        <w:t>customers, progressively weakening as the time taken by each of them to reach the point of sale increases.</w:t>
        <w:br/>
        <w:t>25. In the commercial distribution sector, therefore, each point of sale has a certain degree of behavioral independence towards a segment of its own clientele, at least in the geographical area immediately adjacent to its commercial establishment, which varies depending on the specific level of "proximity" of the competing firms present, both from a geographical perspective and in terms of the overall characteristics of the offer. This necessitates analyzing the competitive dynamics present in the GDO markets with a more complex analytical approach than that of mere market share.</w:t>
        <w:br/>
        <w:t>26. Below, the elements that specifically characterize the markets affected by this operation will be described, which will be taken into account for the purpose of evaluating the effects of the operation itself.</w:t>
        <w:br/>
        <w:t>27. As noted, the operation produces its effects only in isochrones built around points of sale classified as convenience stores, which represent the smallest type and, therefore, are more similar to proximity stores. This circumstance has significant implications for the analysis of competitive dynamics.</w:t>
        <w:br/>
        <w:t>28. Firstly, although strongly affected by the competition from larger points of sale16, a circumstance that entails the inclusion of all supermarkets in the relevant market of convenience stores, the latter have a competitive profile that partially differs from that of supermarkets, in terms of customer profiling, price positioning, average receipt, type and frequency of purchases, etc. In assessing the existing competitive pressure in the individual affected isochrones, it is therefore appropriate to carry out a specific weighting of the type of points of sale present, as it can be assumed that there is a greater substitutability, all else being equal, among points of sale of the same type.</w:t>
        <w:br/>
        <w:t>29. Secondly, among consumers who use convenience stores for their regular shopping, there is generally a higher incidence of customers who select the point of sale exclusively based on distance17, even measured in terms of walking time18. This makes it necessary to consider, among the factors influencing the degree of competitive pressure present in the markets, the different distances at which competing points are located within the isochrone, as it should be presumed that, all else being equal, consumers are inclined to favor the points of sale that are more easily reachable.</w:t>
        <w:br/>
        <w:t>30. Furthermore, with specific reference to convenience stores, the percentage of consumers who use the point of sale for occasional or supplementary purchases, rather than as a regular replenishment shopping destination, is particularly significant. This is evidenced both by the lower incidence and penetration, compared to supermarkets, of purchases made using loyalty cards and by comparisons that can be made between different distribution formats in terms of average receipt (decreasing in smaller formats) and frequency of purchases (higher in smaller formats).</w:t>
        <w:br/>
        <w:t>31. Moreover, the specificity of the clientele predominantly served by convenience stores allows this type of distribution to maintain an average price positioning that is higher than that of other distribution types, precisely due to the predominant presence of consumers who, due to limited ability/availability to travel by car and/or the sporadic nature of purchases made at the point of sale, exhibit lower price elasticity.</w:t>
        <w:br/>
        <w:t>32. The ability of convenience stores to reach a clientele with lower price elasticity appears even more pronounced in the isochrones under analysis, all located in the urban area of central Milan, characterized by a very high average per capita income level. Additionally, the chain of convenience stores operated by Carrefour (identified by the brand "Carrefour Express") is positioned, due to deliberate corporate strategy, in a quality and price range even higher than that of its closest competitors, targeting a customer base particularly skewed towards single-person (or two-person) households, high-income, and relatively older age groups, thus precisely towards the category of consumers with lower price elasticity19.</w:t>
        <w:br/>
        <w:t>33. What has been presented means that, especially for that segment of clientele most influenced by the distance factor, convenience stores may be advantaged in the competitive comparison with supermarkets, due to their easier ability to be located in the territory with a high level of capillary distribution.</w:t>
        <w:br/>
        <w:t>34. Potential competition conditions present in the affected markets may also be relevant in the evaluation: convenience stores, in fact, according to all operators from whom information was requested during the proceedings, are the market segment that, within the GDO, presents the lowest barriers to entry. This is because: i) the authorization procedures are extremely simplified, especially for points of sale up to 250 sqm.20; ii) the difficulties in identifying and obtaining the area and structures intended for new points of sale decrease as the size of the stores decreases, and this is even more true in a strongly urban context such as that of the Municipality of Milan, where the supply of usable real estate is particularly rich; iii) the investments required for the start-up (equipment, surface to be renovated, etc.) and management of a convenience store are lower than those of other distribution types.</w:t>
        <w:br/>
        <w:t>35. The markets for convenience stores under evaluation are currently characterized by a certain dynamism, which has already translated, during 2019, into several new openings and ownership transfers (including those resulting from the divestitures of the former Auchan Group); other new openings have also occurred, or are nonetheless planned, by the end of 2020. Among the expansion projects already in advanced realization, particular relevance for the present analysis is held by the Esselunga chain, which is currently completing the establishment of a chain of proximity stores identified by the brand "La Esse"21.</w:t>
        <w:br/>
        <w:t>VI.2 The characteristics of competitors present in the affected markets</w:t>
        <w:br/>
        <w:t>36. In all 5 isochrones under evaluation, the competitor Esselunga presents significant value shares, in 4 isochrones exceeding 30%, and, therefore, very close to the post-merger shares of Carrefour. This result changes when considering the shares calculated in terms of the number of points of sale held in the isochrone; in this case, Esselunga's share in the five isochrones is somewhat more contained, never exceeding [5-10%].</w:t>
        <w:br/>
        <w:t>37. This marked difference between value shares and shares in terms of points of sale arises from the fact that Esselunga's business model is significantly different from that of Carrefour. In particular, while Esselunga is, to date, predominantly specialized in medium-large sales formats22, Carrefour has a widely distributed presence of small-sized points of sale that predominantly have characteristics of proximity stores. Narrowing the analysis to the Municipality of Milan, Carrefour is, in fact, the leading operator in the specific segment of convenience stores (100-399 sqm.), with a value share of approximately [55-60%] (compared to [1-5%] of Esselunga), while Esselunga holds [35-40%] of the supermarket segment (400-2,499 sqm.), compared to [20-25%] of Carrefour.</w:t>
        <w:br/>
        <w:t>38. In analyzing the specific current and potential competitive dynamics that characterize the isochrones under examination, it is therefore necessary to take into account the presence of significant differentiation elements of the Carrefour chain compared to its main competitor Esselunga, in terms of predominant sales format (convenience stores for Carrefour and supermarkets for Esselunga) and presence capillarity (much higher in the case of Carrefour). These elements allow Carrefour to maintain a certain margin of independence in defining prices and commercial policies, even where its main competitor holds a relatively high market share, calculated as a percentage of sales revenue.</w:t>
        <w:br/>
        <w:t>39. In the affected markets, however, there are also other qualified competitors, represented by primary national operators who also operate with a specific network of proximity store points. Among these: PAM, which operates in the convenience store segment with the network of points of sale under the "PAM LOCAL" brand, recently and soon to be expanded; FINIPER, which also holds a network of medium and small-sized points of sale through its subsidiary UNES; SIGMA, which manages, among other things, the chain of convenience stores under the OK SIGMA brand; REWE, active with a chain of discount stores under the "PENNY" brand, of medium and small sizes, also recently expanded; CONAD, which has acquired numerous points of sale located in the municipality of Milan from the Auchan chain, including several convenience stores that will be managed under the "Conad City" brand; CRAI, a chain predominantly specialized in the proximity store format.</w:t>
        <w:br/>
        <w:t>VI.3 The survey on consumer habits and the estimate of DR</w:t>
        <w:br/>
        <w:t>40. The survey on consumer habits conducted in the context of the aforementioned proceedings C12246 and C12247B has been acquired into the case file of the present proceeding, carried out with the dual objective of: i) verifying the definition of the product market and the geographical market, through</w:t>
      </w:r>
    </w:p>
    <w:p>
      <w:r>
        <w:rPr>
          <w:b/>
        </w:rPr>
        <w:t>[Pages 10–12]</w:t>
      </w:r>
    </w:p>
    <w:p>
      <w:r>
        <w:t>12 BULLETIN NO. 34 OF AUGUST 24, 2020</w:t>
        <w:br/>
        <w:t>the study of the existing substitutability relationships in the sector in terms of types of retail outlets, brands, distances between commercial establishments; ii) obtain the necessary elements to integrate the traditional analysis based on market shares in value (which represent, particularly in this sector, only an approximation of the market power of companies and the general reduction of competition resulting from the decrease in the number of operators in the market) with more advanced analytical methodologies that can estimate the incentive for the Parties, following the concentration operation, to increase the prices charged.</w:t>
      </w:r>
    </w:p>
    <w:p>
      <w:r>
        <w:t>41. Referring entirely to what is stated in the measures cited regarding the methodology and the outcomes of the survey, it should be emphasized here that some parameters estimated based on the investigation have been used in the present proceeding in order to construct the so-called diversion ratios (hereinafter also DR), that is, indicators aimed at measuring the degree of competitive proximity between the Parties23.</w:t>
      </w:r>
    </w:p>
    <w:p>
      <w:r>
        <w:t>42. In particular, for a more complete assessment of the effects of the operation, where the analysis of structural indicators did not allow for the exclusion that the operation could give rise to competitive concerns, this analysis was supplemented with an estimate of the degree of specific substitutability between the target retail outlet, around which the isochrone (centroid) was constructed, and the other retail outlets present within the same isochrone. This value tends to approximate the competitive pressure exerted on the centroid by all other retail outlets located within the same isochrone, estimating it based on elements24 collected through the survey.</w:t>
      </w:r>
    </w:p>
    <w:p>
      <w:r>
        <w:t>43. In estimating the degree of existing competitive pressure in the isochrone, the following differentiating elements between retail outlets were taken into account, weighted differently to reflect the specific importance they hold in the eyes of the consumer: i) the distance from the centroid, assuming that a retail outlet closer would exert, all else being equal, a greater degree of competitive pressure than one further away; ii) the type of retail outlet, assuming that a retail outlet of different size than that of the centroid would exert, all else being equal, a lower degree of competitive pressure; iii) the brand, assuming that the competitive pressure exerted by each retail outlet varies according to the specific brand by which it is identified.</w:t>
      </w:r>
    </w:p>
    <w:p>
      <w:r>
        <w:t>44. The DRs were then calculated as the ratio between the competitive pressure exerted on the centroid by the buyer's retail outlets and the overall competitive pressure, in order to estimate what portion of the total sales volumes of the target retail outlet, following a deterioration of the respective offer (in terms of price, quality, assortment, and services offered), would shift to the retail outlets belonging to the buyer's distribution chain. Therefore, the higher the DRs, the higher the estimate of the sales that the concentration would allow to internalize following a deterioration of the offer, increasing the profitability of any price increases25.</w:t>
      </w:r>
    </w:p>
    <w:p>
      <w:r>
        <w:t>45. A further refinement of the analysis described above is represented by the calculation of the GUPPI (“Gross Upward Pricing Pressure Indicator”), an indicator that, based on the estimates of the diversion ratios obtained, measures more specifically the buyer's incentive to increase prices (or more generally to worsen its offer at a given retail outlet), integrating the information contained in the diversion ratios with information on margins and the relative price ratio between the retail outlets of the acquiring company and the target retail outlet. The GUPPI, therefore, allows quantifying the incentive to raise prices (or more generally to worsen the offer at a given retail outlet), taking into account not only the percentage of sales that could be internalized but also their specific profitability.</w:t>
      </w:r>
    </w:p>
    <w:p>
      <w:r>
        <w:t>VI.4 Information Acquired from Competitors</w:t>
        <w:br/>
        <w:t>46. All competitors from whom information was requested emphasized the low administrative barriers to entry in the convenience store sector, especially with regard to retail outlets with a surface area of up to 250 square meters. Only with specific reference to retail outlets with a surface area greater than 250 square meters, the Rewe chain indicated possible causes for the slowdown in new openings: greater difficulty in obtaining properties compared to smaller retail outlets; the significant number of authorization requests that the Municipality of Milan is required to process, which means that the authorization process is most often completed through the mechanism of silence-assent, for which it is necessary to wait 90 days26.</w:t>
      </w:r>
    </w:p>
    <w:p>
      <w:r>
        <w:t>47. Furthermore, the chains PAM, Rewe, and Esselunga confirmed that they have numerous and concrete expansion projects in the city of Milan, also specifically regarding the convenience store segment. In particular: i) Esselunga expects significant growth in Milan of the new format retail outlets “La Esse,” in which it specified that it applies the same selling prices as the other formats in its network27; ii) Penny Market stated that it has identified the Municipality of Milan as a development area in its strategic plans, having already opened 4 new medium-sized retail outlets in 2019 and having others planned for opening, some of which are of the “convenience store” format28; iii) PAM specified that it has planned 6 new openings of the “PAM Local” format (convenience stores) in the Municipality of Milan by the end of 202029.</w:t>
      </w:r>
    </w:p>
    <w:p>
      <w:r>
        <w:t>48. Both Rewe and Esselunga also emphasized the particularly high price positioning of Carrefour's convenience stores; in this regard, it emerged that Carrefour's convenience stores would be excluded from the price monitoring of Penny Market's competitors, making the data collection less useful as a comparison benchmark.</w:t>
      </w:r>
    </w:p>
    <w:p>
      <w:r>
        <w:t>49. With specific reference to the possible anti-competitive effects of the operation, Esselunga and Rewe made specific observations: the former, in particular, highlighted the predominant importance of proximity as a factor in the choice of retail outlet for convenience store customers. This circumstance, in Esselunga's opinion, would allow Carrefour, already equipped with a widespread territorial presence in this specific segment, to further increase, as a result of the operation, its power in determining prices and commercial offers. Rewe also emphasized the risk that the operation would increase the density of Carrefour's retail outlets, already quite high in some areas of the Municipality of Milan, such as the area where isochrones 11 - [omitted] and 12 - [omitted] are located.</w:t>
      </w:r>
    </w:p>
    <w:p>
      <w:r>
        <w:t>26 Docs. 16 and 17.</w:t>
        <w:br/>
        <w:t>27 Doc. 18.</w:t>
        <w:br/>
        <w:t>28 Docs. 16 and 17.</w:t>
        <w:br/>
        <w:t>29 Doc. 21.</w:t>
      </w:r>
    </w:p>
    <w:p>
      <w:r>
        <w:t>14 BULLETIN NO. 34 OF AUGUST 24, 2020</w:t>
        <w:br/>
        <w:t>VI.5 The Position of the Parties</w:t>
        <w:br/>
        <w:t>50. The Parties, during the investigation30, emphasized the substantially defensive nature of the operation, aimed at countering the prominence and competitive aggressiveness of Esselunga, which, in the city of Milan, would have a position of strength far superior to that of Carrefour ([45-50%] of overall market share, compared to [15-20%] of Carrefour).</w:t>
      </w:r>
    </w:p>
    <w:p>
      <w:r>
        <w:t>51. Furthermore, according to the Parties, in assessing the existing competitive pressure in the affected markets, no differentiation should be made between types of retail outlet, as such distinction is entirely irrelevant in consumer choices. The larger retail outlets of Esselunga, therefore, would exert strong competitive pressure on Carrefour's convenience stores. In this sense, the Parties emphasized the need to also consider the presence, in some affected markets (such as isochrones 11 and 12), of Esselunga retail outlets that have an area of 2,500 square meters, excluded from the relevant market as classified among hypermarkets (retail outlets of size 2,500 square meters and above): the consumer would indeed not be able to distinguish these retail outlets from Esselunga supermarkets that are just one square meter smaller.</w:t>
      </w:r>
    </w:p>
    <w:p>
      <w:r>
        <w:t>52. The above statements would be demonstrated by the outcomes of a specific survey conducted by Carrefour interviewing a sample of about 100 consumers31 at the exit of the 5 target retail outlets, who were asked: i) which retail outlet they would turn to for a product absent in the target retail outlet; ii) which other retail outlet they use for shopping. The responses obtained, although differentiated from one retail outlet to another in relation to the actual location of competitors, would demonstrate in all cases that a large percentage of consumers of the target convenience stores would also use retail outlets of the supermarket type, including, in the isochrones where this is present, the Esselunga retail outlet of 2,500 square meters.</w:t>
      </w:r>
    </w:p>
    <w:p>
      <w:r>
        <w:t>53. On the other hand, according to Carrefour, the evolution of consumption styles is increasingly directing consumers towards multi-channel shopping, which would lead them to use different types of retail outlets, utilizing them in an alternating and overlapping manner. This would also make it difficult to clearly distinguish substitutability relationships from those of complementarity.</w:t>
      </w:r>
    </w:p>
    <w:p>
      <w:r>
        <w:t>54. Carrefour also highlighted the heightened dynamism and strong contestability characterizing the markets affected by the operation32, made possible by the great ease of entry into them, confirmed by the responses to the requests for information sent by the Authority to competitors during the proceeding. In particular, the Party emphasized that, recalculating the market shares in value in July 2020, in order to take into account the evolution of the market itself, the shares reached by Carrefour have undergone a significant reduction in 4 out of 5 isochrones compared to the snapshot of the first half of 2019 (on the basis of which the present proceeding was initiated). These shares would undergo further reduction considering an estimate of the revenues of retail outlets already opened during 2020, or in the process of opening by the end of the current year33.</w:t>
      </w:r>
    </w:p>
    <w:p>
      <w:r>
        <w:t xml:space="preserve">55. In the described context, the expected strengthening of a particularly efficient operator like Esselunga, even in the specific segment of convenience stores (through the “La Esse” chain) </w:t>
        <w:br/>
        <w:t>30 Docs. 29, 39, and 41.</w:t>
        <w:br/>
        <w:t>31 See doc. 29.2. In particular, this involved 524 interviews (124 in isochrone no. 11 and 100 in the other isochrones) conducted using CAPI (Computer Aided Personal Interview) methodology on July 1 and 2, 2020.</w:t>
        <w:br/>
        <w:t>32 See docs. 29 and 15.1.</w:t>
        <w:br/>
        <w:t>33 In this regard, only with the defensive memorandum filed on July 27, the Party emphasized that it had not taken into account, in the database provided to the Authority during the investigation, the acquisition already made by Esselunga of a retail outlet previously belonging to the Auchan chain, in which the opening of a “La Esse” is planned. Carrefour highlighted that, as a result of this acquisition, the estimated share of Esselunga, related to 2020, in the two isochrones 11 and 12 would increase, making it the leading operator.</w:t>
      </w:r>
    </w:p>
    <w:p>
      <w:r>
        <w:rPr>
          <w:b/>
        </w:rPr>
        <w:t>[Pages 13–15]</w:t>
      </w:r>
    </w:p>
    <w:p>
      <w:r>
        <w:t>BULLETIN NO. 34 OF AUGUST 24, 2020 15</w:t>
        <w:br/>
        <w:t>would represent, in perspective, a further element of evolution of the competitive scenario to the detriment of Carrefour. In this regard, the Party has estimated a profitability per square meter for Esselunga equal to 19,800 euros, compared to that of 8,200 euros for Carrefour34.</w:t>
      </w:r>
    </w:p>
    <w:p>
      <w:r>
        <w:t>56. The Parties have also highlighted how, in line with the recent decision-making practice of the Authority, the assessment should be based not only on market shares and the values of DR and GUPPI, but also on a qualitative analysis that takes into account other elements such as: the increase in market share, in all isochrones less than 5%; the distribution of competitors' market shares, which in no case would justify the creation or strengthening of a dominant position of Carrefour, especially where Carrefour is not the first market operator; the absolute number of retail outlets, which would be on average high in the markets under examination (greater than 60) and particularly high in isochrone no. 18 (87 retail outlets in 2020); the relative number of retail outlets (density), which at least in two isochrones (no. 14 and no. 18) would see a significant density of competing retail outlets around the centroid.</w:t>
      </w:r>
    </w:p>
    <w:p>
      <w:r>
        <w:t>57. Carrefour also emphasized the strong growth of the online sales phenomenon, from which Esselunga would predominantly benefit. In this regard, the Party highlighted how, based on the specific survey conducted35, 40% of respondents would use online shopping, even occasionally, and of these, about 46% would turn to Esselunga, compared to 19% of consumers who would turn to Carrefour. This would lead to a significant underestimation of the market power of Esselunga expressed by market shares in value, given that the revenues considered by Nielsen would exclude online sales in the case of Esselunga and include them in the case of Carrefour36.</w:t>
      </w:r>
    </w:p>
    <w:p>
      <w:r>
        <w:t>58. Finally, the Parties contested the use, in the calculation of the DR and GUPPI contained in the CRI, of parameters derived from a market survey conducted almost a year ago and, above all, referring to very large geographical areas of the national territory (the 4 Nielsen areas); in particular, the parameters used refer to the Nielsen North West area which, according to the Parties, does not take into account the peculiarities of the metropolitan area of Milan. Furthermore, the calculation of the DR would reference the corporate groups as a whole and not, instead, the individual brands that belong to these groups. Therefore, the survey used and the DR calculated on this basis would suffer from an irreparable lack of representativeness of the context in which this operation takes place, namely, the center of Milan.</w:t>
      </w:r>
    </w:p>
    <w:p>
      <w:r>
        <w:t>59. For example, with specific reference to e-commerce, for which, following COVID-19, there would have been an increase of about 150% on a national basis, the share of consumption in the specific province of Milan is much larger than the national average, standing at around 6% (Nielsen-Roundtable estimate July 15, 2020)37. The parameters used for estimating the DR, therefore, in this sense, would strongly underestimate the impact of online purchases in the OO factor (the so-called “outside option”38).</w:t>
      </w:r>
    </w:p>
    <w:p>
      <w:r>
        <w:t>34 The Parties also specified how, in estimating the revenues of the newly opened retail outlets of Esselunga, they prudently used a profitability value per square meter equal to 15,000 euros.</w:t>
      </w:r>
    </w:p>
    <w:p>
      <w:r>
        <w:t>35 See doc. 29.2.</w:t>
      </w:r>
    </w:p>
    <w:p>
      <w:r>
        <w:t>36 See doc. 29: this would be due to a different organization and accounting of online sales, which, in the case of Carrefour, pass through the supermarket checkouts before being delivered.</w:t>
      </w:r>
    </w:p>
    <w:p>
      <w:r>
        <w:t>37 Doc. 41.2.</w:t>
      </w:r>
    </w:p>
    <w:p>
      <w:r>
        <w:t>38 This refers, in particular, to sales that, in the event of a deterioration in the offer conditions of the target retail outlet, would be intercepted by retail outlets external to the relevant market, such as, in this case, e-commerce, local markets, or even hypermarkets and specialized stores.</w:t>
      </w:r>
    </w:p>
    <w:p>
      <w:r>
        <w:t>16 BULLETIN NO. 34 OF AUGUST 24, 2020</w:t>
        <w:br/>
        <w:t>VII. EVALUATIONS</w:t>
        <w:br/>
        <w:t>VII.1 Premise</w:t>
        <w:br/>
        <w:t>60. The Authority has initiated an investigation pursuant to Article 16, paragraph 4, of Law No. 287/90 to verify whether, in 5 local markets of convenience stores, the operation under examination is capable of determining the creation or strengthening of a dominant position such as to eliminate or substantially and durably reduce competition. These markets - specifically the isochrones: 11 ([omissis]), 12 ([omissis]), 14 ([omissis]), 17 ([omissis]) and 18 ([omissis]) - have been deemed susceptible to raising competitive concerns as, based on the data provided by the Party and the aforementioned product and geographical definition, significant horizontal overlaps were determined within them, with post-merger market shares exceeding 25%, both in terms of revenue and in terms of the number of retail outlets, and increases attributable to the concentration under examination deemed non-negligible.</w:t>
      </w:r>
    </w:p>
    <w:p>
      <w:r>
        <w:t>61. During the investigation, the Party presented an update of the entire dataset on the basis of which market shares were calculated, in order to take into account, on one hand, the evolution of the revenue of each retail outlet in 2019 (the previous data referred to 2018) and, on the other hand, the new openings, closures, and ownership transfers of retail outlets that had already occurred in the meantime. Furthermore, the Party included in the affected isochrones, with separate indication, the retail outlets for which the opening of new competing retail outlets had been certainly planned by 2020, and in some cases already carried out.</w:t>
      </w:r>
    </w:p>
    <w:p>
      <w:r>
        <w:t>62. These shares are significantly different from those highlighted at the outset for various reasons: i) the update of the revenues of the various retail outlets to 2019; ii) the changes in branding, closures, and openings that occurred in the last year; iii) the inclusion, among the competing retail outlets of the Parties, of an Esselunga supermarket for which the location coordinates entered in the Nielsen database were incorrect39; iv) the fact that, for the purpose of recalculating market shares, the Party also redefined the breadth of the isochrones at a different and subsequent point in time compared to that referenced in the original communication40.</w:t>
      </w:r>
    </w:p>
    <w:p>
      <w:r>
        <w:t>63. The last highlighted circumstance effectively led to an expansion of the considered isochrones, attributable to the different traffic conditions related to the new date taken as a reference for the calculations. In 4 out of 5 isochrones (with the exception, in particular, of isochrone no. 18), this redefinition benefited the Party as, within a 10-minute driving radius, at the new point in time considered, it became possible to reach a higher number of retail outlets, predominantly belonging to the competition. As will be seen, this operation affected the market shares in value but, by determining the inclusion in the relevant markets of retail outlets located at the margins of the isochrone, did not significantly change the estimate of the DR and GUPPI.</w:t>
      </w:r>
    </w:p>
    <w:p>
      <w:r>
        <w:t>64. On the other hand, it is believed that, in the presence of two operators such as Carrefour and Esselunga, which confront such different organizational models (many small retail outlets spread across the territory vs. few large retail outlets with much larger surfaces), the analysis based on market shares in value should be supplemented with further elements suitable for capturing the actual power dynamics between competitors in the relevant market of convenience stores. Due to the characteristics of the considered markets, the sole analysis of shares in value, in fact: i) underestimates the market power in the relevant market of convenience stores derived from Carrefour's extensive distribution network; ii) overestimates the competitive pressure that the “few” supermarkets of Esselunga (with surfaces very close to those of a hypermarket and often located at the margins of the relevant geographical market) can exert on the multitude of convenience stores that Carrefour holds in the individual relevant markets.</w:t>
      </w:r>
    </w:p>
    <w:p>
      <w:r>
        <w:t>65. For the reasons outlined, it is deemed necessary, in this evaluation, to also attribute importance to the values assumed, in the individual affected isochrones, both by the numerical market shares, possibly referring only to the segment of convenience stores, and by the DR and GUPPI, which capture the actual proximity of the retail outlets subject to acquisition with the retail outlets of the buyer, also taking into account their concrete territorial distribution.</w:t>
      </w:r>
    </w:p>
    <w:p>
      <w:r>
        <w:t>VII.2 Some replies to the Parties' observations</w:t>
        <w:br/>
        <w:t>66. Regarding the irrelevance of the type of retail outlet among the factors that guide consumer choices, it is believed that the numerous, mentioned differences between supermarkets and convenience stores (type of clientele, price positioning, possible level of territorial diffusion, etc.) necessarily make retail outlets of the same type (both convenience stores) more interchangeable for the consumer, all else being equal. In any case, the pressure from retail outlets that fall into the category of supermarkets has been fully considered through a variety of indicators such as market share in value and in terms of the number of retail outlets. Furthermore, the analysis based on the DR provides results that would change only marginally if, for the purposes of their estimation, the difference between supermarkets and convenience stores were considered entirely irrelevant.</w:t>
      </w:r>
    </w:p>
    <w:p>
      <w:r>
        <w:t>67. Regarding the absence of barriers to entry and the dynamism characterizing the relevant markets, it is deemed correct to take this into account in the evaluation, while considering, however, that the values assumed by the other parameters used in the analysis may make it unlikely that, in the medium term, the market structure will change enough to reduce the incentives of the new operator to worsen its offer conditions.</w:t>
      </w:r>
    </w:p>
    <w:p>
      <w:r>
        <w:t>68. Finally, with reference to the survey conducted by the Party at the exit of the five retail outlets, it is noted that, while providing some generic indications about the presence, in proximity to the target retail outlets, of other retail outlets where it is possible to integrate or replace part of the spending made at such commercial establishments, it does not appear suitable to be used to estimate the unilateral effects of the operation or, in any case, to represent a benchmark compared to the estimated values of DR and GUPPI: the questions posed to consumers, in fact, and in particular the second41, do not seem specifically formulated to capture the relationships of substitutability between retail outlets, but rather those of complementarity between the retail outlet used and the one indicated by consumers as a different choice option.</w:t>
      </w:r>
    </w:p>
    <w:p>
      <w:r>
        <w:t>VII.3 The effects of the operation in the individual affected markets</w:t>
        <w:br/>
        <w:t>VII.3.a Isochrones where the post-merger share is lower than that of the first competitor</w:t>
        <w:br/>
        <w:t>69. In isochrone no. 11 ([omissis]), the value share of the post-merger operator (equal to [35-40%]) although quite high, is slightly lower than that of Esselunga (equal to [35-40%]), even without taking into account the new openings planned by 2020. This gap would widen considering the new openings planned in the market (Esselunga [35-40%], Carrefour [35-40%]), one of which is represented by an Esselunga retail outlet under the brand La Esse.</w:t>
      </w:r>
    </w:p>
    <w:p>
      <w:r>
        <w:t>41 Consumers were specifically asked: i) which retail outlet they would turn to in search of a product absent in the target retail outlet; ii) which other retail outlet is used for shopping.</w:t>
      </w:r>
    </w:p>
    <w:p>
      <w:r>
        <w:rPr>
          <w:b/>
        </w:rPr>
        <w:t>[Pages 16–18]</w:t>
      </w:r>
    </w:p>
    <w:p>
      <w:r>
        <w:t>18 BULLETIN NO. 34 OF AUGUST 24, 2020</w:t>
        <w:br/>
        <w:t>70. With reference to isochrone no. 17 ([omissis]), following the operation, the value share of the post-merger operator is found to be below 30% ([25-30%]), even without taking into account the new openings planned by the end of 2020, while the value share of Esselunga is significantly higher, exceeding 40% ([40-45%]).</w:t>
        <w:br/>
        <w:t>71. It is therefore not considered, with reference to the two isochrones no. 11 and no. 17, that the operation could lead to the establishment or strengthening of a dominant position.</w:t>
        <w:br/>
        <w:t>Tab. no. 1 – Effects of the operation in isochrones no. 11 and 17</w:t>
        <w:br/>
        <w:t>Isochrones 11 17</w:t>
        <w:br/>
        <w:t>2019 2020* 2019 2020*</w:t>
        <w:br/>
        <w:t>Share in</w:t>
        <w:br/>
        <w:t>[35-40]% [35-40]% [25-30]% [25-30]%</w:t>
        <w:br/>
        <w:t>turnover</w:t>
        <w:br/>
        <w:t>Delta share [1-5]% [1-5]%</w:t>
        <w:br/>
        <w:t>1st competitor Esselunga Esselunga</w:t>
        <w:br/>
        <w:t>1st competitor [35-40]% [35-40]% [40-45]% [40-45]%</w:t>
        <w:br/>
        <w:t>*The shares are calculated using the Party's estimates regarding the turnover of the stores that have already opened or are scheduled to open by 2020.</w:t>
        <w:br/>
        <w:t>Source: elaborations based on data provided by the Parties.</w:t>
        <w:br/>
        <w:t>VII.3.b The other affected isochrones</w:t>
        <w:br/>
        <w:t>72. The main indicators summarizing the effects of the operation in the other 3 affected markets are highlighted in table no. 2. They will be analyzed and discussed below, individually for each of them.</w:t>
      </w:r>
    </w:p>
    <w:p>
      <w:r>
        <w:t>BULLETIN NO. 34 OF AUGUST 24, 2020 19</w:t>
        <w:br/>
        <w:t>Tab. no. 2 – Effects of the concentration in the other three affected isochrones</w:t>
        <w:br/>
        <w:t>Isochrones 12 14 18</w:t>
        <w:br/>
        <w:t>2019 2020* 2019 2020* 2019 2020*</w:t>
        <w:br/>
        <w:t>Share in turnover [40-45]% [40-45]% [30-35]% [30-35]% [40-45]% [35-40]%</w:t>
        <w:br/>
        <w:t>Delta share [1-5]% [1-5]% [1-5]%</w:t>
        <w:br/>
        <w:t>1st competitor Esselunga Esselunga Esselunga</w:t>
        <w:br/>
        <w:t>1st competitor [35-40]% [35-40]% [30-35]% [35-40]% [15-20]% [20-25]%</w:t>
        <w:br/>
        <w:t>Numerical share [55-60]% [50-55]% [40-45]% [40-45]% [40-45]% [35-40]%</w:t>
        <w:br/>
        <w:t>Number of stores 44 47 66 69 82 87</w:t>
        <w:br/>
        <w:t>of which Carrefour [25-30] [25-30] [25-30] [25-30] [30-35] [30-35]</w:t>
        <w:br/>
        <w:t>Delta n. stores [1-5] [5-10] [1-5]</w:t>
        <w:br/>
        <w:t>1st competitor Conad, PAM, D.It Distr. Ital. Distr.Ital.</w:t>
        <w:br/>
        <w:t>N. stores 1st competitor [1-5] [1-5] [10-15] [10-15] [10-15] [10-15]</w:t>
        <w:br/>
        <w:t>N. supermarkets 29 31 47 49 53 55</w:t>
        <w:br/>
        <w:t>n. supermarkets</w:t>
        <w:br/>
        <w:t>Share Carrefour [60-65]% [55-60]% [45-50]% [40-45]% [45-50]% [45-50]%</w:t>
        <w:br/>
        <w:t>DR 60% 57% 48% 47% 50% 47%</w:t>
        <w:br/>
        <w:t>DR and GUPPI</w:t>
        <w:br/>
        <w:t>GUPPI 9.8% 9.3% 8% 7.7% 8.3% 7.8%</w:t>
        <w:br/>
        <w:t>*The shares are those calculated using the Party's estimates regarding the turnover of the stores that have already opened or are scheduled to open by 2020.</w:t>
        <w:br/>
        <w:t>Source: elaborations based on data provided by the Parties.</w:t>
        <w:br/>
        <w:t>Isochrone no. 12 - [omissis]</w:t>
        <w:br/>
        <w:t>73. Following the operation, Carrefour would reach a market share in value of [40-45%], with an increase of more than [1-5%]; this share would not significantly decrease even following the openings planned by the end of the current year. The second operator, Esselunga, holds a market share in value that is significantly lower at [30-35%].</w:t>
        <w:br/>
        <w:t>74. The market share of the post-merger operator is particularly high even when calculated in numerical terms, as over half of the stores present in the isochrone (at [55-60%]) belong to Carrefour. This is especially true in the specific segment of supermarkets, in which Carrefour holds a numerical share exceeding 60%. It is also noteworthy that the absolute number of stores present in the isochrone is relatively small, below 50, both before and after the new openings. Esselunga is currently present with only two supermarket-type stores, located more than 8 minutes away from the centroid. By the end of 2020, the opening of a "La Esse" store is planned, which is also located at the margins of the isochrone.</w:t>
        <w:br/>
        <w:t>75. In the market under examination, moreover, the Carrefour Group has a particularly dense distribution of stores around the target store. In fact, of the 11 stores currently located within a one-kilometer walking distance from the centroid (12 with the new openings in 2020), 8 are Carrefour; of the 6 stores currently located within a 5-minute driving distance from the centroid (7 with the new openings), 3 are Carrefour.</w:t>
        <w:br/>
        <w:t>76. The particular "proximity" of Carrefour stores to the target store is reflected in the calculation of the DR, which assumes a value of 57% even following the new openings planned; while the "GUPPI," which estimates the incentive to raise prices, is equal to 9.3%. Both indices far exceed the thresholds of concern, respectively, of 20% and 5%.</w:t>
        <w:br/>
        <w:t>77. In isochrone no. 12, therefore, even considering the dynamism and the absence of barriers to entry that characterize the markets under examination, it is not deemed likely that, in the medium term, structural changes will occur that would significantly alter the incentives of the post-merger operator to worsen the conditions of supply. It is therefore believed that the operation leads to the creation or strengthening of a dominant position for Carrefour.</w:t>
        <w:br/>
        <w:t>Isochrone no. 14 - [omissis]</w:t>
        <w:br/>
        <w:t>78. In isochrone no. 14, the value share reached by the new operator is [30-35%], very close to that of Esselunga, which is [30-35%]. However, there is a strong difference between the two operators in terms of numerical shares, as Esselunga is currently present in the isochrone with only two supermarket-type stores. In particular, Carrefour's share measured in numerical terms is [45-50%] (which will decrease to [40-45%] in 2020), while that of Esselunga is [1-5%]. The diversion ratio and the GUPPI index take values above the thresholds of concern, equal to 48% and 8%, respectively.</w:t>
        <w:br/>
        <w:t>79. The analysis of the geographical distribution of stores in proximity to the centroid shows that Carrefour holds 5 of the 20 stores located within a one-kilometer walking distance (22 with the new openings), and 4 of the 12 stores (13 with the new openings) located within a radius of only 5 minutes driving distance.</w:t>
        <w:br/>
        <w:t>80. In light of these elements, it is observed that: i) taking into account the 3 new openings planned for 2020, two of which have already occurred, Esselunga becomes the leading operator in terms of market share in value, which rises for Esselunga to [35-40%], compared to Carrefour's [30-35%]; ii) Esselunga's entry into the specific format of supermarkets is already firmly scheduled for 2020, through the chain branded "La Esse"; iii) there is another competitor with a value share of [20-25%], namely D.IT Distribuzione Italiana, which holds [10-15] stores, all of the supermarket type.</w:t>
        <w:br/>
        <w:t>81. In summary, considering all the evaluation elements taken into account and, in particular, the overall structure of the relevant market and its dynamism, which will lead Esselunga, by 2020, to have a value share exceeding that of the new operator and which will result in three new entries in 2020, including that of Esselunga in the specific format of supermarkets, it is believed that, with reference to this isochrone, it is highly likely that, in the medium term, structural changes will occur that will reduce the incentives of the post-merger operator to worsen the conditions of supply. It is therefore not considered that the operation leads to the creation or strengthening of a dominant position for Carrefour.</w:t>
        <w:br/>
        <w:t>Isochrone no. 18 - [omissis]</w:t>
        <w:br/>
        <w:t>82. In isochrone no. 18, the post-merger market share in terms of turnover of the operator Carrefour is [40-45%], with an increase slightly above [1-5%]. The second operator, Esselunga, currently has a much lower value share of [15-20%]. Following 5 new store openings planned by the end of 2020 (3 of which have already been realized), Carrefour's share would decrease to [35-40%] and Esselunga's share would reach [20-25%].</w:t>
        <w:br/>
        <w:t>83. There are 82 stores in the isochrone, which will become 87 following the new openings planned by the end of 2020. Of these, 55 are supermarkets. As a result of the operation, Carrefour would reach a share in terms of the number of stores of approximately [40-45%] ([35-40%] in 2020), while Esselunga currently manages only 1 supermarket in the isochrone, thus holding a very insignificant numerical share.</w:t>
      </w:r>
    </w:p>
    <w:p>
      <w:r>
        <w:rPr>
          <w:b/>
        </w:rPr>
        <w:t>[Pages 19–21]</w:t>
      </w:r>
    </w:p>
    <w:p>
      <w:r>
        <w:t>BULLETIN NO. 34 OF AUGUST 24, 2020 21</w:t>
        <w:br/>
        <w:t>84. The density of Carrefour's points of sale decreases near the centroid: Carrefour holds 5 of the 22 points of sale currently located within a one-kilometer walking radius from the centroid (of which two are newly opened), and 6 of the 22 points of sale located less than 5 minutes away by car from the centroid (of which 3 are newly opened).</w:t>
        <w:br/>
        <w:t>85. The values of DR and GUPPI – which are calculated taking into account the location, type, and brands of all points of sale – are above the threshold of concern, being equal to 47% and 7.8%, respectively.</w:t>
        <w:br/>
        <w:t>86. Furthermore, other operators are active in the relevant market, including: Finiper, with a market share of [10-15%] in terms of revenue and [5-10%] in numerical terms; PAM, which manages the PAM LOCAL supermarket chain, with a market share of [10-15%] in value and [10-15%] in numerical terms; Conad, which recently entered by acquiring the points of sale closed by the Auchan chain (approximately [5-10%] in both value and numerical terms), and Distribuzione Italiana (approximately [1-5%] in terms of revenue, [15-20%] in numerical terms).</w:t>
        <w:br/>
        <w:t>87. With reference to isochrone no. 18, despite the high values of DR and GUPPI and the market shares indicated in Table 2, in light of a comparative assessment of all available elements – particularly the high dynamism of the market, characterized by five entries in 2020, and the existence of relatively low barriers to entry, along with the number of points of sale in the isochrone – it is considered highly probable that, in the medium term, structural changes will occur that will reduce the incentives for the post-merger operator to worsen the conditions of supply. It is therefore believed that the operation does not lead to the creation or strengthening of a dominant position for Carrefour.</w:t>
        <w:br/>
        <w:t>VIII. CORRECTIVE MEASURES TO CONDITION THE AUTHORIZATION</w:t>
        <w:br/>
        <w:t>88. In order to ensure the removal of any anti-competitive effects, in the local market built around the point of sale located in Milan, Via [omissis] (isochrone 12), DI PER DI S.r.l. and Carrefour S.p.A. must sell, by [omissis], the point of sale located in Milan, Via [omissis], where the operation is likely to produce the creation and/or strengthening of a dominant position.</w:t>
        <w:br/>
        <w:t>89. To ensure the effective and timely execution of the measure, it must be implemented with the following transparent and non-discriminatory modalities and timelines:</w:t>
        <w:br/>
        <w:t>a) the sale must occur, by [omissis], through the sale to a third-party independent entity, active in the retail distribution of food and non-food products, of the point of sale located in Milan, Via [omissis] (isochrone 12);</w:t>
        <w:br/>
        <w:t>b) the buyers of the point of sale must meet the following requirements:</w:t>
        <w:br/>
        <w:t>i. be independent entities, also commercially, from the Parties and the companies connected to them, as well as from the individuals at the top of the Parties' control chain;</w:t>
        <w:br/>
        <w:t>ii. possess the financial means, as well as the incentive and capacity to maintain and develop, on an efficiently scaled basis, the retail sale of food and non-food products;</w:t>
        <w:br/>
        <w:t>iii. preferably be primary operators in the sector active at the national level, and in any case already active in the retail sale of food and non-food products;</w:t>
        <w:br/>
        <w:t>iv. the acquisition of the divested activity by a proposed buyer must not create new problems for competition, nor pose the risk that the implementation of the measures will be delayed;</w:t>
        <w:br/>
        <w:t>c) the agreements related to the transfer of the point of sale referred to in point a) must be submitted to the Authority for approval of the identity of the transferee and the agreements themselves, at least one month before the aforementioned deadlines;</w:t>
        <w:br/>
        <w:t>d) if the buyers of the point of sale to be divested referred to in point a) have not been identified by the deadlines provided therein, the Parties must, by [omissis], divest the points of sale in question by identifying the buyers [omissis];</w:t>
        <w:br/>
        <w:t>e) the Parties must provide all necessary information about the point of sale to be divested, to allow potential buyers to assess its value and presumed commercial capacity;</w:t>
        <w:br/>
        <w:t>f) the Parties must preserve the economic operation, marketability, and competitiveness of the point of sale subject to the measures, in accordance with good commercial practice, during the period between the date of authorization of the Operation and the full validity and effectiveness of their divestiture.</w:t>
        <w:br/>
        <w:t>IX. CONCLUSIONS</w:t>
        <w:br/>
        <w:t>90. In conclusion, the investigation has established that the concentration under examination is likely to create or strengthen Carrefour's dominant position in the local supermarket market built around the point of sale located in Milan, Via [omissis] (isochrone 12).</w:t>
        <w:br/>
        <w:t>91. Therefore, based on the elements that emerged during the investigation, it is believed that the concentration operation under examination is susceptible to authorization only in the presence of the aforementioned measures, necessary to sterilize the anti-competitive effects in the identified local market and to effectively safeguard the operation of competitive comparison pursuant to Article 6, paragraph 2, of Law No. 10 October 1990, No. 287.</w:t>
        <w:br/>
        <w:t>CONSIDERING therefore, based on the elements that emerged during the investigation, that the operation under examination is likely to determine, pursuant to Article 6, paragraphs 1 and 2 of Law No. 287/90, the creation and strengthening of a dominant position in the relevant market identified above such as to eliminate or substantially and durably reduce competition;</w:t>
        <w:br/>
        <w:t>CONSIDERING it necessary to prescribe to the companies DI PER DI S.r.l. and Carrefour Italia S.p.A. the measures necessary to prevent the realization of the anti-competitive effects caused by the implementation of the concentration under examination;</w:t>
        <w:br/>
        <w:t>CONSIDERING, therefore, that the communicated concentration operation is authorized subject to the full and effective execution of all measures prescribed in this provision;</w:t>
        <w:br/>
        <w:t>CONSIDERING that any failure to implement the aforementioned measures results in the realization of a concentration operation in violation of the prohibition set forth in Article 6, paragraph 1, of Law No. 287/90;</w:t>
        <w:br/>
        <w:t>RESOLVES</w:t>
        <w:br/>
        <w:t>to authorize the communicated concentration operation, provided that the companies DI PER DI S.r.l. and Carrefour Italia S.p.A. fully and effectively execute the following measures prescribed pursuant to Article 6, paragraph 2, of Law No. 287/90:</w:t>
        <w:br/>
        <w:t>a) divestiture, by [omissis], through the sale to a third-party independent entity, active in the retail distribution of food and non-food products, of the point of sale located in Milan, Via [omissis] (isochrone 12);</w:t>
        <w:br/>
        <w:t>b) the buyers of the point of sale must meet the following requirements:</w:t>
      </w:r>
    </w:p>
    <w:p>
      <w:r>
        <w:t>BULLETIN NO. 34 OF AUGUST 24, 2020 23</w:t>
        <w:br/>
        <w:t>i. be independent entities, also commercially, from the Parties and the companies connected to them, as well as from the individuals at the top of the Parties' control chain;</w:t>
        <w:br/>
        <w:t>ii. possess the financial means, as well as the incentive and capacity to maintain and develop, on an efficiently scaled basis, the retail sale of food and non-food products;</w:t>
        <w:br/>
        <w:t>iii. preferably be primary operators in the sector active at the national level, and in any case already active in the retail sale of food and non-food products;</w:t>
        <w:br/>
        <w:t>iv. the acquisition of the divested activity by a proposed buyer must not create new problems for competition, nor pose the risk that the implementation of the measures will be delayed;</w:t>
        <w:br/>
        <w:t>c) the agreements related to the transfer of the point of sale referred to in point a) must be submitted to the Authority for approval of the identity of the transferee and the agreements themselves, at least one month before the aforementioned deadlines;</w:t>
        <w:br/>
        <w:t>d) if the buyers of the point of sale to be divested referred to in point a) have not been identified by the deadlines provided therein, the Parties must, by [omissis], divest the points of sale in question by identifying the buyers [omissis];</w:t>
        <w:br/>
        <w:t>e) the Parties must provide all necessary information about the point of sale to be divested, to allow potential buyers to assess its value and presumed commercial capacity;</w:t>
        <w:br/>
        <w:t>f) the Parties must preserve the economic operation, marketability, and competitiveness of the point of sale subject to the measures, in accordance with good commercial practice, during the period between the date of authorization of the Operation and the full validity and effectiveness of their divestiture;</w:t>
        <w:br/>
        <w:t>g) the Parties must send to the Authority, by [omissis] from the notification of this provision, an initial report regarding the execution of these measures. The Party must send a final report acknowledging the transfer of the points of sale, by [omissis], and promptly inform the Authority of any event that may affect the measures referred to in points a) and b).</w:t>
        <w:br/>
        <w:t>The above measures will come into effect upon notification of the authorization provision of this operation.</w:t>
        <w:br/>
        <w:t>This provision will be notified to the interested parties and published in the Bulletin of the Competition and Market Authority.</w:t>
        <w:br/>
        <w:t>Against this provision, an appeal may be submitted to the TAR of Lazio, pursuant to Article 135, paragraph 1, letter b), of the Code of Administrative Procedure (Legislative Decree No. 2 July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24 November 1971, within one hundred and twenty days from the date of notification of the provision itself.</w:t>
      </w:r>
    </w:p>
    <w:p>
      <w:r>
        <w:rPr>
          <w:b/>
        </w:rPr>
        <w:t>[Pages 22–24]</w:t>
      </w:r>
    </w:p>
    <w:p>
      <w:r>
        <w:t xml:space="preserve">24 BULLETIN NO. 34 OF AUGUST 24, 2020  </w:t>
        <w:br/>
        <w:t xml:space="preserve">THE SECRETARY GENERAL THE PRESIDENT  </w:t>
        <w:br/>
        <w:t>Filippo Arena Roberto Rustichelli</w:t>
      </w:r>
    </w:p>
    <w:p>
      <w:r>
        <w:t xml:space="preserve">BULLETIN NO. 34 OF AUGUST 24, 2020 25  </w:t>
        <w:br/>
        <w:t xml:space="preserve">C12279 - DIPERDÌ/BRANCHES OF SMA AND SOCIETÀ GENERALE DISTRIBUTION  </w:t>
        <w:br/>
        <w:t xml:space="preserve">Annex to Provision No. 28326  </w:t>
        <w:br/>
        <w:t xml:space="preserve">Analysis of effects - Methodological Appendix  </w:t>
        <w:br/>
        <w:t xml:space="preserve">1. The objective of the analysis is to evaluate the competitive impact of the operation in the affected local markets, taking into account certain factors that may influence the degree of competitive pressure exerted by each point of sale in the local area (so-called Catchment Areas, “CA”).  </w:t>
        <w:br/>
        <w:t xml:space="preserve">2. In this perspective, the degree of substitutability of each point of sale within each CA with respect to the points of sale on which these are centered (centroids) has been considered. This substitutability relationship with the centroid, which tends to approximate the competitive pressure exerted on the latter by a point of sale located in the same CA, is functional to constructing the so-called diversion ratios, indicators aimed at measuring the degree of competitive proximity between the Parties. The diversion ratios between the Parties indicate how much of the total sales volumes lost by the points of sale of one Party (following a deterioration of its offer in terms of price, quality, assortment, services offered) shift to the points of sale belonging to the distribution chain of the other Party. In this context, the higher the diversion ratios between the companies subject to the concentration, the higher the sales that the concentration will allow to internalize, making price increases profitable.  </w:t>
        <w:br/>
        <w:t xml:space="preserve">3. Not having the possibility to directly estimate the diversion ratios, they have been constructed by attributing to each point of sale a competitive pressure index (IPC in the formulas that follow), which is in turn defined based on its degree of substitutability with respect to the centroids (points of sale of the Auchan group subject to acquisition) of the local markets to which it belongs. This substitutability has been estimated based on the following three factors, under the reasonable assumption that they are relevant in the consumer's choice:  </w:t>
        <w:br/>
        <w:t xml:space="preserve">- distance of a point of sale from the centroid: a point of sale closer to the centroid exerts, all else being equal, a greater degree of competitive pressure than one further away;  </w:t>
        <w:br/>
        <w:t xml:space="preserve">- type/size of the point of sale: a point of sale of different size from that of the centroid exerts, all else being equal, a lower degree of competitive pressure compared to points of sale of equal size. For example, if the centroid were a convenience store, larger supermarkets could exert less competitive pressure on the centroid than other convenience stores;  </w:t>
        <w:br/>
        <w:t xml:space="preserve">- brand: a point of sale with a brand considered highly substitutable with that of the centroid exerts, all else being equal, a greater degree of competitive pressure than a less substitutable brand.  </w:t>
        <w:br/>
        <w:t xml:space="preserve">4. This competitive pressure index also takes into account the different weight that the factors "type/size," "brand," and "distance" assume in the eyes of the consumer when choosing the point of sale where to shop.  </w:t>
        <w:br/>
        <w:t xml:space="preserve">5. Once the competitive pressure index of the individual points of sale has been calculated, the overall competitive pressure index of the buyer's points of sale, that is, the competitive constraint on the points of sale subject to acquisition belonging to the Auchan group that is removed with the operation under examination, has been measured, being "internalized" through the same:  </w:t>
        <w:br/>
        <w:t xml:space="preserve">(1)  </w:t>
        <w:br/>
        <w:t xml:space="preserve">𝐼𝐼𝐼𝐼𝐼𝐼𝐴𝐴𝐴𝐴𝐴𝐴𝐴𝐴𝐴𝐴𝐴𝐴𝐴𝐴𝐴𝐴𝐴𝐴𝐴𝐴 =∑𝐴𝐴∈𝐴𝐴𝐴𝐴𝐴𝐴𝑒𝑒𝑒𝑒𝑒𝑒(𝛼𝛼∗𝑒𝑒𝐴𝐴+𝛽𝛽∗𝑦𝑦𝐴𝐴 +𝛾𝛾∗𝑧𝑧𝐴𝐴)  </w:t>
        <w:br/>
        <w:t xml:space="preserve">where:  </w:t>
        <w:br/>
        <w:t xml:space="preserve">indicates the points of sale that belong to the Buyer;  </w:t>
        <w:br/>
        <w:t xml:space="preserve">, are the values assumed by the type/size, brand, and distance factors of each point of sale;  </w:t>
        <w:br/>
        <w:t xml:space="preserve">𝑖𝑖 ∈𝐴𝐴𝐴𝐴𝐴𝐴  </w:t>
        <w:br/>
        <w:t xml:space="preserve">𝑒𝑒𝐴𝐴 𝑦𝑦𝐴𝐴,𝑧𝑧𝐴𝐴  </w:t>
        <w:br/>
        <w:t xml:space="preserve">, are the weights, respectively, of the aforementioned factors, in order to take into account the different relevance that these factors assume in the choice of consumers.  </w:t>
        <w:br/>
        <w:t xml:space="preserve">𝛼𝛼 𝛽𝛽,𝛾𝛾  </w:t>
        <w:br/>
        <w:t xml:space="preserve">6. The overall competitive pressure exerted by the buyer's points of sale, specifically Carrefour, on the centroid has then been expressed in relative terms, that is, it has been related to the level of competitive pressure exerted on the centroid by all competing points of sale present in the CA:  </w:t>
        <w:br/>
        <w:t xml:space="preserve">(2)  </w:t>
        <w:br/>
        <w:t xml:space="preserve">𝐼𝐼𝐼𝐼𝐼𝐼𝐶𝐶𝐴𝐴 =∑𝐴𝐴≠𝐴𝐴𝑡𝑡𝐴𝐴𝑡𝑡𝐴𝐴𝐴𝐴𝑒𝑒𝑒𝑒𝑒𝑒(𝛼𝛼∗𝑒𝑒𝐴𝐴+𝛽𝛽∗𝑦𝑦𝐴𝐴+𝛾𝛾∗𝑧𝑧𝐴𝐴)  </w:t>
        <w:br/>
        <w:t xml:space="preserve">where:  </w:t>
        <w:br/>
        <w:t xml:space="preserve">indicates the competing points of sale of the centroid not belonging to the same distribution chain as the latter.  </w:t>
        <w:br/>
        <w:t xml:space="preserve">𝑖𝑖 ≠𝑡𝑡𝑡𝑡𝑡𝑡𝑡𝑡𝑒𝑒𝑡𝑡  </w:t>
        <w:br/>
        <w:t xml:space="preserve">7. The ratio between and , which thus measures the competitive weight of the buyer, with respect to other competitors, on the points of sale subject to acquisition, constitutes an estimate of the diversion ratio from the latter (the centroids of the local markets) to the other points of sale of the Parties:  </w:t>
        <w:br/>
        <w:t xml:space="preserve">(3)  </w:t>
        <w:br/>
        <w:t xml:space="preserve">𝐷𝐷𝐷𝐷𝑇𝑇𝑡𝑡𝐴𝐴𝑡𝑡𝐴𝐴𝐴𝐴&gt;𝐴𝐴𝐴𝐴𝐴𝐴𝐴𝐴𝐴𝐴𝐴𝐴𝐴𝐴𝐴𝐴𝐴𝐴𝐴𝐴 =𝐼𝐼𝐼𝐼𝐼𝐼𝐴𝐴𝐴𝐴𝐴𝐴𝐴𝐴𝐴𝐴𝐴𝐴𝐴𝐴𝐴𝐴𝐴𝐴𝐴𝐴/𝐼𝐼𝐼𝐼𝐼𝐼𝐶𝐶𝐴𝐴  </w:t>
        <w:br/>
        <w:t xml:space="preserve">8. The DR thus obtained has then been "corrected" to take into account the possibility that, in the face of a price increase at the points of sale subject to acquisition, consumers choose to shop through other sales channels that are not included in the product market (so-called "outside option," "OO"), in order to also consider the competitive pressure they exert on the target points of sale. In particular, for all product markets, the outside options are represented by specialized stores, by the local market, and by the online channel, to which, in the case of the convenience store market, the hypermarket format is also added.  </w:t>
        <w:br/>
        <w:t xml:space="preserve">9. This effectively amounts to applying a correction factor (1- OO) to the DR (see formula (4) below) in order to take into consideration how the competitive pressure in the CA is not solely attributable to that exerted by the points of sale located therein, to which a weight is assigned to measure their substitutability with respect to the centroid, but also to the alternative options present outside the market:  </w:t>
        <w:br/>
        <w:t xml:space="preserve">2 In other words, in the case of a CA where the target has other points of sale in addition to the centroid, the possibility that the latter capture a portion of the sales lost by the centroid is not considered (it is as if the other points of sale of the target also increased the price like the centroid).  </w:t>
        <w:br/>
        <w:t xml:space="preserve">3 This formula effectively corresponds to the widely used probabilistic logit choice model. Applied to the context in question, the value obtained can be interpreted as the probability of choosing a certain point of sale by a customer of the centroid, based on the characteristics of the centroid and those of the competing points of sale present in the relevant market.  </w:t>
        <w:br/>
        <w:t>4 These are specialized food stores, household and personal care product stores, etc.</w:t>
      </w:r>
    </w:p>
    <w:p>
      <w:r>
        <w:rPr>
          <w:b/>
        </w:rPr>
        <w:t>[Pages 25–27]</w:t>
      </w:r>
    </w:p>
    <w:p>
      <w:r>
        <w:t>BULLETIN NO. 34 OF AUGUST 24, 2020 27</w:t>
        <w:br/>
        <w:t>(4)</w:t>
        <w:br/>
        <w:t>𝐴𝐴𝑐𝑐𝐴𝐴𝐴𝐴𝐴𝐴𝐴𝐴𝐴𝐴𝑐𝑐 𝐼𝐼𝐼𝐼𝐶𝐶𝐴𝐴𝐴𝐴𝐴𝐴𝐴𝐴𝐴𝐴𝐴𝐴𝐴𝐴𝐴𝐴𝐴𝐴𝐴𝐴</w:t>
        <w:br/>
        <w:t>𝐷𝐷 𝐷𝐷 𝑇𝑇𝑡𝑡𝐴𝐴𝑡𝑡𝐴𝐴𝐴𝐴&gt;𝐴𝐴𝐴𝐴𝐴𝐴𝐴𝐴𝐴𝐴𝐴𝐴𝐴𝐴𝐴𝐴𝐴𝐴𝐴𝐴 = 𝐼𝐼𝐼𝐼𝐶𝐶𝐶𝐶𝐴𝐴 ∗(1−𝑂𝑂𝑂𝑂)</w:t>
        <w:br/>
        <w:t>10. Based on the estimated DR, an indication of the incentive to raise prices at the target points of sale can be obtained, based on the GUPPI (“Gross Upward Pricing Pressure Indicator”):</w:t>
        <w:br/>
        <w:t>(5)</w:t>
        <w:br/>
        <w:t>𝑝𝑝𝐴𝐴𝐴𝐴𝐴𝐴𝐴𝐴𝐴𝐴𝐴𝐴𝐴𝐴𝐴𝐴𝐴𝐴𝐴𝐴</w:t>
        <w:br/>
        <w:t>𝐺𝐺 𝐺𝐺𝐼𝐼𝐼𝐼𝐼𝐼𝑇𝑇𝑡𝑡𝐴𝐭𝑡𝐴𝐴𝐴𝐴&gt;𝐴𝐴𝐴𝐴𝐴𝐴𝐴𝐴𝐴𝐴𝐴𝐴𝐴𝐴𝐴𝐴𝐴𝐴𝐴𝐴 =𝐷𝐷𝐷𝐷𝑇𝑇𝑡𝑡𝐴𝐴𝑡𝑡𝐴𝐴𝐴𝐴&gt;𝐴𝐴𝐴𝐴𝐴𝐴𝐴𝐴𝐴𝐴𝐴𝐴𝐴𝐴𝐴𝐴𝐴𝐴𝐴𝐴∗𝑚𝑚𝐴𝐴𝐴𝐴𝐴𝐴𝐴𝐴𝐴𝐴𝐴𝐴𝐴𝐴𝐴𝐴𝐴𝐴𝐴𝐴∗ 𝑝𝑝𝑇𝑇𝑇𝑇𝐴𝐴𝑇𝑇𝐴𝐴𝐴𝐴</w:t>
        <w:br/>
        <w:t>Where: is the percentage margin (calculated with respect to variable costs) of the buyer, which in the case of 𝑚𝑚 is Carrefour; is the ratio of the average prices applied by the buyer 𝑝𝑝𝐴𝐴𝐴𝐴𝐴𝐴𝐴𝐴𝐴𝐴𝐴𝐴𝐴𝐴𝐴𝐴𝐴𝐴𝐴𝐴 (Carrefour) compared to those of the target 𝑡𝑡𝐴𝐴 (Auchan)5.</w:t>
        <w:br/>
        <w:t>Estimation of choice factors</w:t>
        <w:br/>
        <w:t>11. The survey allowed for the collection, inter alia, of useful information to quantify the different degree of substitutability of the points of sale with respect to their centroids.</w:t>
        <w:br/>
        <w:t>12. The estimation of the “type/size” factor ( is the result of processing the responses to questions 4 and 5 of the questionnaire6. In fact, the first question aimed to ascertain which type/size of point of sale the consumer would go to if all points of sale were located at the same distance (identification of the “first choice”), while the second aims to understand where the same consumer would go alternatively if the type/size of point of sale subject to the habitual choice (based on the response to question 4) was not available (identification of the “second choices”).</w:t>
        <w:br/>
        <w:t>13. Based on the responses obtained to question 5, the value of the “type/size” factor was quantified: i) assigning weights to the possible responses – “Very likely”, “Fairly likely”, “Unlikely”, “No” – equal to 1, 0.66, 0.33, and 0 respectively; ii) calculating a weighted average for the weight of each of these options, taking into account that the results of the survey assign a different weight to each respondent in relation to their statistical representativeness with respect to the entire population subject to survey (the so-called “expansion factor”7). Through the survey, the level of substitutability with respect to the centroid of competing points of sale that are of a different type/size from that of the latter was estimated, obtaining an indicator whose value is between 0 and 1. Conversely, competing points of sale of the same type/size as the centroid were assigned a weight of 1.</w:t>
        <w:br/>
        <w:t>5 The margin data was provided by the Parties. In particular, the average margin considered is that resulting from the simple average, at the isochrone level, of the gross margin of GS S.p.A. and Dì per Dì S.r.l. for the year 2018. The price ratio was estimated based on the relative prices Carrefour/Esselunga and Auchan/Esselunga, provided by Esselunga (Cf. doc. no. 18).</w:t>
        <w:br/>
        <w:t>6 Question 4 is formulated as follows: “If at the same distance from your home (or from the place where you usually start shopping) you had all the following types of points of sale available, which would you choose?”. Question 5 is formulated as follows: “If for any reason this type of point of sale was not available, which other points of sale would you turn to instead?”, where for each option - Hypermarket (5_A1); Supermarket (5_A2); Small supermarket, convenience store, mini-market, self-service (5_A3); discount (5_A4); specialized store (of food, household and personal care products...) (5_A5); local market or street vendor (5_A6), Online, online shopping with home delivery (5_A7) – the following response alternatives are indicated: 1. Very likely, 2. Fairly likely, 3. Unlikely, 4. Not at all likely, 5. I don’t know.</w:t>
        <w:br/>
        <w:t>7 Cf. doc. no. 54, annex “AGCM_Legenda_Variabili_Raw_Data.xlsx”, in the sheet named “Expansion Factor”, in which Nielsen states that the expansion factor “represents the weight assigned to give the respondent the correct proportion with respect to the total universe” and “is calculated while controlling for the main socio-demographic variables: gender, age, geographical area, number of family members, education, internet usage”.</w:t>
      </w:r>
    </w:p>
    <w:p>
      <w:r>
        <w:t>28 BULLETIN NO. 34 OF AUGUST 24, 2020</w:t>
        <w:br/>
        <w:t>Table A1. Values of the type/size choice factor</w:t>
        <w:br/>
        <w:t>Target PV (centroids) &gt; Competing PV Values</w:t>
        <w:br/>
        <w:t>Convenience stores &gt; Convenience stores 1</w:t>
        <w:br/>
        <w:t>Convenience stores &gt; Supermarket 0.76</w:t>
        <w:br/>
        <w:t>Convenience stores &gt; Discount 0.53</w:t>
        <w:br/>
        <w:t>14. Regarding the quantification of the “brand” factor, the responses to questions 13 and 148 were considered, where the first asks the survey respondent about the brand of the point of sale where they usually shop, and the second asks them to express a judgment on the degree of substitutability of other brands (compared to the one where they usually shop). The value of the factor in question was therefore calculated: i) assigning values to the possible responses – “Very substitutable”, “Fairly substitutable”, “Unlikely substitutable”, “Not at all substitutable” – equal to 1, 0.66, 0.33, and 0 respectively; ii) calculating a weighted average for the weight of the aforementioned options, taking into account the expansion factor assigned to each respondent.</w:t>
        <w:br/>
        <w:t>15. It was possible to derive the substitutability factor (with respect to the brands of the centroids of the Auchan group) directly from the survey for all the main brands present in the market9 (cf. table A2), while for the remaining ones, their degree of substitutability with respect to the brands of the centroids of the Auchan group was approximated with the overall average of the substitutability factor of the brands present in the survey. Given that a certain heterogeneity emerged at the geographical level in the substitutability ratio between the brands of the alternative points of sale to the centroid and the brand of the latter, a distinct value was considered for each macro-area10. In this specific case, the substitutability factors of the macro-area (North West, as it also includes the province of Milan) were used.</w:t>
        <w:br/>
        <w:t>Table A2. Values of the brand choice factor</w:t>
        <w:br/>
        <w:t>Auchan</w:t>
        <w:br/>
        <w:t>North West</w:t>
        <w:br/>
        <w:t>Auchan 1</w:t>
        <w:br/>
        <w:t>Carrefour 0.64</w:t>
        <w:br/>
        <w:t>Conad 0.56</w:t>
        <w:br/>
        <w:t>Coop/Ipercoop 0.57</w:t>
        <w:br/>
        <w:t>CRAI 0.36</w:t>
        <w:br/>
        <w:t>8 Question Q13 is formulated as follows: “Which brand do you usually shop at?”. Question Q14 is formulated as follows: “How do you rate the substitutability of the following brands with the one indicated in response to question 13?”.</w:t>
        <w:br/>
        <w:t>9 These include: Auchan, Carrefour, Conad, Coop/Ipercoop, CRAI, Decò, Despar/Eurospar/Interspar, Dpiù, Esselunga, Eurospin, Famila/Iperfamila, Iper, Lidl, MD, Pam/Panorama, Penny, Sidis/Ipersidis/Maxisidis, Sigma, Simply/Ipersimply, Tuodì.</w:t>
        <w:br/>
        <w:t>10 In particular, the survey allowed for the acquisition of information on the shopping behavior habits of GDO customers also based on their geographical location, considering a division of the Italian territory at the macro-regional level (North-West, North-East, Center, South).</w:t>
      </w:r>
    </w:p>
    <w:p>
      <w:r>
        <w:t>BULLETIN NO. 34 OF AUGUST 24, 2020 29</w:t>
        <w:br/>
        <w:t>Decò 0.29</w:t>
        <w:br/>
        <w:t>Despar/Eurospar/Interspar 0.35</w:t>
        <w:br/>
        <w:t>Dpiù 0.22</w:t>
        <w:br/>
        <w:t>Esselunga 0.58</w:t>
        <w:br/>
        <w:t>Eurospin 0.34</w:t>
        <w:br/>
        <w:t>Famila/Iperfamila 0.42</w:t>
        <w:br/>
        <w:t>Iper 0.46</w:t>
        <w:br/>
        <w:t>Lidl 0.43</w:t>
        <w:br/>
        <w:t>MD 0.29</w:t>
        <w:br/>
        <w:t>Pam/Panorama 0.43</w:t>
        <w:br/>
        <w:t>Penny 0.33</w:t>
        <w:br/>
        <w:t>Sidis/Ipersidis/</w:t>
        <w:br/>
        <w:t>0.25</w:t>
        <w:br/>
        <w:t>Maxisidis</w:t>
        <w:br/>
        <w:t>Sigma 0.23</w:t>
        <w:br/>
        <w:t>Simply/Ipersimply 0.46</w:t>
        <w:br/>
        <w:t>Tuodì 0.29</w:t>
        <w:br/>
        <w:t>AVERAGE 0.39</w:t>
        <w:br/>
        <w:t>16. The “distance” factor related to each point of sale from the centroid was instead identified in such a way that the competitive constraint of the points of sale decreases as the distance from the centroid increases11:</w:t>
        <w:br/>
        <w:t>𝑑𝑑𝑖𝑖𝑑𝑑𝑡𝑡𝑡𝑡𝑑𝑑𝑧𝑡𝑡 𝑑𝑑𝑡𝑡𝑑𝑑 𝐴𝐴𝑒𝑒𝑑𝑑𝑡𝑡𝑡𝑡𝑐𝑐𝑖𝑖𝑑𝑑𝑒𝑒</w:t>
        <w:br/>
        <w:t>𝑧𝑧𝐴𝐴 =�1− �</w:t>
        <w:br/>
        <w:t>𝑑𝑑𝑖𝑖𝑑𝑑𝑡𝑡𝑡𝑡𝑑𝑑𝑑𝑑𝑑𝑑𝑖𝑖𝑚𝑚𝑡𝑡</w:t>
        <w:br/>
        <w:t>17. The results of the survey finally allowed for the assignment of weights to the aforementioned choice factors, β and to be assigned to the choice factors “type of points of sale”, “brand” and “distance” which, as already mentioned, capture their relevance in the eyes of the consumer. From the responses to question 812, it emerged that the most important factor is distance (Proximity to home/work), as this choice factor received an average score of 4.12 – on a scale of values ranging from 1</w:t>
        <w:br/>
        <w:t>11 In this specification, unlike the quadratic formula used by the CMA in Ladbrokes/Coral (2016), a linear formula was chosen, as the relationship between the competitive pressure index and distance is more in line with the empirical evidence related to the English market contained in the recent decision Sainsbury/Asda (2019).</w:t>
        <w:br/>
        <w:t>12 Question 8 is formulated as follows: “How important are the following factors in choosing the point of sale where you usually shop?”, where for each option - Proximity to home/work (8_A1), Belonging to a certain brand (e.g. Auchan, Carrefour, Conad, Coop, Eurospin, Lidl, etc.) (8_A2), Type of point of sale (e.g. hypermarket, supermarket, discount, specialized store, online ...) (8_A3) - a score from 1 (minimum value) to 5 (maximum value) had to be assigned.</w:t>
      </w:r>
    </w:p>
    <w:p>
      <w:r>
        <w:rPr>
          <w:b/>
        </w:rPr>
        <w:t>[Pages 28–30]</w:t>
      </w:r>
    </w:p>
    <w:p>
      <w:r>
        <w:t>30 BULLETIN NO. 34 OF AUGUST 24, 2020</w:t>
        <w:br/>
        <w:t>(minimum value) and 5 (maximum value) – while the “type/size” (type of point of sale) achieved an average score of 3.68; the “brand” factor has a slightly lower value, equal to 3.49.</w:t>
        <w:br/>
        <w:t>Table A3. Values of the weights of the choice factors type/size, distance, and brand</w:t>
        <w:br/>
        <w:t>Weights of choice factors Values</w:t>
        <w:br/>
        <w:t>3.68</w:t>
        <w:br/>
        <w:t>Β 3.49</w:t>
        <w:br/>
        <w:t>𝛼𝛼</w:t>
        <w:br/>
        <w:t>4.12</w:t>
        <w:br/>
        <w:t>𝛾𝛾</w:t>
        <w:br/>
        <w:t>Estimation of the outside option</w:t>
        <w:br/>
        <w:t>18. In order to estimate the weight of alternative options to those present in the product market, and thus to adjust the DR accordingly, the responses to the survey provided by consumers to questions 4 and 5 were used. From a methodological point of view, the weight of the outside options was calculated as the frequency with which consumers – who, based on the responses to question 4, would shop at hypermarkets, supermarkets, and convenience stores – would very likely turn to at least one of the alternative channels (responses to question 5), given that they would very likely not move towards any of the options present in the market.</w:t>
        <w:br/>
        <w:t>19. Since a certain differentiation of the weight of the outside option emerged at the geographical level, a national average was not considered, but the value of the macro area North West was applied.</w:t>
        <w:br/>
        <w:t>13 See above.</w:t>
      </w:r>
    </w:p>
    <w:p>
      <w:r>
        <w:t>BULLETIN NO. 34 OF AUGUST 24, 2020 31</w:t>
        <w:br/>
        <w:t>Table A4. Values of the outside options of the markets</w:t>
        <w:br/>
        <w:t>Product market Outside option Values</w:t>
        <w:br/>
        <w:t>Specialized stores, market</w:t>
        <w:br/>
        <w:t>Convenience store market, online channel, North-West 13.3%</w:t>
        <w:br/>
        <w:t>hypermarkets</w:t>
      </w:r>
    </w:p>
    <w:p>
      <w:r>
        <w:t>32 BULLETIN NO. 34 OF AUGUST 24, 2020</w:t>
        <w:br/>
        <w:t>C12297 - BPER/BRANCH OF UBI</w:t>
        <w:br/>
        <w:t>Provision No. 28327</w:t>
        <w:br/>
        <w:t>THE ANTITRUST AUTHORITY</w:t>
        <w:br/>
        <w:t>IN ITS MEETING of August 4, 2020;</w:t>
        <w:br/>
        <w:t>HEARD the Rapporteur Dr. Gabriella Muscolo;</w:t>
        <w:br/>
        <w:t>HAVING REGARD TO Regulation (EC) No. 139/2004;</w:t>
        <w:br/>
        <w:t>HAVING REGARD TO Law No. 287 of October 10, 1990;</w:t>
        <w:br/>
        <w:t>HAVING REGARD TO Presidential Decree No. 217 of April 30, 1998;</w:t>
        <w:br/>
        <w:t>HAVING REGARD TO the communication from BPER Banca S.p.A., received on May 22, 2020;</w:t>
        <w:br/>
        <w:t>HAVING REGARD TO the request for information sent on June 16, 2020, with consequent interruption of</w:t>
        <w:br/>
        <w:t>the deadlines pursuant to Article 5, paragraph 3, of Presidential Decree No. 217 of April 30, 1998;</w:t>
        <w:br/>
        <w:t>HAVING REGARD TO the subsequent communication from BPER Banca S.p.A. received on June 30, 2020;</w:t>
        <w:br/>
        <w:t>HAVING REGARD TO the opinion of IVASS, received on July 28, 2020;</w:t>
        <w:br/>
        <w:t>HAVING REGARD TO the documentation on file;</w:t>
        <w:br/>
        <w:t>CONSIDERED the following:</w:t>
        <w:br/>
        <w:t>I. THE PARTIES</w:t>
        <w:br/>
        <w:t>1. BPER Banca S.p.A. (hereinafter also “BPER”) is a company listed on the Milan Stock Exchange, at the head of the eponymous banking group active in the provision of banking, financial, and insurance services and products, with widespread shareholding.1 BPER primarily operates in the traditional banking sector (savings collection and credit granting), as well as in the distribution of insurance products (life and non-life), and, to a lesser extent, in investment banking, in the asset management sector (through mutual funds, management of individual assets, and complementary pension products), in the market of administered savings, in consumer credit, in factoring and leasing, and in payment services. The BPER group is present in almost all Italian regions with approximately 1,350 branches.</w:t>
        <w:br/>
        <w:t>The revenue generated, entirely in Italy, by BPER in 2019, pursuant to Article 16, paragraph 2, of Law No. 287/90, was approximately [7-8]* billion euros.</w:t>
        <w:br/>
        <w:t>2. The subject of acquisition is a business unit consisting of [approximately 500] branches, the vast majority of which currently operate as branches of the UBI Group – Unione Banche Italiane S.p.A. (hereinafter also “UBI Business Unit”).</w:t>
        <w:br/>
        <w:t>In particular, the UBI Business Unit consists of the set of contracts with customers, employment relationships, and lease contracts pertaining to each branch and is active in the traditional banking sector (savings collection and credit granting), as well as in the distribution of insurance products (life and non-life), in the asset management sector (through mutual funds of</w:t>
        <w:br/>
        <w:t>1 The main shareholders of BPER are: (i) Fondazione di Sardegna (approximately 10%); (ii) Gruppo Unipol (approximately 19%); and (iii) Dimensional Fund Advisors LP (4.72%). The remaining part of the share capital is widespread, and there are no other shareholders holding shares of capital in excess of 3% of the same.</w:t>
        <w:br/>
        <w:t>* In this version, some data are omitted, as it was deemed that there were elements of confidentiality or secrecy of the information.</w:t>
      </w:r>
    </w:p>
    <w:p>
      <w:r>
        <w:rPr>
          <w:b/>
        </w:rPr>
        <w:t>[Pages 31–33]</w:t>
      </w:r>
    </w:p>
    <w:p>
      <w:r>
        <w:t>BULLETIN NO. 34 OF AUGUST 24, 2020 33</w:t>
        <w:br/>
        <w:t>investment, management of individual assets and complementary pension products), in the market of administered savings, in consumer credit and payment services. The revenue generated by the UBI Business Unit has been estimated, in accordance with Article 16, paragraph 2, of Law No. 287/90, to be over [2-3] billion euros.</w:t>
      </w:r>
    </w:p>
    <w:p>
      <w:r>
        <w:t>II. THE OPERATION</w:t>
        <w:br/>
        <w:t>3. The operation under examination consists of the acquisition, by BPER, of exclusive control of the UBI Business Unit, as described above. This operation is part of the Public Exchange Offer promoted by Intesa Sanpaolo S.p.A. (hereinafter also "ISP") on the share capital of UBI - Unione di Banche Italiane S.p.A. (hereinafter also "UBI"). In particular, the transfer of the aforementioned branches is carried out by ISP in order to implement part of the measures imposed by the Authority with the provision of July 14, 2020, of conditional authorization of the concentration operation Intesa Sanpaolo S.p.A./UBI-Unione di Banche Italiane S.p.A. In particular, BPER has entered into a contract with ISP, last amended on June 15, 2020, aimed at the purchase of [approximately 500] branches. The operation will enhance BPER's network both for activities carried out in the banking sector (collection and loans) and for the placement of administered savings, managed savings, and insurance products.</w:t>
      </w:r>
    </w:p>
    <w:p>
      <w:r>
        <w:t>4. According to the statements made by the Parties, the operation also includes the following ancillary restrictions: i) ISP undertakes to avoid that, with respect to the UBI Business Unit, activities of migration towards the operational structures of the ISP group or rebranding of the branches with names referring to companies of the ISP Group are carried out; ii) BPER undertakes not to use the name, corporate name, sign, trademarks, symbols, domain names, and other distinguishing signs of UBI or related to it and to ensure that any sign or symbol of the latter is removed from the premises of each transferred branch within no later than 90 working days following the date of transfer, without prejudice to BPER's obligation to display, from the date of transfer, appropriate signs to inform customers of the change in ownership of the branch itself.</w:t>
      </w:r>
    </w:p>
    <w:p>
      <w:r>
        <w:t>III. QUALIFICATION OF THE OPERATION</w:t>
        <w:br/>
        <w:t>5. The communicated operation, as it involves the acquisition of control of a part of a business, constitutes a concentration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amended by Article 1, paragraph 177, of Law No. 124 of August 4, 2017, in force since August 29, 2017), as the total revenue, calculated pursuant to Article 16, paragraph 2, of Law No. 287/90, generated in the last financial year at the national level by the group of companies involved was over 504 million euros, and the revenue generated individually, at the national level, by at least two of them is over 31 million euros. Furthermore, the operation does not have a community dimension pursuant to Article 1 of the aforementioned EC Regulation No. 139/2004, as each of the Parties generates more than two-thirds of its total revenue in the EU within a single EU Member State (Italy).</w:t>
      </w:r>
    </w:p>
    <w:p>
      <w:r>
        <w:t>6. Regarding the ancillary restrictions described above, it should be noted that the one under i) falls among the measures imposed by the Authority on ISP with the provision of July 14, 2020, of conditional authorization of the ISP/UBI concentration operation and is therefore necessary for the realization of this operation; the one under ii), does not constitute a restriction directly connected and necessary for the realization of the operation, as it is imposed on the buyer and does not serve the purpose of protecting goodwill.</w:t>
      </w:r>
    </w:p>
    <w:p>
      <w:r>
        <w:t>IV. THE OPINION OF IVASS</w:t>
        <w:br/>
        <w:t>7. In an opinion received on July 28, 2020, IVASS did not identify any elements in the operation capable of altering the competitive balance of the insurance distribution markets in the life and non-life sectors.</w:t>
      </w:r>
    </w:p>
    <w:p>
      <w:r>
        <w:t>V. EVALUATION</w:t>
        <w:br/>
        <w:t>8. The operation under examination affects a plurality of markets included in the traditional banking sectors, asset management, administered savings, insurance, consumer credit, payment instruments, and insurance.</w:t>
      </w:r>
    </w:p>
    <w:p>
      <w:r>
        <w:t>1) Traditional banking activity</w:t>
        <w:br/>
        <w:t>a) Banking collection market</w:t>
        <w:br/>
        <w:t>9. The banking collection market identifies the entirety of direct banking collection from ordinary customers through free and fixed-term current accounts, savings deposits, savings bonds, as well as certificates of deposit. In this definition of the collection market, postal collection is not included, as based on analyses conducted in the past by the Authority, it has emerged that for consumers the services provided by Poste Italiane in the collection sector are not fully substitutable with those provided by traditional banks, although it should be considered that they nonetheless exert some form of competitive pressure2.</w:t>
      </w:r>
    </w:p>
    <w:p>
      <w:r>
        <w:t>10. Considering the low mobility on the demand side, the banking collection market has local territorial relevance, which, as a rule, the Authority has deemed to correspond in the first approximation to provincial boundaries, conducting, where the preliminary screening carried out on a provincial basis deemed it appropriate, an analysis also at the level of catchment areas3.</w:t>
      </w:r>
    </w:p>
    <w:p>
      <w:r>
        <w:t>11. With specific regard to this market, but also with reference to other banking markets, the information acquired during the most recent concentration investigations conducted by the Authority in the banking sector4 has highlighted that online banking activity is not exactly attributable to the market in question. However, competitive pressure has been recorded on traditional banking operators from online banks, as a non-negligible portion of the population – especially among younger and higher-educated/income groups – would turn to the latter in response to a generalized increase in the prices of traditional current accounts.</w:t>
      </w:r>
    </w:p>
    <w:p>
      <w:r>
        <w:t>12. Furthermore, it is noted that, according to the Authority's practice5, market shares of collection and loans are calculated using data collected based on the "branch location" criterion, which appears to appropriately represent the ability of operators to exert their market power over demand; this is particularly true with respect to banking markets with a local dimension (markets for collection, loans to consumer households, and loans to producing households and small businesses). In fact, as already established by the Authority, from the consumer's perspective, also considering the willingness and/or necessity for users to maintain a relationship with the branch, competition among banks occurs at the local level, in terms of the ability to attract customers to their branches located in the territory6.</w:t>
      </w:r>
    </w:p>
    <w:p>
      <w:r>
        <w:t>13. In this case, the Parties will hold a post-merger position in the collection market of less than 25% in most Provinces, except for the Province of Varese (where the share will remain in any case below 30% and, in particular, equal to approximately [25-30%]7) and the Province of Crotone (with a share equal to [35-40%]). With specific regard to this latter province, it should be noted that the contribution of the UBI Business Unit is only about [1-5%] and [omitted]. Additionally, it should be noted that in the Province of Crotone there are qualified competitors such as, for example, BNL (with a share of approximately [20-25%]) and ICCREA (with a share of approximately [10-15%]), as well as ISP (with a share of approximately [20-25%]).</w:t>
      </w:r>
    </w:p>
    <w:p>
      <w:r>
        <w:t>14. Considering the above, it is believed that the operation is not likely to produce obstructive effects on competitive dynamics in the collection markets.</w:t>
      </w:r>
    </w:p>
    <w:p>
      <w:r>
        <w:t>b) Loan markets</w:t>
        <w:br/>
        <w:t>15. Within the loan markets, short-term, medium-term, and long-term credit are included, in various and possible technical forms. From the demand perspective, loans can be distinguished based on the type of subjects for whom they are made, namely: (i) consumer households; (ii) producing households-small businesses; (iii) medium and large enterprises; and (iv) public entities. These different categories of subjects, in fact, express different financing needs, for which banks offer diversified products/services, and for these reasons, constitute equally relevant product markets.</w:t>
      </w:r>
    </w:p>
    <w:p>
      <w:r>
        <w:t>16. The different forms of expressed demand also seem to be characterized by differences in terms of mobility and, therefore, willingness to substitute the offer by seeking other loans in more or less extensive geographical areas. In particular, the loan markets to households and small businesses present a local territorial dimension, which in the Authority's practice has been evaluated in the first approximation at the provincial level, conducting, where appropriate and in analogy with the banking collection, also an analysis at the level of catchment area. Conversely, the loan markets to medium and large enterprises appear to have a regional dimension while the market for loans to public entities appears to have a predominantly national dimension. In the case at hand, the Parties operate in all the listed loan markets.</w:t>
      </w:r>
    </w:p>
    <w:p>
      <w:r>
        <w:t>Loans to consumer households and loans to producing households-small businesses</w:t>
        <w:br/>
        <w:t xml:space="preserve">17. In the loan markets to consumer households and to producing households-small businesses, in most of the affected Provinces, the post-merger entity will hold shares below 25%8, except for the Province of Crotone, both in the market for loans to consumer households (with a share of approximately [25-30%]) and in the market for loans to producing households-small businesses (with a share of approximately [30-35%]), and the Province of </w:t>
        <w:br/>
        <w:t>6 See case C12138 Cassa Centrale Raiffeisen dell'Alto Adige/Gruppo Bancario Cooperativo delle Casse Raiffeisen, in Bulletin 22/2018 where the results of an ad hoc survey on banking markets, conducted by the Authority and administered to a representative sample of consumers by a market research company, are also reported.</w:t>
        <w:br/>
        <w:t>7 Estimates of AGCM based on Bank of Italy data (2019).</w:t>
        <w:br/>
        <w:t>8 Estimates of AGCM based on Bank of Italy data (2019).</w:t>
      </w:r>
    </w:p>
    <w:p>
      <w:r>
        <w:rPr>
          <w:b/>
        </w:rPr>
        <w:t>[Pages 34–36]</w:t>
      </w:r>
    </w:p>
    <w:p>
      <w:r>
        <w:t>36 BULLETIN NO. 34 OF AUGUST 24, 2020</w:t>
        <w:br/>
        <w:t xml:space="preserve">Cosenza for the market of loans to households producing small businesses (with a share of about [25-30%]). In none of the Provinces will the post-merger share exceed 35%.  </w:t>
        <w:br/>
        <w:t xml:space="preserve">18. Therefore, considering the limited post-merger market share that the Parties will hold, as well as the presence of qualified competitors, the operation in question does not appear to raise competitive concerns in the markets of loans to consumer households and loans to small producing businesses.  </w:t>
        <w:br/>
        <w:t xml:space="preserve">Loans to medium-large enterprises  </w:t>
        <w:br/>
        <w:t xml:space="preserve">19. As previously mentioned, the market for loans to medium-large enterprises has a territorial dimension, initially assessed at the regional level, given the greater mobility of such entities compared to the previous segments of demand. This definition of the geographical dimension has also been confirmed by recent in-depth analyses conducted by the Authority9, which reiterated that there is a market practice, almost unique, of not adopting a national pricing policy, but recognizing wide possibilities for exceptions, within the national territory, at least at the regional level10.  </w:t>
        <w:br/>
        <w:t xml:space="preserve">20. In the markets thus defined, the Parties will hold post-merger shares of less than 20% in all the regions where they operate; in particular, the joint shares will exceed 15% only in the regions of Calabria (approximately [15-20%]), Abruzzo (approximately [15-20%]), and Molise (approximately [15-20%])11.  </w:t>
        <w:br/>
        <w:t xml:space="preserve">21. Due to the limited market share held by the Parties as a result of this operation, and considering the presence of numerous and qualified competitors, there do not appear to be the conditions to believe that, in the market for loans to medium-large enterprises, the operation could raise competitive concerns.  </w:t>
        <w:br/>
        <w:t xml:space="preserve">Loans to public entities  </w:t>
        <w:br/>
        <w:t xml:space="preserve">22. In relation to the market for loans to public entities, in light of the recent in-depth analyses conducted by the Authority12, it is possible to consider that this market has a predominantly national geographical scope, provided that, given the heterogeneity of public entities (by nature and size), in certain specific circumstances a more restricted identification of the geographical area concerned may be required.  </w:t>
        <w:br/>
        <w:t xml:space="preserve">23. Furthermore, during these analyses, it was verified that Cassa Depositi e Prestiti S.p.A. (hereinafter also "CDP") has assumed an increasing role both in cash/treasury services13 and in medium-long term financing, which represent the two forms of loans traditionally associated with the financing demand of public entities14.  </w:t>
        <w:br/>
        <w:t xml:space="preserve">9 See, lastly, procedure C12231 - BPER Banca/Unipol Banca, in Boll. 29/2019 and procedure C12287 - Intesa Sanpaolo/UBI Banca – Unione di Banche Italiane, in Boll. 29/2020.  </w:t>
        <w:br/>
        <w:t xml:space="preserve">10 Similarly, in the definition and evaluation of this market, the validity of the so-called "branch localization" criterion for calculating the amounts granted by banks to medium and large enterprises has been confirmed.  </w:t>
        <w:br/>
        <w:t xml:space="preserve">11 Data provided by BPER.  </w:t>
        <w:br/>
        <w:t xml:space="preserve">12 See, procedure C12231 - BPER Banca/Unipol Banca, in Boll. 29/2019 and procedure C12287 - Intesa Sanpaolo/UBI Banca – Unione di Banche Italiane, in Boll. 29/2020.  </w:t>
        <w:br/>
        <w:t xml:space="preserve">13 In particular, the typical awarding methods of treasury services, through tender, lead to the conclusion that this segment of the loan market tends to have a national geographical scope. These considerations regarding the market extension also apply to smaller local entities, as it has emerged from the conducted analyses that they can directly approach CDP, which operates based on transparent and homogeneous conditions.  </w:t>
        <w:br/>
        <w:t xml:space="preserve">14 Regarding medium-long term financing services, for several years, changes to the regulatory framework governing the financing of public entities and the crisis of the banking system have contributed to an overall reduction in the flows of financing granted by the banking system to public entities; at the same time, CDP has assumed an increasing role in the provision of financing, thus making its economic conditions an increasingly relevant benchmark for the market, which is also subject to specific regulatory limits. The banking system and CDP operate, in this area, in compliance with common rules for both credit channels, including regarding the cases and methods of resorting to indebtedness.  </w:t>
        <w:br/>
        <w:t>15 See, in this regard, procedure C8660 – Unicredito Italiano/Capitalia, in Boll. 33/2007.</w:t>
      </w:r>
    </w:p>
    <w:p>
      <w:r>
        <w:t xml:space="preserve">38 BULLETIN NO. 34 OF AUGUST 24, 2020  </w:t>
        <w:br/>
        <w:t xml:space="preserve">24. Given this, in order to integrate CDP's role in the analysis of the market positioning of operators active in loans to public entities, due to the fact that CDP's only physical branch is located in Lazio, the criterion of "counterparty residence" has been adopted. Since, in this case, the joint market shares of the Parties at the national level, also considering CDP's role, are positioned at a value [below 1%], in this market the operation does not appear to raise competitive concerns. Even if CDP were not considered an actual competitor of traditional banking operators (thus applying the "branch localization" criterion), it is noted that the national positioning of the post-merger entity would be approximately [1-5%]. Therefore, with regard to this market, the operation does not appear to create significant obstacles to competition.  </w:t>
        <w:br/>
        <w:t xml:space="preserve">2) Market of administered savings  </w:t>
        <w:br/>
        <w:t xml:space="preserve">25. The services of administered savings include the activity of collecting, transmitting, and negotiating orders in financial instruments on behalf of an investor who has made the assignment of individual orders to the same intermediaries. The provision of services related to the administered savings market is closely linked to traditional banking activity and, in particular, to the banking collection market, considering the high correlation between holding a current account and a securities account at the same banking institution15. The administered savings market has a provincial dimension, given the limited willingness to move on the part of the final clientele.  </w:t>
        <w:br/>
        <w:t xml:space="preserve">26. Given the close connection that exists between administered savings and collection, as highlighted above, it can be argued that if an entity requires administered savings services and therefore needs to open a securities account, it will turn to the bank where it already has a current account.  </w:t>
        <w:br/>
        <w:t xml:space="preserve">27. In this market, the Parties are active in various Provinces, with a market share that, based on the information provided, is comparable to that held in the collection markets. For this reason, and given the close connection that exists between administered savings and collection, the considerations made above regarding the relevant collection markets also apply to these markets.  </w:t>
        <w:br/>
        <w:t xml:space="preserve">3) Asset management sector  </w:t>
        <w:br/>
        <w:t xml:space="preserve">28. Within the asset management sector, various activities are included, corresponding to distinct product markets and related to: (i) management of real estate mutual funds; (ii) individual management of financial assets (GPM) and in funds (GPF); and (iii) management of complementary pension products.  </w:t>
        <w:br/>
        <w:t xml:space="preserve">29. Furthermore, the services offered within the asset management sector typically have an upstream management phase and a downstream distribution phase, each of which leads to the identification of distinct markets along the supply chain, both in geographical and product terms. The production phase, according to the Authority's constant practice, has a national geographical dimension, being normally centralized and homogeneous throughout the Italian territory. Regarding the distribution market, however, considering the reduced mobility of demand, the geographical dimension has been defined by the Authority, in the first approximation, at the provincial level; with reference to the pension sector, there are differences between contractual pension funds, open pension funds, and individual pension plans (PIP) that may influence the definition of the geographical market, which may have a broader, predominantly national scope, but, also depending on the relevance of individual memberships, may require an extended screening to smaller local areas16.  </w:t>
        <w:br/>
        <w:t xml:space="preserve">30. This commodity definition has also been confirmed by recent in-depth analyses conducted by the Authority17, which reiterated that there are still differences in the distribution methods and distribution channels of the products that fall within asset management such as to confirm the existence of different product markets18.  </w:t>
        <w:br/>
        <w:t xml:space="preserve">31. In this case, based on the information provided by the Parties, the operation will result in horizontal overlaps only in the distribution phase, since the Business Branch subject to acquisition is not active in the production of any of the products that fall within the asset management sector.  </w:t>
        <w:br/>
        <w:t xml:space="preserve">32. In particular, regarding the management of mutual funds, it is stated that a fund is an autonomous asset, divided into shares, belonging to a plurality of participants, managed collectively. As mentioned, the activity related to mutual funds presents two phases that identify two distinct markets: production and distribution; however, in this case, only the distribution phase is relevant since the Business Branch is not active in the production phase.  </w:t>
        <w:br/>
        <w:t xml:space="preserve">33. Conversely, individual management of financial assets (GPM) is an activity carried out by banks, investment firms, and asset management companies, based on a mandate given by the client. Compared to collective management, each client's assets remain distinct from those of others. Asset management in funds (GPF) also has the peculiarity that the client's financial resources are invested in shares of mutual funds. GPFs are assimilated to collective management even though, from a contractual point of view, they have an element in common with individual management, as the client can request the manager to modify the composition of the portfolio, always choosing from shares of mutual funds.  </w:t>
        <w:br/>
        <w:t xml:space="preserve">34. Finally, complementary pension schemes aim to meet the income needs of workers during their retirement phase. This purpose is pursued in Italy through a pension structure based on two different intervention modalities: (i) mandatory pension; (ii) complementary pension, realized through the use of contractual pension funds (or closed), open pension funds, and individual pension plans (PIP). As mentioned, there are differences between contractual pension funds, open pension funds, and PIP that may influence the definition of the geographical market. In particular, contractual pension funds are established for individual companies or groups of companies, for categories of workers, sometimes for territorial grouping; they are subject to a national collective agreement or company agreements or regulations and are managed, based on contributions, by asset management companies, insurance companies, or banks. Open pension funds, on the other hand, are established and managed directly by banks, insurance companies, and asset management companies and can be either collectively subscribed (like contractual funds) or individual. Finally, PIPs are individual subscription complementary pension contracts.  </w:t>
        <w:br/>
        <w:t xml:space="preserve">16 See, inter alia, procedure C10053 - Società Cattolica di Assicurazione/BCC Vita, in Boll. 24/2009.  </w:t>
        <w:br/>
        <w:t xml:space="preserve">17 See, lastly, procedure C12231 - BPER Banca/Unipol Banca, in Boll. 29/2019 and procedure C12287 - Intesa Sanpaolo/UBI Banca – Unione di Banche Italiane, in Boll. 29/2020.  </w:t>
        <w:br/>
        <w:t>18 Similarly, in the definition and evaluation of this market, the validity of the so-called "branch localization" criterion for calculating the amounts granted by banks to medium and large enterprises has been confirmed.</w:t>
      </w:r>
    </w:p>
    <w:p>
      <w:r>
        <w:rPr>
          <w:b/>
        </w:rPr>
        <w:t>[Pages 37–39]</w:t>
      </w:r>
    </w:p>
    <w:p>
      <w:r>
        <w:t>BULLETIN NO. 34 OF AUGUST 24, 2020 39</w:t>
      </w:r>
    </w:p>
    <w:p>
      <w:r>
        <w:t>35. In this context, the Parties are active, only at the distribution level, in several Provinces, with a market share that, based on the information provided, is comparable to that held in the collection markets. For this reason, and given the close connection that exists between the asset management markets and the collection, which constitutes a fundamental reference driver for operators, in order to appreciate the positioning of the Parties, it is possible to use as a proxy the shares related to the collection markets, to whose evaluations reference is made.</w:t>
      </w:r>
    </w:p>
    <w:p>
      <w:r>
        <w:t>4) Other credit markets and payment systems</w:t>
        <w:br/>
        <w:t>a) Consumer credit market</w:t>
        <w:br/>
        <w:t>36. The operation also concerns the consumer credit sector, which involves the granting of credit in the form of deferred payment, financing, or other similar forms of facilitation in favor of a natural person acting for purposes unrelated to the entrepreneurial or professional activity carried out.</w:t>
      </w:r>
    </w:p>
    <w:p>
      <w:r>
        <w:t>37. According to the established orientation of the Authority, within the consumer credit sector it is possible to distinguish two types of financing: (i) direct credit, granted in the form of personal loans without destination constraints, and (ii) targeted credit, that is, intended for the purchase of specific goods (motor vehicles, motorcycles, furniture, etc.). These two types of consumer credit present substantial differences in terms of service provided, methods of placement of the financing and related commercial conditions, and the relationship between supply and demand; therefore, as already stated by the Authority, they can be considered as two segments, if not exactly as two distinct markets, due to the service provided and the related commercial conditions19.</w:t>
      </w:r>
    </w:p>
    <w:p>
      <w:r>
        <w:t>38. Regarding direct consumer credit, a peculiar element is the direct contact between the lender and the consumer, which gives rise to a bilateral relationship. This includes financing mainly carried out through personal loans, via revolving credit cards (that is, cards usable at all affiliated stores, associated with a line of credit that allows payments to be made in installments based on the customer's commitment to repay the amounts based on an agreed minimum monthly installment), as well as those through the assignment of one-fifth of the salary. From a geographical perspective, the size of the direct consumer credit market is local and is typically confined to regional boundaries.</w:t>
      </w:r>
    </w:p>
    <w:p>
      <w:r>
        <w:t>39. Targeted consumer credit, on the other hand, is characterized by the granting of financing based on a trilateral relationship between the bank (or specialized financial company), the customer, and the affiliated dealer. Targeted credit includes financing for the purchase of various types of goods and/or services and is conventionally distinguished between credit aimed at the purchase of motor vehicles and credit aimed at the purchase of other goods or services. The geographical dimension of the targeted consumer credit market is national, considering the homogeneity of the characteristics of production and marketing of the services in question throughout the national territory.</w:t>
      </w:r>
    </w:p>
    <w:p>
      <w:r>
        <w:t>40. In this specific case, it should be noted that, based on the information transmitted, the Business Branch operates solely in direct consumer credit and, therefore, the effects of the operation will be examined only in this market. In particular, in the regional markets where there is overlap, the Parties will hold a post-merger share always below 15%.</w:t>
      </w:r>
    </w:p>
    <w:p>
      <w:r>
        <w:t>41. Ultimately, given the positioning that the Parties will hold and also due to the presence of numerous and significant competitors, it is believed that the operation does not raise concerns in the consumer credit market under the concentration control regulations.</w:t>
      </w:r>
    </w:p>
    <w:p>
      <w:r>
        <w:t>19 See, among others, proceeding C8660 – Unicredito Italiano/Capitalia, in Bull. 33/2007; proceeding C10702 – ICCREA Holding/Soluzio Consumer Credit, in Bull. 38/2010; proceeding C10854 – Société des Paiements Pass/Carrefour Servizi Finanziari, in Bull. 49/2010; proceeding C12063 - Santander Consumer Bank/Business Branch of Accedo, in Bull. 29/2016.</w:t>
      </w:r>
    </w:p>
    <w:p>
      <w:r>
        <w:t>40 BULLETIN NO. 34 OF AUGUST 24, 2020</w:t>
      </w:r>
    </w:p>
    <w:p>
      <w:r>
        <w:t>b) Payment services markets</w:t>
        <w:br/>
        <w:t>42. Another sector affected by the operation is that of payment instruments via cards. Within the payment card sector, the Authority has previously identified three distinct markets: the market for card issuance (i.e., card issuing), that of merchant acquiring, and that of operational and IT processing (i.e., processing). Within these markets, the Authority has distinguished between credit cards and debit cards, each identified as a different relevant market.</w:t>
      </w:r>
    </w:p>
    <w:p>
      <w:r>
        <w:t>43. The issuance activity can be carried out either by the same bank that issues the cards or by a third party with which the issuing bank has a commercial agreement. In the latter case, the bank only performs the placement activity with the end customers of the credit cards. The same applies to the activity of merchant acquiring. The provision of card issuance and management services and merchant acquiring involves the payment of costs among operators, which are generally passed on to the end customers.</w:t>
      </w:r>
    </w:p>
    <w:p>
      <w:r>
        <w:t>44. With specific regard to debit cards, it is noted that they fall within payment systems, with the peculiarity of having solely the function of payment, among other things with a usually very limited spending limit. The debit to the current account typically coincides with the date on which the payment transaction occurred, ensuring future payments.</w:t>
      </w:r>
    </w:p>
    <w:p>
      <w:r>
        <w:t>45. The geographical scope can be defined at least at the national level due to the homogeneity of the offering conditions of the described services across the national territory.</w:t>
      </w:r>
    </w:p>
    <w:p>
      <w:r>
        <w:t>46. On this point, it is noted that, due to the market positioning of the parties, the assessment of the present operation does not appear to raise antitrust concerns. In fact, regarding both credit cards and debit cards, estimates provided by BPER indicate that the post-merger entity will have a market share below [5-10%].</w:t>
      </w:r>
    </w:p>
    <w:p>
      <w:r>
        <w:t>47. Considering the small post-merger market shares, as well as the presence of numerous and qualified competitors, it is not believed that the operation is likely to significantly impact the competitive dynamics of the affected markets.</w:t>
      </w:r>
    </w:p>
    <w:p>
      <w:r>
        <w:t>5) Insurance markets</w:t>
        <w:br/>
        <w:t>48. With reference to the life and non-life insurance markets, according to the established orientation of the Authority, each branch of the life and non-life insurance sectors represents a distinct market. This distinction regarding the individual insurance branches is primarily based on the object of the service rendered, the risks assumed, and the insurance coverage objective expressed by the demand for each individual branch. Furthermore, the non-life and life insurance markets are distinct, each between the production phase, which has a national geographical dimension, and the distribution phase, which is characterized by its local dimension, considered in the first approximation provincial according to the Authority's practice.</w:t>
      </w:r>
    </w:p>
    <w:p>
      <w:r>
        <w:t>49. Both BPER and the UBI Business Branch are active solely in the distribution phase of insurance products, both in the life sector and in the non-life sector.</w:t>
      </w:r>
    </w:p>
    <w:p>
      <w:r>
        <w:t>50. In this regard, it is observed that the post-merger entity will hold a share greater than 15%, both in the distribution of life branches and non-life branches, in the province of Varese alone, with a joint share of approximately [15-20%] and [20-25%]20, respectively. Therefore, given the joint market shares, it is believed that the operation is not likely to significantly alter the competitive structure in any of the markets that fall within the insurance sector.</w:t>
      </w:r>
    </w:p>
    <w:p>
      <w:r>
        <w:t>20 Data provided by BPER.</w:t>
      </w:r>
    </w:p>
    <w:p>
      <w:r>
        <w:t>BULLETIN NO. 34 OF AUGUST 24, 2020 41</w:t>
      </w:r>
    </w:p>
    <w:p>
      <w:r>
        <w:t>51. In light of the above considerations, given the absence of substantial horizontal overlaps, as well as possible vertical competitive concerns, the operation does not appear to cause significant alterations in the competitive structure of the affected markets.</w:t>
      </w:r>
    </w:p>
    <w:p>
      <w:r>
        <w:t>CONSIDERING, therefore, that the operation under examination does not result, pursuant to Article 6, paragraph 1, of Law No. 287/90, in the establishment or strengthening of a dominant position in the affected markets, such as to eliminate or substantially and durably reduce competition;</w:t>
      </w:r>
    </w:p>
    <w:p>
      <w:r>
        <w:t>CONSIDERING, furthermore, that the clause referred to in point sub ii) described above cannot be considered accessory to the present operation and that the Authority reserves the right to evaluate it, where the prerequisites exist;</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r>
    </w:p>
    <w:p>
      <w:r>
        <w:t>Filippo Arena Roberto Rustichelli</w:t>
      </w:r>
    </w:p>
    <w:p>
      <w:r>
        <w:rPr>
          <w:b/>
        </w:rPr>
        <w:t>[Pages 40–42]</w:t>
      </w:r>
    </w:p>
    <w:p>
      <w:r>
        <w:t xml:space="preserve">42 BULLETIN NO. 34 OF AUGUST 24, 2020  </w:t>
        <w:br/>
        <w:t xml:space="preserve">C12304 - SO.FARMA MORRA/COROFAR-NEWCO  </w:t>
        <w:br/>
        <w:t xml:space="preserve">Decision No. 28328  </w:t>
        <w:br/>
        <w:t xml:space="preserve">THE ANTITRUST AUTHORITY  </w:t>
        <w:br/>
        <w:t xml:space="preserve">IN ITS MEETING of August 4, 2020;  </w:t>
        <w:br/>
        <w:t xml:space="preserve">HEARD the Rapporteur Dr. Gabriella Muscolo;  </w:t>
        <w:br/>
        <w:t xml:space="preserve">HAVING REGARD to Law No. 287 of October 10, 1990;  </w:t>
        <w:br/>
        <w:t xml:space="preserve">HAVING REGARD to Presidential Decree No. 217 of April 30, 1998;  </w:t>
        <w:br/>
        <w:t xml:space="preserve">HAVING REGARD to the act of the companies So.Farma.Morra S.p.A. and Corofar - Cooperative Services for Pharmacies, received on June 8, 2020;  </w:t>
        <w:br/>
        <w:t xml:space="preserve">HAVING REGARD to the request for information made by the Authority pursuant to Article 5, paragraph 3, of Presidential Decree No. 217/1998, on July 7, 2020;  </w:t>
        <w:br/>
        <w:t xml:space="preserve">HAVING REGARD to the information received on July 21, 2020;  </w:t>
        <w:br/>
        <w:t xml:space="preserve">CONSIDERING the following:  </w:t>
        <w:br/>
        <w:t xml:space="preserve">I. THE PARTIES  </w:t>
        <w:br/>
        <w:t xml:space="preserve">1. So.Farma.Morra S.p.A. (hereinafter, SFM) is a joint-stock company under Italian law, active in the intermediate distribution of pharmaceutical products. In 2018, SFM achieved a global turnover of approximately 716 million euros, of which approximately 656 million euros from sales in Italy and 56 million euros from sales in the remaining EU Member States.  </w:t>
        <w:br/>
        <w:t xml:space="preserve">2. Corofar - Cooperative Services for Pharmacies (hereinafter, Corofar) is a cooperative company under Italian law active in the intermediate distribution of pharmaceutical and parapharmaceutical products. In 2018, Corofar's turnover was approximately 124 million euros, entirely generated in Italy.  </w:t>
        <w:br/>
        <w:t xml:space="preserve">II. DESCRIPTION OF THE OPERATION  </w:t>
        <w:br/>
        <w:t xml:space="preserve">3. On April 30, 2020, a limited liability company named Corofar Distribuzione S.r.l. (hereinafter NewCo) was established, in which, on one hand, SFM committed to contribute its business unit related to the marketing and intermediate distribution of pharmaceuticals linked to a logistics hub near Bologna, and on the other hand, Corofar committed to contribute its business unit related to the buying and selling and intermediate distribution of pharmaceutical and parapharmaceutical products located in the province of Forlì.  </w:t>
        <w:br/>
        <w:t xml:space="preserve">4. Upon completion of the operation, following a capital increase, NewCo will be jointly controlled by SFM and Corofar with shares of 51% and 49%, respectively. In particular, the governance of NewCo is regulated by the shareholders' agreements provided for in Article 12 and subsequent articles of the Framework Agreement between Corofar and SFM, which govern the appointments and functioning of the Shareholders' Meeting and the Board of Directors and the quorums required for decisions of strategic importance.  </w:t>
        <w:br/>
        <w:t>5. NewCo will have its own financial autonomy and will operate in the wholesale distribution of pharmaceuticals and parapharmaceuticals with its own organizational structure, which will allow it to independently and sustainably perform all functions typical of a fully-fledged enterprise.</w:t>
      </w:r>
    </w:p>
    <w:p>
      <w:r>
        <w:t xml:space="preserve">BULLETIN NO. 34 OF AUGUST 24, 2020 43  </w:t>
        <w:br/>
        <w:t xml:space="preserve">III. QUALIFICATION OF THE OPERATION  </w:t>
        <w:br/>
        <w:t xml:space="preserve">6. The notified operation constitutes a concentration pursuant to Article 5, paragraph 1, letter c), of Law No. 287/90, as it involves the establishment of a joint venture.  </w:t>
        <w:br/>
        <w:t xml:space="preserve">7.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504 million euros and the turnover achieved individually at the national level by at least two of the companies involved exceeded 31 million euros.  </w:t>
        <w:br/>
        <w:t xml:space="preserve">IV. EVALUATION OF THE CONCENTRATION  </w:t>
        <w:br/>
        <w:t xml:space="preserve">IV.1 The product market  </w:t>
        <w:br/>
        <w:t xml:space="preserve">8. The market affected by the operation under examination consists of the wholesale distribution of pharmaceutical and parapharmaceutical products, the demand for which is expressed by pharmacies.  </w:t>
        <w:br/>
        <w:t xml:space="preserve">9. In line with the constant definition adopted at the national and EU level, from a product perspective, the market for the wholesale distribution of medicinal specialties (both ethical products, i.e., prescription-only, and so-called over-the-counter products) and parapharmaceutical products (cosmetic, dietary, hygienic, and veterinary products) concerns the logistics of such goods carried out by large intermediate operators (full-line wholesalers), who are able – unlike smaller operators (short-line wholesalers) and pharmaceutical companies – to supply pharmacies in extremely rapid times and with a complete range of products.  </w:t>
        <w:br/>
        <w:t xml:space="preserve">10. From a geographical perspective, the existence of different regulations among the various Member States of the European Union regarding, for example, licenses, product margins, delivery times, and assortment obligations leads to the conclusion that the geographical market does not extend beyond the national territory. Furthermore, since these intermediate distributors must supply pharmacies in extremely rapid times (they must not exceed twelve working hours following the request made by the pharmacy), the distribution network of wholesalers is normally organized, within each country, at the regional level. The circumstances described have led the European Commission and the Authority to restrict the relevant geographical market to a sub-national level, often coinciding with the regional territory or at most with a multi-regional scope.  </w:t>
        <w:br/>
        <w:t xml:space="preserve">IV.2 Effects of the operation  </w:t>
        <w:br/>
        <w:t>11. The activities currently operated by Corofar and SFM that will merge into NewCo are located in Emilia Romagna. In this regional market, significant wholesalers operate, most of whom are active throughout the national territory and present locally with their own distribution centers, capable of exerting effective competitive pressure on NewCo; these include in particular: ALLIANCE HEALTHCARE ITALIA S.p.A., UNICO LA FARMACIA DEI FARMACISTI S.p.A., COMIFAR S.p.A.; FARVIMA MEDICINALI S.p.A.; CEF-COOPERATIVA ESERCENTI FARMACIA; FARMALVARION S.r.l. This is even more evident when considering that, even when examining a much more restricted scope of the relevant geographical market, such as the provincial level, in cases of horizontal overlap between the Parties, the overall post-merger share is always below 15%, with the only exception of the province of Rimini, where, despite a rather limited increase, NewCo stands at around 44%.</w:t>
      </w:r>
    </w:p>
    <w:p>
      <w:r>
        <w:t xml:space="preserve">44 BULLETIN NO. 34 OF AUGUST 24, 2020  </w:t>
        <w:br/>
        <w:t xml:space="preserve">12. In light of the above, it is believed that in the relevant market the operation will not have adverse effects on competition, not resulting in substantial changes to its competitive structure.  </w:t>
        <w:br/>
        <w:t xml:space="preserve">THEREFORE, IT IS CONSIDERED that the operation under examination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decision will be published in the Bulletin of the Antitrust Authority.  </w:t>
        <w:br/>
        <w:t xml:space="preserve">THE SECRETARY GENERAL THE PRESIDENT  </w:t>
        <w:br/>
        <w:t>Filippo Arena Roberto Rustichelli</w:t>
      </w:r>
    </w:p>
    <w:p>
      <w:r>
        <w:rPr>
          <w:b/>
        </w:rPr>
        <w:t>[Pages 43–45]</w:t>
      </w:r>
    </w:p>
    <w:p>
      <w:r>
        <w:t>BULLETIN NO. 34 OF AUGUST 24, 2020 45</w:t>
        <w:br/>
        <w:t>C12308 - SNAM 4 EFFICIENCY/MIECI-EVOLVE</w:t>
        <w:br/>
        <w:t>Provision No. 28329</w:t>
        <w:br/>
        <w:t>THE ANTITRUST AUTHORITY</w:t>
        <w:br/>
        <w:t>IN ITS MEETING of August 4, 2020;</w:t>
        <w:br/>
        <w:t>HEARD the Rapporteur Dr. Gabriella Muscolo;</w:t>
        <w:br/>
        <w:t>SEEN Law No. 287 of October 10, 1990;</w:t>
        <w:br/>
        <w:t>SEEN the Presidential Decree No. 217 of April 30, 1998;</w:t>
        <w:br/>
        <w:t>SEEN the communication from Snam4 Efficiency S.r.l., received on July 6, 2020;</w:t>
        <w:br/>
        <w:t>SEEN the documentation on file;</w:t>
        <w:br/>
        <w:t>CONSIDERED the following:</w:t>
        <w:br/>
        <w:t>I. THE PARTIES</w:t>
        <w:br/>
        <w:t>1. Snam4 Efficiency S.r.l. (hereinafter also "Snam4") is a company active in the energy efficiency sector. Snam4 is controlled by Snam S.p.A. (hereinafter, also simply "Snam"), which is in turn subject to the de facto control of Cassa Depositi e Prestiti (hereinafter, "CDP")1 and is active directly and through its subsidiaries in the management and development of natural gas transportation, regasification, storage activities, construction and maintenance of natural gas facilities, compressed and/or liquefied natural gas for automotive use. Snam also operates in consulting and design services in the field of energy efficiency through its subsidiary TEP Energy Solution S.r.l.2 The CDP group generated, in 2019, a turnover in Italy of approximately [10-20]* billion euros.</w:t>
        <w:br/>
        <w:t>2. Mieci S.p.A. (hereinafter, also simply "Mieci") is an ESCo (Energy Service Company), that is, a company active in the integrated management of thermal and electrical energy, energy requalification, and integrated technological multi-service, primarily for the public market, for private healthcare, and for the tertiary sector, thus excluding the industrial sector. Mieci is also active, until the realization of this operation, in the marketing of petroleum products, an activity that will be discontinued prior to the sale of the company. Among the services offered by Mieci are also energy services for the private and public sectors and facility management services. The share capital of Mieci is held, directly or indirectly, by three individuals, also through the company Gemma S.r.l., which owns 95% of Mieci's shares. The latter also holds a controlling interest (equal to 85% of the share capital) in TLux S.r.l. (hereinafter, also "TLux"), active in the same market as the parent company; the remaining 15% of TLux's share capital is held by FEN Energia S.p.A. (hereinafter also "FEN Energia"), owned directly or indirectly by the same individuals who hold the share capital of Mieci.</w:t>
        <w:br/>
        <w:t>1 See AGCM provision No. 23824, of August 8, 2012, C11695-Cassa Depositi e Prestiti/Snam.</w:t>
        <w:br/>
        <w:t>2 See AGCM provision No. 27119, of April 11, 2018, C12155 – Snam/Tep Energy Solution.</w:t>
        <w:br/>
        <w:t>* In this version, some data are omitted, as elements of confidentiality or secrecy of the information were deemed to exist.</w:t>
      </w:r>
    </w:p>
    <w:p>
      <w:r>
        <w:t>46 BULLETIN NO. 34 OF AUGUST 24, 2020</w:t>
        <w:br/>
        <w:t>Mieci generated in 2019, in Italy, a turnover of approximately [31-100] million euros, of which approximately [31-100] million euros in the activities subject to this operation and the remainder in those that will be discontinued.</w:t>
        <w:br/>
        <w:t>3. Evolve S.r.l. (hereinafter, also "Evolve") is an ESCo (Energy Service Company), that is, a company active in the integrated management of thermal and electrical energy, energy requalification, and integrated technological multi-service, primarily for the condominium market and also for the public sector. Among the services offered by Evolve are facility management services, design, construction, and maintenance services for thermal power plants and energy management, design, implementation, and management services for cogeneration systems, district heating systems, biomass plants, solar thermal and photovoltaic systems as well as interventions for the energy efficiency of building envelopes. The share capital of Evolve is held 75% by FEN Energia S.p.A. and, for the remaining 25%, by another individual, different from the three referred to by FEN Energia. Evolve also holds 100% of the share capital of Termoroma S.r.l. (hereinafter, also "Termoroma"), active in the same market as the parent company. Evolve generated in 2019, in Italy, a turnover of approximately [10-31] million euros.</w:t>
        <w:br/>
        <w:t>II. DESCRIPTION OF THE OPERATION</w:t>
        <w:br/>
        <w:t>4. The operation in question concerns the acquisition by Snam4 of a majority stake in the companies Mieci and Evolve (including their entire share capital of their only subsidiaries TLux and Termoroma)3.</w:t>
        <w:br/>
        <w:t>5. To this end, first, on June 8, 2020, the Parties of the so-called "Mieci operation" and those of the so-called "Evolve operation" entered into two separate share purchase agreements (respectively "the Mieci contract" and "the Evolve contract"), with the provision of a mutual conditionality between the two operations, so that one cannot be executed without the other.</w:t>
        <w:br/>
        <w:t>6. With specific reference to the "Mieci operation," the contract entered into between Snam4 and the company Gemma provides that as a result of the operation, the former will hold 70% of Mieci's share capital, while the company Gemma will retain a 30% stake. The same contract also provides that Gemma will allow Mieci to purchase the stake held by FEN Energia in TLux. As a result of the operation, therefore, Snam4 will also hold exclusive control of TLux.</w:t>
        <w:br/>
        <w:t>7. With specific reference to the "Evolve operation," the contract entered into between Snam4, FEN Energia, and the individual partner holding 25% of Evolve, provides that, as a result of the operation, Snam4 will hold 70% of Evolve's share capital (including 100% of Termoroma's share capital) in the following manner:</w:t>
        <w:br/>
        <w:t>a) FEN Energia undertakes to sell to Snam4 a stake equal to 52.5% of Evolve's share capital;</w:t>
        <w:br/>
        <w:t>3 The activities of Mieci related to the marketing of fuels, which will cease before the sale of the other activities of Mieci subject to this operation, are not included in the scope of the acquisition. Similarly, the additional stakes held by Evolve in the companies Esmart S.r.l., Soquik Roma S.r.l., Evener Ch. E 21 Medical Device S.r.l. will be excluded from the scope of this operation, which will be transferred by the execution date of the Evolve contract.</w:t>
      </w:r>
    </w:p>
    <w:p>
      <w:r>
        <w:t>BULLETIN NO. 34 OF AUGUST 24, 2020 47</w:t>
        <w:br/>
        <w:t>b) the individual undertakes to sell to Snam4 a stake equal to 17.5% of Evolve's share capital. The share capital of Evolve, once the operation is concluded, will be divided as follows: i) 70% Snam4; ii) 30% Newco Evolve, a company specifically established by the future minority shareholders of Evolve (FEN Energia and the individual), to which they will have contributed their remaining stakes in Evolve (equal to 22.5% of the total capital held by FEN Energia and 7.5% held by the individual).</w:t>
        <w:br/>
        <w:t>8. At the time of the execution of the two operations, the parties of each of them will sign shareholders' agreements (Snam4 and Gemma will sign the so-called "Mieci shareholders' agreement," while Snam4 and Newco Evolve will sign the so-called "Evolve shareholders' agreement"), aimed at regulating the management and governance of the two companies in addition to the transfer of the respective stakes and the mutual granting of purchase and sale options on the shares held by the minority shareholders.</w:t>
        <w:br/>
        <w:t>9. Both shareholders' agreements provide that the management of the companies involved will be entrusted to a Board of Directors composed of 5 members, three of whom will be appointed by the majority shareholders (who will appoint the Chairman and Chief Executive Officer of the company) and two by the minority shareholder. The Board of Directors will operate based on the constitutive and deliberative quorums provided by law. Although the shareholders' agreements grant the minority shareholders a veto right over certain strategic decisions of the companies, both agreements also include a so-called deadlock breaking clause, whereby, in the presence of divergences on strategic decisions and in the absence of any possible conciliations between the shareholders, the sale of the minority shareholder's shares to the majority shareholder is provided for within a defined time and at a pre-established price. The aforementioned provisions thus grant Snam4 exclusive control over both Mieci and Evolve4.</w:t>
        <w:br/>
        <w:t>10. Finally, both the "Mieci shareholders' agreement" and the "Evolve shareholders' agreement" provide, at the expense of the respective minority shareholder, and of the individuals who directly or indirectly own both Gemma and FEN, an obligation valid throughout the Italian territory not to engage, directly or indirectly, in activities in competition with that of the acquired company and not to hire personnel who have been employees of the latter in the 18 months preceding the signing of the agreement. These non-competition obligations are assumed until the thirtieth month following the expiration date of the shareholders' agreements, which are valid for five years.</w:t>
        <w:br/>
        <w:t>III. QUALIFICATION OF THE OPERATION</w:t>
        <w:br/>
        <w:t xml:space="preserve">11. The communicated operation, as it involves the acquisition of control of two companies through two simultaneous purchase agreements linked by a mutual interconnection constraint5, constitutes a single concentration operation pursuant to Article 5, paragraph 1, letter b), of Law No. 287/90. It falls within the scope of application of Law No. 287/90 as the conditions of Article 1 of Regulation EC 139/04 do not apply, and it is subject to the obligation of prior notification provided for by Article 16, paragraph 1, of the same law as the total turnover achieved, </w:t>
        <w:br/>
        <w:t>4 Thus paragraph 60 of the consolidated Communication of the Commission on the criteria for jurisdictional competence under Regulation EC No. 139/2004 concerning the control of concentrations between undertakings, in OJUE series C95/1 of April 16, 2008, as well as, in the same terms, AGCM provision No. 21987 of December 22, 2010, C10875 – Gucci Group Italia Holding/Business branch of Arte e Pelle.</w:t>
        <w:br/>
        <w:t>5 The interconnection constraint is provided for by the contracts entered into between the Parties that expressly link the execution of one operation to the other and is also attributable to the fact that control over Mieci and Evolve is acquired by Snam4. This approach is confirmed by the criteria on interconnected operations identified in paragraphs 38, 39, and 41 of the consolidated Communication of the Commission on the criteria for jurisdictional competence under Regulation EC No. 139/2004 concerning the control of concentrations between undertakings, in OJUE series C95/1 of April 16, 2008.</w:t>
      </w:r>
    </w:p>
    <w:p>
      <w:r>
        <w:rPr>
          <w:b/>
        </w:rPr>
        <w:t>[Pages 46–48]</w:t>
      </w:r>
    </w:p>
    <w:p>
      <w:r>
        <w:t>48 BULLETIN NO. 34 OF AUGUST 24, 2020</w:t>
        <w:br/>
        <w:t>in the last financial year at the national level, the total turnover of the group of companies involved was over 504 million euros, and the total revenue generated, in the last financial year at the national level, by two of the companies involved is over 31 million euros.</w:t>
      </w:r>
    </w:p>
    <w:p>
      <w:r>
        <w:t>12. The non-compete agreements described above can be classified as ancillary to the notified concentration, as they are functional to safeguarding the value of the transferred assets and to the protection, in addition to the goodwill of the business, of the know-how necessary for the conduct of activities in the new markets by the buyer. This is provided that they have a limited duration in time and a geographical scope confined to the territory where the acquired companies are currently active. In particular, it is believed that both non-compete agreements should not exceed a period of two years from the completion of the operation in the markets where Snam4 is already present (i.e. the market for consulting and design services in the field of energy efficiency). They may have a duration of three years from the completion of the operation with reference to the market for facility management services6, as Snam4 is not directly present there.</w:t>
      </w:r>
    </w:p>
    <w:p>
      <w:r>
        <w:t>IV. EVALUATION OF THE CONCENTRATION</w:t>
        <w:br/>
        <w:t>Relevant markets and effects of the operation</w:t>
        <w:br/>
        <w:t>13. Due to the operations of the target companies, the concentration operation affects the market for facility management services and, to a lesser extent, the market for consulting and design services in the field of energy efficiency that entitle the issuance of energy efficiency certificates.</w:t>
      </w:r>
    </w:p>
    <w:p>
      <w:r>
        <w:t>The market for facility management services</w:t>
        <w:br/>
        <w:t>14. Facility management services are integrated services, required by both public entities and private individuals, and involve activities related to the management of properties and buildings, along with their systems and related services. Schematic representation of the services to be provided within facility management can be traced to: maintenance services for the systems of a property; cleaning and environmental hygiene services for the spaces of a property, as well as other services related to property management (i.e. handling, internal logistics, surveillance). In particular, among the services related to property management are also those for heat management for buildings and energy and plant services, which consist of managing thermal systems and operating the energy and technological systems of buildings.</w:t>
      </w:r>
    </w:p>
    <w:p>
      <w:r>
        <w:t>15. Due to the characteristics of demand and supply, as well as the absence of administrative constraints limiting the exercise of the activity to a local scope, the market in question can be considered to have a national geographical dimension.</w:t>
      </w:r>
    </w:p>
    <w:p>
      <w:r>
        <w:t>16. The market for facility management services has recorded significant growth in recent years and is characterized by the presence of large and medium-sized companies capable of offering an integrated range of services.</w:t>
      </w:r>
    </w:p>
    <w:p>
      <w:r>
        <w:t>17. With reference to the market shares held in this market by the Parties, it is noted that Snam4 is not active in this market and that the market shares held by the acquired companies are well below 1%. It follows that the operation involves merely replacing one operator with another.</w:t>
      </w:r>
    </w:p>
    <w:p>
      <w:r>
        <w:t>6 See European Commission, Communication from the Commission on restrictions directly related and necessary to concentrations (2005/C 56/03), in OJ C56/24 of March 5, 2005, paragraphs 18 et seq.</w:t>
      </w:r>
    </w:p>
    <w:p>
      <w:r>
        <w:t>BULLETIN NO. 34 OF AUGUST 24, 2020 49</w:t>
        <w:br/>
        <w:t>The market for consulting and design services in the field of energy efficiency that entitle the issuance of energy efficiency certificates</w:t>
        <w:br/>
        <w:t>18. Consulting and design services for energy efficiency interventions that entitle the issuance of energy efficiency certificates are provided within the incentive programs established by national and community legislation on energy efficiency. The instrument for implementing such regulations is represented by energy efficiency certificates (“TEE”, also known as White Certificates). TEE are issued by GSE in favor of electricity and natural gas distribution companies and their subsidiaries, as well as Energy Service Companies (so-called ESCo, companies accredited by ARERA, including Mieci and Evolve), based on the implementation of energy-saving interventions. Large gas or electricity distributors that have specific energy-saving obligations (so-called “obligated subjects”) can then fulfill them either by directly carrying out energy efficiency improvement interventions that result in the issuance by GSE of TEE corresponding to the savings achieved, or by using TEE offered on the market by other subjects to whom such certificates can be issued (so-called “voluntary subjects”)7.</w:t>
      </w:r>
    </w:p>
    <w:p>
      <w:r>
        <w:t>19. Although, in general, ESCo operate in a market that, also due to the harmonized regulatory framework at the community level, could be of supranational dimension8, the TEE market is organized on a national basis, with no reciprocity agreements between Italy and other European countries regarding this energy efficiency support mechanism. According to data provided by GSE, it appears that in 2019, in Italy, TEE worth over 1.4 billion euros were traded.</w:t>
      </w:r>
    </w:p>
    <w:p>
      <w:r>
        <w:t>20. In this market, both the buyer Snam4, which in 2019 negotiated TEE for a share equal to [1-5%] of the total value negotiated at the national level, and, to a marginal extent, the acquired companies Mieci and Evolve, to which in the same year is attributable a share far below 1%. Therefore, the operation does not seem likely to significantly impact this market, also considering the presence, among competitors, of major groups such as ENEL and ENI. In light of the above considerations, the concentration under examination does not appear likely to create a dominant position either in the market for facility management services or in the market for consulting and design services for energy efficiency interventions that entitle the issuance of energy efficiency certificates.</w:t>
      </w:r>
    </w:p>
    <w:p>
      <w:r>
        <w:t>CONSIDERING, therefore, that the operation under examination does not entail, pursuant to Article 6, paragraph 1, of Law No. 287/90, the establishment or strengthening of a dominant position in the relevant markets, such as to eliminate or substantially and durably reduce competition;</w:t>
      </w:r>
    </w:p>
    <w:p>
      <w:r>
        <w:t>CONSIDERING, furthermore, that the analyzed non-compete agreements are directly connected and necessary to this operation, within the limits described above;</w:t>
      </w:r>
    </w:p>
    <w:p>
      <w:r>
        <w:t>RESOLVES</w:t>
        <w:br/>
        <w:t>not to initiate the investigation referred to in Article 16, paragraph 4, of Law No. 287/90.</w:t>
      </w:r>
    </w:p>
    <w:p>
      <w:r>
        <w:t>7 Among these latter operators, who carry out energy-saving programs in order to obtain the corresponding TEE to sell on the market, are included, in addition to ESCo, energy or gas distribution companies not subject to obligation, as well as other types of subjects.</w:t>
      </w:r>
    </w:p>
    <w:p>
      <w:r>
        <w:t>8 In this sense, the Authority also expressed itself with decision No. 23842, of August 8, 2012, C11726 - EDISON/CSE.</w:t>
      </w:r>
    </w:p>
    <w:p>
      <w:r>
        <w:t>50 BULLETIN NO. 34 OF AUGUST 24, 2020</w:t>
        <w:br/>
        <w:t>The above conclusions will be communicated, pursuant to Article 16, paragraph 4, of Law No. 287/90, to the companies involved and to the Minister of Economic Development. This provision will be published in the Bulletin of the Antitrust Authority.</w:t>
      </w:r>
    </w:p>
    <w:p>
      <w:r>
        <w:t>THE SECRETARY GENERAL THE PRESIDENT</w:t>
        <w:br/>
        <w:t>Filippo Arena Roberto Rustichelli</w:t>
      </w:r>
    </w:p>
    <w:p>
      <w:r>
        <w:rPr>
          <w:b/>
        </w:rPr>
        <w:t>[Pages 49–51]</w:t>
      </w:r>
    </w:p>
    <w:p>
      <w:r>
        <w:t>BULLETIN NO. 34 OF AUGUST 24, 2020 51</w:t>
        <w:br/>
        <w:t>C12309 - PELLEGRINI/I.F.M. INDUSTRIAL FOOD MENSE</w:t>
        <w:br/>
        <w:t>Decision No. 28330</w:t>
        <w:br/>
        <w:t>THE ANTITRUST AUTHORITY</w:t>
        <w:br/>
        <w:t>IN ITS MEETING of August 4, 2020;</w:t>
        <w:br/>
        <w:t>HEARD the Rapporteur Dr. Gabriella Muscolo;</w:t>
        <w:br/>
        <w:t>HAVING REGARD to Law No. 287 of October 10, 1990;</w:t>
        <w:br/>
        <w:t>HAVING REGARD to Presidential Decree No. 217 of April 30, 1998;</w:t>
        <w:br/>
        <w:t>HAVING REGARD to Article 103 of Decree-Law No. 18 of March 17, 2020;</w:t>
        <w:br/>
        <w:t>HAVING REGARD to the communication from Pellegrini S.p.A. and I.M.F. Industrial Food S.p.A., received on July 21, 2020;</w:t>
        <w:br/>
        <w:t>CONSIDERING the following:</w:t>
        <w:br/>
        <w:t>I. THE PARTIES</w:t>
        <w:br/>
        <w:t>1. Pellegrini S.p.A. (hereinafter also "Pellegrini") is the company at the head of the homonymous group active, in Italy and abroad, in collective and commercial catering. Pellegrini also offers vending services, food product supply, so-called welfare solutions, cleaning, and other integrated services. The company is also active in the provision of paper and electronic meal vouchers, through the "Pellegrini card" application, and other innovative solutions for corporate welfare (including: gift vouchers, fuel vouchers, tailored solutions and services for companies and employees). Regarding collective catering services, Pellegrini operates through refreshment points at companies, religious communities, healthcare facilities, schools, and Public Administrations. Pellegrini offers commercial catering services only on a residual basis, through a limited number of restaurants open to the public.</w:t>
        <w:br/>
        <w:t>2. The share capital of Pellegrini is held 65% by individuals and 35% by Pellegrini itself. The company achieved a consolidated worldwide turnover of [504-700]* million euros in 2019, of which [504-700] from sales in Italy.</w:t>
        <w:br/>
        <w:t>3. I.M.F. Industrial Food Mense S.p.A. (hereinafter also "IMF") is primarily active in the non-domestic collective catering sector, through refreshment points organized mainly at private companies.</w:t>
        <w:br/>
        <w:t>4. The company is under the control of IMF Food S.r.l., whose share capital is entirely held by individuals. In 2019, IMF achieved a turnover entirely in Italy of [31-100] million euros.</w:t>
        <w:br/>
        <w:t>II. DESCRIPTION OF THE OPERATION</w:t>
        <w:br/>
        <w:t>5. The notified operation consists of the acquisition by Pellegrini S.p.A. of exclusive control of I.F.M. Industrial Food Mense S.p.A. through the acquisition of the ownership of the entire share capital of IMF, currently held by Industrial Food S.r.l.</w:t>
        <w:br/>
        <w:t>* In this version, some data are omitted, as elements of confidentiality or secrecy of the information were deemed to exist.</w:t>
      </w:r>
    </w:p>
    <w:p>
      <w:r>
        <w:t>52 BULLETIN NO. 34 OF AUGUST 24, 2020</w:t>
        <w:br/>
        <w:t>6. The operation is accompanied by a non-compete agreement lasting three years, under which the current sole director and majority shareholder of IMF undertakes not to engage in or participate, directly or indirectly in the Italian territory, in the production, distribution, consulting, and/or provision of meals for companies and/or the general public in competition with those of the buyer.</w:t>
        <w:br/>
        <w:t>III. QUALIFICATION OF THE OPERATION</w:t>
        <w:br/>
        <w:t>7. The notified operation, as it involves the acquisition of exclusive control of a company, constitutes a concentration pursuant to Article 5, paragraph 1, letter b), of Law No. 287/90.</w:t>
        <w:br/>
        <w:t>8. It falls within the scope of application of Law No. 287/90, as the conditions of Article 1 of Regulation (EC) No. 139/2004 do not apply, and is subject to the obligation of prior notification provided for by Article 16, paragraph 1, of the same law, as the total turnover achieved in the last financial year at the national level by the group of companies involved was over 504 million euros and the total turnover achieved, in the last financial year at the national level, individually by at least two of the companies involved was over 31 million euros.</w:t>
        <w:br/>
        <w:t>9. The non-compete agreement described above can be qualified, with reference to the Italian territory, as accessory to the notified concentration, insofar as it contains restrictions directly related to the realization of the operation. In particular, in this case, the commitments made by the seller benefit the buyer and respond to the need to ensure the transfer of the actual value of the acquisition1. However, in order not to exceed the limits of what is reasonably required for this purpose, it is necessary that the duration be limited to two years, as the buyer is already present in the markets in which the target operates2.</w:t>
        <w:br/>
        <w:t>IV. EVALUATION OF THE CONCENTRATION</w:t>
        <w:br/>
        <w:t>IV.1 The relevant product and geographic markets</w:t>
        <w:br/>
        <w:t>IV.1.1 Premise</w:t>
        <w:br/>
        <w:t>10. The operation concerns the market for collective catering, that is, the activities of preparation, supply, and management of non-domestic catering services for corporate clients (i.e., canteens for corporate personnel, in the public and private sectors) and clients active in the healthcare (hospitals and nursing homes), educational (schools and universities), and prison sectors.</w:t>
        <w:br/>
        <w:t>11. In the precedents of the Commission3 and the Authority4, this market has been considered distinct from other non-domestic catering services. The Authority has stated that the market for collective catering consists of the management of catering services at all kinds of communities, such as companies, schools, and prisons, and must be considered a separate market from other categories of non-domestic catering, from which it is distinguished by the methods of food preparation, the peculiarity of the service offered, and the particular organization of the companies that provide it.</w:t>
        <w:br/>
        <w:t>12. Regarding the geographical dimension, the market for the provision of collective catering services can be considered to have a national scope.8 In particular, on one hand, the companies active on the supply side are able to provide their services throughout the entire national territory. On the other hand, a market extension limited to the national territory, according to the Commission, is justified by legislative differences (for example, in public procurement and worker protection), by customer preferences on a national scale (in terms of products, rates, and prices), and by strong differences between Member States in relation to demand.</w:t>
        <w:br/>
        <w:t>IV.1.2 Effects of the operation</w:t>
        <w:br/>
        <w:t>13. The operation under examination involves the acquisition of exclusive control of IMF by Pellegrini, with a horizontal overlap of the activities of the two Parties in the relevant market. However, the concentration is not likely to result in restrictions on competition since IMF and Pellegrini have market shares of [1-5%] and [5-10%] respectively, and due to the fragmentation of the supply, which sees the presence of a large number of competitors, some of which are significantly larger than the Parties. Among these, in particular, consider Elior Ristorazione S.p.A., CAMST - La Ristorazione italiana Società Cooperativa a r.l., CIRFOOD - Cooperativa Italiana di Ristorazione Società Cooperativa, Sodexo Italia S.p.A., whose market shares are estimated to be approximately [15-20%], [10-15%], [10-15%], and [5-10%] respectively. As a result of the operation, Pellegrini will hold a post-merger market share in the relevant market of approximately [5-10%]. Based on the information provided by the Parties, there are no vertical relationships between the activities of the buyer and the acquired company.</w:t>
        <w:br/>
        <w:t xml:space="preserve">14. In light of the above considerations, the concentration under examination does not appear likely to significantly alter competitive dynamics in the relevant markets. </w:t>
        <w:br/>
        <w:t xml:space="preserve">THEREFORE, it is deemed that the operation under examination, consisting of the acquisition of exclusive control of IMF by Pellegrini, does not entail, pursuant to Article 6, paragraph 1, of Law No. 287/90, the establishment or strengthening of a dominant position in the relevant markets, such as to eliminate or substantially and durably reduce competition; </w:t>
        <w:br/>
        <w:t xml:space="preserve">IT IS ALSO DEEMED that the above-described non-compete agreement can be considered accessory to the present operation within the limits specified above and that the Authority reserves the right to evaluate the same clause, where the conditions exist, to the extent that it is realized beyond the indicated duration; </w:t>
        <w:br/>
        <w:t xml:space="preserve">RESOLVES </w:t>
        <w:br/>
        <w:t xml:space="preserve">not to initiate the investigation referred to in Article 16, paragraph 4, of Law No. 287/90. </w:t>
        <w:br/>
        <w:t xml:space="preserve">The conclusions above will be communicated, pursuant to Article 16, paragraph 4, of Law No. 287/90, to the companies involved and to the Minister of Economic Development. </w:t>
        <w:br/>
        <w:t>The provision will be published in the Bulletin of the Antitrust Authority.</w:t>
      </w:r>
    </w:p>
    <w:p>
      <w:r>
        <w:rPr>
          <w:b/>
        </w:rPr>
        <w:t>[Pages 52–54]</w:t>
      </w:r>
    </w:p>
    <w:p>
      <w:r>
        <w:t xml:space="preserve">54 BULLETIN NO. 34 OF AUGUST 24, 2020  </w:t>
        <w:br/>
        <w:t xml:space="preserve">THE SECRETARY GENERAL THE PRESIDENT  </w:t>
        <w:br/>
        <w:t>Filippo Arena Roberto Rustichelli</w:t>
      </w:r>
    </w:p>
    <w:p>
      <w:r>
        <w:t xml:space="preserve">BULLETIN NO. 34 OF AUGUST 24, 2020 55  </w:t>
        <w:br/>
        <w:t xml:space="preserve">C12312 - OEP 14 COOPERATIEF U.A./TECHEDGE  </w:t>
        <w:br/>
        <w:t xml:space="preserve">Decision No. 28331  </w:t>
        <w:br/>
        <w:t xml:space="preserve">THE ANTITRUST AUTHORITY  </w:t>
        <w:br/>
        <w:t xml:space="preserve">IN ITS MEETING of August 4, 2020;  </w:t>
        <w:br/>
        <w:t xml:space="preserve">HEARD the Rapporteur Professor Michele Ainis;  </w:t>
        <w:br/>
        <w:t xml:space="preserve">VIEWED Law No. 287 of October 10, 1990;  </w:t>
        <w:br/>
        <w:t xml:space="preserve">VIEWED the act of the companies OEP 14 Coöperatief U.A., received on July 30, 2020;  </w:t>
        <w:br/>
        <w:t xml:space="preserve">CONSIDERED the following:  </w:t>
        <w:br/>
        <w:t xml:space="preserve">I. THE PARTIES  </w:t>
        <w:br/>
        <w:t xml:space="preserve">Acquiring Company  </w:t>
        <w:br/>
        <w:t xml:space="preserve">1. OEP 14 Coöperatief U.A. (hereinafter, “OEP Coop”) is a private equity company based in Amsterdam (Netherlands), which controls several companies active in the United States and Europe in the healthcare, industrial, and technology sectors, providing services in these areas for Information Technology and software. OEP Coop operates in Italy through the company Lutech S.p.A. (hereinafter, “Lutech”).  </w:t>
        <w:br/>
        <w:t xml:space="preserve">OEP Coop is in turn indirectly controlled by OEP VI GP Ltd as general partner of OEP VI General Partner L.P., which is in turn the general partner of One Equity Partners VI L.P.  </w:t>
        <w:br/>
        <w:t xml:space="preserve">2. In 2019, the consolidated revenue of the OEP Group was approximately [10-15]* billion globally, of which approximately [2-5] billion in the European Union and approximately [550-600] million generated in Italy.  </w:t>
        <w:br/>
        <w:t xml:space="preserve">Acquired Company  </w:t>
        <w:br/>
        <w:t xml:space="preserve">3. Techedge S.p.A. (hereinafter, “Techedge”) is a company based in Milan, listed in the MTA segment of Borsa Italiana and active in the management and digitalization of business processes through the design, planning, and implementation of IT (information technology) solutions and services, which also include software services.  </w:t>
        <w:br/>
        <w:t xml:space="preserve">33.625% of Techedge's share capital is placed on the stock market, while the remaining share is divided among three companies and one individual, none of whom holds control of the company, as specified below:  </w:t>
        <w:br/>
        <w:t xml:space="preserve">1. Iupiter Tech Ltd 31.310%;  </w:t>
        <w:br/>
        <w:t xml:space="preserve">2. Masada Ltd. 17.418%;  </w:t>
        <w:br/>
        <w:t xml:space="preserve">3. Techies Consulting SL 11.114%;  </w:t>
        <w:br/>
        <w:t xml:space="preserve">4. Individual 6.553%.  </w:t>
        <w:br/>
        <w:t xml:space="preserve">4. The total revenue generated by Techedge in 2019 was approximately [200-250] million globally, of which approximately [150-200] million generated in the European Union; of these, approximately [31-150] million were generated in Italy, through companies controlled by it.  </w:t>
        <w:br/>
        <w:t xml:space="preserve">II. DESCRIPTION OF THE OPERATION  </w:t>
        <w:br/>
        <w:t xml:space="preserve">5. The operation consists of the exclusive acquisition of control of Techedge by OEP Coop.  </w:t>
        <w:br/>
        <w:t>* In this version, some data are omitted, as elements of confidentiality or secrecy of the information were deemed to exist.</w:t>
      </w:r>
    </w:p>
    <w:p>
      <w:r>
        <w:t xml:space="preserve">56 BULLETIN NO. 34 OF AUGUST 24, 2020  </w:t>
        <w:br/>
        <w:t xml:space="preserve">6. In particular, OEP Coop, through a company to be established, will make a voluntary public offer, announced on July 26, 2020, aimed at acquiring 100% of the shares issued by Techedge, with the exception of the shares (approximately 18.8% of the share capital) held by the Excluded Shareholders who commit not to adhere to the offer. OEP Coop and the excluded shareholders have also signed a contract for the sale and purchase of the Excluded Shares, conditioned upon the successful outcome of the Offer and subsequently upon the closing of the offer period. In the period between the successful outcome of the offer and the completion of the sale and purchase under the aforementioned agreement (if subsequent to the successful outcome of the offer), the relationships between OEP and the Excluded Shareholders, as they are still present in Techedge, are governed by a shareholders' agreement under which the Excluded Shareholders commit to vote in the assembly in accordance with the instructions given by OEP Coop.  </w:t>
        <w:br/>
        <w:t xml:space="preserve">III. QUALIFICATION OF THE OPERATION  </w:t>
        <w:br/>
        <w:t xml:space="preserve">7. The communicated operation constitutes a concentration, pursuant to Article 5, paragraph 1, letter b), of Law No. 287/90, as it involves the acquisition of exclusive control of a company.  </w:t>
        <w:br/>
        <w:t xml:space="preserve">8. It falls within the scope of application of Law No. 287/90, as the conditions of Article 1 of EC Regulation No. 139/04 are not met, and is subject to the obligation of prior notification provided for by Article 16, paragraph 1, of the same law, as the total revenue generated in the last financial year at the national level by the group of companies involved was over 504 million euros and the revenue generated individually at the national level by at least two of the companies involved was over 31 million euros.  </w:t>
        <w:br/>
        <w:t xml:space="preserve">IV. EVALUATION OF THE CONCENTRATION  </w:t>
        <w:br/>
        <w:t xml:space="preserve">9. Considering the activity carried out by the acquired company, the operation under examination concerns the sectors of Information Technology (IT) and Software services.  </w:t>
        <w:br/>
        <w:t xml:space="preserve">Information technology  </w:t>
        <w:br/>
        <w:t xml:space="preserve">10. Information technology services can be segmented considering the type of services, as well as the characteristics of the sectors in which the clients operate1.  </w:t>
        <w:br/>
        <w:t xml:space="preserve">11. As highlighted in numerous precedents of the Authority2, the high rate of innovation and the rapid and constant technological evolution that characterize the IT sector do not always make it easy to draw a clear demarcation between the different markets (and even more so between the segments) that this sector comprises. Companies operating in this sector tend to offer a multitude of services, adapting their offerings to the same technological evolution, demand, and customer needs.  </w:t>
        <w:br/>
        <w:t xml:space="preserve">More generally, within IT services, the European Commission has identified seven segments that identify a plurality of IT services directed at businesses3. These include services for: (i) IT management, for the use of specific skills in order to create and optimize  </w:t>
        <w:br/>
        <w:t xml:space="preserve">1 See, among others, Authority Decision No. 26818 of October 25, 2017, case C12119 – Engineering Ingegneria Informatica/Infogroup Informatica e Servizi Telematici; European Commission Decision of June 19, 2013, case M.6921 – IBM Italia/UBIS.  </w:t>
        <w:br/>
        <w:t xml:space="preserve">2 See, among others, Decision No. 24851 of March 27, 2014, case C11943 - ICCREA Holding/I.S.I.D.E., in Bull. No. 15/2014; Decision No. 23925 of September 27, 2012, case C11772 – Accenture Sub/Octagon Research Solution, in Bull. No. 39/12.  </w:t>
        <w:br/>
        <w:t>3 See the cases: M.7458 – IBM/INF Business of Deutsche Lufthansa; M.9205 – IBM/Red Hat; M.6921 – IBM Italia/UBIS; M.6237 – Computer Sciences Corporation/Isoft Group; M.6127 – Atos Origin/Siemens It Solutions &amp; Services; M.5666 – Xerox/Affiliated Computer Services; M.5301 – CAP Gemini/BAS; M.2946 – IBM/PWC Consulting.</w:t>
      </w:r>
    </w:p>
    <w:p>
      <w:r>
        <w:rPr>
          <w:b/>
        </w:rPr>
        <w:t>[Pages 55–57]</w:t>
      </w:r>
    </w:p>
    <w:p>
      <w:r>
        <w:t>BULLETIN NO. 34 OF AUGUST 24, 2020 57</w:t>
        <w:br/>
        <w:t>business processes and information flows; (ii) transaction IT management, for transactions that require IT support; (iii) consulting for the analysis and improvement of technological strategies; (iv) software development, to develop and integrate solutions into existing infrastructures; (v) software maintenance, for the maintenance of products (operating systems, software applications, etc.) and technical support (also online or by phone); (vi) hardware maintenance, to optimize systems through installation, maintenance, and technical support of hardware components; (vii) instruction and training, for the transfer of knowledge outside of professional training.</w:t>
      </w:r>
    </w:p>
    <w:p>
      <w:r>
        <w:t>12. These segments can in turn be further divided into groups of services and are characterized by high fragmentation and substitutability on the supply side, also considering that IT service providers generally offer a more or less wide range of different services in packages that may involve all or some of the above-mentioned segments.</w:t>
      </w:r>
    </w:p>
    <w:p>
      <w:r>
        <w:t>13. Based on the information provided, regarding the target sectors, Lutech and Techedge do not focus on a particular type of commodity sector, but both address various sectors including manufacturing, retail, companies active in the financial sector, healthcare, and telecommunications.</w:t>
      </w:r>
    </w:p>
    <w:p>
      <w:r>
        <w:t>14. Considering the activities carried out by Techedge, the relevant IT service sectors in this assessment are represented by: (i) software maintenance; (ii) consulting; (iii) software development and integration; (iv) training and education.</w:t>
      </w:r>
    </w:p>
    <w:p>
      <w:r>
        <w:t>15. From a geographical perspective, it is deemed appropriate to leave the definition of the market open, and in particular, whether this market is national or broader, as in both configurations there would be no detrimental effects on competition.</w:t>
      </w:r>
    </w:p>
    <w:p>
      <w:r>
        <w:t>Software</w:t>
        <w:br/>
        <w:t>16. Even within software, it is possible to identify a plurality of areas, primarily distinguished according to the final destination of the product, whether for consumers for domestic use (consumer software) or for businesses and institutions for professional use (business software). In turn, business-type software can be divided into system infrastructure programs (so-called system infrastructure software), application programs (application software) supporting the main business functions4.</w:t>
      </w:r>
    </w:p>
    <w:p>
      <w:r>
        <w:t>17. Considering the activities carried out by Techedge, based on the information provided, the following two segments are highlighted: (i) operating software; (ii) application and office software that includes ERP (Enterprise Resource Planning), CRM (Customer Relationship Management), and MES (Manufacturing Execution System) solutions.</w:t>
      </w:r>
    </w:p>
    <w:p>
      <w:r>
        <w:t>18. From a geographical perspective, it is deemed appropriate to leave the definition of the market open, and in particular, whether this market is national or broader, as in both configurations there would be no detrimental effects on competition.</w:t>
      </w:r>
    </w:p>
    <w:p>
      <w:r>
        <w:t>Effects of the operation</w:t>
        <w:br/>
        <w:t>19. Based on the information produced during the notification, in the field of Information Technology, in 2019, at the national level OEP Coop, through Lutech, holds a share of [0-5%], while Techedge holds a market share of [0-3%]. Therefore, following the operation, the market share of the acquiring Party, already limited, will undergo only a marginal change. It should be noted that there are numerous and qualified competitors in this sector such as Accenture, CapGemini, and NTT Data who hold shares greater than those of the Parties involved in the operation.</w:t>
      </w:r>
    </w:p>
    <w:p>
      <w:r>
        <w:t>20. Similarly, in the aforementioned Information Technology sectors (software maintenance, consulting, software development and integration, training and education), the combined share of the two operators will be reduced and below 5%.</w:t>
      </w:r>
    </w:p>
    <w:p>
      <w:r>
        <w:t>21. With regard to software services, based on the information made available, both operators hold small market shares, below 1% at the national level. Therefore, following the operation, OEP Coop will hold a combined share of less than [0-5%] in the relevant market, thus not acquiring a position capable of altering the competitive structure of the market itself, also considering the presence of qualified competitors such as Accenture, CapGemini, and NTT Data. This conclusion is confirmed by the data provided regarding the presence of the parties in the individual segments.</w:t>
      </w:r>
    </w:p>
    <w:p>
      <w:r>
        <w:t>22. In conclusion, considering the market shares held by the parties involved and the presence of significant competitors, the operation under examination does not appear to be capable of substantially altering the structure and competitive dynamics of the affected markets.</w:t>
      </w:r>
    </w:p>
    <w:p>
      <w:r>
        <w:t>CONSIDERING, therefore, that the operation under examination does not result, pursuant to Article 6, paragraph 1, of Law No. 287/90, in the establishment or strengthening of a dominant position in the relevant markets, such as to eliminate or substantially and durably reduce competition;</w:t>
      </w:r>
    </w:p>
    <w:p>
      <w:r>
        <w:t>BULLETIN NO. 34 OF AUGUST 24, 2020 59</w:t>
        <w:br/>
        <w:t>RESOLVES</w:t>
        <w:br/>
        <w:t>not to initiate the investigation referred to in Article 16, paragraph 4, of Law 287/90. The above conclusions will be communicated, pursuant to Article 16, paragraph 4, of Law No. 287/90, to the interested companies and to the Minister of Economic Development. This provision will be published in the Bulletin of the Antitrust Authority.</w:t>
      </w:r>
    </w:p>
    <w:p>
      <w:r>
        <w:t>THE SECRETARY GENERAL THE PRESIDENT</w:t>
        <w:br/>
        <w:t>Filippo Arena Roberto Rustichelli</w:t>
      </w:r>
    </w:p>
    <w:p>
      <w:r>
        <w:rPr>
          <w:b/>
        </w:rPr>
        <w:t>[Pages 58–60]</w:t>
      </w:r>
    </w:p>
    <w:p>
      <w:r>
        <w:t>60 BULLETIN NO. 34 OF AUGUST 24, 2020</w:t>
        <w:br/>
        <w:t>TELEVISION RIGHTS</w:t>
        <w:br/>
        <w:t>SR36 - LEGA PRO/GUIDELINES FOR THE MARKETING OF AUDIOVISUAL RIGHTS</w:t>
        <w:br/>
        <w:t>SEASONS 2020/2021, 2021/2022 AND 2022/2023</w:t>
        <w:br/>
        <w:t>Provision No. 28335</w:t>
        <w:br/>
        <w:t>THE AUTHORITY FOR THE GUARANTEE OF COMPETITION AND THE MARKET</w:t>
        <w:br/>
        <w:t>IN ITS MEETING of August 4, 2020;</w:t>
        <w:br/>
        <w:t>HEARD the Rapporteur Professor Michele Ainis;</w:t>
        <w:br/>
        <w:t>HAVING REGARD to Law No. 287 of October 10, 1990;</w:t>
        <w:br/>
        <w:t>HAVING REGARD to Legislative Decree No. 9 of January 9, 2008, concerning the Regulation of ownership and marketing of sports audiovisual rights and the related distribution of resources;</w:t>
        <w:br/>
        <w:t>HAVING REGARD to Article 6, paragraph 1, of the aforementioned Legislative Decree, according to which the Italian Professional Football League is required to predetermine, for the football competitions under its jurisdiction, guidelines "for the marketing of audiovisual rights containing rules regarding the offer and assignment of the audiovisual rights themselves, criteria regarding the formation of the related packages and the further rules" provided by the decree in order to guarantee participants in the competitive procedures "conditions of absolute fairness, transparency, and non-discrimination";</w:t>
        <w:br/>
        <w:t>HAVING REGARD to Article 6, paragraph 6, of the same Legislative Decree, which establishes that the Authority for Guarantees in Communications and the Authority for the Guarantee of Competition and the Market shall verify, for their respective areas of competence, the compliance of the guidelines with the principles and provisions of Legislative Decree No. 9/2008 and approve them within sixty days of receipt;</w:t>
        <w:br/>
        <w:t>HAVING REGARD to the Guidelines, pursuant to Legislative Decree No. 9/2008, for the sports seasons 2020/2021, 2021/2022, and 2022/2023, transmitted by the Italian Professional Football League with a note dated July 7, 2020;</w:t>
        <w:br/>
        <w:t>HAVING REGARD to the public consultation convened by the Authority with resolution dated July 14, 2020;</w:t>
        <w:br/>
        <w:t>HAVING REGARD to the contribution provided on July 23, 2020, by a communication operator;</w:t>
        <w:br/>
        <w:t>CONSIDERING the following:</w:t>
        <w:br/>
        <w:t>I. THE ITALIAN PROFESSIONAL FOOTBALL LEAGUE</w:t>
        <w:br/>
        <w:t>1. The Italian Professional Football League (hereinafter also referred to as Lega Pro) is the private association of football clubs registered in the Single Division Championship. Among the tasks assigned to Lega Pro are the organization and management of the Single Division Championship – structured in the Regular Season, Play Off, and Play Out tournaments – and the events of the Coppa Italia di Lega Pro and the Supercoppa di Lega Pro.</w:t>
        <w:br/>
        <w:t>II. THE CONTENTS OF THE GUIDELINES</w:t>
        <w:br/>
        <w:t>2. Below are summarized the main contents of the guidelines prepared by Lega Pro, as communicated by the aforementioned association on July 7, 2020.</w:t>
        <w:br/>
        <w:t>3. The Guidelines in question govern the sports audiovisual and radio rights pertaining to the following football competitions, organized by Lega Pro for the sports seasons 2020/2021,</w:t>
      </w:r>
    </w:p>
    <w:p>
      <w:r>
        <w:t>BULLETIN NO. 34 OF AUGUST 24, 2020 61</w:t>
        <w:br/>
        <w:t>2021/2022 and 2022/2023: Single Division Championship, the Play Off and Play Out tournaments, the Coppa Italia di Lega Pro tournament, and the Supercoppa di Lega Pro tournament.</w:t>
        <w:br/>
        <w:t>4. For the mentioned competitions, Lega Pro will proceed with the centralized sale of primary audiovisual rights (first broadcast rights of the events) and secondary rights (rights to broadcast replays, summaries, and highlights of the events) through the development of rights packages that provide for television transmission modes (satellite and digital terrestrial), radio, and via IP protocol, which differ from each other depending on the exclusivity or non-exclusivity of their exploitation.</w:t>
        <w:br/>
        <w:t>a. The COVID Emergency</w:t>
        <w:br/>
        <w:t>5. As a preliminary matter, Lega Pro, in presenting the Guidelines, drew attention to the ongoing emergency situation related to the COVID-19 epidemic, which will inevitably have repercussions on the football events organized by Lega Pro in terms of significant reductions in all major sources of revenue (audiovisual rights, sponsorships, merchandising, ticket sales) despite the resumption of competitions on June 27 with an abbreviated format. Lega Pro therefore intends to market audiovisual rights as effectively as possible, immediately exploring strategies to proceed more flexibly, always and in any case in compliance with the principles of transparency and non-discrimination.</w:t>
        <w:br/>
        <w:t>b. The "Serie C TV" Channel</w:t>
        <w:br/>
        <w:t>6. As already occurred in previous marketing cycles, Lega Pro, also in light of a persistent lack of interest from national communication operators, has resorted to what is provided for in Article 13 of the Melandri Decree, namely the direct distribution to its fans of all matches of the competitions it organizes, through the pay channel called "Serie C TV," available on the multichannel distribution platform "Eleven Sports."</w:t>
        <w:br/>
        <w:t>7. Lega Pro has found in the direct distribution of matches an effective, as well as direct, tool to meet the needs of fans interested in following their favorite team, not only at home but also away, as well as a tool for fan loyalty, having proven suitable for creating a substantial "fan base."</w:t>
        <w:br/>
        <w:t>8. After an initial free period, from the 2016/2017 sports season, Lega Pro decided to continue providing the service through the paid web channel, always and in any case in the form of self-production, adopting a very contained cost policy.</w:t>
        <w:br/>
        <w:t>c. Criteria for Marketing and Package Formation</w:t>
        <w:br/>
        <w:t>9. Lega Pro, while reserving the right to modify the Packages at the time of their formal publication on the official website, has indicated in the Guidelines transmitted on July 7, 2020, some criteria for their marketing, summarized below.</w:t>
        <w:br/>
        <w:t>10. Each individual Package will grant the license for the exercise of Audiovisual Rights on a single Platform. Only the Packages related to the live broadcast of matches on national territory, if they are subject to marketing, may provide for the so-called "product distribution," with consequent freedom of choice of the broadcasting Platform.</w:t>
        <w:br/>
        <w:t>11. In the event of a negative outcome of the competitive procedure, Lega Pro has the option to market, in subsequent procedures, new Packages, prepared by merging existing ones or through separate licensing of the individual rights that are part of the Package or other Packages.</w:t>
        <w:br/>
        <w:t>12. Lega Pro will take into account the primary communication and visibility needs of the Sports Companies participating in the Competitions, and for this reason, Packages may also be developed that provide for rights for the cumulative distribution of Events from all groups or from a single group.</w:t>
        <w:br/>
        <w:t>13. The Packages containing rights for the distribution of live broadcasts of Events of individual Sports Companies via Satellite Platform (DTH) or Digital Terrestrial Platform (DTT) will be prepared to ensure the distribution of all matches played away by the aforementioned teams, with the option to include within the same Packages also the home matches of the same, provided that such construction of the Package may prove economically advantageous for Lega Pro.</w:t>
        <w:br/>
        <w:t>14. The content of the Packages will be determined by Lega Pro taking into account both the requests of Communication Operators and the needs of users and fans regarding the product, and the signal must be made available to Lega Pro even in the event that the Licensee of the Audiovisual Rights is authorized and intends to integrate the production of Lega Pro, specifying in the invitations the minimum quality standards required.</w:t>
        <w:br/>
        <w:t>15. Lega Pro will decide, as occurred in the previous sales cycle, to license the audiovisual rights for one, two, or three years, depending on the needs that will arise during the procedures, taking into account the emergency situation that will continue even during the next sports season.</w:t>
        <w:br/>
        <w:t>d. Types of Packages</w:t>
        <w:br/>
        <w:t>16. Based on the criteria mentioned above, Lega Pro could offer the market, in relation to the 2020/2021 Sports Season, Packages of Audiovisual Rights having the following characteristics:</w:t>
        <w:br/>
        <w:t>a) possible exclusive national distribution of "live" and/or "highlights": one or more Packages could be prepared for the "live" broadcast, on any Platform, of matches chosen by the Licensee or Packages for the "live" broadcasts of the matches of a single team or a group of teams (also at the choice of the Licensee). The highlights of all Competitions could be included within the aforementioned live Packages, or could be distributed individually for each Competition (Championship, Coppa Italia, and Supercoppa) or phase of Competition (Regular Season, Play Off, and Play Out) within specific Packages;</w:t>
        <w:br/>
        <w:t>b) possible exclusive local distribution of the "live" Events of the Regular Season or the "live" Events of the Play Off and Play Out, Coppa Italia, and Supercoppa: Packages could be prepared, in agreement with the interested sports companies, for the distribution, free or paid, on any Platform, of the "live" Events of the Regular Season played away by a single team, also aggregating the Events into Packages intended for macro regional areas, even with a limit on broadcasts related to the single team. Packages could also be prepared for distribution on any Platform, free or paid, of the "live" Events played away by one or more teams in the Play Off and Play Out phase. In the description of the Package, it may be provided that if a single external Event is "chosen" for live broadcast by the communication operator licensee of the Audiovisual Rights for national distribution, the local Licensee will be required to broadcast the Event exclusively in a pay-per-view mode and the agreed fee will be proportionally reduced;</w:t>
        <w:br/>
        <w:t>c) exclusive local distribution of "delayed broadcasts": Packages could be prepared for the free distribution of "delayed broadcasts" of all Events of the Regular Season of the Championship, of Coppa Italia (excluding the Events of the semifinals and final) played by a single team, or Packages for the distribution, free or paid, of the "delayed broadcasts" of the Events of Play Off and Play Out, of the semifinals and finals of Coppa Italia and the Supercoppa;</w:t>
      </w:r>
    </w:p>
    <w:p>
      <w:r>
        <w:rPr>
          <w:b/>
        </w:rPr>
        <w:t>[Pages 61–63]</w:t>
      </w:r>
    </w:p>
    <w:p>
      <w:r>
        <w:t>BULLETIN NO. 34 OF AUGUST 24, 2020 63</w:t>
        <w:br/>
        <w:t>d) non-exclusive audiovisual transmission at the national or local level of "related images" (so-called stadium - studio): packages could be prepared containing the non-exclusive right to create and broadcast, live and free-to-air, exclusively via satellite and/or digital terrestrial transmission methods, sports programs of the type "stadium - studio," aired live during the Regular Season matches (excluding Play Off and Play Out Events) and the Coppa Italia (excluding semifinals and finals) played by a single Sports Club, or by multiple Sports Clubs; in conjunction with the package of a single Sports Club, the corresponding highlights may also be licensed non-exclusively. Additionally, packages may be prepared for the distribution, free-to-air or paid, of the "stadium - studio" programs of the Play Off and Play Out Events, the semifinals and finals of the Coppa Italia, and the Supercoppa.</w:t>
      </w:r>
    </w:p>
    <w:p>
      <w:r>
        <w:t>e) non-exclusive distribution at the national or local level of "highlights" and/or "related images": in coordination and taking into account the content of the package(s) referred to in point a), packages could be prepared for the distribution, within sponsored in-depth programs and/or talk shows, of "highlights," lasting three to five minutes, of each Event of the Regular Season of the Championship and the Coppa Italia (excluding semifinals and finals) played by all participating Sports Clubs, or of the Play Off and Play Out Events, the Events of the semifinals and finals of the Coppa Italia, as well as the Supercoppa;</w:t>
      </w:r>
    </w:p>
    <w:p>
      <w:r>
        <w:t>f) exclusive radio broadcasting: packages of rights for live broadcasting, in full or in excerpts, of the radio commentary of all Events of the Regular Season of the Championship and the Coppa Italia (excluding the Events of the semifinals and finals) played by a single team, or of the Play Off and Play Out Events, the Events of the semifinals and finals of the Coppa Italia, as well as the Supercoppa, could be prepared;</w:t>
      </w:r>
    </w:p>
    <w:p>
      <w:r>
        <w:t>g) non-exclusive "web commentary" rights via IP Platform: packages could be prepared containing the non-exclusive right to carry out, live free or pay, via IP Platform, the so-called "web commentary" (textual commentary) of all Events of the Regular Season of the Championship and the Coppa Italia (excluding the Events of the semifinals and finals) played by a single team, or of the Play Off and Play Out Events, the Events of the semifinals and finals of the Coppa Italia, as well as of the Supercoppa;</w:t>
      </w:r>
    </w:p>
    <w:p>
      <w:r>
        <w:t>h) non-exclusive distribution of "highlights" and/or "related images" via IP Platform: packages could be prepared containing the rights for non-exclusive transmission via IP Platform, live and/or free-to-air, of a commentary and in-depth program according to the "stadium/studio" format during all Events of the Regular Season of the Championship and the Coppa Italia (excluding the Events of the semifinals and finals) played by a single team, or of the Events of the Play Off and Play Out tournaments, the Events of the semifinals and finals of the Coppa Italia, as well as of the Supercoppa. During the program, web commentary will not be allowed, but only updates on the progress of the Event will be communicated, in accordance with the provisions of the regulation for the exercise of the right to report AGCOM;</w:t>
      </w:r>
    </w:p>
    <w:p>
      <w:r>
        <w:t>i) Scouting database: a non-exclusive package could be prepared relating to the delayed images of all Events of the Regular Season, Play Off, and Play Out of the Championship (in its division into three Groups), of the Coppa Italia and of the Supercoppa to be used exclusively for scouting purposes: the images may be inserted into a database and made available only to professionals, entities, and companies interested in the service, with express exclusion of any other use.</w:t>
      </w:r>
    </w:p>
    <w:p>
      <w:r>
        <w:t>64 BULLETIN NO. 34 OF AUGUST 24, 2020</w:t>
        <w:br/>
        <w:t>e. General rules of offer and competitive procedure</w:t>
        <w:br/>
        <w:t>17. The "General License Conditions," which will be detailed in the invitations to offer, provide that only Communication Operators who possess the necessary qualification, if required by current regulations, for the distribution of audiovisual content on the distribution platform provided by the relevant package may become Licensees of one or more Packages of Audiovisual Rights, and that guarantee the requirements analytically described in the Guidelines regarding the possession of an adequate organizational structure to broadcast the events provided in each package.</w:t>
      </w:r>
    </w:p>
    <w:p>
      <w:r>
        <w:t>18. Furthermore, the awardee of the packages will be required to comply with certain specific obligations regarding access to stadiums, transmission of the Lega Pro signal, and protection and promotion of the image of the competitions organized by this entity, more analytically illustrated in paragraph 7 of the Guidelines.</w:t>
      </w:r>
    </w:p>
    <w:p>
      <w:r>
        <w:t>19. Lega Pro will proceed with the commercialization of the Packages of Audiovisual Rights, pursuant to art. 7 of the Decree, through a specific competitive procedure in which Communication Operators and Intermediaries may participate. Notice of the start of this procedure and the deadlines for submitting offers will be given on the official website of Lega Pro, simultaneously with the publication of the invitation forms, within which the content of the individual Packages will be detailed.</w:t>
      </w:r>
    </w:p>
    <w:p>
      <w:r>
        <w:t>20. The minimum price of the individual Packages will be determined according to reasonableness and in consideration of market prices and dynamics, the value of the product, and the needs of fans.</w:t>
      </w:r>
    </w:p>
    <w:p>
      <w:r>
        <w:t>21. The submission of offers, which must relate to a single and autonomous Package, as well as being free of any type of condition, by the operators must occur in formal ways analytically described in point 10 of the Guidelines, differing depending on whether the Packages are non-exclusive or exclusive.</w:t>
      </w:r>
    </w:p>
    <w:p>
      <w:r>
        <w:t>22. Following the opening of the envelopes, a ranking of the offers that have exceeded the minimum price will be drawn up, and if no irregularities are found in the documentation provided or in the payment, Lega Pro will proceed to award the Package to the bidder who submitted the highest offer. If no offers exceeding the minimum price are received, Lega Pro will have the right, pursuant to art. 8, paragraph 4 of the Decree, after notifying the Authority, to revoke the offer of the Package.</w:t>
      </w:r>
    </w:p>
    <w:p>
      <w:r>
        <w:t>23. In any case, the packages cannot be awarded at the end of the competitive procedure to Communication Operators against whom a dispute, even extrajudicial, is pending with Lega Pro for the failure or delayed payment of the fees provided for by the licensing contracts of the previous seasons to the current one, unless the operator has deposited, together with the offer, a bank guarantee on first request (according to the model prepared by Lega Pro) for the payment of any accrued and unpaid fees.</w:t>
      </w:r>
    </w:p>
    <w:p>
      <w:r>
        <w:t>24. Lega Pro will use the tool of private negotiation for the licensing of Audiovisual Rights only in the event of a negative outcome of the competitive procedure (due to lack of offers, failure to reach the minimum price of the same, for reasons of extreme urgency, or for any other reason that does not allow the awarding of the Packages).</w:t>
      </w:r>
    </w:p>
    <w:p>
      <w:r>
        <w:t>25. In this case:</w:t>
        <w:br/>
        <w:t>a) if two or more communication operators express interest in purchasing the Package, a series (regulated in the Invitation) of bids will be called among the aforementioned subjects, with the procedure closing with the submission of the offer in a sealed envelope or via PEC. The Package will be awarded to the subject who offers the highest price;</w:t>
      </w:r>
    </w:p>
    <w:p>
      <w:r>
        <w:t>BULLETIN NO. 34 OF AUGUST 24, 2020 65</w:t>
        <w:br/>
        <w:t>b) if, on the other hand, only one communication operator expresses interest in purchasing the Package, a true negotiation will be conducted, which will conclude with the awarding or not of the Audiovisual Rights.</w:t>
      </w:r>
    </w:p>
    <w:p>
      <w:r>
        <w:t>26. The eventual failure to award Packages means that the related Audiovisual Rights may be marketed or exercised directly by the individual sports clubs, pursuant to art. 11, paragraph 3 of the Decree, and therefore will not be marketed by Lega Pro exclusively.</w:t>
      </w:r>
    </w:p>
    <w:p>
      <w:r>
        <w:t>III. THE PUBLIC CONSULTATION</w:t>
        <w:br/>
        <w:t>27. On July 14, 2020, the public consultation concerning the Guidelines prepared by Lega Pro, transmitted on July 7, 2020, was initiated.</w:t>
      </w:r>
    </w:p>
    <w:p>
      <w:r>
        <w:t>28. On July 23, a contribution to the public consultation was received from a television operator who made observations regarding the composition of the packages, some provisions of the general license conditions - with particular reference to the regulation of the allocation of contractual risk in the event of interruption of competitions due to force majeure - the publication of the tariff for the cost of the signal, and some provisions regarding the awarding procedure.</w:t>
      </w:r>
    </w:p>
    <w:p>
      <w:r>
        <w:t>29. Regarding the packages, the contribution received notes an indeterminacy in Point 6, letter a), of the Guidelines where it is not clear whether the highlights of the matches are included in the live packages. This indeterminacy is attributed to excessive discretion of Lega Pro in determining the content of the packages. The contribution suggests confirming the choice made by Lega Pro in previous cycles of commercialization of rights, including from the outset in each Package the right for the Licensee to broadcast the highlights of each match of the competitions in addition to the ability to create a dedicated audiovisual product containing highlights of each matchday of the Regular Season of the Championship or each round of the Coppa Italia.</w:t>
      </w:r>
    </w:p>
    <w:p>
      <w:r>
        <w:t>30. In the contribution of July 23, 2020, it is also noted that the Guidelines place entirely and exclusively on the Licensee the risk of the subsequent impossibility of performance due to any force majeure causes, including the health emergency related to Covid-19 (letter h), chap. VI), highlighting an excessive contractual imbalance to the detriment of the licensee in contrast with the provisions of the civil code, considering the high likelihood that the championship may not start or may be interrupted, as indicated by Lega Pro itself in the Premises of the Guidelines. A similar contractual imbalance is also noted regarding the provision of the section dedicated to the negotiation procedure where advance payment by bank transfer of the entire amount offered as a deposit for the submitted offer is established, whereas in previous cycles of commercialization, the possibility of staggered payment was provided.</w:t>
      </w:r>
    </w:p>
    <w:p>
      <w:r>
        <w:t>31. Finally, the contribution received highlights that the Guidelines establish that the Licensee is responsible for the payment of the cost of the signal with a provision that is not found in previous editions of the Guidelines. In this regard, it is requested that the tariff be published with the details of the individual items to allow interested parties to make their assessments regarding the Packages offered on the market.</w:t>
      </w:r>
    </w:p>
    <w:p>
      <w:r>
        <w:rPr>
          <w:b/>
        </w:rPr>
        <w:t>[Pages 64–66]</w:t>
      </w:r>
    </w:p>
    <w:p>
      <w:r>
        <w:t>66 BULLETIN NO. 34 OF AUGUST 24, 2020</w:t>
        <w:br/>
        <w:t>IV. EVALUATIONS</w:t>
        <w:br/>
        <w:t>a) Preliminary considerations</w:t>
        <w:br/>
        <w:t>32. Pursuant to Article 6, paragraph 1, of Legislative Decree No. 9/2008, the guidelines must provide rules regarding the offer and assignment of audiovisual rights, criteria for the formation of the related packages, and additional rules to ensure that participants in competitive procedures are provided with conditions of absolute fairness, transparency, and non-discrimination.</w:t>
        <w:br/>
        <w:t>33. In this context, the Authority is called upon to examine the guidelines in question for the purpose of their approval, after verifying, for the relevant aspects, their compliance with the principles and provisions of the aforementioned Decree (Article 6, paragraph 6). The evaluations that follow therefore leave the Authority's power to supervise the correct application of Legislative Decree No. 9/2008 and the Guidelines intact, using the powers provided by Law No. 287 of October 10, 1990 (Article 20 of Legislative Decree No. 9/2008).</w:t>
        <w:br/>
        <w:t>34. That said, the considerations made in this provision regarding the structure chosen for the packages of the rights in question and some bidding rules that Lega Pro intends to adopt for their assignment apply only to the Guidelines submitted for this evaluation by the Authority and take into account the context of low appeal of the rights in question and the objective of ensuring an economic return to the professional football movement of Lega Pro, especially in the current period characterized by the Covid-19 emergency.</w:t>
        <w:br/>
        <w:t>35. In this regard, it is worth emphasizing that the evaluations made take into account the current regulatory framework outlined by both national and community antitrust legislation and by the Melandri Decree regarding the collective sale of audiovisual rights related to sporting events. It has not been modified in any section by the emergency interventions of recent months and aims to ensure benefits both to the organizing entity of the events in terms of maximizing profit to be reinvested in sports, and to the final consumer who benefits from a reduction in the overall level of prices through the correct competitive comparison among the players who receive a large part of their income from the advertising revenue associated with the broadcast of the event.</w:t>
        <w:br/>
        <w:t>b) On the criteria for the formation of packages.</w:t>
        <w:br/>
        <w:t>36. With reference to the level of detail of the criteria for the formation of packages, at the time of presenting the Guidelines, Lega Pro did not proceed with an analytical articulation of the packages, limiting itself to describing the types of groups of distinct packages depending on the national and/or local scope of the exclusivity granted for live and delayed broadcasts to be transmitted in different ways (TV, radio, and IP Protocol). It is noted that the description of the specific contents of the packages must be evaluated in light of the need to provide a minimum number of information suitable to allow an assessment regarding compliance with the guiding principles of the Decree, as well as the limits set by it, with particular regard to the characteristics of the events – such as their appeal – from which follows the possibility of proposing to the public the events of greater interest.</w:t>
        <w:br/>
        <w:t>37. That said, it is emphasized that, following the publication of the invitations to offer, the eventual assessment of the compliance of the concrete formulation of the packages, as well as the subsequent assignment of the rights, remains unaffected, pursuant to national and community legislation and Article 8 of the Melandri Decree. The Authority, in fact, believes that national and community legislation on competition is sufficient to allow intervention where Lega Pro, in the concrete preparation of the packages and final assignment, does not adhere to the Authority's indications and such behavior harms competition in the acquisition of specific rights and in the downstream markets, to the detriment of consumers.</w:t>
      </w:r>
    </w:p>
    <w:p>
      <w:r>
        <w:t>BULLETIN NO. 34 OF AUGUST 24, 2020 67</w:t>
        <w:br/>
        <w:t>38. Lega Pro intends to structure its offer into different packages. Firstly, one or more packages of live broadcasts at the national level will be subject to invitation to offer, relating to matches that may have a certain appeal in relation to a specific geographical area or the notoriety of a single sports club. At the same time, the Guidelines provide for the structuring of a series of exclusive and non-exclusive packages related to local broadcasts, in order to incentivize the specific demand coming from fans linked to the teams of the geographical area of belonging.</w:t>
        <w:br/>
        <w:t>39. With specific reference to the national television market, it is noted that Lega Pro plans to sell audiovisual rights by preparing multiple packages. The provision of different packages to be sold, although not necessarily required by the Decree (pursuant to Articles 7, paragraph 8, and 9, paragraph 4) for the rights in question, is suitable to expand competitive comparison among operators, as well as the contestability and access to the audiovisual rights subject to these Guidelines. Therefore, the circumstance that Lega Pro has provided for a plurality of packages is positively welcomed.</w:t>
        <w:br/>
        <w:t>40. Once this solution is adopted, it would also be desirable that, in light of what emerged during the consultation, the mechanisms for selecting the events that make up the individual packages are such as to guarantee their appeal and an effective competitive comparison among the interested operators awarded. The criteria adopted must lead to the preparation of packages that comply with the principles of fairness, transparency, and non-discrimination, with specific reference to the actual balance among them, especially in qualitative terms and the appeal of the events, possibly evaluating in this perspective the possibility of grouping in the packages for live broadcasts also the highlights related to the included events, where such a solution may represent an element to increase the appeal of each package.</w:t>
        <w:br/>
        <w:t>c) On the assignment criteria.</w:t>
        <w:br/>
        <w:t>41. In general, it is believed that the rules set out in the guidelines in question regarding the offer and assignment of audiovisual rights, and in particular the provision of a minimum offer price, the criteria for determining it, and the use of selective competitive procedures, are currently suitable to allow full and impartial competition among participants, in accordance with Article 6, paragraph 1, of Legislative Decree No. 9/2008.</w:t>
        <w:br/>
        <w:t>42. With reference to the marketing criteria, it is stated that Lega reserves the right to modify the packages, with respect to their configuration in the Guidelines, at the time of publication of the invitations to offer, while maintaining the criteria for their formation unchanged.</w:t>
        <w:br/>
        <w:t>43. Given the low interest of operators highlighted by Lega Pro, evidenced by the negative trend recorded in recent years in the marketing of audiovisual rights for Lega Pro championships, the possibility for users to use an alternative and low-cost mode, represented by the "Serie C TV" Channel, a margin of flexibility in modifying the packages can be considered acceptable, also taking into account the current emergency situation related to the Covid-19 epidemic.</w:t>
        <w:br/>
        <w:t>44. Regarding the duration of the licenses, it is recalled that, pursuant to paragraphs 1 and 2 of Article 10 of the Melandri Decree, license contracts must have a maximum duration of three years or, in any case, a maximum duration that ensures equal treatment of all communication operators. That said, the provision of licenses for a shorter duration, as proposed in the Guidelines presented by Lega Pro, is not in itself in conflict with the aforementioned provisions, remaining the necessity to prepare balanced and truly valuable packages that ensure the enhancement of the marketed rights.</w:t>
        <w:br/>
        <w:t>45. Regarding the sales procedures, the use of open competitive procedures is considered fundamental, where private negotiations should represent a residual hypothesis in the sales strategy of Lega Pro. In this way, competitive comparison and contestability of rights among the widest range of operators are favored. Due to the residual nature of private negotiation instead of resorting to open competitive procedures, it would be appropriate to limit the cases in which private negotiation can be resorted to specific cases of strict interpretation.</w:t>
        <w:br/>
        <w:t>46. The conduct of open procedures is, moreover, not incompatible with the need to quickly reach the assignment of rights, in order to obtain the necessary revenues to ensure the organization of events. In this sense, solutions such as, by way of example, the shortening of the time for conducting the competitions and the identification of a minimum price suitable for the content of each package are relevant.</w:t>
        <w:br/>
        <w:t>47. In this regard, the importance of defining a minimum price suitable for the content of each package and such as to minimize the possibility that the sale of one or more packages has a negative outcome should be emphasized. This appears justifiable in the specific case of the rights related to Lega Pro competitions as it aims to maintain the overall appeal of the packages offered, considering the lower appeal of such rights compared to those of competitions organized by other sports leagues. However, it is deemed necessary that the minimum price be set in such a way as to avoid that such a faculty artificially generates a minimum price of the overall offer that does not find correspondence in the provisions of the Decree, generating a high degree of uncertainty regarding the entire assignment of rights.</w:t>
        <w:br/>
        <w:t>48. As mentioned, in order to give greater visibility to sporting and institutional events, Lega Pro has created its thematic channel "Serie C TV" to which the user can access upon payment of a fee. The initiative, already implemented during previous sports seasons, provides an additional distribution platform in competition with others through which matches can be broadcast, increases the overall offer available to the final user, and ensures the visibility of events that do not attract the interest of traditional television operators. On the other hand, the presence of multiple rights holders for the same events generates greater competition in the market with evident benefits for consumers.</w:t>
        <w:br/>
        <w:t>49. The identification of the sports clubs for which to market the live television broadcasts of external matches, based on the expressions of interest expressed by broadcasters, appears to be a mechanism suitable to guarantee the possibility of choice for communication operators, as well as the prerogatives of individual clubs.</w:t>
        <w:br/>
        <w:t>50. As for the transmission of events by the League through the Channel, it is believed that it does not create distortions in the television markets, harming the position of the operators awarded the rights, as the Channel will only be conveyed on the internet platform. Furthermore, the broadcasts by the Channel will determine the absence of an absolute exclusivity resulting from the coexistence of multiple distribution platforms for the same product, with multiple rights holders for the same events, with the consequent increase in the overall offer, to the benefit of the final consumer. The transmission of unsold events by the Channel, finally, will guarantee consumers access to all matches played within the competitions organized by Lega Pro.</w:t>
        <w:br/>
        <w:t>CONSIDERING that the Authority's power to assess the compliance of the invitations to offer and the sales procedure of the audiovisual rights subject to this proceeding with national and community antitrust legislation and Legislative Decree No. 9/2008 remains unaffected and to proceed with the verification of any violations of the aforementioned legislation in the event that Lega Pro, in the concrete preparation of the packages and final assignment, does not adhere to the Authority's indications and such behavior harms competition in the acquisition of specific rights and in the downstream markets, to the detriment of consumers.</w:t>
      </w:r>
    </w:p>
    <w:p>
      <w:r>
        <w:rPr>
          <w:b/>
        </w:rPr>
        <w:t>[Pages 67–69]</w:t>
      </w:r>
    </w:p>
    <w:p>
      <w:r>
        <w:t>BULLETIN NO. 34 OF AUGUST 24, 2020 69</w:t>
        <w:br/>
        <w:t>CONSIDERED, therefore, that it can approve, for the reasons and within the limits stated in the motivation, the guidelines under examination pursuant to Article 6, paragraph 6, of Legislative Decree No. 9/2008;</w:t>
      </w:r>
    </w:p>
    <w:p>
      <w:r>
        <w:t>RESOLVES</w:t>
        <w:br/>
        <w:t xml:space="preserve">to approve, pursuant to Article 6, paragraph 6, of Legislative Decree No. 9/2008, for the reasons and within the limits stated in the motivation, the guidelines of the Italian Professional Football League submitted on July 7, 2020, concerning the marketing of sports audiovisual rights related to the sports seasons 2020/2021, 2021/2022, and 2022/2023. </w:t>
        <w:br/>
        <w:t>This provision will be notified to the interested parties and will be published in the Bulletin of the Competition and Market Authority.</w:t>
      </w:r>
    </w:p>
    <w:p>
      <w:r>
        <w:t>THE SECRETARY GENERAL THE PRESIDENT</w:t>
        <w:br/>
        <w:t>Filippo Arena Roberto Rustichelli</w:t>
      </w:r>
    </w:p>
    <w:p>
      <w:r>
        <w:t>70 BULLETIN NO. 34 OF AUGUST 24, 2020</w:t>
        <w:br/>
        <w:t>REPORTING AND CONSULTATIVE ACTIVITY</w:t>
        <w:br/>
        <w:t>AS1692 - MUNICIPALITY OF MELZO (MI) - MANAGEMENT OF CEMETERY SERVICES</w:t>
        <w:br/>
        <w:t>Rome, July 16, 2020</w:t>
        <w:br/>
        <w:t>Municipality of Melzo</w:t>
        <w:br/>
        <w:t>With reference to the request for an opinion made by this Municipality regarding the assignment of cemetery services and the possible violation by the company Melzomarmi srl of the obligations of corporate separation, governed by Article 8, paragraph 2-bis and ter of Law No. 287/1990 and referred to in Article 75 of the Law of the Lombardy Region No. 33/2009 in the specific matter of funeral services, the Authority, in its meeting of July 2020, intended to formulate the following observations pursuant to Article 22 of Law No. 287/90.</w:t>
        <w:br/>
        <w:t>Article 8, paragraph 2-bis and ter of Law No. 287/1990 provides that companies managing services of general economic interest or operating in a monopoly regime in the market, “if they intend to carry out activities in different markets [...], operate through separate companies.”</w:t>
        <w:br/>
        <w:t>The obligation of corporate separation governed by the norm is primarily aimed at excluding the risk that companies holding special or exclusive rights may benefit from unjustified competitive advantages attributable to the possibility of implementing cross-subsidy practices between reserved activities and other services provided in a free market regime.</w:t>
        <w:br/>
        <w:t>Such possible distortions of competition, however, can be avoided through the simple corporate separation between two legal entities, regardless of whether they belong to the same corporate group or are affected by phenomena of cross-shareholdings or more or less complex forms of intertwining between holders of positions and/or shareholdings. The obligation to establish a new company for the conduct of activities in a competitive regime, in fact, implying the burden of producing separate accounting (regardless of whether the new company is controlled by the first or not) creates the necessary transparency capable of neutralizing the risk of possible distortions of competition.</w:t>
        <w:br/>
        <w:t>It is also noted that, as highlighted by the Authority in the context of the report AS988/Proposals for competitive reform for the purposes of the annual law for the market and competition - year 20131, the subjective scope of application of Article 8, paragraph 2-bis, of Law No. 287/90, should exclude, based on an interpretation that effectively takes into account the rationale of the cited norm, the case in which the public service manager is identified following a competitive procedure. In this case, in fact, it cannot be considered that the risk exists that these</w:t>
        <w:br/>
        <w:t>1 AS988 PROPOSALS FOR COMPETITIVE REFORM FOR THE PURPOSES OF THE ANNUAL LAW FOR THE MARKET AND COMPETITION YEAR 2013, in Bulletin No. 38/2012.</w:t>
      </w:r>
    </w:p>
    <w:p>
      <w:r>
        <w:t>BULLETIN NO. 34 OF AUGUST 24, 2020 71</w:t>
        <w:br/>
        <w:t>could export into the competitive market the privileged position acquired by virtue of the award.</w:t>
        <w:br/>
        <w:t>Finally, it is observed that the obligation of separation governed by Article 8, paragraph 2-bis of Law No. 287/90, in addition to being "neutral" with respect to the ownership and control structure of the separated companies, also disregards the turnover requirements of Article 16 of the same law, which pertain to the different issue of controlling concentration operations.</w:t>
        <w:br/>
        <w:t>This opinion will be published in the Bulletin referred to in Article 26 of Law No. 287 of 1990, unless any reasons opposing publication are presented within thirty days from the receipt of this communication.</w:t>
      </w:r>
    </w:p>
    <w:p>
      <w:r>
        <w:t>THE PRESIDENT</w:t>
        <w:br/>
        <w:t>Roberto Rustichelli</w:t>
      </w:r>
    </w:p>
    <w:p>
      <w:r>
        <w:rPr>
          <w:b/>
        </w:rPr>
        <w:t>[Pages 70–72]</w:t>
      </w:r>
    </w:p>
    <w:p>
      <w:r>
        <w:t>72 BULLETIN NO. 34 OF AUGUST 24, 2020</w:t>
        <w:br/>
        <w:t>UNFAIR TRADE PRACTICES</w:t>
        <w:br/>
        <w:t>IP334 - UNILIBRO-PIGGY BANK FUNCTION</w:t>
        <w:br/>
        <w:t>Measure No. 28332</w:t>
        <w:br/>
        <w:t>THE ANTITRUST AUTHORITY</w:t>
        <w:br/>
        <w:t>IN ITS MEETING of August 4, 2020;</w:t>
        <w:br/>
        <w:t>HEARD the Rapporteur Professor Michele Ainis;</w:t>
        <w:br/>
        <w:t>HAVING REGARD to Part II, Title III, of Legislative Decree No. 206 of September 6, 2005, and subsequent amendments (hereinafter, Consumer Code);</w:t>
        <w:br/>
        <w:t>HAVING REGARD in particular to Article 27, paragraph 12, of the Consumer Code, according to which in the event of non-compliance with urgent measures or those prohibiting or removing effects, the Authority applies an administrative pecuniary sanction from 10,000 to 5,000,000 euros and in cases of repeated non-compliance, the Authority may order the suspension of business activity for a period not exceeding thirty days;</w:t>
        <w:br/>
        <w:t>HAVING REGARD to Law No. 689 of November 24, 1981;</w:t>
        <w:b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w:t>
        <w:br/>
        <w:t>HAVING REGARD to its resolution No. 27937 of October 1, 2019, with which the Authority found, among other things, the unfairness of a commercial practice carried out by Mailtrade S.r.l. (hereinafter "Mailtrade"), consisting of providing misleading information on the delivery times of goods not available in stock, indicated as 3/5 days while, in reality, such delivery could occur well beyond that timeframe;</w:t>
        <w:br/>
        <w:t>HAVING REGARD to the documents of the proceeding;</w:t>
        <w:br/>
        <w:t>CONSIDERING the following:</w:t>
        <w:br/>
        <w:t>1. By measure No. 27937 of October 1, 2019, the Authority ruled that the conduct carried out by Mailtrade - consisting of indicating for goods sold on the Unilibro site and not present in its warehouse 3/5 days for delivery, while in reality, this timeframe is purely indicative and non-binding, depending on the shipping times from the publisher - constituted misleading advertising, in violation of Article 21, paragraph 1, letter b), of the Consumer Code, being suitable to mislead the consumer, leading them to make a commercial decision they would not have otherwise made.</w:t>
        <w:br/>
        <w:t>2. In light of the above, the Authority prohibited the further dissemination of the commercial practice.</w:t>
        <w:br/>
        <w:t>3. On January 2, 2020, a compliance report was received from Mailtrade based on which a request for information was sent to the company on March 26, 2020, which was responded to by Mailtrade on May 20, 2020.</w:t>
        <w:br/>
        <w:t>4. From the information provided by the professional, it appears that changes have been made to the Unilibro site. In fact, prior to the Authority's decision, Mailtrade promoted the sale of goods, even those not in stock, specifying that they would be available in a short timeframe, through the wording "available in 3/5 days," already on the page that returned the search results. However, only on the detail page of the individual product were the previously provided indications regarding delivery times further clarified, through the wording "Normally available for shipping in 3/5 working days" and the specification - present within a box that opens when hovering the mouse over this wording - containing the indication that the times indicated were not contractually binding and derived from information received from publishers and distributors.</w:t>
        <w:br/>
        <w:t>5. Following the changes introduced by Mailtrade, the page that returns search results no longer provides an indication regarding delivery times. The indication remains solely within the individual product sheet, where it is specified "Normally available for shipping in 3/5 working days." Hovering the mouse over this wording opens a box where it is indicated "The times indicated here are purely indicative and not contractually binding. They derive from information received from our suppliers."</w:t>
        <w:br/>
        <w:t>6. The conduct currently adopted by the company thus presents the same profile of unfairness already established. Simply removing the indication "available in 3/5 days" from the page that returns search results does not allow for providing the consumer with precise information on delivery times. More specifically, the indication "Normally available for shipping in 3/5 working days," present in the individual product sheet, does not eliminate the misleading nature of the initial wording "available in 3/5 days," being a generic expression that does not allow for understanding that the times for delivery, where the good is not immediately available, are indicative and not contractually binding depending on the suppliers. Moreover, this generic indication - which remains such until the conclusion of the purchase process, where the expected delivery times are never specified, not even before its conclusion - is not necessarily read by the consumer as it only appears when hovering the mouse over the aforementioned wording.</w:t>
        <w:br/>
        <w:t>7. The aforementioned measure, No. 27937 of October 1, 2019, was communicated to the professional on October 8, 2019. Therefore, from the documentary evidence collected, it appears that the practice deemed unfair continued to be disseminated even after the notification date of the decision establishing its unfairness.</w:t>
        <w:br/>
        <w:t>8. In conclusion, the prerequisites for initiating the procedure provided for by Article 27, paragraph 12, of the Consumer Code, aimed at imposing an administrative pecuniary sanction from 10,000 to 5,000,000 euros, are met.</w:t>
        <w:br/>
        <w:t>THEREFORE, CONSIDERING that the established facts constitute a case of non-compliance with the Authority's resolution No. 27937 of October 1, 2019, pursuant to Article 27, paragraph 12, of the Consumer Code;</w:t>
        <w:br/>
        <w:t>RESOLVES</w:t>
        <w:br/>
        <w:t>a) to contest to Mailtrade S.r.l. the violation referred to in Article 27, paragraph 12, of the Consumer Code, for failing to comply with the Authority's resolution of October 1, 2019, No. 27937;</w:t>
        <w:br/>
        <w:t>b) to initiate the procedure for the possible imposition of the pecuniary sanction provided for by Article 27, paragraph 12, of the Consumer Code;</w:t>
        <w:br/>
        <w:t>c) that the person responsible for the procedure is Dr. Giovanna Ragno;</w:t>
      </w:r>
    </w:p>
    <w:p>
      <w:r>
        <w:t>74 BULLETIN NO. 34 OF AUGUST 24, 2020</w:t>
        <w:br/>
        <w:t>d) that the documents of the procedure can be viewed at Direction B, of the General Directorate for Consumer Protection, of the Authority, by the legal representatives of the professional, or by persons delegated by them;</w:t>
        <w:br/>
        <w:t>e) that, within thirty days from the communication of this measure, the interested parties may submit to the Authority written defenses and documents, as well as request to be heard;</w:t>
        <w:br/>
        <w:t>f) that the procedure must be concluded within one hundred twenty days from the date of communication of this measure.</w:t>
        <w:br/>
        <w:t>For the purposes of quantifying the possible pecuniary sanction provided for by Article 27, paragraph 12, of the Consumer Code, Mailtrade S.r.l. is requested to provide a copy of the latest financial statements or suitable accounting documentation certifying the economic conditions in the last year.</w:t>
        <w:br/>
        <w:t>This measure will be communicated to the interested parties and published in the Bulletin of the Antitrust Authority.</w:t>
        <w:br/>
        <w:t>THE SECRETARY GENERAL THE PRESIDENT</w:t>
        <w:br/>
        <w:t>Filippo Arena Roberto Rustichelli</w:t>
      </w:r>
    </w:p>
    <w:p>
      <w:r>
        <w:rPr>
          <w:b/>
        </w:rPr>
        <w:t>[Pages 73–75]</w:t>
      </w:r>
    </w:p>
    <w:p>
      <w:r>
        <w:t>BULLETIN NO. 34 OF AUGUST 24, 2020 75</w:t>
        <w:br/>
        <w:t>PS11783 - THERAPEUTIC BRACELET - THERAPEUTIC CHARACTERISTICS</w:t>
        <w:br/>
        <w:t>Provision No. 28276</w:t>
        <w:br/>
        <w:t>THE AUTHORITY FOR THE GUARANTEE OF COMPETITION AND THE MARKET</w:t>
        <w:br/>
        <w:t>IN ITS MEETING of June 17, 2020;</w:t>
        <w:br/>
        <w:t>HEARD the Rapporteur Dr. Gabriella Muscolo;</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acts of the procedure aimed at verifying the existence of unfair commercial practices in violation of Articles 20, 21, paragraph 1, letter b), 23, letter s), of the Consumer Code by the company BIRO S.r.l.;</w:t>
        <w:br/>
        <w:t>CONSIDERED the following:</w:t>
        <w:br/>
        <w:t>I. FACT</w:t>
        <w:br/>
        <w:t>With a request for intervention received on May 20, 2020, the consumer association Codacons reported the advertisement of the magnetic bracelet called "Therapeutic bracelet," marketed through the website therapeuticbracelet.net by the company BIRO S.r.l., based in San Marino, using claims that tend to support the erroneous belief that the use of such a magnetic bracelet may be effective against various pathologies or physical ailments.</w:t>
        <w:br/>
        <w:t>In particular, the message in question, found on the website therapeuticbracelet.net, advertises the sale at 59.00 euros (instead of 119.00 euros, thanks to a "50% discount") of the magnetic bracelet "Therapeutic bracelet," stating on the homepage that "magnetotherapy improves blood flow" and that this bracelet is "therapeutic" and "helps to have a healthy body by losing weight." In subsequent pages, it is also specified that magnetism "is a natural method used to keep the metabolism active, promoting healthy weight loss and a beautiful physique"; that "It works by mobilizing the positive and negative ions present inside and outside the cells of our body, thus changing the membrane potential and stimulating cellular activity"; that it is "also useful in cases of insomnia, headaches, migraines, arthritis, and joint pain."</w:t>
        <w:br/>
        <w:t>Under the headings "THERAPEUTIC" and "NATURAL WELL-BEING," it is claimed, respectively, that the Therapeutic bracelet "Improves blood circulation, energy, balance, and sleep quality. Much more effective than negative ion bracelets" and that "Magnetotherapy has always helped humans to naturally regain full functionality and usual well-being. Magnets bring rapid benefits to those suffering from ailments and can be used at any age as they are free of contraindications."</w:t>
        <w:br/>
        <w:t>Finally, at the bottom of the title "HOW MAGNETIC THERAPY WORKS," it is stated that "Magnetotherapy is a non-invasive therapy primarily used in the treatment of pain and bone fractures; it is also used to reduce cellulite, as it seems to be effective in reabsorbing edema, improving blood circulation, and reducing inflammation. Electromagnetic fields stimulate blood flow in the area where they are applied, improving blood circulation and decreasing inflammation. This renewed blood flow,</w:t>
      </w:r>
    </w:p>
    <w:p>
      <w:r>
        <w:t>76 BULLETIN NO. 34 OF AUGUST 24, 2020</w:t>
        <w:br/>
        <w:t>increasing the local temperature (+3°) produces vasodilation that alleviates any contracture, promoting:</w:t>
        <w:br/>
        <w:t>- the production of pain-relieving substances (endorphins);</w:t>
        <w:br/>
        <w:t>- the stimulation of cellular metabolism that aids in the formation of protein particles (amino acids);</w:t>
        <w:br/>
        <w:t>- the stimulation of the immune system.</w:t>
        <w:br/>
        <w:t>II. EVALUATIONS</w:t>
        <w:br/>
        <w:t>The elements described above lead to the belief prima facie that the conduct attributed to the professional is carried out in violation of Articles 20, 21, paragraph 1, letter b), 23, letter s), of the Consumer Code.</w:t>
        <w:br/>
        <w:t>In particular, from the perspective of fumus boni iuris, upon initial examination, the practice appears to be incorrect, considering that the professional uses claims aimed at attributing a presumed therapeutic efficacy to the advertised product, in the absence of any evidence from the scientific community, thereby inducing consumers who are more vulnerable due to specific pathologies or physical ailments from which they suffer, to purchase the aforementioned magnetic bracelet based on the erroneous belief that its use may be effective preventively or therapeutically for the treatment of various pathologies or ailments, such as insomnia, headaches, migraines, arthritis, joint pain, overweight, cellulite, and bone fractures.</w:t>
        <w:br/>
        <w:t>From the perspective of periculum in mora, it is noted that the practice is still ongoing, thus continuing to exert its deceptive potential to the detriment of a wide range of consumers affected by the aforementioned pathologies or ailments.</w:t>
        <w:br/>
        <w:t>CONSIDERING that, in light of the above considerations, there are needs of extreme gravity, urgency, and indifference for the precautionary measure of the Authority pursuant to Article 27, paragraph 3, of the Consumer Code and Article 8, paragraph 3, of the Regulation, consisting of:</w:t>
        <w:br/>
        <w:t>i) the current nature of the contested conduct;</w:t>
        <w:br/>
        <w:t>ii) the involvement of less informed or vulnerable consumers due to specific pathologies or physical ailments from which they suffer;</w:t>
        <w:br/>
        <w:t>iii) the exploitation of this circumstance to induce the aforementioned consumers to purchase the advertised product;</w:t>
        <w:br/>
        <w:t>CONSIDERING, therefore, that from the examination of the acts of the procedure, elements emerge that support the necessity to proceed with particular needs of urgency in order to prevent the above-described commercial practice - consisting of inducing less informed or vulnerable consumers due to specific pathologies or physical ailments from which they suffer, through the website therapeuticbracelet.net, to purchase the product "Therapeutic bracelet" on the false assumption of its presumed preventive and/or therapeutic efficacy against various pathologies or physical ailments - from continuing to be disseminated during the course of the substantive procedure;</w:t>
        <w:br/>
        <w:t>CONSIDERING, therefore, that the conditions for the adoption of provisional precautionary measures pursuant to Article 27, paragraph 3, of the Consumer Code and Article 8, paragraph 3, of the Regulation against the aforementioned professional with reference to the website therapeuticbracelet.net exist;</w:t>
        <w:br/>
        <w:t>ORDERS</w:t>
        <w:br/>
        <w:t>a) that, pursuant to Article 27, paragraph 3, of the Consumer Code and Article 8, paragraph 3, of the Regulation, the company BIRO S.r.l., from the date of communication of this provision and during the</w:t>
      </w:r>
    </w:p>
    <w:p>
      <w:r>
        <w:t>BULLETIN NO. 34 OF AUGUST 24, 2020 77</w:t>
        <w:br/>
        <w:t>course of the procedure, eliminate any reference to the presumed preventive and therapeutic efficacy of the product called "Therapeutic bracelet," advertised and marketed through the website therapeuticbracelet.net, with respect to various pathologies or physical ailments;</w:t>
        <w:br/>
        <w:t>b) that the professional submits, within three days from the communication of this provision, a report detailing the initiatives taken in compliance with what is ordered in point a);</w:t>
        <w:br/>
        <w:t>c) that the interested party may, within seven days from the notification of this provision, submit written statements and documents;</w:t>
        <w:b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br/>
        <w:t>This provision will be communicated to the interested parties and published in the Bulletin of the Authority for the Guarantee of Competition and the Market.</w:t>
        <w:br/>
        <w:t>Against this provision, an appeal may be submitted to the TAR for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provision itself.</w:t>
        <w:br/>
        <w:t>THE SECRETARY GENERAL THE PRESIDENT f.f.</w:t>
        <w:br/>
        <w:t>Filippo Arena Gabriella Muscolo</w:t>
      </w:r>
    </w:p>
    <w:p>
      <w:r>
        <w:rPr>
          <w:b/>
        </w:rPr>
        <w:t>[Pages 76–78]</w:t>
      </w:r>
    </w:p>
    <w:p>
      <w:r>
        <w:t>78 BULLETIN NO. 34 OF AUGUST 24, 2020</w:t>
        <w:br/>
        <w:t>PS11783 - THERAPEUTIC BRACELET - THERAPEUTIC CHARACTERISTICS</w:t>
        <w:br/>
        <w:t>Provision No. 28333</w:t>
        <w:br/>
        <w:t>THE AUTHORITY FOR THE GUARANTEE OF COMPETITION AND THE MARKET</w:t>
        <w:br/>
        <w:t>IN ITS MEETING of August 4, 2020;</w:t>
        <w:br/>
        <w:t>HEARD the Rapporteur Dr. Gabriella Muscolo;</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documents of the proceeding;</w:t>
        <w:br/>
        <w:t>VIEWED the communication initiating proceeding PS11783 of July 2, 2020, aimed at verifying the existence of unfair commercial practices in violation of Articles 20, 21, paragraph 1, letter b), and 23, letter s), of the Consumer Code by the company Biro S.r.l.;</w:t>
        <w:br/>
        <w:t>VIEWED the resolution of the Authority of June 17, 2020, which, pursuant to Article 27, paragraph 3, of the Consumer Code, ordered that, from the date of communication of the relevant provision and pending the proceeding, the company Biro S.r.l. eliminate any reference to the alleged preventive and therapeutic effectiveness of the product called "Therapeutic bracelet," advertised and marketed through the website www.therapeuticbracelet.net, concerning various pathologies or physical ailments;</w:t>
        <w:br/>
        <w:t>VIEWED the memorandum submitted by the company Biro S.r.l. on July 20, 2020;</w:t>
        <w:br/>
        <w:t>CONSIDERED the following:</w:t>
        <w:br/>
        <w:t>I. THE FACT</w:t>
        <w:br/>
        <w:t>Based on a report from Codacons, received on May 20, 2020, regarding the advertising of the magnetic bracelet called "Therapeutic bracelet," marketed through the website therapeuticbracelet.net, a proceeding was initiated against the company BIRO S.r.l., based in San Marino, to verify the possible existence of unfair commercial practices, in violation of Articles 20, 21, paragraph 1, letter b), and 23, letter s), of the Consumer Code.</w:t>
        <w:br/>
        <w:t>In particular, the message in question reinforced the erroneous belief that the use of the advertised magnetic bracelet was effective against various pathologies or ailments, promoting its sale at 59.00 euros (instead of 119.00 euros, thanks to a "50% discount"). Furthermore, on the home page, it was stated that "magnetotherapy improves blood flow" and that this bracelet is "therapeutic" and "helps to have a healthy body by losing weight." On subsequent pages, it was then asserted that "Magnetism is a natural method used to keep the metabolism active, promoting healthy weight loss and a beautiful physique"; that (note: magnetism) "Acts by mobilizing the positive and negative ions present inside and outside the cells of our body, thus changing the membrane potential and stimulating cellular activity"; that (note: magnetism is) "Also useful in cases of insomnia, headaches, migraines, arthritis, and joint pain."</w:t>
      </w:r>
    </w:p>
    <w:p>
      <w:r>
        <w:t>BULLETIN NO. 34 OF AUGUST 24, 2020 79</w:t>
        <w:br/>
        <w:t>Under the headings "THERAPEUTIC" and "NATURAL WELL-BEING," it was claimed, respectively, that (note: the Therapeutic bracelet) "Improves blood circulation, energy, balance, and sleep quality. Much more effective than negative ion bracelets" and that "Magnetotherapy has always helped man to naturally regain full functionality and usual well-being. Magnets bring rapid benefits to those suffering from ailments and can be used at any age as they have no contraindications."</w:t>
        <w:br/>
        <w:t>Finally, at the bottom of the title "HOW MAGNETIC THERAPY WORKS," it was stated that "Magnetotherapy is a non-invasive therapy primarily used in the treatment of pain and bone fractures; it is also used to reduce cellulite, as it seems to be effective in reabsorbing edema, improving blood circulation, and reducing inflammation. Electromagnetic fields stimulate blood flow in the area where they are applied, improving blood circulation and decreasing inflammation. This renewed blood flow, increasing local temperature (+3°), produces vasodilation that liquefies any contracture, favoring:</w:t>
        <w:br/>
        <w:t>the production of pain-relieving substances (endorphins);</w:t>
        <w:br/>
        <w:t>the stimulation of cellular metabolism that helps the formation of protein particles (amino acids);</w:t>
        <w:br/>
        <w:t>the stimulation of the immune system."</w:t>
        <w:br/>
        <w:t>The behaviors in question appeared contrary to professional diligence and suitable to induce, in consumers more vulnerable due to specific pathologies or physical ailments from which they suffer (inter alia: insomnia, headaches, migraines, arthritis, and joint pain; overweight; cellulite; bone fractures; etc.), the erroneous belief, in the absence of any reference to an eventual confirmation officially recognized by the scientific community, that the use of the advertised magnetic bracelet, due to its alleged properties, could be effective against such pathologies or ailments, potentially leading the aforementioned consumers to make a commercial decision that they otherwise would not have made, integrating the misleading nature of the practice in question pursuant to Articles 20, 21, paragraph 1, letter b), and 23, paragraph 1, letter s), of the Consumer Code.</w:t>
        <w:br/>
        <w:t>Therefore, based on the aforementioned information acquired in the documents, the investigative proceeding PS11783 was initiated against the company Biro S.r.l., as a professional, pursuant to Article 27, paragraph 3, of the Consumer Code, as well as pursuant to Article 6 of the Regulation, in order to verify the existence of unfair commercial practices in violation of Articles 20, 21, paragraph 1, letter b), and 23, letter s), of the Consumer Code.</w:t>
        <w:br/>
        <w:t>On June 17, 2020, the Authority, following the communication initiating the investigative proceeding, deemed that the conditions for adopting a precautionary measure against the professional existed, pursuant to Article 27, paragraph 3, of the Consumer Code, and pursuant to Article 8, paragraph 3, of the Regulation. In particular, from the perspective of fumus boni iuris, the practice in question appeared prima facie incorrect, considering that the professional used claims aimed at attributing a presumed therapeutic effectiveness to the advertised product, in the absence of any confirmation from the scientific community, thereby inducing the more vulnerable consumers - due to specific pathologies or physical ailments from which they suffer - to purchase the aforementioned product based on the erroneous belief that the use of the advertised magnetic bracelet could be effective against various pathologies or ailments, such as insomnia, headaches, migraines, arthritis, and joint pain, overweight, cellulite, and bone fractures.</w:t>
      </w:r>
    </w:p>
    <w:p>
      <w:r>
        <w:t>80 BULLETIN NO. 34 OF AUGUST 24, 2020</w:t>
        <w:br/>
        <w:t>From the perspective of periculum in mora, it was observed that the practice was still ongoing, thus continuing to exercise its deceptive potential to the detriment of a wide range of consumers affected by the aforementioned pathologies or ailments.</w:t>
        <w:br/>
        <w:t>The Authority therefore ordered that the professional eliminate, from the date of communication of the precautionary measure and pending the proceeding, any reference to the alleged preventive and therapeutic effectiveness of the product called "Therapeutic bracelet," advertised and marketed through the website therapeuticbracelet.net, concerning various pathologies or physical ailments.</w:t>
        <w:br/>
        <w:t>The professional was also invited to submit a report on the initiatives taken in compliance with the provisions and to submit written memoranda.</w:t>
        <w:br/>
        <w:t>II. MEMORANDUM OF THE PARTY</w:t>
        <w:br/>
        <w:t>In a memorandum dated July 20, 2020, the company Biro S.r.l. described the measures taken to comply with the precautionary provision of the Authority, highlighting that "the sale of the product called Therapeutic bracelet was suspended on July 17, 2020, immediately after notification of the aforementioned precautionary provision."</w:t>
        <w:br/>
        <w:t>The same company also stated that "consequently, Biro S.r.l. has not processed after the aforementioned date and will not process in the future purchase proposals related to the product" in question.</w:t>
        <w:br/>
        <w:t>Regarding the domain www.therapeuticbracelet.net, which does not belong to Biro S.r.l., the interested company stated that it "is currently unreachable by typing the relevant address in the navigation bar," but could be "reachable by typing the relevant address in the Google search bar," even if, "since Biro S.r.l. ceased on July 17, 2020, the offer of the product [...], it is in no way possible to make purchases of the same through" pages that are only hypothetically still active.</w:t>
        <w:br/>
        <w:t>The professional also specified that he "entrusted the promotional and advertising communication" of the product in question "to the company AWS S.r.l." of San Marino, to which he formally "ordered to take all possible initiatives to achieve the inoperability of the domain thetherapeuticbracelet.net and the unreachability of the relevant contents," as evidenced by the email and letter respectively sent on July 17 and 20 to that company by the lawyer of Biro S.r.l. (attachments A and B of the memorandum).</w:t>
        <w:br/>
        <w:t>III. EVALUATIONS</w:t>
        <w:br/>
        <w:t>From the perspective of periculum in mora, it is believed that the measures that the professional has adopted are suitable to avoid the risk that, pending the proceeding, the commercial practice in question continues to produce harmful effects for consumers.</w:t>
        <w:br/>
        <w:t>In fact, the company Biro S.r.l. acted immediately after the notification of the precautionary provision to the company responsible for promoting the product on the Internet in order to interrupt the operability of the domain thetherapeuticbracelet.net. Furthermore, the professional has suspended any sale and/or purchase request of the product itself.</w:t>
        <w:br/>
        <w:t>From the official checks carried out on July 21 and 27, 2020, the website subject to the precautionary provision (thetherapeuticbracelet.net) is found to be unreachable.</w:t>
        <w:br/>
        <w:t>THEREFORE, it is deemed that, from the examination of the documents of the proceeding, it appears that the company Biro S.r.l. has ceased the marketing of the product "Therapeutic bracelet" and has taken action to suspend the operability of the domain thetherapeuticbracelet.net;</w:t>
      </w:r>
    </w:p>
    <w:p>
      <w:r>
        <w:rPr>
          <w:b/>
        </w:rPr>
        <w:t>[Pages 79–81]</w:t>
      </w:r>
    </w:p>
    <w:p>
      <w:r>
        <w:t>BULLETIN NO. 34 OF AUGUST 24, 2020 81</w:t>
        <w:br/>
        <w:t>RESOLUTION</w:t>
        <w:br/>
        <w:t>that the measures implemented by the company Biro S.r.l. appear to satisfy, at the current state, the requirements set by the Authority with the aforementioned precautionary measure of June 17, 2020 for the removal of the periculum in mora.</w:t>
        <w:br/>
        <w:t>This provision will be communicated to the interested parties and published in the Bulletin of the Authority for the Protection of Competition and the Market.</w:t>
        <w:br/>
        <w:t>Against this provision, an appeal may be submitted to the TAR for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provision itself.</w:t>
        <w:br/>
        <w:t>THE SECRETARY GENERAL P. THE PRESIDENT f.f.</w:t>
        <w:br/>
        <w:t>Filippo Arena Gabriella Muscolo</w:t>
        <w:br/>
        <w:t>THE MEMBER</w:t>
        <w:br/>
        <w:t>Michele Ainis</w:t>
      </w:r>
    </w:p>
    <w:p>
      <w:r>
        <w:t>82 BULLETIN NO. 34 OF AUGUST 24, 2020</w:t>
        <w:br/>
        <w:t>PS11824 - TROTEC-AIR PURIFIER ANTICOVID</w:t>
        <w:br/>
        <w:t>Provision no. 28334</w:t>
        <w:br/>
        <w:t>THE AUTHORITY FOR THE PROTECTION OF COMPETITION AND THE MARKET</w:t>
        <w:br/>
        <w:t>IN ITS MEETING of August 4, 2020;</w:t>
        <w:br/>
        <w:t>HEARD the Rapporteur Dr. Gabriella Muscolo;</w:t>
        <w:br/>
        <w:t>VIEWING Part II, Title III, of Legislative Decree September 6, 2005, no. 206 and subsequent amendments (hereinafter, Consumer Code);</w:t>
        <w:b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VIEWING the documents of the procedure;</w:t>
        <w:br/>
        <w:t>VIEWING the communication of the initiation of procedure PS11824 of July 8, 2020, aimed at verifying the existence of unfair commercial practices in violation of Articles 20, 21, paragraph 1, letter b), 23, paragraph 1, letter n), and 25, paragraph 1, letter c), of the Consumer Code by TROTEC International GmbH &amp; C. S.a.S. (hereinafter only Trotec);</w:t>
        <w:br/>
        <w:t>VIEWING the resolution of the Authority of July 8, 2020, with which, pursuant to Article 27, paragraph 3, of the Consumer Code, it was ordered that the company TROTEC International GmbH &amp; C. S.a.S. eliminate, from the date of communication of the precautionary measure and during the procedure, any reference to the preventive effectiveness and safety, regarding both pregnancy and contagion from Covid-19 as well as other infections, of air purification, cooling, and “thermo-infection” devices and in particular of the products named: (i) “AirgoClean 10E”; (ii) coolers/humidifiers; (iii) air purifiers/heaters of the “Tac” series with “Hepa” filters, advertised and marketed through the domain names www.trotec24.it and www.trotec-blog.com;</w:t>
        <w:br/>
        <w:t>VIEWING the submissions made by the professional on July 13 and 16, 2020;</w:t>
        <w:br/>
        <w:t>CONSIDERING the following:</w:t>
        <w:br/>
        <w:t>I. THE FACT</w:t>
        <w:br/>
        <w:t>Based on a report and official investigations, on July 8, 2020, an investigative procedure was initiated against Trotec to verify the existence of unfair commercial practices in violation of Articles 20, 21, paragraph 1, letter b), 23, paragraph 1, letter n), and 25, paragraph 1, letter c), of the Consumer Code.</w:t>
        <w:br/>
        <w:t>The contested practice concerns the dissemination of misleading messages regarding the properties of air purification and cooling devices. Such messages were found on certain pages of the website www.trotec24.it and, more specifically, on the pages:</w:t>
        <w:br/>
        <w:t>1. https://www.trotec-blog.com/it/trotec/contaminazione-dellaria-particelle-di-polvere-nella-placenta-delle-future-madri-purificazione-dellaria-a-casa-e-in-ufficio-con-airgoclean-10-e/</w:t>
        <w:br/>
        <w:t>2. https://it.trotec.com/prodotti-e-servizi/macchine-homecomfort/climatizzazione/rinfrescatori-daria-serie-pae/rinfrescatore-daria-vs-condizionatore/</w:t>
        <w:br/>
        <w:t>3. https://it.trotec.com/prodotti-e-servizi/macchine-highperformance/depurazione-dellaria/filtro-h14-per-il-filtraggio-di-virus/</w:t>
      </w:r>
    </w:p>
    <w:p>
      <w:r>
        <w:t>BULLETIN NO. 34 OF AUGUST 24, 2020 83</w:t>
        <w:br/>
        <w:t>To these pages should be added the one present on the site www.trotec-blog.com and, more precisely, the page referred to by the link “CORONA” present on the right (trotec-blog.com/it/category/corona/).</w:t>
        <w:br/>
        <w:t>The contested practices expressly associate the use of Trotec brand air purification and cooling devices with beneficial effects in the prevention of infections from Covid-19 – and more generally from viruses – using emphatic statements and references to alleged risks arising from the inhalation of unfiltered and overly dry air. The so-called “aerosol” effect would also harm the health of fetuses, as described in scientific articles not published or cited on the professional's website.</w:t>
        <w:br/>
        <w:t>Therefore, based on the information acquired in the documents, the investigative procedure PS11824 was initiated, pursuant to Article 27, paragraph 3, of the Consumer Code, as well as pursuant to Article 6 of the Regulation, in order to verify the existence of unfair commercial practices in violation of Articles 20, 21, paragraph 1, letter b), 23, paragraph 1, letter n), and 25, paragraph 1, letter c), of the Consumer Code.</w:t>
        <w:br/>
        <w:t>Part of the procedure, in the capacity of professional, is TROTEC International GmbH &amp; C. S.a.S.</w:t>
        <w:br/>
        <w:t>On July 8, 2020, the Authority, following the communication of initiation, deemed that the conditions for the adoption of provisional precautionary measures against the professional existed, pursuant to Article 27, paragraph 3, of the Consumer Code and Article 8, paragraph 3, of the Regulation.</w:t>
        <w:br/>
        <w:t>From the perspective of periculum in mora, it was noted that the practice was still ongoing and exploited the vulnerability of consumers due to the ongoing pandemic, as well as the sensitivity of pregnant women regarding the feared danger of premature births and serious and irreversible harm to the fetus.</w:t>
        <w:br/>
        <w:t>This was in order to induce the recipients of the messages to purchase expensive common-use products, based on the false assumption of their effective resolution in combating the spread of Covid-19 and in protecting maternity.</w:t>
        <w:br/>
        <w:t>II. MEMORANDUM OF THE PARTY</w:t>
        <w:br/>
        <w:t>In a note dated July 13, 2020, the professional communicated that he had complied with the precautionary measure adopted by the Authority, deactivating the contested web pages. In a memorandum dated July 16, 2020, the professional, after reiterating the deactivation of the aforementioned pages, also highlighted that the advertising on the websites is developed and organized by the parent company, Trotec International GMBH based in Germany (general partner of the Italian Trotec s.a.s.)1, and requested the revocation of the measure as well as the closure of the procedure.</w:t>
        <w:br/>
        <w:t>In particular, the professional completely contested the allegation of having engaged in unfair commercial practices and, on the merits, noted that:</w:t>
        <w:br/>
        <w:t>1) the AirClean 10 E purifier uses a filter developed and produced by Trotec well before the spread of Covid-19 and the development of this product was inspired by a scientific study titled Impact of London’s road traffic air and noise pollution on birth weight: retrospective population based cohort study, published in December 2017 also on the site https://www.bmj.com/content/359/bmj.j5299. Based on such scientific evidence, the risk of contamination is particularly high and serious for the placenta and, therefore, for pregnant women.</w:t>
        <w:br/>
        <w:t>1 The site https://it.trotec.com/ is the Italian page of the site https://www.trotec.com/ where translated versions of the same content are available in various languages. The site https://www.trotec-blog.com/ is in German but has a link through which access to automatically translated versions in various languages is possible. In the Italian version, with the contacts of the Italian Trotec s.a.s., the contested link “CORONA” has been deactivated as well as, after a specific discussion with the professional's attorney, the pages that still contained, among others, a specific “corona” link.</w:t>
      </w:r>
    </w:p>
    <w:p>
      <w:r>
        <w:rPr>
          <w:b/>
        </w:rPr>
        <w:t>[Pages 82–84]</w:t>
      </w:r>
    </w:p>
    <w:p>
      <w:r>
        <w:t>84 BULLETIN NO. 34 OF AUGUST 24, 2020</w:t>
        <w:br/>
        <w:t xml:space="preserve">With the filter in question, the air would also be purified from dust and microorganisms, contributing to combating the risk of contamination from all possible sources, including Covid-19; </w:t>
        <w:br/>
        <w:t xml:space="preserve">2) it is confirmed by numerous scientific studies that, by acting on the humidity level of the air, the risk of virus transmission is reduced, also with reference to Covid-19 (and in this regard, the study COVID-19 Pandemic: Built Environment Considerations To Reduce Transmission is cited, available at https://msystems.asm.org/content/5/2/e00245-20#ref-list-1); </w:t>
        <w:br/>
        <w:t xml:space="preserve">3) the assertion that Covid-19 can spread through aerosols would not be contestable; </w:t>
        <w:br/>
        <w:t xml:space="preserve">4) the "current affairs" articles present on the professional's blog www.trotecblog.com would only report information available on the internet, and the Hepa filters used by the professional are specifically developed to purify the air from tiny particles such as those of viruses, including "Corona" class. </w:t>
        <w:br/>
        <w:t xml:space="preserve">The professional, in conclusion, reiterated having complied with the precautionary measure by removing the contested pages. From the official checks, as of July 16 and July 21, 2020, the internet pages subject to contestation with the communication of the initiation of the procedure are no longer reachable, and the link "CORONA" has been removed from the Italian version of the blog www.trotec-blog.com. </w:t>
        <w:br/>
        <w:t xml:space="preserve">III. EVALUATIONS </w:t>
        <w:br/>
        <w:t xml:space="preserve">From the perspective of periculum in mora, it is believed that the measures overall adopted by the professional are suitable to avoid the risk that, during the proceedings, the commercial practice subject to contestation continues to produce prejudicial effects for consumers and micro-enterprises. </w:t>
        <w:br/>
        <w:t xml:space="preserve">The professional has indeed removed the internet pages containing the contested messages regarding the preventive effectiveness and safety, with reference both to pregnancy and to contagion from Covid-19 as well as from other infections, of the purification, cooling, and "thermo-infection" devices of the air, and in particular of the products named: (i) "AirgoClean 10E"; (ii) coolers/humidifiers; (iii) air purifiers/heaters of the "Tac" series with "Hepa" filters, advertised and marketed through the domain name www.trotec24.it and has deactivated the link "CORONA" from the Italian version of the blog www.trotec-blog.com. </w:t>
        <w:br/>
        <w:t xml:space="preserve">CONSIDERED, therefore, that from the examination of the acts of the procedure it emerges that the company Trotec International GmbH &amp; C. S.a.S. has eliminated from the site the internet pages subject to the precautionary measure and has deactivated the link "CORONA" from the Italian version of the blog www.trotec-blog.com; </w:t>
        <w:br/>
        <w:t xml:space="preserve">RESOLVES </w:t>
        <w:br/>
        <w:t xml:space="preserve">that the measures adopted by TROTEC International GmbH &amp; C. S.a.S. meet the requirements set by the Authority with the precautionary measure of July 8, 2020 for the removal of periculum. </w:t>
        <w:br/>
        <w:t xml:space="preserve">This measure will be communicated to the interested parties and published in the Bulletin of the Authority for Competition and the Market. </w:t>
        <w:br/>
        <w:t xml:space="preserve">Against this measure, an appeal may be submitted to the TAR for Lazio, pursuant to Article 135, paragraph 1, letter b), of the Code of Administrative Procedure (Legislative Decree July 2, 2010, no. 104), within sixty days from the date of communication of the measure itself, </w:t>
        <w:br/>
        <w:t>BULLETIN NO. 34 OF AUGUST 24, 2020 85</w:t>
        <w:br/>
        <w:t xml:space="preserve">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measure itself. </w:t>
        <w:br/>
        <w:t xml:space="preserve">THE SECRETARY GENERAL THE PRESIDENT </w:t>
        <w:br/>
        <w:t>Filippo Arena Roberto Rustichelli</w:t>
      </w:r>
    </w:p>
    <w:p>
      <w:r>
        <w:t xml:space="preserve">Authority for Competition Weekly Bulletin </w:t>
        <w:br/>
        <w:t xml:space="preserve">and the Market Year XXX- No. 34 - 2020 </w:t>
        <w:br/>
        <w:t xml:space="preserve">Editorial Coordination Giulia Antenucci </w:t>
        <w:br/>
        <w:t xml:space="preserve">Editorial Staff Sandro Cini, Valerio Ruocco, Simonetta Schettini, </w:t>
        <w:br/>
        <w:t xml:space="preserve">Manuela Villani </w:t>
        <w:br/>
        <w:t xml:space="preserve">Authority for Competition and the Market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