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https://www.agcm.it/dotcmsdoc/bollettini/2021/34-21.pdf</w:t>
      </w:r>
    </w:p>
    <w:p>
      <w:r>
        <w:t>Pages translated : 30</w:t>
      </w:r>
    </w:p>
    <w:p/>
    <w:p>
      <w:r>
        <w:rPr>
          <w:b/>
        </w:rPr>
        <w:t>[Pages 1–3]</w:t>
      </w:r>
    </w:p>
    <w:p>
      <w:r>
        <w:t>Bulletin</w:t>
        <w:br/>
        <w:t>Weekly</w:t>
        <w:br/>
        <w:t>Year XXXI - No. 34</w:t>
        <w:br/>
        <w:t>Published on the website www.agcm.it</w:t>
        <w:br/>
        <w:t>August 23, 2021</w:t>
      </w:r>
    </w:p>
    <w:p>
      <w:r>
        <w:t>SUMMARY</w:t>
        <w:br/>
        <w:t>CONCENTRATION OPERATIONS 5</w:t>
        <w:br/>
        <w:t>C12382 - MINISTRY OF ECONOMY AND FINANCE/SACE</w:t>
        <w:br/>
        <w:t>Measure No. 29798 5</w:t>
        <w:br/>
        <w:t>C12383 - CLESSIDRA CAPITAL CREDIT SGR-MAGNETAR FINANCIAL/ITALIAN MINERAL WATER</w:t>
        <w:br/>
        <w:t>Measure No. 29799 9</w:t>
        <w:br/>
        <w:t>C12384 - ENI/CEF 3 WIND ENERGY-GREEN ENERGY MANAGEMENT SERVICES-FINPOWER WIND-</w:t>
        <w:br/>
        <w:t>EOLICA LUCANA</w:t>
        <w:br/>
        <w:t>Measure No. 29800 13</w:t>
        <w:br/>
        <w:t>C12385 - EURIZON CAPITAL SGR/ASSOCIATED SERVICES GROUP</w:t>
        <w:br/>
        <w:t>Measure No. 29801 17</w:t>
        <w:br/>
        <w:t>C12387 - PAGANINI INVESTMENTS/MULTIVERSITY</w:t>
        <w:br/>
        <w:t>Measure No. 29802 22</w:t>
        <w:br/>
        <w:t>UNFAIR TRADE PRACTICES 25</w:t>
        <w:br/>
        <w:t>PS11910 - ALLIANZ INSURANCE-CLAIMS LIQUIDATION FOR AUTO LIABILITY</w:t>
        <w:br/>
        <w:t>Measure No. 29805 25</w:t>
      </w:r>
    </w:p>
    <w:p>
      <w:r>
        <w:t>BULLETIN NO. 34 OF AUGUST 23, 2021 5</w:t>
        <w:br/>
        <w:t>CONCENTRATION OPERATIONS</w:t>
        <w:br/>
        <w:t>C12382 - MINISTRY OF ECONOMY AND FINANCE/SACE</w:t>
        <w:br/>
        <w:t>Measure No. 29798</w:t>
        <w:br/>
        <w:t>THE ITALIAN COMPETITION AUTHORITY</w:t>
        <w:br/>
        <w:t>IN ITS MEETING of August 3, 2021;</w:t>
        <w:br/>
        <w:t>HEARD the Rapporteur, President Roberto Rustichelli;</w:t>
        <w:br/>
        <w:t>VIEWED Law No. 287 of October 10, 1990;</w:t>
        <w:br/>
        <w:t>VIEWED the communication from the Ministry of Economy and Finance, received on July 8, 2021;</w:t>
        <w:br/>
        <w:t>VIEWED the opinion of IVASS, received on July 27, 2021, following the request pursuant to Article 20, paragraph 4, of Law No. 287/90;</w:t>
        <w:br/>
        <w:t>CONSIDERED the following;</w:t>
        <w:br/>
        <w:t>I. THE PARTIES</w:t>
        <w:br/>
        <w:t>1. The Ministry of Economy and Finance (hereinafter also “MEF”), is a central public administration and, pursuant to Article 24 of Legislative Decree No. 300 of July 30, 1999, is responsible for managing the State's equity interests, including the exercise of shareholder rights. In particular, the MEF holds a certain number of shares in listed1 and unlisted2 companies. Although the MEF holds control over the participating companies, in cases where there is autonomy of the administrative bodies regarding the strategic and operational decisions made by them, it is not considered that a single group exists among the companies participated by the MEF, subject to the same coordination function3.</w:t>
        <w:br/>
        <w:t>2. SACE S.p.A. (hereinafter also “SACE”), a company under Italian law, is the Italian Export Credit Agency, that is, the company that issues guarantees and insurance coverage in relation to political, catastrophic, economic, commercial, and exchange risks to which national operators are exposed in their activities abroad. It, along with the companies it controls, is also authorized to issue guarantees and insurance coverage for operations of strategic importance for the Italian economy in terms of internationalization, economic security, and</w:t>
        <w:br/>
        <w:t>1 By way of example, ENEL S.p.A., ENI S.p.A., Leonardo S.p.A., and Poste Italiane S.p.A. are mentioned.</w:t>
        <w:br/>
        <w:t>2 By way of example, FS S.p.A., RAI S.p.A., ANAS S.p.A., and STMicroelectronics Holding N.V. are mentioned. Among the in-house companies, Consap S.p.A., Consip S.p.A., SOGEI S.p.A., SOSE S.p.A., and Studiare Sviluppo S.r.l. are included.</w:t>
        <w:br/>
        <w:t>3 In particular, with reference to the acquisition of SNAM by CDP (case C/11965, measure No. 23824 of August 8, 2012), the provisions contained in the DPCM of May 25, 2012, are of specific relevance, according to which the participation in Snam acquired by CDP, although included in the separate management, would have been managed under the ordinary management governance rules, thus without any direct influence from the MEF being exercised over it.</w:t>
      </w:r>
    </w:p>
    <w:p>
      <w:r>
        <w:rPr>
          <w:b/>
        </w:rPr>
        <w:t>[Pages 4–6]</w:t>
      </w:r>
    </w:p>
    <w:p>
      <w:r>
        <w:t>6 BULLETIN NO. 34 OF 23 AUGUST 2021</w:t>
        <w:br/>
        <w:t>of the activation of production processes. SACE is currently under the exclusive control of Cassa Depositi e Prestiti S.p.A..</w:t>
        <w:br/>
        <w:t>The revenue generated by SACE in 2020 was approximately [1-2]* billion euros, of which approximately [700-1,000] million euros were generated in Italy.</w:t>
        <w:br/>
        <w:t>II. DESCRIPTION OF THE OPERATION</w:t>
        <w:br/>
        <w:t>3. The operation in question consists of the acquisition of exclusive control of SACE by the MEF, following the acquisition of the entire share capital of SACE, in compliance with the provisions of Article 67 of Decree-Law No. 104 of 14 August 2020 (so-called August Decree), converted with amendments by Law No. 126 of 13 October 2020 and the related implementing decree adopted by the MEF in agreement with the Minister of Foreign Affairs and International Cooperation. Based on what is established in the same provisions, the participation held by SACE in SIMEST S.p.A. is not included in the operation.</w:t>
        <w:br/>
        <w:t>III. QUALIFICATION OF THE OPERATION</w:t>
        <w:br/>
        <w:t>4. The operation, as it involves the acquisition of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revenue, calculated pursuant to Article 16, paragraph 1, of Law No. 287/90, generated in the last financial year at the national level by the group of companies involved was over 511 million euros, and the revenue generated individually, at the national level, by at least two of them is over 31 million euros.</w:t>
        <w:br/>
        <w:t>IV. THE OPINION OF IVASS</w:t>
        <w:br/>
        <w:t>5. In an opinion received on 27 July 2021, IVASS did not highlight any elements in the operation that could alter the competitive balance of the markets for the production and distribution of insurance.</w:t>
        <w:br/>
        <w:t>V. EVALUATIONS</w:t>
        <w:br/>
        <w:t>6. Considering the activities carried out by SACE and its subsidiaries, the operation in question concerns the sectors of export credit, investment protection, credit insurance and construction risks, financial guarantees, sureties, and factoring. These sectors can be distinguished into two categories: activities assisted by state guarantees and activities carried out under market conditions.</w:t>
        <w:br/>
        <w:t>7. The first core of activities, consisting of insurance and guarantees for non-market risks4, support for the internationalization of companies, and support for operations of strategic importance * In this version, some data are omitted, as elements of confidentiality or secrecy of the information were deemed to exist.</w:t>
        <w:br/>
        <w:t>4 In particular, SACE is authorized to issue guarantees, as well as to insure political, catastrophic, economic, commercial, and exchange rate risks to which operators are exposed, directly or indirectly, in their activities with foreign countries and their foreign subsidiaries and affiliates in their activities with foreign countries and the internationalization of the Italian economy.</w:t>
        <w:br/>
        <w:t>5 See Prov. No. 23923 of 27 September 2012, case C11765 - CASSA DEPOSITI E PRESTITI/SACE.</w:t>
      </w:r>
    </w:p>
    <w:p>
      <w:r>
        <w:t>8 BULLETIN NO. 34 OF 23 AUGUST 2021</w:t>
        <w:br/>
        <w:t>and in the provision of guarantees aimed at facilitating the collection of credits against the Public Administration, is carried out by SACE as a public entity operating under specific regulatory provisions. SACE is, in fact, the only operator in the market capable of offering such types of products and services that benefit from the state guarantee, which have characteristics that make them irreplaceable with other products and services offered by third-party operators, as they meet specific needs that cannot otherwise be satisfied5.</w:t>
        <w:br/>
        <w:t>8. The second group of activities, not assisted by a state guarantee, includes: (i) short-term credit insurance and (ii) factoring. Within the scope of the short-term credit insurance sector, due to the established orientation of the Authority that each insurance branch represents a distinct relevant market, it is possible to distinguish insurance services based on the risk covered (in this case, branch "Credit," branch "Other damage to property," and branch "Sureties").</w:t>
        <w:br/>
        <w:t>9. For the purposes of evaluating this operation, it should be noted that, based on the information provided by the Parties, the companies operating under the control of the MEF are not active in any of the markets affected by the operation, while SACE holds a market share of approximately [1-5%] in the short-term credit insurance market (Branch 14), approximately [5-10%] in the sureties market (Branch 15), less than 1% in the other damage to property market (Branch 9), and approximately [1-5%] in the factoring market.</w:t>
        <w:br/>
        <w:t>10. Based on the above, considering the absence of the acquirer in the markets affected by the concentration, the operation does not appear to raise competitive concerns, involving merely the replacement of one operator with another operator.</w:t>
        <w:b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conclusions above will be communicated, pursuant to Article 16, paragraph 4, of Law No. 287/90, to the companies involved and to the Ministry of Economic Development.</w:t>
        <w:br/>
        <w:t>The present measure will be published in the Bulletin of the Italian Competition Authority.</w:t>
        <w:br/>
        <w:t>THE SECRETARY GENERAL THE PRESIDENT</w:t>
        <w:br/>
        <w:t>Filippo Arena Roberto Rustichelli</w:t>
      </w:r>
    </w:p>
    <w:p>
      <w:r>
        <w:rPr>
          <w:b/>
        </w:rPr>
        <w:t>[Pages 7–9]</w:t>
      </w:r>
    </w:p>
    <w:p>
      <w:r>
        <w:t>BULLETIN NO. 34 OF AUGUST 23, 2021 9</w:t>
        <w:br/>
        <w:t>C12383 - CLESSIDRA CAPITAL CREDIT SGR-MAGNETAR FINANCIAL/ACQUE MINERALI D’ITALIA</w:t>
        <w:br/>
        <w:t>Measure No. 29799</w:t>
        <w:br/>
        <w:t>THE ITALIAN COMPETITION AUTHORITY</w:t>
        <w:br/>
        <w:t>IN ITS MEETING of August 3, 2021;</w:t>
        <w:br/>
        <w:t>HEARD the Rapporteur Professor Michele Ainis;</w:t>
        <w:br/>
        <w:t>HAVING REGARD TO Law No. 287 of October 10, 1990;</w:t>
        <w:br/>
        <w:t>HAVING REGARD TO Presidential Decree No. 217 of April 30, 1998;</w:t>
        <w:br/>
        <w:t>HAVING REGARD TO the communication from Clessidra Capital Credit SGR S.p.A. and Magnetar Financial LLC, received on July 9, 2021;</w:t>
        <w:br/>
        <w:t>CONSIDERED the following:</w:t>
        <w:br/>
        <w:t>I. THE PARTIES</w:t>
        <w:br/>
        <w:t>1. Clessidra Capital Credit SGR S.p.A. (hereinafter also referred to as “Clessidra”) is an asset management company controlled by Clessidra Holding S.p.A., which is in turn 100% owned by the investment holding Italmobiliare S.p.A. Clessidra manages the Clessidra Restructuring Fund (i.e. the fund that will acquire the stake in AMI), a fund dedicated to the segment of bank credits Unlikely to Pay towards industrial companies. The portfolio companies of the Clessidra Group are active in various sectors, including clothing, coffee, lighting, building materials, and financial services. The revenue generated by Clessidra at the national level in 2020 was approximately [511-700]* million euros.</w:t>
        <w:br/>
        <w:t>2. Magnetar Financial LLC (hereinafter also referred to as “Magnetar”) is a company representing the following funds: (i) Magnetar Structured Credit Fund, LP, (ii) Magnetar Constellation Fund II, Ltd, (iii) Magnetar Constellation Master Fund, Ltd, (iv) Magnetar Longhorn Fund LP, (v) Purpose Alternative Credit Fund - T LLC, (vi) Purpose Alternative Credit Fund Ltd, and (vii) Magnetar Lake Credit Fund LLC (collectively, “Magnetar Funds”), i.e. the funds that will acquire the stake in AMI. It (like the Funds) is part of the Magnetar Group, which manages multi-strategy and multi-product alternative investment funds active worldwide. The revenue generated in Italy by Magnetar in 2020 was approximately [10-31] million euros.</w:t>
        <w:br/>
        <w:t>3. Acque Minerali d’Italia S.p.A. (hereinafter also referred to as “AMI”) is an Italian company wholly controlled by Waterfall S.r.l., a company owned by the Pessina Family, primarily engaged in the bottling and distribution of mineral waters under brands including Norda, Sangemini, and Gaudianello, as well as for some private labels. AMI generated revenue of [31-100] million euros in Italy in 2020.</w:t>
        <w:br/>
        <w:t>* In this version, some data are omitted, as elements of confidentiality or secrecy of the information were deemed to exist.</w:t>
      </w:r>
    </w:p>
    <w:p>
      <w:r>
        <w:t>10 BULLETIN NO. 34 OF AUGUST 23, 2021</w:t>
        <w:br/>
        <w:t>II. DESCRIPTION OF THE OPERATION</w:t>
        <w:br/>
        <w:t>4. The operation consists of the joint acquisition of control of AMI by Clessidra and Magnetar. In particular, the operation aims to strengthen the capital structure and restructure the debt of AMI in the context of the “direct” composition procedure with business continuity pursuant to Articles 161 and 186-bis of the Bankruptcy Law, to which the company was admitted by the Court of Milan with a decree dated March 4, 2021.</w:t>
        <w:br/>
        <w:t>5. The terms and conditions of the operation are governed by: i) a framework agreement signed on December 23, 2020, between Clessidra, the Magnetar Funds, Waterfall S.r.l. (as the sole shareholder of AMI), and the shareholders of Waterfall, as subsequently amended (“Framework Agreement”); ii) two separate letters of offer sent to AMI on December 23, 2020, by Clessidra and the Magnetar Funds, respectively, concerning the terms and conditions of their participation in the operation, as subsequently amended (“Offers”).</w:t>
        <w:br/>
        <w:t>6. Based on the Offers and pursuant to the Framework Agreement, the operation is structured in multiple phases, after which Clessidra and Magnetar will hold, respectively, 56% and 24% of the share capital of AMI. The remaining 20% will remain with Waterfall S.r.l. Following the operation, Magnetar and Clessidra will exercise joint control over AMI, as, among other things, the approval of the annual budget and the business plan must be decided with the favorable vote of at least two directors designated by Magnetar and one director designated by Clessidra1.</w:t>
        <w:br/>
        <w:t>7. The agreement also contains a non-compete clause on the part of the selling company, which commits to not engaging in competitive activities in Italy against AMI for a period of five years.</w:t>
        <w:br/>
        <w:t>III. QUALIFICATION OF THE OPERATION</w:t>
        <w:br/>
        <w:t>8. The operation, as it involves the acquisition of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revenue, calculated pursuant to Article 16, paragraph 2, of Law No. 287/90, generated in the last financial year at the national level by the group of companies involved, exceeded 511 million euros, and the revenue generated individually, at the national level, by at least two of them, exceeds 31 million euros.</w:t>
        <w:br/>
        <w:t>9. The non-compete agreement described above constitutes an ancillary restriction to the operation, as it appears strictly functional to safeguarding the value of the acquired company, provided that such agreement has a limited duration in time, not exceeding the period of two years from the date of completion of this operation. In this regard, it should be noted that a duration of the non-compete agreement exceeding that of 1 See Term Sheet of Key Governance and Exit Principles attached to the Framework Agreement, art. 6.</w:t>
      </w:r>
    </w:p>
    <w:p>
      <w:r>
        <w:t>BULLETIN NO. 34 OF AUGUST 23, 2021 11</w:t>
        <w:br/>
        <w:t>two years would exceed the need to ensure the buyer the transfer of the actual value of the acquisition2.</w:t>
        <w:br/>
        <w:t>IV. ASSESSMENT OF THE CONCENTRATION</w:t>
        <w:br/>
        <w:t>IV.1 The product market</w:t>
        <w:br/>
        <w:t>10. Based on the activity carried out by the acquired company, the relevant sector is that of mineral waters (bottling and distribution). From a commodity perspective, mineral waters constitute a distinct market compared to other non-alcoholic beverages, due to the particular characteristics that make water suitable for satisfying the primary need for hydration, beyond any other aspect related to taste and pleasure. The consumption of mineral water, presenting no contraindications, allows satisfying this primary need even for those categories of consumers who, for health reasons, cannot consume other substances. Mineral waters also hold independent significance for distributors, for whom they represent one of the basic products in the assortment, in no way substitutable with other non-alcoholic beverages. In this regard, it is sometimes possible to identify a distinction based on the distribution channel between the Home Market, which includes water sold at points of sale for domestic consumption, and the Away From Home Market, which includes consumption outside the home, i.e. in hotels, restaurants, venues, etc. (so-called horeca points of sale). In the specific case, considering that there is no horizontal overlap or vertical relationship between the activities of AMI and those of Clessidra and Magnetar (and their respective groups), a more precise definition of the relevant commodity market is not deemed necessary.</w:t>
        <w:br/>
        <w:t>IV.2 The geographic market</w:t>
        <w:br/>
        <w:t>11. From a geographical perspective, the market for mineral waters has a substantially national dimension in light of various characteristics such as: the specificity of consumer preferences and consumption habits, the impact of transportation costs of water, and the importance of brands. However, for the reasons stated above, it is not necessary, in this case, to arrive at a more precise definition of the relevant geographic market.</w:t>
        <w:br/>
        <w:t>V. EFFECTS OF THE OPERATION</w:t>
        <w:br/>
        <w:t>12. The market share attributable to AMI in 2019 at the national level is approximately [0-5%] in value and [5-10%] in volume, while the buyers do not operate – either directly or indirectly – in the relevant market or in vertically related markets. Numerous qualified competitors operate in the relevant market with market shares significantly higher than those held by AMI.</w:t>
        <w:br/>
        <w:t>2 See Communication from the Commission on restrictions directly related and necessary to concentrations, 2005/C 56/03, published in the Official Journal of the European Union on March 5, 2005, C 56/24.</w:t>
      </w:r>
    </w:p>
    <w:p>
      <w:r>
        <w:rPr>
          <w:b/>
        </w:rPr>
        <w:t>[Pages 10–12]</w:t>
      </w:r>
    </w:p>
    <w:p>
      <w:r>
        <w:t>12 BULLETIN NO. 34 OF 23 AUGUST 2021</w:t>
        <w:br/>
        <w:t>CONSIDERED, therefore, that the operation in question does not result, pursuant to Article 6, paragraph 1, of Law No. 287/90, in the establishment or strengthening of a dominant position in the relevant market, such as to eliminate or substantially and durably reduce competition;</w:t>
        <w:br/>
        <w:t>CONSIDERED, furthermore, that the non-competition agreement between the parties is accessory to this operation only to the extent described above and that the Authority reserves the right to evaluate, where the conditions exist, the aforementioned agreement that extends beyond the time and subject indicated therein;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Italian Competition Authority.</w:t>
        <w:br/>
        <w:t>THE SECRETARY GENERAL THE PRESIDENT</w:t>
        <w:br/>
        <w:t>Filippo Arena Roberto Rustichelli</w:t>
      </w:r>
    </w:p>
    <w:p>
      <w:r>
        <w:t>BULLETIN NO. 34 OF 23 AUGUST 2021 13</w:t>
        <w:br/>
        <w:t>C12384 - ENI/CEF 3 WIND ENERGY-GREEN ENERGY MANAGEMENT SERVICES-FINPOWER WIND-EOLICA LUCANA</w:t>
        <w:br/>
        <w:t>Measure No. 29800</w:t>
        <w:br/>
        <w:t>THE ITALIAN COMPETITION AUTHORITY</w:t>
        <w:br/>
        <w:t>IN ITS MEETING of August 3, 2021;</w:t>
        <w:br/>
        <w:t>HEARD the Rapporteur Professor Michele Ainis;</w:t>
        <w:br/>
        <w:t>HAVING REGARD TO Law No. 287 of October 10, 1990;</w:t>
        <w:br/>
        <w:t>HAVING REGARD TO the Presidential Decree No. 217 of April 30, 1998;</w:t>
        <w:br/>
        <w:t>HAVING REGARD TO the communication from Eni S.p.A., received on July 9, 2021;</w:t>
        <w:br/>
        <w:t>HAVING REGARD TO the documentation on file;</w:t>
        <w:br/>
        <w:t>CONSIDERED the following:</w:t>
        <w:br/>
        <w:t>I. THE PARTIES</w:t>
        <w:br/>
        <w:t>1. Eni S.p.A. (“Eni”) is the company at the top of the eponymous industrial group active globally in the sectors of exploration and production of hydrocarbons and gas, the procurement and sale of natural gas wholesale and retail, the purchase and marketing of liquefied natural gas (LNG), oil refining and marketing of petroleum products wholesale and on the ordinary and highway network, the production and marketing of chemical products, as well as in the markets of generation (also through photovoltaic plants) and wholesale and retail sale of electricity. The Eni group generated a global revenue of approximately 44 billion euros in 2020, of which approximately [10-20] billion euros were generated in Italy.</w:t>
        <w:br/>
        <w:t>2. CEF 3 Wind Energy S.p.A. (“CEF 3”) is a holding company active in the renewable energy sector. Its subsidiaries own and manage wind farms in Italy. In particular, CEF 3 holds (through the special purpose companies SER and SER 1) the management of eleven wind farms, of which five (Serra del Vento Nord, Serra del Vento Sud, Lago Arancio, Rocca Ficuzza, Nebrodi Ovest) are managed by SER and six (Alcantara Nord, Alcantara Sud, Nebrodi Nord, Nebrodi Est, Taverna La Storta Nord, Taverna La Storta Sud) are managed by SER 1. These plants produce electricity that is resold on the national grid. The share capital of CEF 3 is jointly held by CEF 2 Wind Energy B.V. (“CEF BV”, a company attributable to the Glennmont Partners group) and by Eolica B.V. (a company attributable to the PPGGM group). The revenue generated by CEF 3 in 2020 was approximately [31-100] million euros, of which [31-100] were generated in Italy.</w:t>
        <w:br/>
        <w:t>3. Green Energy Management Services S.r.l. (“GEMS”) is a management company that deals with the design, construction, and management of production plants for energy from renewable sources. In particular, GEMS provides its asset management services primarily for the benefit of the complex of wind farms managed by the special purpose vehicles owned by Glennmont Partners and PPGGM. The share capital of GEMS (as well as that of CEF 3) is jointly held by CEF BV (a company attributable to the Glennmont Partners group) and by Eolica B.V. (a company attributable to the PPGGM group). The revenue generated by GEMS in 2020 was approximately [1-10] million euros, of which [1-10] were generated in Italy.</w:t>
        <w:br/>
        <w:t>4. Finpower Wind S.r.l. (“Finpower”) is a special purpose vehicle company that manages a wind farm (Finpower Wind) located in Basilicata. The entire capital of Finpower is held, indirectly, by the aforementioned company CEF BV, attributable to the Glennmont Partners group. The revenue generated by Finpower in 2020 was approximately [10-31] million euros, of which [10-31] were generated in Italy.</w:t>
        <w:br/>
        <w:t>5. Eolica Lucana S.r.l. (“Eolica”) is a special purpose vehicle company that manages a wind farm (Eolica Lucana) located in Abruzzo. The entire capital of Eolica is held, indirectly, by the aforementioned company CEF BV, attributable to the Glennmont Partners group. The revenue generated by Finpower in 2020 was approximately [1-10] million euros, of which [1-10] were generated in Italy.</w:t>
        <w:br/>
        <w:t>II. DESCRIPTION OF THE OPERATION</w:t>
        <w:br/>
        <w:t>6. The communication in question concerns the acquisition of exclusive control by ENI – possibly through a company of the same group designated by ENI – of the entire share capital of CEF 3 (and, indirectly, of its subsidiaries, SER and SER 1), GEMS, Finpower, and Eolica. As a result of the Operation, therefore, ENI will exclusively control directly and indirectly the aforementioned Target Companies. The notifying Party has represented that the Operation constitutes a single concentration, as the acquisition of all the Target Companies has been negotiated and will be implemented simultaneously and the individual acquisitions are economically interdependent.</w:t>
        <w:br/>
        <w:t>III. QUALIFICATION OF THE OPERATION</w:t>
        <w:br/>
        <w:t>7. The communicated acquisitions, characterized by economic and functional interdependence, constitute a single operation. The communicated operation, as it involves the acquisition of control over multiple companies, constitutes a concentration pursuant to Article 5, paragraph 1, letter b), of Law No. 287/90. It falls within the scope of application of Law No. 287/90 as the conditions of Article 1 of Regulation (EC) No. 139/04 are not met, and it is subject to the obligation of prior notification provided for by Article 16, paragraph 1, of the same law, as the total revenue generated, in the last financial year at the national level, by the group of interested companies exceeded 511 million euros and the total revenue generated individually, in the last financial year at the national level, by at least two of the interested companies exceeded 31 million euros.</w:t>
      </w:r>
    </w:p>
    <w:p>
      <w:r>
        <w:rPr>
          <w:b/>
        </w:rPr>
        <w:t>[Pages 13–15]</w:t>
      </w:r>
    </w:p>
    <w:p>
      <w:r>
        <w:t>BULLETIN NO. 34 OF 23 AUGUST 2021 15</w:t>
        <w:br/>
        <w:t>IV. ASSESSMENT OF THE CONCENTRATION</w:t>
        <w:br/>
        <w:t>The relevant markets and the effects of the operation</w:t>
        <w:br/>
        <w:t>8. Due to the activities of the acquired companies, the market involved in this operation is that of the production and wholesale supply of electricity3. According to the Authority's decision-making practice, this market includes both the production and wholesale supply of electricity, regardless of the source of production. The market for the production and wholesale supply of electricity includes, in Italy, both forward transactions and spot transactions (so-called "day-ahead market" and "intraday market") concluded through the platforms managed by the Energy Market Operator S.p.A. (“GME”), as well as bilateral contracts (so-called "over-the-counter", “OTC”)4.</w:t>
        <w:br/>
        <w:t>9. The geographical dimension of this market, in the Authority's practice, is considered supra-regional. More specifically, the Authority usually defines four macro-areas: macro-area North, macro-area South, macro-area Sicily, and macro-area Sardinia5. In light of the location of the plants owned and managed by the Target Companies, the latter are active in the market for the production and wholesale supply of electricity in the macro-areas South and Sicily. Therefore, the following table shows the estimated positions held by the Parties in terms of gross volumes supplied and installed capacity6.</w:t>
        <w:br/>
        <w:t>Macro-area South Macro-area Sicily</w:t>
        <w:br/>
        <w:t>Capacity (2020) Volumes (2020) Capacity (2020) Volumes (2020)</w:t>
        <w:br/>
        <w:t>Eni [1-5%] [5-10%] [less than 1%] [less than 1%]</w:t>
        <w:br/>
        <w:t>Target Company [less than 1%] [less than 1%] [1-5%] [1-5%]</w:t>
        <w:br/>
        <w:t>TOTAL [1-5%] [5-10%] [1-5%] [1-5%]</w:t>
        <w:br/>
        <w:t>10. As can be seen, the position of the Parties appears extremely limited in each of the considered macro-areas and, in particular, the additional contribution made by the target companies to Eni's already limited position appears to have negligible effects7.</w:t>
        <w:br/>
        <w:t>11. In light of the above considerations, the concentration under examination does not appear to be capable of establishing or strengthening a dominant position in the relevant markets mentioned,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Italian Competition Authority.</w:t>
        <w:br/>
        <w:t>THE SECRETARY GENERAL THE PRESIDENT</w:t>
        <w:br/>
        <w:t>Filippo Arena Roberto Rustichelli</w:t>
      </w:r>
    </w:p>
    <w:p>
      <w:r>
        <w:t>BULLETIN NO. 34 OF 23 AUGUST 2021 17</w:t>
        <w:br/>
        <w:t>C12385 - EURIZON CAPITAL SGR/GRUPPO SERVIZI ASSOCIATI</w:t>
        <w:br/>
        <w:t>Measure No. 29801</w:t>
        <w:br/>
        <w:t>THE ITALIAN COMPETITION AUTHORITY</w:t>
        <w:br/>
        <w:t>IN ITS MEETING of August 3, 2021;</w:t>
        <w:br/>
        <w:t>HEARD the Rapporteur Professor Michele Ainis;</w:t>
        <w:br/>
        <w:t>HAVING REGARD to Law No. 287 of October 10, 1990;</w:t>
        <w:br/>
        <w:t>HAVING REGARD to Presidential Decree No. 217 of April 30, 1998;</w:t>
        <w:br/>
        <w:t>HAVING REGARD to the communication from Eurizon Capital SGR S.p.A. received on July 12, 2021;</w:t>
        <w:br/>
        <w:t>HAVING REGARD to the documentation on file;</w:t>
        <w:br/>
        <w:t>CONSIDERED the following:</w:t>
        <w:br/>
        <w:t>I. THE PARTIES</w:t>
        <w:br/>
        <w:t>1. Eurizon Capital SGR S.p.A. (“Eurizon SGR”) is an asset management company controlled by Intesa Sanpaolo S.p.A. (“ISP”), which holds 100% of its share capital. In 2020, the consolidated revenue of the ISP group was approximately [90-100]* billion euros worldwide, of which approximately [80-90] billion euros in the European Union and approximately [70-80] billion euros generated in Italy1.</w:t>
        <w:br/>
        <w:t>2. Gruppo Servizi Associati S.p.A. (“GSA”) is a company active, also through its subsidiaries2, in the sale of products and services for fire prevention (including specific professional training), fire surveillance and emergency response, "soft security," and facility management. GSA is controlled, through Aurora Quattro S.p.A., by: (i) Armonia SGR S.p.A. (“Armonia”), through Aurora 3 S.p.A., with a shareholding of 68.5%; and by two individuals: one, through the subsidiary Al.Pe.Invest S.p.A. (“Alpe”), holds a 30% stake while the other holds the remaining 1.5% stake. In 2020, the GSA group generated revenue of approximately [100-511] million euros in the European Union, of which approximately [100-511] million euros generated in Italy.</w:t>
        <w:br/>
        <w:t>II. DESCRIPTION OF THE OPERATION</w:t>
        <w:br/>
        <w:t>3. The notified operation consists of the acquisition by the ISP group, through a newly established special purpose vehicle, BidCo3, of a controlling interest in the capital</w:t>
        <w:br/>
        <w:t>* In this version, some data are omitted, as elements of confidentiality or secrecy of the information were deemed to exist.</w:t>
        <w:br/>
        <w:t>1 For banking and financial institutions and for the insurance companies of the BPCE group, revenue data have been calculated pursuant to Article 16, paragraph 2, of Law No. 287/90.</w:t>
        <w:br/>
        <w:t>2 GSA holds (a) the entire share capital of GSA Firesafe S.r.l. (which, in turn, fully controls GSA Errevi S.r.l.), (b) 99% of S.R.M.B Secours Routiers du Mont-Blanc SAS France, as well as (c) 98.5% of the share capital of GSA Scarl (“Controlled Companies”), which, together with GSA, constitute the scope of the operation.</w:t>
        <w:br/>
        <w:t>3 In turn, the share capital of BidCo will be held by a newly established capital company, “HoldCo,” controlled by Eurizon SGR on behalf of two investment funds, (a) the closed-end reserved Italian alternative investment fund named Eurizon Iter and (b) the non-reserved closed-end alternative investment fund, authorized by the Bank of Italy as a European long-term investment fund named Eurizon Iter ELTIF. These sources</w:t>
      </w:r>
    </w:p>
    <w:p>
      <w:r>
        <w:rPr>
          <w:b/>
        </w:rPr>
        <w:t>[Pages 16–18]</w:t>
      </w:r>
    </w:p>
    <w:p>
      <w:r>
        <w:t>18 BULLETIN NO. 34 OF 23 AUGUST 2021</w:t>
        <w:br/>
        <w:t>social capital of GSA by virtue of a sales contract signed with the selling shareholders, who in turn, by virtue of an investment contract4, will participate in the share capital of BidCo. The share capital of BidCo, which will hold 100% of GSA, will be held by Eurizon SGR5 for a percentage not less than [65-70%], while the remaining part will be held by the current shareholders of the target company, not exceeding [10-15%] by Armonia, not exceeding [15-20%] by the shareholder of Alpe and by other managers for approximately [less than 1%].</w:t>
        <w:br/>
        <w:t>4. According to the communication received, the governance rules regulated by the Shareholders' Agreements signed between the Parties will grant the ISP group a veto right on strategic decisions of GSA ([omissis])6. Therefore, as a result of the notified concentration operation, the ISP group will acquire exclusive control of GSA through the special purpose vehicle BidCo.</w:t>
        <w:br/>
        <w:t>III. QUALIFICATION OF THE OPERATION</w:t>
        <w:br/>
        <w:t>5. The notified operation, as it involves the acquisition of exclusive control of a company, constitutes a concentration, pursuant to Article 5, paragraph 1, letter b), of Law No. 287/90. It falls within the scope of application of Law No. 287/90, as the conditions set out in Article 1 of Regulation EC 139/04 do not apply, and it is subject to the obligation of prior notification provided for by Article 16, paragraph 1, of the same law, as the total revenue generated, in the last financial year at the national level, by the group of companies involved was over 511 million euros and the total revenue generated individually, in the last financial year at the national level, by at least two of the companies involved was over 31 million euros.</w:t>
        <w:br/>
        <w:t>IV. EVALUATION OF THE CONCENTRATION</w:t>
        <w:br/>
        <w:t>The product market</w:t>
        <w:br/>
        <w:t>6. Taking into account the activity carried out by the company subject to acquisition, the operation in question concerns, from a commodity perspective, the sale of products and services for fire prevention and, more specifically, the direct marketing of systems and installations, including specific professional training, fire monitoring and emergency response, unarmed security and facility management services.</w:t>
        <w:br/>
        <w:t>The operation in question results in limited overlaps between the activities of the parties only with regard to professional training.</w:t>
        <w:br/>
        <w:t>7. Within the fire protection product market, it is possible to distinguish the markets of devices and components, where the acquiring company operates in a very marginal manner7, from the markets of actual systems and the related after-sales assistance services; the assistance, maintenance, and repair of fire protection devices can be considered attributable to the facility management market8.</w:t>
        <w:br/>
        <w:t>8. Facility management services encompass a set of logistical and organizational support services aimed at managing large real estate structures (generally within the public administration, hospital facilities, or large industrial, commercial complexes, etc.), offered by specialized companies to entities that manage the properties. These services specifically relate to the maintenance, both ordinary and extraordinary, of buildings and their appurtenances and systems, as well as the provision of ancillary activities9. Specifically, in addition to the activities listed above, GSA also carries out fire monitoring, prevention, and emergency response activities. According to the communication received, this activity is functional to the use of the infrastructures where it is provided and is connected to the ordinary and extraordinary maintenance of fire protection systems (already included in facility management) as it represents one of the means through which the fire monitoring and prevention service is provided, through trained and specialized personnel10. In this specific case, however, it is not deemed necessary to further explore the commodity delimitation of the market, due to the absence of any horizontal and/or vertical overlap between the Parties in such activities regardless of the market definition adopted.</w:t>
        <w:br/>
        <w:t>9. With regard to fire protection devices, GSA also carries out, albeit in an extremely residual manner, professional training activities specifically related to fire safety. In its previous decisions, the Authority has identified the market for the provision to companies and public entities of training and professional education services, consisting of the organization and management of training courses, aimed at private and/or public subjects11. In this case, a more precise identification of the markets is not deemed necessary as, regardless of the definition adopted, the operation will have no appreciable effects in the markets in question.</w:t>
        <w:br/>
        <w:t>The geographic market</w:t>
        <w:br/>
        <w:t>10. According to the Authority's orientation, the geographic dimension of the market for the sale of fire protection products can be considered national despite the trend towards uniformity at the European level due to the specific product and fire protection system approval regimes adopted by different European countries.</w:t>
        <w:br/>
        <w:t>11. Also with regard to the facility management market and fire monitoring and prevention services, considering the structure of demand and supply, as well as the absence of administrative constraints that limit the exercise of the activity to a local scope, the geographic dimension can encompass the entire national territory12.</w:t>
        <w:br/>
        <w:t>12. As for the geographic relevance, the market for the provision of goods and services for professional training can be considered of national dimension, in light of the importance of the language in relation to the type of service provided and the necessity for supplying companies to have a stable organization in Italian territory.</w:t>
        <w:br/>
        <w:t>Effects of the operation</w:t>
        <w:br/>
        <w:t>13. The operation in question does not result in overlaps between the activities of the Parties either with regard to the market for fire protection products or to the facility management market, including the after-sales assistance and maintenance services for fire protection systems, cleaning services, concierge and reception services, and fire monitoring, prevention, and emergency response services. In these markets, GSA operates with modest national shares, below 1%, and even considering the market position distinctly on fire services, the share is [0-5%]. Regardless of the definition adopted, since the ISP group does not carry out any of these activities, the concentration is therefore not suitable to alter competitive conditions in the markets in question.</w:t>
        <w:br/>
        <w:t>14. The operation does not appear to be capable of producing any appreciable effect on competitive dynamics even in the market for professional training, where the operation will result in a horizontal overlap between the activities of the Parties to a non-significant extent. The post-merger share attributable to the ISP group will remain below 1% ([omissis]), with an infinitesimal increase.</w:t>
        <w:br/>
        <w:t>CONSIDERED, therefore, that the operation in question does not entail, pursuant to Article 6, paragraph 1, of Law No. 287/90,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companies involved and to the Minister of Economic Development.</w:t>
        <w:br/>
        <w:t>12 See, among others, C12167 - FENICE/ZEPHIRO, decision No. 27246 of June 27, 2018.</w:t>
      </w:r>
    </w:p>
    <w:p>
      <w:r>
        <w:rPr>
          <w:b/>
        </w:rPr>
        <w:t>[Pages 19–21]</w:t>
      </w:r>
    </w:p>
    <w:p>
      <w:r>
        <w:t>BULLETIN NO. 34 OF AUGUST 23, 2021 21</w:t>
        <w:br/>
        <w:t>This measure will be published in the Bulletin of the Italian Competition Authority.</w:t>
        <w:br/>
        <w:t>THE SECRETARY GENERAL THE PRESIDENT</w:t>
        <w:br/>
        <w:t>Filippo Arena Roberto Rustichelli</w:t>
      </w:r>
    </w:p>
    <w:p>
      <w:r>
        <w:t>22 BULLETIN NO. 34 OF AUGUST 23, 2021</w:t>
        <w:br/>
        <w:t>C12387 - PAGANINI INVESTMENTS/MULTIVERSITY</w:t>
        <w:br/>
        <w:t>Measure No. 29802</w:t>
        <w:br/>
        <w:t>THE ITALIAN COMPETITION AUTHORITY</w:t>
        <w:br/>
        <w:t>IN ITS MEETING of August 3, 2021;</w:t>
        <w:br/>
        <w:t>HEARD the Rapporteur Professor Michele Ainis;</w:t>
        <w:br/>
        <w:t>HAVING REGARD TO Law No. 287 of October 10, 1990;</w:t>
        <w:br/>
        <w:t>HAVING REGARD TO Presidential Decree No. 217 of April 30, 1998;</w:t>
        <w:br/>
        <w:t>HAVING REGARD TO the notification from CVC Capital Partners SICAV-FIS S.A., received on July 30, 2021;</w:t>
        <w:br/>
        <w:t>CONSIDERING the following:</w:t>
        <w:br/>
        <w:t>I. THE PARTIES</w:t>
        <w:br/>
        <w:t>1. Paganini is a company under Luxembourg law controlled by CVC Capital Partners SICAV-FIS S.A. (“CVC”), a limited liability company classified as a specialized investment fund.</w:t>
        <w:br/>
        <w:t>2. CVC, together with its controlled and affiliated companies and CVC Capital Partners Advisory Group Holding Foundation and its controlled and affiliated companies, belongs to the CVC Network (“CVC Network”). The CVC Network is active, in particular, in consulting and/or managing investments on behalf of certain funds and investment platforms. CVC funds hold stakes in companies active in various sectors, including chemicals, utilities, manufacturing, retail, and distribution, worldwide and primarily in Europe, the United States, and the Asia-Pacific region. As of June 30, 2020, the CVC Network manages approximately 90 billion euros in assets.</w:t>
        <w:br/>
        <w:t>3. In 2019, CVC generated a global revenue of approximately [30-40]* billion euros, of which approximately [10-20] billion euros in the European Union and approximately [2-3] billion euros in Italy.</w:t>
        <w:br/>
        <w:t>4. The subject of acquisition is a limited liability company under Italian law, currently jointly controlled 50% directly by Paganini and indirectly by CVC, and for the other 50% directly by Multiversity S.p.A. and indirectly by Wversity S.r.l., which is in turn 100% controlled by an individual with Italian citizenship.</w:t>
        <w:br/>
        <w:t>5. The target company is primarily active in providing higher education and vocational training courses, also through an innovative learning methodology and a proprietary e-learning platform, as well as in specialized publishing for university and professional use (this activity is carried out almost entirely in function of the educational services provided by Multiversity and not for the benefit of third parties).</w:t>
        <w:br/>
        <w:t>6. In 2020, the target company generated, entirely in Italy, a revenue of approximately [100-511] million euros.</w:t>
        <w:br/>
        <w:t>* In this version, some data are omitted, as elements of confidentiality or secrecy of the information were deemed to exist.</w:t>
      </w:r>
    </w:p>
    <w:p>
      <w:r>
        <w:t>BULLETIN NO. 34 OF AUGUST 23, 2021 23</w:t>
        <w:br/>
        <w:t>II. DESCRIPTION OF THE OPERATION</w:t>
        <w:br/>
        <w:t>7. By means of a sale contract, Multiversity will transfer to Paganini the remaining 50% of the share capital of the target company. Based on what is provided in the contract and the governance rules established by the shareholders' agreement, CVC, through Paganini, will move from a position of joint control to one of exclusive control over the target company1.</w:t>
        <w:br/>
        <w:t>III. QUALIFICATION OF THE OPERATION</w:t>
        <w:br/>
        <w:t>8. The notified operation, as it involves the acquisition of exclusive control of companies, constitutes a concentration pursuant to Article 5, paragraph 1, letter b), of Law No. 287/90.</w:t>
        <w:br/>
        <w:t>9. It falls within the scope of application of Law No. 287/90, as the conditions of Article 1 of EC Regulation No. 139/04 do not apply, and is subject to the obligation of prior notification provided for by Article 16, paragraph 1, of the same law, as the total revenue generated in the last financial year at the national level by the group of interested companies exceeded 511 million euros and the revenue generated individually at the national level by at least two of the interested companies exceeded 31 million euros.</w:t>
        <w:br/>
        <w:t>IV. ASSESSMENT OF THE CONCENTRATION</w:t>
        <w:br/>
        <w:t>10. Considering the activities that will actually be carried out by the target company, the relevant markets affected by the concentration are: the market for university higher education courses, which includes degree courses, postgraduate courses, and doctoral programs; and the market for vocational training.</w:t>
        <w:br/>
        <w:t>(i) The market for university higher education</w:t>
        <w:br/>
        <w:t>11. The market for university higher education includes all courses aimed at obtaining a university degree. These include degree courses, postgraduate courses, and doctoral programs. Within this market, further segments may be distinguished based on the types and methods of teaching provided to students, the entity providing higher education (public or private), or the educational qualification intended to be obtained.</w:t>
        <w:br/>
        <w:t>12. From a geographical perspective, the market for university higher education has a national dimension, particularly considering that courses are conducted in the native language of each country, as well as due to the specific regulatory provisions in each country for access to this market. In Italy, for example, in order to operate in the higher education market, it is necessary for the university institution to be authorized and accredited by the Ministry of University and Research, through a specific procedure.</w:t>
        <w:br/>
        <w:t>(ii) The market for vocational training</w:t>
        <w:br/>
        <w:t>13. Based on national precedents2, this market includes all activities and services related to the management and provision of courses aimed at the vocational training of employees of private or public entities. The characteristics of the two types of entities from which the training originates are relevant.</w:t>
        <w:br/>
        <w:t>1 See decision No. 27916 of September 25, 2019, case C12254 Paganini Investment-Multiversity/Newco.</w:t>
        <w:br/>
        <w:t>2 See case C12254 cited, and decisions No. 9628 of June 7, 2001, case C4622, Isvor Knowledge System/Cromos, and No. 9801 of July 26, 2001, case C4707, Isvor Knowledge System/Public Administration School.</w:t>
      </w:r>
    </w:p>
    <w:p>
      <w:r>
        <w:rPr>
          <w:b/>
        </w:rPr>
        <w:t>[Pages 22–24]</w:t>
      </w:r>
    </w:p>
    <w:p>
      <w:r>
        <w:t>24 BULLETIN NO. 34 OF 23 AUGUST 2021</w:t>
        <w:br/>
        <w:t>requests - private and public - could lead to identifying two distinct markets for the services provided to them, but a more precise identification of the markets in this sense is not deemed necessary in the specific case. In fact, it would not change the assessment regarding the effects of the present operation.</w:t>
        <w:br/>
        <w:t>14. The geographical dimension of this market must be considered national, in light of the importance of language in relation to the type of service provided and the necessity for supplying companies to have a stable organization within the territory of the State.</w:t>
        <w:br/>
        <w:t>15. The operation in question consists of the modification of the control structure already exercised by Paganini over the target company, from joint control to exclusive control.</w:t>
        <w:br/>
        <w:t>16. In the Italian markets of higher university education and vocational training, the market shares held as a result of the operation will be approximately [1-5%] and [less than 1%], respectively. Numerous qualified competitors are present in these markets, such as SDA Bocconi University, LUISS "Guido Carli" University, Catholic University of the Sacred Heart, Campus Bio-Medico, San Raffaele, Niccolò Cusano University, e-Campus University, and Uninettuno Telematic University.</w:t>
        <w:br/>
        <w:t>17. In light of the above considerations, it is believed that in the relevant markets the operation will not have detrimental effects on competition, not resulting in substantial changes in the competitive structure of the same.</w:t>
        <w:br/>
        <w:t>THEREFORE, it is deemed that the operation in question does not constitute, pursuant to Article 6, paragraph 1, of Law No. 287/90,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Italian Competition Authority.</w:t>
        <w:br/>
        <w:t>THE SECRETARY GENERAL THE PRESIDENT</w:t>
        <w:br/>
        <w:t>Filippo Arena Roberto Rustichelli</w:t>
      </w:r>
    </w:p>
    <w:p>
      <w:r>
        <w:t>BULLETIN NO. 34 OF 23 AUGUST 2021 25</w:t>
        <w:br/>
        <w:t>UNFAIR TRADE PRACTICES</w:t>
        <w:br/>
        <w:t>PS11910 - ALLIANZ ASSICURAZIONI - MOTOR LIABILITY CLAIMS LIQUIDATION</w:t>
        <w:br/>
        <w:t>Measure No. 29805</w:t>
        <w:br/>
        <w:t>THE ITALIAN COMPETITION AUTHORITY</w:t>
        <w:br/>
        <w:t>IN ITS MEETING of August 3, 2021;</w:t>
        <w:br/>
        <w:t>HEARD the Rapporteur Professor Michele Ainis;</w:t>
        <w:br/>
        <w:t>HAVING REGARD to Part II, Title III, of Legislative Decree No. 206 of September 6, 2005, containing the "Consumer Code" and subsequent amendments (hereinafter, Consumer Code) and, in particular, Article 27;</w:t>
        <w:br/>
        <w:t>HAVING REGARD to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resolutions of April 13, 2021, and June 15, 2021, by which, pursuant to Article 7, paragraph 3, of the Regulation, the deadline for concluding the procedure was extended;</w:t>
        <w:br/>
        <w:t>HAVING REGARD to the acts of the procedure;</w:t>
        <w:br/>
        <w:t>I. THE PARTIES</w:t>
        <w:br/>
        <w:t>1. Allianz S.p.A. (hereinafter, Allianz) is a company active in the insurance services sector. The company's financial statements for the year ended December 31, 2020, show premium income of approximately 3.6 billion euros in the non-life sector (and approximately 2.3 billion euros in the life sector).</w:t>
        <w:br/>
        <w:t>2. Assoutenti as the Reporting Consumer Association.</w:t>
        <w:br/>
        <w:t>II. CONDUCTS SUBJECT TO THE PROCEDURE</w:t>
        <w:br/>
        <w:t>3. The procedure concerns two commercial practices regarding:</w:t>
        <w:br/>
        <w:t>a) the imposition of obstacles to the exercise of access to the so-called claims file through the adoption of dilatory, obstructive behaviors and/or unjustified denial of the related requests;</w:t>
        <w:br/>
        <w:t>b) the failure to comply with legal deadlines for the settlement of compensations and/or the request for documentation deemed necessary for the settlement, despite the same having already been transmitted to the liquidator.</w:t>
      </w:r>
    </w:p>
    <w:p>
      <w:r>
        <w:t>26 BULLETIN NO. 34 OF 23 AUGUST 2021</w:t>
        <w:br/>
        <w:t>III. THE FINDINGS OF THE PROCEDURE</w:t>
        <w:br/>
        <w:t>1) The procedure process</w:t>
        <w:br/>
        <w:t>4. Following some reports and preliminary investigations1, on November 24, 2020, Allianz was notified of the initiation of investigation procedure No. PS119102, contesting the possible violation of Articles 20, 22, 24, and 25 letter d) of the Consumer Code.</w:t>
        <w:br/>
        <w:t>5. In this context, two practices of Allianz were specifically contested: a) the imposition of obstacles to the exercise of access to the so-called claims file through the adoption of dilatory, obstructive behaviors and/or unjustified denial of the related requests; b) the failure to comply with legal deadlines for the settlement of compensations and/or the request for documentation deemed necessary for the settlement, despite the same having already been transmitted to the liquidator.</w:t>
        <w:br/>
        <w:t>6. On December 18, 2020, the consumer association Assoutenti requested to participate in the procedure, and on February 19, 2021, this request was accepted3.</w:t>
        <w:br/>
        <w:t>7. During the procedure, Allianz submitted several statements providing, moreover, the additional information requested by the Authority4.</w:t>
        <w:br/>
        <w:t>8. On February 9, 2021, pursuant to Article 27, paragraph 7, of the Consumer Code, Allianz presented commitments aimed at removing the profiles of illegality of the contested conducts, ultimately producing an integrated and consolidated version of the same on June 7, 20215.</w:t>
        <w:br/>
        <w:t>9. On February 23, 2021, Allianz was heard in a hearing6.</w:t>
        <w:br/>
        <w:t>10. On May 26, 2021, the parties were notified of the conclusion date of the investigative phase pursuant to Article 16, paragraph 1, of the Regulation7.</w:t>
        <w:br/>
        <w:t>11. On June 10, 2021, a request for opinion was made to Ivass pursuant to Article 27, paragraph 1-bis, of the Consumer Code, and this opinion was received on July 29, 20218.</w:t>
        <w:br/>
        <w:t>2) The evidence acquired.</w:t>
        <w:br/>
        <w:t>12. Allianz, in its statements and in response to requests for information, represented the following:</w:t>
        <w:br/>
        <w:t xml:space="preserve">a) whenever Allianz receives documentation or communications related to a claim, this is promptly digitized - if received in paper form - and processed internally through an automatic Text Analytics system in order to allow the insertion of the aforementioned information into the company's IT system. This digitization process also concerns access requests, for which - once intercepted by the aforementioned IT system - a reference (so-called task) is created in the interface. </w:t>
        <w:br/>
        <w:t>1 See documents no. 1-9.</w:t>
        <w:br/>
        <w:t>2 Document no. 10.</w:t>
        <w:br/>
        <w:t>3 Documents no. 24 and 42.</w:t>
        <w:br/>
        <w:t>4 Documents no. 23, 26, 27, 29, 31, 33, 51, 52, 57, 60, 61, 62.</w:t>
        <w:br/>
        <w:t>5 Documents no. 39 and 67.</w:t>
        <w:br/>
        <w:t>6 Document no. 46.</w:t>
        <w:br/>
        <w:t>7 Documents no. 65 and 66.</w:t>
        <w:br/>
        <w:t>8 Documents no. 69 and 75.</w:t>
      </w:r>
    </w:p>
    <w:p>
      <w:r>
        <w:rPr>
          <w:b/>
        </w:rPr>
        <w:t>[Pages 25–27]</w:t>
      </w:r>
    </w:p>
    <w:p>
      <w:r>
        <w:t>BULLETIN NO. 34 OF 23 AUGUST 2021 27</w:t>
        <w:br/>
        <w:t>computer system to which the liquidator has access (called Scadenziario Doc), whose function is to allow a digital cataloging of the request, accompanied by a semaphore-type iconography aimed at alerting the liquidator of the approaching deadline related to the necessary action to satisfy the task and consider it executed;</w:t>
        <w:br/>
        <w:t>b) at the time of creation, the task entered in the Scadenziario Doc is assigned the label ‘NEW request for access to documents’. In this regard, the system automatically sets an initial deadline of 15 days from the date of receipt of the request, available to the liquidator to evaluate how to proceed and follow up on the request9. If the liquidator fails to act on the generated task, the request is automatically considered accepted and the system moves directly to the next state of processing it, through two steps: (i) updating the deadline for fulfillment to 60 days from the receipt of the request itself; and (ii) replacing the description of the task with the label ‘Request for access to documents;</w:t>
        <w:br/>
        <w:t>c) the request for access to documents can be made to the Company through various means of communication, namely: (i) fax, (ii) registered mail with return receipt, (iii) certified electronic mail (PEC), or (iv) e-mail. The recipients can be: (i) Allianz, (ii) the territorially competent Damage Liquidation Center (CLD), or (iii) the agency present in the territory;</w:t>
        <w:br/>
        <w:t>d) Allianz guarantees actual access to the requested documentation by sending it to the requester via fax or registered mail with return receipt, or by allowing the requester to physically collect a paper copy on-site at the CLD or the agency present in the territory. Given the particularities related to the occurrence of the Covid-19 pandemic, Allianz has produced specific provisions and internal guidelines to ensure the right to effective and prompt access to documents by requesting parties despite the problems and critical issues due to the particular health situation and, in particular, the lockdown period;</w:t>
        <w:br/>
        <w:t>e) of the 10,899 requests for access to documents received from March 1, 2019, to November 26, 2020, approximately 49% were fulfilled with the sending of the requested documentation. The remaining requests were managed without sending documentation due to the absence of legal requirements. The average time for access to the file was less than the maximum term of 60 days provided for in Article 146 of the Private Insurance Code;</w:t>
        <w:br/>
        <w:t>f) regarding claims settlement requests, Allianz, in order to determine the degree of responsibility of the parties involved in an accident and thus quantify the damage resulting from it, first requires the documentation expressly provided for by the applicable regulations (Articles 148 and 149 of the Insurance Code), namely: (i) the Friendly Accident Report (CAI); (ii) the description of how the accident occurred; (iii) the tax code of the person entitled to compensation; (iv) the indication of place and time (officially) of at least 5 working days following the date of receipt of the response, during which the damaged vehicle or items, even if already repaired, can be examined by the expert appointed by the Company. If the accident also results in physical injuries, the above regulations require that the injured party must necessarily provide the insurance company with further information;</w:t>
        <w:br/>
        <w:t>9 The term corresponds to that assigned by the Private Insurance Code to Companies to respond to the access request, while the entire procedure must be completed within 60 days from the request.</w:t>
      </w:r>
    </w:p>
    <w:p>
      <w:r>
        <w:t>28 BULLETIN NO. 34 OF 23 AUGUST 2021</w:t>
        <w:br/>
        <w:t>g) the determination of the degree of responsibility of the individual parties involved in accidents falling within the scope of the so-called ‘direct compensation’ procedure (as per Articles 149 and 150 of the Insurance Code) can also be made based on the information flows as well as the documentation received pursuant to the rules and methods provided by the so-called CARD approved by IVASS;</w:t>
        <w:br/>
        <w:t>h) regarding the timing of settlements, the percentage of damage positions for which the settlement actually occurred beyond the deadlines set by law is less than 1% both in 2019 and in 2020.</w:t>
        <w:br/>
        <w:t>3) The commitments presented by Allianz</w:t>
        <w:br/>
        <w:t>13. Allianz has presented commitments concerning four profiles (A. management-type tasks; B. IT-type tasks; C. communication tasks; D. training tasks), described more comprehensively in the form attached to this measure, which constitutes an integral part thereof:</w:t>
        <w:br/>
        <w:t>- Commitment A): strengthening of internal control systems with particular reference to the activity of the “Claims Quality Control” business function, as well as the introduction of “rewarding incentives” for Allianz Liquidators with the aim of increasing compliance with regulatory obligations, stimulating fulfillment times shorter than the regulatory deadlines through variable percentages of people eligible for rewards based on the best performances achieved by the various liquidation units and based on the individual results obtained, thereby increasing the “safety margins” in the timing of management of business functions (commitments concerning “management-type” tasks related to the commercial practices subject to contestation under a) and b) of the initiation communication);</w:t>
        <w:br/>
        <w:t>- Commitment B): improvement of the so-called “text analytics” system, i.e., the analysis of the content of paper and digital documents received by Allianz, in order to automatically identify and isolate the actual requests for access to the documents of the motor liability claims file and avoid, for example, the so-called “false positives”. Such false positives concern the “incorrect cataloging” of requests considered as requests for access to the file, but not considered as such (for example, “generic” requests under Article 146 of the Insurance Code). The search for false positives responds to the fundamental objective of avoiding “inefficient burdens” in the management of access procedures to the claims file (commitments concerning “IT-type” tasks related to the commercial practice under a) of the initiation);</w:t>
        <w:br/>
        <w:t>- Commitment C): modification of the communications (forms, terms used, etc.) used by Allianz for requesting the necessary documents for damage settlement from users, indicating with maximum clarity, transparency, and simplicity (including graphic type) the strictly necessary documents, better specifying that documents already in possession of Allianz are not required, as well as naturally superfluous or even irrelevant documents (commitments on “communication” tasks concerning the commercial practice under b) of the initiation);</w:t>
        <w:br/>
        <w:t>- Commitment D): specialization program for Allianz liquidators with specific training initiatives, as well as distinguishing training needs based on the main types of claims, for example, for the “damage primarily to property” or “damage primarily to persons” sectors. This commitment aims to increase the already high levels of efficiency of liquidators, standardizing the organizational model of the various types of claims and assigning each individual damage position - through a computer routing system that analyzes the characteristics of the accident and the documentation at the time of its reporting - to the territorially responsible liquidator based on their individual skills and workload (commitments concerning “training” tasks related to the commercial practices referred to in points a) and b) of the initiation).</w:t>
        <w:br/>
        <w:t>The aforementioned commitments - undertaken for a duration of 3 years - will be implemented within 45 days from the decision of acceptance thereof by the Authority, except for:</w:t>
        <w:br/>
        <w:t>a) the commitments concerning the so-called “self-control tool” and the formalization of the “incentive system” which cannot be implemented before July 2021;</w:t>
        <w:br/>
        <w:t>b) the sharing of the overall results arising from Allianz's checks which cannot be effectively implemented before January 2022.</w:t>
        <w:br/>
        <w:t>4) The opinion of IVASS</w:t>
        <w:br/>
        <w:t>14. Since the commercial practice subject to this measure concerns the insurance sector, on June 10, 2021, the opinion was requested from the Institute for the Supervision of Insurance (Ivass), pursuant to and for the purposes of Article 27, paragraph 1-bis, of the Consumer Code, introduced by Article 1, paragraph 6, letter a), of Legislative Decree No. 21/2014.</w:t>
        <w:br/>
        <w:t>Ivass issued its opinion on July 29, 2021, stating that, “Regarding the commitments proposed by Allianz S.p.A. in relation to both contested profiles, it is communicated that, as far as it is concerned, there are no observations to be made.”</w:t>
        <w:br/>
        <w:t>IV. EVALUATIONS</w:t>
        <w:br/>
        <w:t>15. The commitments presented by Allianz during the proceedings appear suitable to remedy the possible profiles of illegitimacy of the commercial practices contested in the initiation communication. They are capable of improving the procedures and the level of efficiency and transparency in the management of the entire damage settlement process (from the initial handling of the claim, to access to the documents of the file, up to the final settlement in compliance with the relevant legal timelines) in the motor liability sector.</w:t>
        <w:br/>
        <w:t>16. In particular, regarding the impact and effectiveness of the commitments presented:</w:t>
        <w:br/>
        <w:t>a) Commitment A) appears to allow for a more timely and analytical visibility at the corporate management level of the performance level of the “liquidation structure” regarding compliance with regulations and the timing of fulfilling requests for access to documents and compensation. In this perspective, the introduction of new “economic incentives” for the most efficient liquidators will allow for improvements in settlement procedures, including settlement times, directly stimulating those responsible for their application;</w:t>
        <w:br/>
        <w:t>b) as for Commitment B), it should increase the efficiency of the settlement processes, with reference to requests for access to the documents of the claims file, allowing for the recognition of actual access requests, and reducing any cataloging errors of the so-called “false positives”, which only serve to burden the system with requests that do not need to be fulfilled, to the detriment of the speed of processing the real access requests;</w:t>
        <w:br/>
        <w:t>c) with the reformulation of the texts of its communications (“forms”) and the information provided to users who wish to request compensation, as per Commitment C), the Company will make the procedure clearer for consumers, who will be able to provide the necessary documentation to allow for the correct and timely settlement of the claim.</w:t>
      </w:r>
    </w:p>
    <w:p>
      <w:r>
        <w:rPr>
          <w:b/>
        </w:rPr>
        <w:t>[Pages 28–30]</w:t>
      </w:r>
    </w:p>
    <w:p>
      <w:r>
        <w:t>30 BULLETIN NO. 34 OF 23 AUGUST 2021</w:t>
        <w:br/>
        <w:t>complained of; at the same time, it will be clarified that the consumer will not be required to provide redundant documentation or documentation that has already been provided;</w:t>
        <w:br/>
        <w:t>d) finally, through the training and specialization activities indicated in Commitment D), Allianz aims to achieve an improvement in the timing of management both of the overall settlement procedures and those related to access to documents, as individual adjusters – specializing in a specific "type of claim" (distinguishing between those with simpler management such as claims with only property damage and those with more complex management, including personal injury) – will be able to improve the efficient management of the same.</w:t>
        <w:br/>
        <w:t>17. In light of the above and considering the improvements to the entire claims management process in the motor liability sector, the commitments presented by Allianz appear suitable to eliminate the possible profiles of unfairness of the contested practices.</w:t>
        <w:br/>
        <w:t>CONSIDERING that the commitments presented by Allianz S.p.A., in the terms outlined above, are suitable to eliminate the possible profiles of unlawfulness of the conduct subject to investigation;</w:t>
        <w:br/>
        <w:t>CONSIDERING to impose the obligation of the aforementioned commitments on Allianz S.p.A.;</w:t>
        <w:br/>
        <w:t>CONSIDERING, therefore, that it is possible to close the proceedings without establishing the infringement</w:t>
        <w:br/>
        <w:t>RESOLVES</w:t>
        <w:br/>
        <w:t>a) to make mandatory, with respect to Allianz S.p.A., pursuant to Article 27, paragraph 7, of the Consumer Code and Article 9, paragraph 2, letter a), of the Regulation, the commitments proposed by the company in the final version dated June 7, 2021, as described in the form attached to this measure;</w:t>
        <w:br/>
        <w:t>b) to close the proceedings without establishing the infringement, pursuant to Article 27, paragraph 7, of the Consumer Code and Article 9, paragraph 2, letter a), of the Regulation;</w:t>
        <w:br/>
        <w:t>c) that Allianz S.p.A., within sixty days from the date of notification of this resolution, shall inform the Authority of the implementation of the commitments up to that point carried out by submitting a specific report supported by appropriate documentary evidence.</w:t>
        <w:br/>
        <w:t>Pursuant to Article 9, paragraph 3, of the Regulation, the proceedings may be reopened ex officio, where:</w:t>
        <w:br/>
        <w:t>a) the professional does not implement the commitments;</w:t>
        <w:br/>
        <w:t>b) the factual situation changes with respect to one or more elements on which the decision is based;</w:t>
        <w:br/>
        <w:t>c) the decision to accept commitments is based on information provided by the Parties that is incomplete, inaccurate, or misleading.</w:t>
      </w:r>
    </w:p>
    <w:p>
      <w:r>
        <w:t>BULLETIN NO. 34 OF 23 AUGUST 2021 31</w:t>
        <w:b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br/>
        <w:t>This measure will be notified to the interested parties and published in the Bulletin of the Italian Competition Authority.</w:t>
        <w:br/>
        <w:t>THE SECRETARY GENERAL THE PRESIDENT</w:t>
        <w:br/>
        <w:t>Filippo Arena Roberto Rustichelli</w:t>
      </w:r>
    </w:p>
    <w:p>
      <w:r>
        <w:t>Italian Competition Authority Weekly Bulletin</w:t>
        <w:br/>
        <w:t>of Competition and Market Year XXXI - No. 34 - 2021</w:t>
        <w:br/>
        <w:t>Editorial Coordination Giulia Antenucci</w:t>
        <w:br/>
        <w:t>Editorial Staff Valerio Ruocco, Simonetta Schettini, Manuela Villani</w:t>
        <w:br/>
        <w:t>Italian Competition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