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https://agcm.it/dotcmsdoc/bollettini/2022/34-22.pdf</w:t>
      </w:r>
    </w:p>
    <w:p>
      <w:r>
        <w:t>Pages translated : 32</w:t>
      </w:r>
    </w:p>
    <w:p/>
    <w:p>
      <w:r>
        <w:rPr>
          <w:b/>
        </w:rPr>
        <w:t>[Pages 1–3]</w:t>
      </w:r>
    </w:p>
    <w:p>
      <w:r>
        <w:t>Bulletin</w:t>
        <w:br/>
        <w:t>Weekly</w:t>
        <w:br/>
        <w:t>Year XXXII - No. 34</w:t>
        <w:br/>
        <w:t>Published on the website www.agcm.it</w:t>
        <w:br/>
        <w:t>19 September 2022</w:t>
      </w:r>
    </w:p>
    <w:p>
      <w:r>
        <w:t>SUMMARY</w:t>
        <w:br/>
        <w:t>AGREEMENTS AND ABUSE OF DOMINANT POSITION 5</w:t>
        <w:br/>
        <w:t>I849 – BANCOMAT - CASH WITHDRAWALS</w:t>
        <w:br/>
        <w:t>Measure no. 30294 5</w:t>
        <w:br/>
        <w:t>CONCENTRATION OPERATIONS 7</w:t>
        <w:br/>
        <w:t>C12471 - ZURICH INSURANCE COMPANY/BRANCH OF BUSINESS OF DEUTSCHE BANK</w:t>
        <w:br/>
        <w:t>Measure no. 30291 7</w:t>
        <w:br/>
        <w:t>C12475 - ITALIAN INVESTMENT FUND-ARMÒNIA SGR/QUICK-C.A.T.T.</w:t>
        <w:br/>
        <w:t>Measure no. 30292 11</w:t>
        <w:br/>
        <w:t>C12478 - ERG WIND HOLDING/TACA WIND-LUCUS POWER-WINCAP-CONZA ENERGIA-BREVA</w:t>
        <w:br/>
        <w:t>WIND-SPV WIND FARM ARIA DEL VENTO-SAN MAURO</w:t>
        <w:br/>
        <w:t>Measure no. 30293 16</w:t>
        <w:br/>
        <w:t>REPORTING AND CONSULTATIVE ACTIVITIES 20</w:t>
        <w:br/>
        <w:t>20</w:t>
        <w:br/>
        <w:t>AS1859 – MITE - RECOGNITION OF THE AUTONOMOUS ERION PACKAGING SYSTEM</w:t>
        <w:br/>
        <w:t>UNFAIR TRADE PRACTICES 26</w:t>
        <w:br/>
        <w:t>PS12315 - ITAL GROUP-DOOR-TO-DOOR SALE OF VARIOUS PRODUCTS</w:t>
        <w:br/>
        <w:t>Measure no. 30296 26</w:t>
      </w:r>
    </w:p>
    <w:p>
      <w:r>
        <w:t>BULLETIN NO. 34 OF 19 SEPTEMBER 2022 5</w:t>
        <w:br/>
        <w:t>AGREEMENTS AND ABUSE OF DOMINANT POSITION</w:t>
        <w:br/>
        <w:t>I849 – BANCOMAT - CASH WITHDRAWALS</w:t>
        <w:br/>
        <w:t>Measure no. 30294</w:t>
        <w:br/>
        <w:t>THE COMPETITION AND MARKET AUTHORITY</w:t>
        <w:br/>
        <w:t>IN ITS MEETING of 30 August 2022;</w:t>
        <w:br/>
        <w:t>HEARD the Rapporteur, President Roberto Rustichelli;</w:t>
        <w:br/>
        <w:t>HAVING REGARD to Article 101 of the Treaty on the Functioning of the European Union (TFEU);</w:t>
        <w:br/>
        <w:t>HAVING REGARD to Council Regulation (EC) No. 1/2003 of 16 December 2002, concerning the application of the competition rules laid down in Articles 101 and 102 of the TFEU;</w:t>
        <w:br/>
        <w:t>HAVING REGARD to Law No. 287 of 10 October 1990;</w:t>
        <w:br/>
        <w:t>HAVING REGARD to Presidential Decree No. 217 of 30 April 1998;</w:t>
        <w:br/>
        <w:t>HAVING REGARD to its own measure of 1 December 2020, by which an investigation was initiated pursuant to Article 14 of Law No. 287/90, against Bancomat S.p.A. to ascertain the existence of violations of Article 101 TFEU in relation to the project of a new remuneration model for withdrawal operations in circularity, submitted by Bancomat S.p.A. to the Authority on 22 October 2020;</w:t>
        <w:br/>
        <w:t>HAVING REGARD to the subsequent measure of 7 September 2021 by which it was decided to objectively extend the procedure initiated on 1 December 2020 to the further provisions communicated by Bancomat S.p.A. on 28 July 2021 concerning transparency profiles, costs for issuing banks, and quantification of the withdrawal commission, as well as to extend the deadline for concluding the procedure to 29 April 2022;</w:t>
        <w:br/>
        <w:t>HAVING REGARD to the measure of 20 April 2022 by which it was decided to extend the deadline for concluding the procedure to 30 October 2022;</w:t>
        <w:br/>
        <w:t>HAVING REGARD to the communication of the investigative findings, sent to the parties on 5 August 2022;</w:t>
        <w:br/>
        <w:t>HAVING REGARD to the request of Bancomat S.p.A., received on 10 August 2022, for an extension of the procedural deadline for closing the investigative phase and for the final hearing, in order to carry out a complete analysis of the communication of the investigative findings and to fully exercise its right of defense;</w:t>
        <w:br/>
        <w:t>CONSIDERING that the acceptance of the aforementioned request is justified by the need to ensure the full exercise of the adversarial process;</w:t>
        <w:br/>
        <w:t>CONSIDERING that the extension of the procedural deadline for closing the investigative phase also necessitates an extension of the deadline for concluding the procedure;</w:t>
        <w:br/>
        <w:t>THEREFORE CONSIDERED necessary an extension of the deadline for closing the procedure, currently set for 31 October 2022;</w:t>
      </w:r>
    </w:p>
    <w:p>
      <w:r>
        <w:rPr>
          <w:b/>
        </w:rPr>
        <w:t>[Pages 4–6]</w:t>
      </w:r>
    </w:p>
    <w:p>
      <w:r>
        <w:t>6 BULLETIN NO. 34 OF 19 SEPTEMBER 2022</w:t>
        <w:br/>
        <w:t>RESOLUTION</w:t>
        <w:br/>
        <w:t>to extend the deadline for the conclusion of the procedure to 30 November 2022;</w:t>
        <w:br/>
        <w:t>This measure will be notified to the interested parties and published in the Bulletin of the Competition and Market Authority.</w:t>
        <w:br/>
        <w:t>THE SECRETARY GENERAL THE PRESIDENT</w:t>
        <w:br/>
        <w:t>Guido Stazi Roberto Rustichelli</w:t>
      </w:r>
    </w:p>
    <w:p>
      <w:r>
        <w:t>BULLETIN NO. 34 OF 19 SEPTEMBER 2022 7</w:t>
        <w:br/>
        <w:t>CONCENTRATION OPERATIONS</w:t>
        <w:br/>
        <w:t>C12471 - ZURICH INSURANCE COMPANY/BRANCH OF BUSINESS OF DEUTSCHE BANK</w:t>
        <w:br/>
        <w:t>Measure no. 30291</w:t>
        <w:br/>
        <w:t>THE COMPETITION AND MARKET AUTHORITY</w:t>
        <w:br/>
        <w:t>IN ITS MEETING of 30 August 2022;</w:t>
        <w:br/>
        <w:t>HEARD the Rapporteur, Professor Elisabetta Iossa;</w:t>
        <w:br/>
        <w:t>HAVING REGARD to the law of 10 October 1990, no. 287;</w:t>
        <w:br/>
        <w:t>HAVING REGARD to the Presidential Decree of 30 April 1998, no. 217;</w:t>
        <w:br/>
        <w:t>HAVING REGARD to the communication from Zurich Insurance Company Ltd, received on 16</w:t>
        <w:br/>
        <w:t>September 2021;</w:t>
        <w:br/>
        <w:t>HAVING REGARD to its own measure of 9 November 2021, no. 29887;</w:t>
        <w:br/>
        <w:t>HAVING REGARD to the new communication from Zurich Insurance Company Ltd, received on 25</w:t>
        <w:br/>
        <w:t>July 2022;</w:t>
        <w:br/>
        <w:t>HAVING REGARD to the opinion of IVASS, received on 9 August 2022, following the request made pursuant to Article 20, paragraph 4, of law no. 287/90;</w:t>
        <w:br/>
        <w:t>CONSIDERING the following:</w:t>
        <w:br/>
        <w:t>I. THE PARTIES</w:t>
        <w:br/>
        <w:t>1. Zurich Insurance Company Ltd (hereinafter ZIC), a Swiss law company, is active in the sale of insurance and reinsurance products; it is part of the Zurich group, which operates globally in the provision of insurance policies (property and life branches) and related services. ZIC is wholly owned by the parent company Zurich Insurance Group Ltd, also under Swiss law. In 2021, the Zurich group achieved a total revenue of 49.0 billion euros, of which [10-20]* and [2-3] billion euros were from sales made respectively in the European Union and in Italy.</w:t>
        <w:br/>
        <w:t>2. The subject of acquisition is a loan portfolio - consisting of loan products such as secured and unsecured overdrafts, secured direct loans, and other secured loan products, all intended for consumer families and small business producer families - owned by the Italian company Deutsche Bank S.p.A. (hereinafter DB), which will expand the scope of the business branch (called DB Financial Advisors) previously acquired - by authorization of the Authority with measure no. 29887 of 9 November 2021 - by ZIC * In this version, some data are omitted, as elements of confidentiality or secrecy of the information were deemed to exist.</w:t>
      </w:r>
    </w:p>
    <w:p>
      <w:r>
        <w:t>8 BULLETIN NO. 34 OF 19 SEPTEMBER 2022</w:t>
        <w:br/>
        <w:t>and transferred by DB1; the latter is part of the Deutsche group, active globally in the financial and credit sector. DB is subject to the control of the German parent company Deutsche Bank AG. The business branch including the loan portfolio subject to acquisition achieved a total revenue of [100-517] million euros in 2021, entirely generated in Italy.</w:t>
        <w:br/>
        <w:t>II. DESCRIPTION OF THE OPERATION</w:t>
        <w:br/>
        <w:t>3. The communication in question concerns the acquisition, by ZIC (through a wholly owned newco) and thus by the Zurich group, of control of the aforementioned business branch as extended to the loan portfolio described above, which is therefore included therein.</w:t>
        <w:br/>
        <w:t>4. The operation responds to the buyer's need to immediately integrate the commercial proposal of the newco with activities in the lending markets.</w:t>
        <w:br/>
        <w:t>III. QUALIFICATION OF THE OPERATION</w:t>
        <w:br/>
        <w:t>5. The communicated operation constitutes a concentration, pursuant to Article 5, paragraph 1 letter b), of law no. 287/90, as it involves the acquisition of control of part of an enterprise. It falls within the scope of application of law no. 287/90, as the conditions of Article 1 of Regulation EC 139/2004 do not apply, and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 the last financial year at the national level, individually by at least two of the companies involved was over 31 million euros. In fact, the calculation of relevant revenue must be made with reference to both the Parties of this transaction and that already carried out in 2021 and assessed (in isolation) by the Authority due to the aggregation of the aforementioned operation with the previous operation, which involves the expansion of revenue values such that they exceed the thresholds indicated in the national legislative provision2.</w:t>
        <w:br/>
        <w:t>1 See C12401 - Zurich Insurance Company/Branch of business DB Financial Advisors of Deutsche Bank, Measure no. 29887 of 9 November 2021.</w:t>
        <w:br/>
        <w:t>2 The necessity to aggregate the two operations arises from the community provision of Article 5, paragraph 2, second subparagraph of Regulation EC no. 139/2004, according to which: “…two or more transactions of the type contemplated by the first paragraph, concluded between the same persons or companies within a period of two years, shall be considered a single concentration realized on the day of the last transaction.” This principle has been reiterated and clarified by the European Commission in its Consolidated Communication on the criteria for jurisdictional competence under Regulation (EC) no. 139/2004 of the Council concerning the control of concentrations between enterprises §§ 49-50. In particular, paragraph 50 provides that “If two or more operations (each of which results in an acquisition of control) take place between the same persons or companies over a period of two years, they will be considered as a single concentration, regardless of whether they concern the same sector or parts of the same activity.” Furthermore, the subsequent paragraph 137 clarifies that “The second paragraph of Article 5, paragraph 2, contains a specific provision on operations staggered in multiple phases or agreements concluded subsequently following previous agreements: previous concentrations (within a period of two years) between the same parties are subject to the obligation of (re)notification together with the most recent operation, provided that this constitutes a concentration, if the thresholds are reached for one or more operations, considered separately or as a whole. In this case, the interested companies are the buyer(s) and the various acquired parts of the company subject to acquisition.”</w:t>
      </w:r>
    </w:p>
    <w:p>
      <w:r>
        <w:rPr>
          <w:b/>
        </w:rPr>
        <w:t>[Pages 7–9]</w:t>
      </w:r>
    </w:p>
    <w:p>
      <w:r>
        <w:t>BULLETIN NO. 34 OF 19 SEPTEMBER 2022 9</w:t>
        <w:br/>
        <w:t>IV. THE OPINION OF IVASS</w:t>
        <w:br/>
        <w:t>6. In an opinion received on 9 August 2022, IVASS deemed it unnecessary to make further observations regarding the previous opinion (related to the aforementioned concentration operation C12401 - Zurich Insurance Company/Branch of Business DB Financial Advisors of Deutsche Bank and issued on 26 October 2021), in which it did not highlight the existence of elements capable of altering the competitive balance within the relevant markets.</w:t>
        <w:br/>
        <w:t>V. EVALUATION OF THE CONCENTRATION</w:t>
        <w:br/>
        <w:t>Premise</w:t>
        <w:br/>
        <w:t>7. As previously mentioned, the Authority has already evaluated the acquisition by ZIC of the branch of business DB Financial Advisors of Deutsche Bank; since the present operation concerns different markets that do not appear to be vertically integrated with those involved in the previous operation, and considering the market shares, as will be discussed shortly, very low held by the parties in the markets of the loans involved in the acquisition of the branch of business under examination, the following evaluation will focus solely on this last acquisition, referring to the decision of 26 October 2021 for the evaluation concerning the other markets.</w:t>
        <w:br/>
        <w:t>Product and Geographic Markets</w:t>
        <w:br/>
        <w:t>8. From a commodity perspective, the sectors involved in the operation in question refer to the part of the branch of business of DB subject to acquisition with this operation, namely the loan products described above and, therefore, the banking loans aimed particularly at consumer households and small producer households (small enterprises).</w:t>
        <w:br/>
        <w:t>9. As per the Authority's orientation, it is indeed appropriate to distinguish the market for loans (i.e., short, medium, and long-term credit) depending on the subject (typically consumer households, producer households, medium-large enterprises, and public entities) that expresses such demand for credit, as they have different financing needs for which credit institutions offer dedicated products and services.</w:t>
        <w:br/>
        <w:t>10. The different subjects expressing the demand for loans also appear characterized by a different propensity for mobility, in terms of willingness to substitute the offer by seeking other financiers on a more or less broad geographical scale. In the case of households (consumers) and smaller enterprises, characterized by low geographical mobility, the territorial dimension can be considered local, in the first approximation provincial.</w:t>
        <w:br/>
        <w:t>Effects of the Operation</w:t>
        <w:br/>
        <w:t>11. The operation in question does not create horizontal overlaps between the parties, given that the acquiring Zurich group does not operate in any of the loan markets. Therefore, this operation effectively results in the replacement of one operator with another, characterized by very small market shares (below 1% in all provincial areas of both markets), in a competitive context where numerous and qualified competitors operate (essentially all major national banks).</w:t>
        <w:br/>
        <w:t>12. In light of the above considerations, the concentration in question does not appear capable of significantly altering the competitive dynamics in the relevant markets.</w:t>
        <w:br/>
        <w:t>CONSIDERED, therefore, that the operation in question does not significantly impede effective competition in the relevant markets pursuant to Article 6, paragraph 1, of law no. 287/90 and does not result in the establishment or strengthening of a dominant position;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measure will be published in the Bulletin of the Competition and Market Authority.</w:t>
        <w:br/>
        <w:t>THE SECRETARY GENERAL THE PRESIDENT</w:t>
        <w:br/>
        <w:t>Guido Stazi Roberto Rustichelli</w:t>
      </w:r>
    </w:p>
    <w:p>
      <w:r>
        <w:t>BULLETIN NO. 34 OF 19 SEPTEMBER 2022 11</w:t>
        <w:br/>
        <w:t>C12475 - ITALIAN INVESTMENT FUND-ARMÒNIA SGR/QUICK-C.A.T.T.</w:t>
        <w:br/>
        <w:t>Measure no. 30292</w:t>
        <w:br/>
        <w:t>THE COMPETITION AND MARKET AUTHORITY</w:t>
        <w:br/>
        <w:t>IN ITS MEETING of 30 August 2022;</w:t>
        <w:br/>
        <w:t>HEARD the Rapporteur, Professor Elisabetta Iossa;</w:t>
        <w:br/>
        <w:t>HAVING REGARD to the law of 10 October 1990, no. 287;</w:t>
        <w:br/>
        <w:t>HAVING REGARD to the Presidential Decree of 30 April 1998, no. 217;</w:t>
        <w:br/>
        <w:t>HAVING REGARD to the communication from the companies Fondo Italiano di Investimento SGR S.p.A. on behalf of the Fondo Italiano Consolidamento e Crescita – FICC and from Armònia SGR S.p.A. on behalf of Armònia Italy Fund, received on 2 August 2022;</w:t>
        <w:br/>
        <w:t>CONSIDERED the following:</w:t>
        <w:br/>
        <w:t>I. THE PARTIES</w:t>
        <w:br/>
        <w:t>1. Fondo Italiano di Investimento SGR S.p.A. (hereinafter "FII") is an investment company, established in 2010, with the aim of supporting the growth of the Italian private capital market, through direct investments in Italian SMEs and/or indirect investments in investment funds (private equity). FII manages 13 closed-end investment funds reserved for qualified investors, totaling approximately [2-3]* billion euros.</w:t>
        <w:br/>
        <w:t>2. FII is part of the Cassa depositi e prestiti S.p.A. ("CDP") group, being majority-owned by CDP Equity S.p.A. CDP is the joint-stock company at the head of the eponymous group, governed by Article 5 of Decree Law 269/2003, which defines its functions, tasks, and organization. CDP is active, among other things, also through postal savings, in financing local public entities and others, and initiatives promoted by them, in acquiring stakes in companies of significant national interest, in financing works, plants, networks, and facilities intended for the provision of public services and in managing the stakes transferred from the Ministry of Economy and Finance to CDP S.p.A. at the time of their transformation into joint-stock companies. In 2021, the CDP group achieved total revenues of approximately [30-40] billion euros, of which approximately [20-30] billion for sales made in the European Union and approximately [20-30] billion for sales made in Italy.</w:t>
        <w:br/>
        <w:t>3. Armònia SGR S.p.A. (hereinafter "Armònia") is an independent asset management company, which has established and manages the Italian law Alternative Investment Fund "Armònia Italy Fund" (hereinafter, Armònia Fund), a closed-end mutual investment fund, whose participation is reserved for institutional investors. The investments of the Armònia Fund focus on typical made in Italy sectors (machinery, mechanics, pharmaceuticals, nutraceuticals, services, consumer goods, food, luxury, and lifestyle).</w:t>
        <w:br/>
        <w:t>* In this version, some data are omitted, as elements of confidentiality or secrecy of the information were deemed to exist.</w:t>
      </w:r>
    </w:p>
    <w:p>
      <w:r>
        <w:rPr>
          <w:b/>
        </w:rPr>
        <w:t>[Pages 10–12]</w:t>
      </w:r>
    </w:p>
    <w:p>
      <w:r>
        <w:t>12 BULLETIN NO. 34 OF 19 SEPTEMBER 2022</w:t>
        <w:br/>
        <w:t>4. The share capital of Armònia is wholly owned by Armònia Holding S.r.l., which is in turn controlled by individuals.</w:t>
        <w:br/>
        <w:t>5. Quick S.p.A. (hereinafter, “Quick”) is a company active in the design, engineering, and production of technologically advanced equipment for motor yachts, sailing yachts, and superyachts, offering a variety of products through the following main business lines: (i) nautical equipment (anchor windlasses, winches, maneuvering propellers, water heaters, battery chargers, etc.); (ii) lighting; and (iii) gyroscopic stabilizers.</w:t>
        <w:br/>
        <w:t>6. C.A.T.T. S.r.l. (hereinafter, “CATT”) is a company active in the production of molds and mechanical processing for nautical products for motor yachts, sailing yachts, and superyachts.</w:t>
        <w:br/>
        <w:t>7. Quick and CATT are wholly controlled by MH S.r.l, the industrial holding of the Marzucco family. The total revenue generated worldwide by the Quick Group in 2021 was approximately [31-100] million, of which [10-31] from sales in Italy.</w:t>
        <w:br/>
        <w:t>II. DESCRIPTION OF THE OPERATION</w:t>
        <w:br/>
        <w:t xml:space="preserve">8. The Operation in question consists of the acquisition, by Fondo Italiano d’Investimento SGR S.p.A. on behalf of the “Fondo Italiano Consolidamento e Crescita – FICC” and by Armònia SGR S.p.A., on behalf of “Armònia Italy Fund”, through some ad hoc corporate vehicles, of the joint control of Quick S.p.A., the companies controlled by it, and C.A.T.T. S.r.l. (collectively, the “Quick Group”). </w:t>
        <w:br/>
        <w:t>In particular, following the Operation, the Quick Group will be jointly controlled by FII and Armònia through a holding company named Sea One S.p.A. (hereinafter “Sea One” or also “HoldCo”) – indirectly owned by FII and Armònia, through the vehicle company Aurora Diciasette S.p.A. (hereinafter also “Aurora”).</w:t>
        <w:br/>
        <w:t>9. The Operation will be carried out through the establishment of a newco, named Quick Holding S.p.A. (hereinafter, also “NewCo”) which will acquire 100% of the shares of Quick and the shares of CATT, and will be owned 30% by the Marzucco Family (current owner of the Quick Group) and 70% by Sea One.1</w:t>
        <w:br/>
        <w:t>10. Under the shareholders' agreements, control over NewCo will be exercised exclusively by Sea One, as no veto powers are provided for the minority shareholder that would allow the exercise of a decisive influence under antitrust law. Regarding the governance of HoldCo, the agreements between the Parties identify rules that determine the joint control by FII and Armònia.2</w:t>
        <w:br/>
        <w:t>11. As a result of the above, FII on behalf of the “Fondo Italiano Consolidamento e Crescita – FICC” and Armònia, on behalf of “Armònia Italy Fund”, through the vehicle Aurora will exercise joint control over HoldCo, and through NewCo, over the Quick Group.</w:t>
        <w:br/>
        <w:t>1 Prior to the closing date, Armònia will subscribe, through the vehicle Aurora Diciassette S.p.A., a capital increase of Sea One, as a result of which FII will hold a stake representing 71.43% of the capital of HoldCo and Armònia, through Aurora Diciassette S.p.A., will hold a stake representing 28.57% of the capital of HoldCo.</w:t>
        <w:br/>
        <w:t>2 In particular, the term sheet signed by the Parties, which will be transposed into the shareholders' agreements, provides for a series of powers in favor of Armònia that ensure joint control over HoldCo and ultimately over the target group. In particular, it is provided that (i) a series of relevant matters, including changes in the composition of the Board of Directors, statutory amendments detrimental to the rights of Armònia, must be resolved by the Assembly of HoldCo with the unanimous consent of the shareholders; (ii) some relevant matters within the competence of the Board of Directors, including the approval of the business plan and budget and its significant amendments, must be resolved by a majority of the members but with the favorable vote of at least one of the directors appointed by Armònia.</w:t>
      </w:r>
    </w:p>
    <w:p>
      <w:r>
        <w:t>BULLETIN NO. 34 OF 19 SEPTEMBER 2022 13</w:t>
        <w:br/>
        <w:t xml:space="preserve">12. For the purpose of protecting the value of the acquisition, the operation is accompanied by a non-compete agreement lasting five years, containing the seller's commitment not to acquire other activities in the sector of operation of the Parties, not to provide collaboration or knowledge to companies operating in the same sector, as well as a prohibition on customer diversion. It is also provided that similar non-compete commitments will be undertaken by the shareholders of the Quick group who currently hold positions in the group companies. </w:t>
        <w:br/>
        <w:t>The Parties justify the duration of the agreement as necessary to maintain the stability of the managerial structure due to the know-how possessed and the senior role held by the interested parties.</w:t>
        <w:br/>
        <w:t>III. QUALIFICATION OF THE OPERATION</w:t>
        <w:br/>
        <w:t>13. The notified operation, as it involves the acquisition of joint control of companies, constitutes a concentration pursuant to Article 5, paragraph 1, letter b), of law no. 287/90.</w:t>
        <w:br/>
        <w:t>14. It falls within the scope of application of law no. 287/90, as the conditions set out in Article 1 of Regulation EC 139/2004 do not apply, and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individually in the last financial year at the national level by at least two of the companies involved was over 31 million euros.</w:t>
        <w:br/>
        <w:t>15. The non-compete agreement described above can be qualified as accessory to the notified concentration, to the extent that it contains restrictions directly related to the realization of the operation. In particular, in this case, the commitments undertaken by the seller benefit the buyer and respond to the need to ensure the transfer of the actual value of the acquisition to the latter. However, in order not to exceed the limits of what is reasonably required for this purpose, it is considered that the duration of the agreement should be limited to three years, a period deemed sufficient to ensure the transfer of know-how to the buyer.3</w:t>
        <w:br/>
        <w:t>IV. EVALUATION OF THE CONCENTRATION</w:t>
        <w:br/>
        <w:t>16. Due to the activities carried out by the acquired companies, the concentration in question concerns the sector of design, engineering, and production of technologically advanced equipment for motor yachts, sailing yachts, superyachts, and supply vessels. In particular, based on the information provided by the notifying Parties, the operation does not identify relevant markets, given the absence of significant horizontal, vertical, or conglomerate overlaps between the activities carried out. In any case, based on the operations of the target companies, the notifying Parties have identified the following markets:</w:t>
        <w:br/>
        <w:t>- M1: Design and production of nautical equipment. This definition includes, in the opinion of the Parties, a plurality of products such as anchoring and mooring systems, energy lines, water heater lines, and other accessories.</w:t>
        <w:br/>
        <w:t>3 See Commission Communication on restrictions directly related and necessary to concentrations (2005/C 56/03).</w:t>
      </w:r>
    </w:p>
    <w:p>
      <w:r>
        <w:t>14 BULLETIN NO. 34 OF 19 SEPTEMBER 2022</w:t>
        <w:br/>
        <w:t>- M2: Lighting for the nautical sector (which includes the entire range of lighting products, from courtesy lights to underwater lights).</w:t>
        <w:br/>
        <w:t>- M3: Stabilization systems in the nautical field, particularly gyroscopic stabilizers.</w:t>
        <w:br/>
        <w:t>17. Considering the ease of circulation, installation, and maintenance of the products in question, their compatibility with commonly used shipyard solutions, and the competition from other foreign operators, the Parties believe that these markets have at least a European dimension.</w:t>
        <w:br/>
        <w:t xml:space="preserve">18. The Quick Group is active in the M1 market, with a share of approximately [10-15%], particularly through the production of nautical equipment (anchor windlasses, winches, maneuvering propellers, water heaters, battery chargers, etc.). </w:t>
        <w:br/>
        <w:t>In the M2 market, the Quick Group has a share of approximately [10-15%], while in the M3 market it is active with a market share of [5-10%] (gyroscopic stabilizers).</w:t>
        <w:br/>
        <w:t>19. FFI holds a completely marginal share in the design and realization of technical solutions for the naval sector, through a controlled company - in particular through the production of aerospace-derived actuators for gangways and other components requiring automatic opening and closing. The market share attributable to this controlled company is around [less than 1%] of the market.</w:t>
        <w:br/>
        <w:t>20. Except for these limited activities, the acquiring companies are not present in the markets where the target companies of the Quick Group operate. Furthermore, there are no vertical or conglomerate overlaps between the activities of the Parties.</w:t>
        <w:br/>
        <w:t>21. It is therefore believed that the operation is not likely to alter the competitive structure of the relevant markets.</w:t>
        <w:br/>
        <w:t>CONSIDERING, therefore, that the operation in question does not significantly impede effective competition in the relevant markets pursuant to Article 6, paragraph 1, of law no. 287/90 and does not result in the establishment or strengthening of a dominant position;</w:t>
        <w:br/>
        <w:t>CONSIDERING that the non-compete obligations between the Parties described in point 11 are accessory to this operation within the limits described above and that the Authority reserves the right to evaluate such agreements, where the prerequisites exist, if they exceed those limits;</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r>
    </w:p>
    <w:p>
      <w:r>
        <w:rPr>
          <w:b/>
        </w:rPr>
        <w:t>[Pages 13–15]</w:t>
      </w:r>
    </w:p>
    <w:p>
      <w:r>
        <w:t>BULLETIN NO. 34 OF 19 SEPTEMBER 2022 15</w:t>
        <w:br/>
        <w:t>This measure will be published in the Bulletin of the Competition and Market Authority.</w:t>
        <w:br/>
        <w:t>THE SECRETARY GENERAL THE PRESIDENT</w:t>
        <w:br/>
        <w:t>Guido Stazi Roberto Rustichelli</w:t>
      </w:r>
    </w:p>
    <w:p>
      <w:r>
        <w:t>16 BULLETIN NO. 34 OF 19 SEPTEMBER 2022</w:t>
        <w:br/>
        <w:t>C12478 - ERG WIND HOLDING/TACA WIND-LUCUS POWER-WINCAP-CONZA</w:t>
        <w:br/>
        <w:t>ENERGIA-BREVA WIND-SPV WIND FARM ARIA DEL VENTO-SAN MAURO</w:t>
        <w:br/>
        <w:t>Measure no. 30293</w:t>
        <w:br/>
        <w:t>THE COMPETITION AND MARKET AUTHORITY</w:t>
        <w:br/>
        <w:t>IN ITS MEETING of 30 August 2022;</w:t>
        <w:br/>
        <w:t>HEARD the Rapporteur, Professor Elisabetta Iossa;</w:t>
        <w:br/>
        <w:t>HAVING REGARD to Regulation (EC) No. 139/2004;</w:t>
        <w:br/>
        <w:t>HAVING REGARD to the law of 10 October 1990, no. 287;</w:t>
        <w:br/>
        <w:t>HAVING REGARD to the Presidential Decree of 30 April 1998, no. 217;</w:t>
        <w:br/>
        <w:t>HAVING REGARD to the communication from Erg Wind Holding S.r.l. dated 8 August 2022;</w:t>
        <w:br/>
        <w:t>HAVING REGARD to the documentation on file;</w:t>
        <w:br/>
        <w:t>CONSIDERING the following:</w:t>
        <w:br/>
        <w:t>I. THE PARTIES</w:t>
        <w:br/>
        <w:t>1. Erg Wind Holding S.r.l. (“Erg Wind”) is a company controlled by Erg Power Generation S.p.A. (“Erg PG”), which is in turn wholly and directly controlled by Erg S.p.A. (“Erg”), an operator listed on the regulated market Euronext Milan and controlled by San Quirico S.p.A. (“SQ”), a company at the head of the Erg group not subject to the control of any other entity or individual. The Erg Group is active in the production of electricity from renewable sources, particularly wind and solar energy, in Italy and other European countries. The revenue generated in 2021 by the companies that, at the time of notification of the operation, are included within the perimeter of the Group was approximately [1-2]* billion euros, of which [700-1,000] million was generated in Italy.</w:t>
        <w:br/>
        <w:t>2. TACA Wind S.r.l. (“Taverna Caduta”), Lucus Power S.r.l. (“Lucus Power”), WinCap S.r.l. (“WinCap”), Conza Energia S.r.l. (“Conza”), Breva Wind S.r.l. (“Breva”), SPV Wind Farm Aria del Vento S.r.l. (“Aria del Vento”) and San Mauro S.r.l. (“San Mauro”), collectively also referred to as “acquired companies” or “target companies,” are all companies active in Italy in the electricity production sector and each operate a single wind farm, except for Breva (which includes a wind farm and a mini-wind farm acquired in April 2021). They are all controlled by EDP Renewables Italia Holding S.r.l. (“EDP Renewables”), a company of the EDP group that operates in the renewable energy sector for the development, construction, and management of energy plants, mainly in Europe, North America, Brazil, and Colombia. In 2021, the total revenue generated by the acquired companies amounted to [31-100] million euros, all generated in Italy.</w:t>
        <w:br/>
        <w:t>II. DESCRIPTION OF THE OPERATION</w:t>
        <w:br/>
        <w:t>3. The notified operation consists of the acquisition by Erg Wind, through a single sale and purchase agreement, of 100% of the share capital of the companies Taverna Caduta, Lucus Power, WinCap, Conza, Breva, Aria del Vento and 75% of the share capital of the company San Mauro1 currently held by EDP Renewables. As a result of the operation, Erg Wind will acquire exclusive control of the target companies. The agreements between the Parties provide that EDP Renewables and its affiliated companies may carry out all commercial activities conducted by the Target companies in Italy and elsewhere, provided that, for a period of two years from the closing, such activities do not in any way impair the operation of the wind farms subject to the Operation causing them a loss of production.</w:t>
        <w:br/>
        <w:t>III. QUALIFICATION OF THE OPERATION</w:t>
        <w:br/>
        <w:t>4. The notified operation, as it involves the simultaneous acquisition of exclusive control over multiple companies controlled by the same entity, constitutes a concentration pursuant to Article 5, paragraph 1 letter b), of law no. 287/90. It falls within the scope of application of law no. 287/90, as the conditions set out in Article 1 of Regulation (EC) 139/04 do not apply, and is subject to the obligation of prior notification provided for by Article 16, paragraph 1, of the same law as the total revenue generated, in the last financial year at the national level, by the group of interested companies exceeded 517 million euros and the total revenue generated in the last financial year at the national level by both the Erg Group and the target companies as a whole was in both cases above 31 million euros. The non-compete agreement in favor of the acquirer can be considered an ancillary restriction to the operation, as it does not exceed a duration of three years2.</w:t>
        <w:br/>
        <w:t>IV. ASSESSMENT OF THE CONCENTRATION</w:t>
        <w:br/>
        <w:t>Relevant markets and effects of the Operation</w:t>
        <w:br/>
        <w:t>5. Due to the activities of the interested companies, the markets involved in the Operation are: i) the wholesale electricity production and supply market; ii) the market for the production and marketing of origin certificates.</w:t>
        <w:br/>
        <w:t>i. The wholesale electricity production and supply market</w:t>
        <w:br/>
        <w:t>6. According to the Authority's decision-making practice, this market includes both the production and wholesale supply of electricity, regardless of the source of production. The wholesale electricity production and supply market includes both forward transactions and spot transactions (so-called “day-ahead market - MGP” and “intraday market - MI”) concluded through the platforms managed by the Market Energy Manager S.p.A. (“GME”), as well as bilateral contracts (so-called “over-the-counter”, “OTC”).</w:t>
        <w:br/>
        <w:t>7. As for the geographical dimension of this market, in the Authority's practice it is considered supra-regional. More specifically, due to the macro-network constraints that, under certain circumstances, can lead to the separation of the market into different zones, characterized by different prices of</w:t>
        <w:br/>
        <w:t>1 The remaining 25% of the capital of San Mauro is held by a third party. However, this remaining share of the capital of San Mauro will also be subject to transfer to Erg Wind, through a separate and specific contract.</w:t>
        <w:br/>
        <w:t>2 See Commission Communication on restrictions directly related and necessary to concentrations (2005/C 56/03).</w:t>
      </w:r>
    </w:p>
    <w:p>
      <w:r>
        <w:rPr>
          <w:b/>
        </w:rPr>
        <w:t>[Pages 16–18]</w:t>
      </w:r>
    </w:p>
    <w:p>
      <w:r>
        <w:t>18 BULLETIN NO. 34 OF 19 SEPTEMBER 2022</w:t>
        <w:br/>
        <w:t>In terms of equilibrium on the MGP, the Authority identifies four macro-areas constituting four distinct geographical markets: macro-area North, macro-area South, macro-area Sicily, and macro-area Sardinia. The companies subject to acquisition own wind farms all located in the macro-area South. The wind farms of Taverna Caduta, Lucus Power, and Breva are located in Basilicata, in Melfi (PZ), and have a total installed capacity of 23.20, 19.8, and 44.85 MW, respectively. The wind farms of WinCap and San Mauro are also located in Basilicata, one in Potenza and the other in Lavello (PZ), with a total installed capacity of 20 and 14 MW, respectively. The wind farm of Conza is located in Campania, in Conza della Campania (AV), and has a total installed capacity of 34.5 MW, while the one of Aria di Vento is located in Calabria, in Mongrassano, San Marco Argentano, and Cervicati (CS), with a total capacity of 15.75 MW.</w:t>
        <w:br/>
        <w:t>8. In light of the location of the plants belonging to the Target Companies, the operation therefore concerns the market for the production and wholesale supply of electricity in the macro-area South. Based on the information provided, the total activities of the Parties in this market in 2021 remain well below [1-5%] of the total both in terms of installed capacity and volumes sold. Furthermore, in relation to this aggregated share, the contribution of the acquired companies is also less than 1%. Therefore, the operation is not likely to have significant effects on the market in question, where numerous other qualified operators are also active.</w:t>
        <w:br/>
        <w:t>ii. The market for the production and marketing of guarantees of origin</w:t>
        <w:br/>
        <w:t>9. The Guarantee of Origin (GO) is a certification that certifies the origin from renewable sources of the energy produced by plants qualified as "guarantee of origin plants" (IGO). The quantity of GO that an operator can hold is proportional to the amount of renewable energy they have fed into the market. The certificates are issued monthly and expire one year after the production of the electricity to which they refer. They serve to prove to the final consumer that a certain amount of the purchased energy was produced from renewable sources.</w:t>
        <w:br/>
        <w:t>10. The GOs are certificates that can be transferred separately from the energy for which they were issued. They can therefore be traded in the venues provided by the GSE or be subject to free negotiation. Regarding the geographical scope of this market, in one of its measures, the European Commission did not exclude a euro-unitary dimension. The Authority, for its part, in a previous decision, left open the definition of a euro-unitary or national market. Even in this case, the definition can be left open, as this element does not change the outcome of the assessment. In particular, even limiting the analysis to the national scope alone, the Operation does not appear suitable to establish or strengthen a dominant position, as the sales of the Parties represent a completely negligible share of the total market value. In fact, the Erg group held a national market share of [1-5%] in 2021, which with the operation increases by a measure well below 1%.</w:t>
        <w:br/>
        <w:t>11. In light of all the considerations above, the concentration under examination does not appear likely to establish or strengthen a dominant position or to significantly alter the competitive conditions in the relevant markets.</w:t>
        <w:br/>
        <w:t>CONSIDERING, therefore, that the operation in question does not significantly impede effective competition in the relevant markets pursuant to Article 6, paragraph 1, of Law No. 287/90 and does not lead to the establishment or strengthening of a dominant position;</w:t>
        <w:br/>
        <w:t>ALSO CONSIDERING that the non-competition obligations between the parties are accessory to this operation only to the limits described above and that the Authority reserves the right to evaluate the aforementioned agreements that are realized beyond the indicated limits;</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Guido Stazi Roberto Rustichelli</w:t>
      </w:r>
    </w:p>
    <w:p>
      <w:r>
        <w:t>20 BULLETIN NO. 34 OF 19 SEPTEMBER 2022</w:t>
        <w:br/>
        <w:t>REPORTING AND CONSULTATIVE ACTIVITIES</w:t>
        <w:br/>
        <w:t>AS1859 – MITE - RECOGNITION OF THE ERION PACKAGING AUTONOMOUS SYSTEM</w:t>
        <w:br/>
        <w:t>Rome, 15 July 2022</w:t>
        <w:br/>
        <w:t>Ministry of Ecological Transition</w:t>
        <w:br/>
        <w:t>The Competition and Market Authority, in its meeting of 12 July 2022, deemed it appropriate to make the following observations, pursuant to Article 22 of Law No. 287/1990, in relation to the request for an opinion sent by the Ministry for Ecological Transition on 26 May 2022, concerning the request for recognition by Erion Packaging as an autonomous system pursuant to Article 221-bis of Legislative Decree No. 152/2006.</w:t>
        <w:br/>
        <w:t>The newly established Erion Packaging Consortium is part of the broader Erion system, which aims to manage all EPR obligations falling on its members in an integrated manner (already including WEEE, batteries, and, with the new autonomous system, also the related packaging in plastic, paper, and wood placed on the national market).</w:t>
        <w:br/>
        <w:t>In particular, Erion Packaging includes companies that place both full packaging (containing electrical and electronic equipment - so-called AEE), imported from abroad with the equipment produced there, and empty packaging for packaging AEE produced in our country. Among the companies associated with Erion Packaging are also two brands of specialized large-scale distribution equipped with specific logistics systems for the collection of packaging. In the future, Erion Packaging plans to further develop its membership base with the entry of many of the companies adhering to Erion WEEE and Erion Energy.</w:t>
        <w:br/>
        <w:t>1 It consists of four consortia: (i) Erion WEEE (domestic and professional WEEE); (ii) Erion Professional (professional WEEE); (iii) Erion Energy (batteries and accumulators); and (iv) the newly established Erion Packaging.</w:t>
        <w:br/>
        <w:t>2 EPR is the English acronym for Extended Producer Responsibility. The financial responsibility and possibly also the organizational responsibility for managing the phase of the life cycle in which the product becomes waste are placed on the producer of the product, i.e., "any natural or legal person who professionally develops, manufactures, transforms, processes, sells, or imports products" cf. Article 183, paragraph 1, letters g and g-bis), TUA.</w:t>
        <w:br/>
        <w:t>3 Waste from electrical and electronic equipment.</w:t>
        <w:br/>
        <w:t>4 These are mainly companies that produce AEE abroad and import them into Italy along with the packaging. Companies (BSH Elettrodomestici S.p.A. and Interseroh Service Italia S.r.l., now Interseroh TSR Italia S.r.l.) that import empty packaging, semi-finished products used, raw materials, and secondary raw materials to produce packaging are also part of the Erion Packaging consortium.</w:t>
      </w:r>
    </w:p>
    <w:p>
      <w:r>
        <w:rPr>
          <w:b/>
        </w:rPr>
        <w:t>[Pages 19–21]</w:t>
      </w:r>
    </w:p>
    <w:p>
      <w:r>
        <w:t>BULLETIN NO. 34 OF 19 SEPTEMBER 2022 21</w:t>
        <w:br/>
        <w:t>The subject of management activity by the new autonomous system will be primary, secondary, and tertiary packaging in plastic, paper, and wood placed on the Italian market independently or together with EEE by the consortium members. The project divides packaging waste into two categories depending on the origin circuit of the packaging: (i) industrial/commercial channel, which predominantly includes packaging (secondary and tertiary) used to transport goods from production sites to warehouses and from these to large and small distribution operators, as well as primary packaging for deliveries to professional markets. In this channel, commercialization logics prevail that provide for the recovery of the packaging by the installer after the delivery of the product to the final consumer (so-called “closed loop system”) and, therefore, do not flow into urban separate collection but are managed independently by the new autonomous system; (ii) domestic channel: primary packaging intended for the final consumer. Also in this channel, Erion Packaging aims to develop autonomous recovery systems for packaging by the installer after delivery to the final consumer. However, a portion, estimated at about 20% of the packaging in the domestic channel, is destined to flow into the urban waste collection channel.</w:t>
        <w:br/>
        <w:t>The MITE, regarding the project presented by Erion Packaging, requested a technical assessment from ISPRA (Higher Institute for Environmental Protection and Research) and subsequently asked this Authority to express its opinion, in particular, on two points regarding which competitive relevance profiles could arise: (i) the impact that the potential recognition of the Erion Packaging autonomous system could have on competition, considering the potentially high level of market share resulting from the likely entry into Erion Packaging of the producers of EEE already consorted with Erion WEEE; (ii) the effect that a multi-stream autonomous system (recycling of packaging in paper, plastic, and wood) could generate on the Italian compliance management model for EPR in the packaging sector, currently regulated and organized for individual types of material/waste.</w:t>
        <w:br/>
        <w:t>Preliminarily, it is noted that the Authority has always had a favorable approach to the presence of multiple autonomous compliance systems for EPR in the various recycling start-up streams, due to their suitability to improve the service provided to producers of products and packaging, to the overall advantage of the final consumers of packaged goods who ultimately bear the economic burden of this legal obligation (according to the mechanism of cost transmission from producer to consumer).</w:t>
        <w:br/>
        <w:t>The presence of multiple autonomous systems allows producers of goods to be recycled to pay an environmental contribution commensurate, from each individual consortium, to its actual cost of managing the waste attributable to the products placed on the market by its members; the attached, important price signals are destined to have repercussions, not only on the competitive dynamics between service providers (consortia) and clients, i.e., the companies on which the extended responsibility (producers) weighs, but indirectly also on environmental sustainability, encouraging producers themselves to place more easily recyclable packaging on the market to which a lower environmental contribution is associated.</w:t>
        <w:br/>
        <w:t>Turning more directly to the request for opinion sent by the MITE, the Authority, regarding the first issue related to the competitive impact of the entry of Erion Packaging, believes that, from a commodity perspective, the relevant market for calculating the potential market power of the new entrant would certainly be broader than that of packaging for electric and electronic equipment alone, so-called AEE (where Erion WEEE holds a dominant position in the market for managing related waste, so-called RAEE). Packaging in cardboard, plastic, and wood used for AEE does not appear to differ from that used to package other types of products, starting from foodstuffs, from the furniture sector, or various types of objects. Even if the Erion Packaging consortium were to group most or all of the producers of AEE consorted in Erion WEEE, this operator could still reach a market share that is not comparable to that of the incumbent CONAI, which, through the supply chain consortia, has monopolized the compliance service for all packaging placed on the national market for over 20 years. The entry of a new operator could, instead, lead to beneficial effects for competition in the national market of EPR compliance schemes, as seen above.</w:t>
        <w:br/>
        <w:t>Regarding the second issue raised by the MITE, related to potential problems connected to the multi-stream nature of Erion Packaging, the Authority does not believe that there could be negative effects on competition related to the configuration of the new autonomous system itself. The current regulations (Article 223, paragraph 1 of the TUA) prescribe that producers must establish national supply chain consortia for each packaging material for which recycling targets are set under the TUA (i.e., glass, paper and cardboard, metals, plastic, and wood), which flow into the CONAI System. Alternatively, producers can establish autonomous systems under Articles 221 and 221-bis of the TUA, following the recognition procedure by the MITE provided therein. In this case, there is no similar provision referring to the necessity for each autonomous system to deal exclusively with one packaging material.</w:t>
        <w:br/>
        <w:t>In the absence of prohibition, therefore, it must be considered possible to establish a multi-stream autonomous system. Moreover, the establishment of a multi-stream autonomous system does not appear to have distorting effects on competition, given that the markets for the supply of EPR compliance services for producers and users of packaging in plastic, paper, and wood are distinct by material and not in competition with each other. On the other hand, the exploitation of synergies and economies of scale foreseen by the Erion Packaging project appears likely to have a pro-competitive impact in the individual markets concerned. The above remains valid only if certain corrections and precautions are adopted, such as the definition of: (i) mechanisms that avoid cross-financing, also through distinctly separate accounting for management by individual packaging material; (ii) methods to manage the continuation of activity in situations where the consortium does not achieve recycling and recovery targets concerning only some of the packaging materials subject to its activity, given that the achievement of recycling and recovery targets must also be ensured for each individual material and cannot, therefore, in any way be subject to cross-compensations. In this regard, it seems to be the Ministry's task during the authorization phase of the new autonomous system to identify the methods to ensure the achievement of these objectives.</w:t>
        <w:br/>
        <w:t>Finally, the Authority also wishes to provide some clarifications regarding the issue raised by ISPRA in its report (attached by the Ministry to the request for opinion), concerning the legitimacy of the establishment of an autonomous system by companies that import "full" packaging. Some of the subjects adhering to Erion Packaging fall squarely within the notion of "producer" of packaging under Article 218, paragraph 1, letter r), TUA, as importers of empty packaging, semi-finished products, raw materials, and secondary raw materials used for the production of packaging. However, most of the subjects consorted in Erion Packaging fall into the different category of "users of packaging" under Article 218, paragraph 1, letter s), TUA, as importers of full packaging.</w:t>
      </w:r>
    </w:p>
    <w:p>
      <w:r>
        <w:rPr>
          <w:b/>
        </w:rPr>
        <w:t>[Pages 22–24]</w:t>
      </w:r>
    </w:p>
    <w:p>
      <w:r>
        <w:t>24 BULLETIN NO. 34 OF 19 SEPTEMBER 2022</w:t>
        <w:br/>
        <w:t xml:space="preserve">Erion Packaging, in the clarifications provided to MITE on 15 November 2021, states that it considers both categories of companies entitled to establish an autonomous system for managing compliance obligations under EPR based on an interpretation of the regulations consistent with European law. In fact, it is necessary to overcome the distinction still found in the TUA between the importer of empty packaging and the importer of full packaging, as both fall within the broader definition of "producer of the product" (packaging) derived from EU law and applicable to all EPR compliance schemes at the European level. </w:t>
        <w:br/>
        <w:t xml:space="preserve">Erion Packaging's position on this point appears to be correct. In this regard, it should be noted that the distinction between "producer" and "user" of packaging was not introduced into Italian law in implementation of European regulations, but was autonomously provided for by national legislation since 1997. The so-called Packaging Directive not only does not provide a definition of producer and user, but since 2018 refers to the notion of EPR generally defined by the so-called Waste Directive, establishing in particular that Member States must ensure the establishment of EPR regimes for all packaging and that return, collection, reuse, or recovery systems for packaging and related waste must be open to the participation of all interested economic operators, without imposing discriminatory conditions on imported products, in order to avoid obstacles to trade or distortions of competition. </w:t>
        <w:br/>
        <w:t xml:space="preserve">According to EU regulations, the first entity that places the product (both the product and the packaging) on the market of the relevant Member State where it will complete its life cycle is responsible for the waste. Under the Waste Directive, EPR entails the responsibility of the "producer of the product," whose definition has been incorporated at the national level in Article 183, paragraph 1, letter g), TUA. This figure is distinctly different from the narrower definition of "producer of packaging," as defined by Article 218, paragraph 1, letter r), TUA, also encompassing the general category of "importers." </w:t>
        <w:br/>
        <w:t xml:space="preserve">Moreover, as seen, under national legislation, the importer of full packaging is essentially subject to the same obligations as the importer of empty packaging. In general, both of these entities are responsible for the correct and effective environmental management of the end-of-life of the packaging and the packaging waste generated by the consumption of their products, in terms of the quantity of packaging placed on the national market. The producer of full packaging must ensure the achievement of recycling and recovery targets just like the producer of empty packaging and is required to bear the same costs. Even CONAI, in the guidelines on the application of the environmental contribution, equates the importer of full packaging to the producer of packaging, subjecting it to the same obligations, while formally qualifying it as a "user." </w:t>
        <w:br/>
        <w:t xml:space="preserve">Ultimately, the importer of full packaging must be placed in a position to establish its own autonomous system just like the producers of packaging (or importers of empty packaging) for the same reason that the latter are granted this possibility by the system, namely to promote competition among consortia and benefit from the related advantages, given that such competition essentially revolves around the amount of the environmental contribution, which depends on the efficiency of the autonomous system. It therefore appears correct to assert that, in order to promote competitive development of the market for EPR compliance schemes, the reference to the "producer" in Article 221, paragraph 3, TUA, should be interpreted in accordance with Article 8 of the Waste Directive (incorporated in Italy in Article 178-bis of the TUA), and thus as referring to the producer of the product-packaging, a category that can also include the importer of full packaging, as it is the entity responsible for placing it on the national market. </w:t>
        <w:br/>
        <w:t xml:space="preserve">In conclusion, the Authority considers the entry into the market and full operation of the autonomous system Erion Packaging to be desirable, finding no reasons among those raised by MITE that would obstruct its approval, nor does it consider the nature of "importers of full packaging" held by most of the members of Erion Packaging to be an obstacle, for the reasons just outlined. </w:t>
        <w:br/>
        <w:t xml:space="preserve">This opinion will be published in the Bulletin referred to in Article 26 of Law No. 287/1990. Any confidentiality needs must be communicated to the Authority within thirty days of receiving this opinion, specifying the reasons. </w:t>
        <w:br/>
        <w:t xml:space="preserve">THE PRESIDENT </w:t>
        <w:br/>
        <w:t>Roberto Rustichelli</w:t>
      </w:r>
    </w:p>
    <w:p>
      <w:r>
        <w:t>26 BULLETIN NO. 34 OF 19 SEPTEMBER 2022</w:t>
        <w:br/>
        <w:t>UNFAIR TRADE PRACTICES</w:t>
        <w:br/>
        <w:t>PS12315 - ITAL GROUP - DOOR-TO-DOOR SALES OF VARIOUS PRODUCTS</w:t>
        <w:br/>
        <w:t>Measure no. 30296</w:t>
        <w:br/>
        <w:t>THE COMPETITION AND MARKET AUTHORITY</w:t>
        <w:br/>
        <w:t>IN ITS MEETING of 6 September 2022;</w:t>
        <w:br/>
        <w:t>HEARD the Rapporteur Professor Michele Ainis;</w:t>
        <w:br/>
        <w:t>HAVING REGARD to Part II, Title III and Part III, Title III of Legislative Decree No. 206 of 6 September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the acts of the proceeding;</w:t>
        <w:br/>
        <w:t>I. THE PARTY</w:t>
        <w:br/>
        <w:t xml:space="preserve">1. Italgroup S.r.l.s. (hereinafter Italgroup or Professional) as a professional, pursuant to Article 18, paragraph 1, letter b), of the Consumer Code. </w:t>
        <w:br/>
        <w:t xml:space="preserve">The company is active in the door-to-door sale of products through agents. </w:t>
        <w:br/>
        <w:t>II. THE CONDUCT SUBJECT TO THE PROCEEDING</w:t>
        <w:br/>
        <w:t xml:space="preserve">2. The proceeding concerns the behaviors carried out by the Professional in the context of its door-to-door product sales activity, conducted through home visits for the alleged delivery of catalogs, vouchers, and/or cards to obtain discounts, which in reality aimed to induce the consumer to unwittingly sign a contract of significant amount for the purchase of products. </w:t>
        <w:br/>
        <w:t xml:space="preserve">3. In particular, Italgroup, starting at least from January 2021, contacted consumers by phone, proposing a home visit by an agent for the delivery of a product catalog, a free card, and discount vouchers. During the visit, the agents induced consumers to sign a form, allegedly to certify the delivery, reassuring them that the subscription would not entail any spending commitments. </w:t>
        <w:br/>
        <w:t>4. In reality, signing the form bound the consumer to purchase, within three years, products listed in the company's catalog, from a minimum of 3,990 euros to a maximum of 6,990 euros, with the obligation to make purchases every year, or, in other cases, to use within four years a vacation package called "Eco Touring," for the amount of 4,500 euros.</w:t>
      </w:r>
    </w:p>
    <w:p>
      <w:r>
        <w:rPr>
          <w:b/>
        </w:rPr>
        <w:t>[Pages 25–27]</w:t>
      </w:r>
    </w:p>
    <w:p>
      <w:r>
        <w:t>BULLETIN NO. 34 OF 19 SEPTEMBER 2022 27</w:t>
        <w:br/>
        <w:t>5. During the visit, pre-contractual information was not provided to consumers, including in particular information regarding the possibility of exercising the right of withdrawal.</w:t>
        <w:br/>
        <w:t>6. In some cases, the agents of the professional did not leave a copy of the signed form with the consumers. Only following a second visit by the agents, aimed at executing the contract, did the consumers become aware of the contractual obligation they had assumed. In certain cases, the professional threatened to take legal action to induce consumers to execute the contract.</w:t>
        <w:br/>
        <w:t>7. The professional accepted the consumers' requests for withdrawal only following the intervention of lawyers or requests for information from the Authority.</w:t>
        <w:br/>
        <w:t>III. THE OUTCOMES OF THE PROCEEDING</w:t>
        <w:br/>
        <w:t>1) The procedure process</w:t>
        <w:br/>
        <w:t>8. Based on reports received from numerous consumers and the information acquired for the application of the Consumer Code in relation to the behaviors described above, on 17 May 2022, the investigative procedure PS12315 was initiated against Italgroup S.r.l.s., for possible violation of Articles 20, paragraph 2, 21, 22, 24, and 25 of the Consumer Code, as well as Articles 49 and 50 of the same Code.</w:t>
        <w:br/>
        <w:t>9. On 19 May 2022, the Party was notified of the initiation of procedure PS12315, and at the same time, inspections were carried out at the legal headquarters of the professional and at the company Milano Business Center S.r.l., where the professional had elected legal and postal domicile.</w:t>
        <w:br/>
        <w:t>10. On 31 May and 1 August 2022, the professional intervened by submitting a memorandum and producing documentation.</w:t>
        <w:br/>
        <w:t>11. On 6 and 7 June 2022, the professional had access to the investigative documents and the documentation acquired in the file following the inspections.</w:t>
        <w:br/>
        <w:t>12. On 28 June 2022, the burden of proof regarding the accuracy of the factual data related to the commercial practice concerning the recognition of the right of withdrawal to consumers who requested it was assigned to the professional.</w:t>
        <w:br/>
        <w:t>13. On 29 July 2022, the professional was sent a communication regarding the conclusion of the investigative phase, pursuant to Article 16, paragraph 1, of the Regulation.</w:t>
        <w:br/>
        <w:t>2) The evidence acquired</w:t>
        <w:br/>
        <w:t>14. The documentation in the case file - the reports from consumers, the documentation sent by the Professional, and the inspection documentation - confirms that consumers were contacted by the agents of the Professional, almost always by telephone, for the purpose of scheduling an appointment at their respective homes, providing as a reason the possibility of obtaining discounts (e.g., the delivery of a free card or discount vouchers) and the presentation of a catalog of products at convenient prices. In some cases, participation in a survey was proposed, while in others, consumers were approached with the proposal to join the professional's sales network.</w:t>
        <w:br/>
        <w:t>15. During the appointment, the agents allegedly asked the reporters to sign a form, purportedly to prove the delivery and execution of the visit in order to obtain the commission. The documentation also shows that consumers were not informed by the agents that by signing the proposed form, they were assuming spending obligations. The majority of the complaints state that the agents, in response to the concerns expressed by consumers regarding the consequences of signing, provided reassurances about the absence of spending obligations arising from the signature.</w:t>
        <w:br/>
        <w:t>16. Contrary to the aforementioned reassurances, the signature bound consumers to purchase, within three years, products listed in the company's catalog, for a minimum of 3,990 euros up to a maximum of 6,990 euros, with the obligation to make purchases every year. In other cases, the agents had consumers sign a contract whereby the consumer committed to using a holiday package called "Eco Touring" for the amount of 4,500 euros over four years.</w:t>
        <w:br/>
        <w:t>17. The documentation in the case file confirms that consumers were not informed of the possibility of withdrawing from the contracts they had unknowingly signed, as in many cases the agents did not provide a copy of the signed contractual form.</w:t>
        <w:br/>
        <w:t>18. From the complaints acquired during the inspection, as well as from the reports that led to the initiation, it appears that many consumers became aware that they had signed a binding contract only when, a few days later, an agent of the Professional showed up at their home to demand execution of the contract.</w:t>
        <w:br/>
        <w:t>19. Other consumers complained about the aggressive manner in which the agents, during a second and unexpected visit, demanded execution of the contract; some were induced to sign financing contracts to be paid in installments through the intervention of a financial company. The agents of the Professional also threatened to take legal action to induce consumers to execute the contract.</w:t>
        <w:br/>
        <w:t>20. In cases where a copy of the signed contract was left with consumers, they often exercised their right of withdrawal. Some consumers reported that Italgroup did not promptly recognize the withdrawal, but only following the intervention of lawyers or requests for information from the Authority.</w:t>
        <w:br/>
        <w:t>21. On 1 August 2022, the Professional submitted responses to five requests for information sent by the Authority during 2021, concerning 15 consumers who had requested withdrawal from contracts signed between 7 January and 16 December 2021. These are documents from which it appears that Italgroup, following the intervention of the Authority, recognized the right of withdrawal from the contracts to the indicated consumers. In one case, it appears that, in addition to the withdrawal, Italgroup refunded the consumer and communicated to the financial institution, in this case Santander Consumer Bank S.p.A., the customer's withdrawal with the consequent cancellation of the financing contract.</w:t>
        <w:br/>
        <w:t>22. During the inspection, documentation related to the brokerage fees recognized to Italgroup by the companies Compass S.p.A. and Banca Carige S.p.A. in relation to the financing contracts signed by consumers was also acquired. From this documentation, it appears that during the year 2021, fees amounting to 88,305.59 euros were recognized to Italgroup by Compass and 4,842.38 euros by Banca Carige. For the year 2022, up to the date of the inspection, 31,409.19 euros had been paid to Italgroup by Compass and 4,179.13 euros by Banca Carige.</w:t>
        <w:br/>
        <w:t>3) The defensive arguments of the Party</w:t>
        <w:br/>
        <w:t>23. In a memorandum dated 31 May 2022, Italgroup contested the legitimacy of the initiation of the investigation as well as the inspection intervention, recalling that the company, in response to some requests for information received from the Authority, had already recognized the right of withdrawal to three consumers.</w:t>
        <w:br/>
        <w:t>24. Italgroup also represented that "with judgment no. 84/2021, the Constitutional Court has definitively clarified that the right to silence also applies in administrative proceedings, when it is aimed at the issuance of a sanction."</w:t>
        <w:br/>
        <w:t>4) The burden of proof</w:t>
        <w:br/>
        <w:t>25. Since during the proceeding the absence of sufficient evidentiary elements to assess the recognition of the right of withdrawal and the refund of any amounts advanced to all consumers who requested it was noted, the professional was requested, pursuant to Article 27, paragraph 5, of the Consumer Code, to demonstrate the accuracy of the factual data related to the commercial practice. To this end, the professional was invited, pursuant to Article 15 of the Regulation, to produce suitable documentation aimed at demonstrating:</w:t>
        <w:br/>
        <w:t>- the acceptance of the right of withdrawal for those entitled;</w:t>
        <w:br/>
        <w:t>- a copy of the refund transfer of the amount paid as a deposit at the time of signing the contractual forms;</w:t>
        <w:br/>
        <w:t>- copies of communications made to financial companies for the dissolution of the related financing contracts aimed at the purchase of the professional's goods.</w:t>
        <w:br/>
        <w:t>26. The professional did not transmit any documentation or information in relation to what was requested in the assignment of the burden of proof.</w:t>
      </w:r>
    </w:p>
    <w:p>
      <w:r>
        <w:rPr>
          <w:b/>
        </w:rPr>
        <w:t>[Pages 28–30]</w:t>
      </w:r>
    </w:p>
    <w:p>
      <w:r>
        <w:t>30 BULLETIN NO. 34 OF 19 SEPTEMBER 2022</w:t>
        <w:br/>
        <w:t>IV. EVALUATIONS</w:t>
        <w:br/>
        <w:t>27. The conduct involved in this measure constitutes articulations of a single strategy of the professional, structured in different temporal phases in relation to which distinct violations of the provisions of the Consumer Code can be identified.</w:t>
        <w:br/>
        <w:t>28. From the documentation on file, and in particular from the complaints acquired during the inspection, it emerges that the professional, during the first contact, generally of a telephone nature, and the subsequent home visit, consciously omits to indicate the actual commercial purposes of the visit, instead providing information essentially aimed at attracting the consumer's interest regarding the alleged free nature and/or convenience of the initiative. During the home visit, the consumer is misled into signing a form, without being clarified about the true commercial nature of the form and the actual consequences of signing it. On the contrary, on this occasion, the consumer is deceitfully reassured about the absence of purchase obligations arising from the signed forms and about the lack of any economic burden on their part. In this way, the agents of the professional induce consumers to unwittingly undertake significant spending commitments, in violation of Articles 21 and 22 of the Consumer Code.</w:t>
        <w:br/>
        <w:t>29. At this stage, there is also a violation of the information obligations regarding the right of withdrawal and the pre-contractual information. The reports and complaints testify that the professional did not provide comprehensive pre-contractual information. In particular, the consumer was not clearly and understandably informed about the existence of the right of withdrawal, as well as the conditions and terms for exercising that right. Furthermore, in several cases, the professional did not leave a copy of the contract signed by the consumer. The lack of pre-contractual information on the existence and conditions of withdrawal and the failure to provide a copy of the signed form prevents the consumer from becoming aware of the true nature of the form and any obligations that their signing entails, hindering them from making an informed decision regarding the purchase and exercising their rights. This conduct constitutes a violation of Articles 49, paragraph 1, letter h), and 50, paragraphs 1 and 2, of the Consumer Code, which provide specific obligations for contracts concluded outside commercial premises.</w:t>
        <w:br/>
        <w:t>30. The reports received and the complaints acquired highlight how the actual commercial purpose of the visit and its consequences only emerge when the consumer receives a second home visit from the professional's representatives. During this visit, the agents inform the consumer that they would have signed a legally binding contract for the purchase of products of significant economic value and insistently demand a first purchase, falsely claiming that the consumer does not have the option to withdraw from the contract and sometimes resorting to verbal pressure and the threat of legal action. This behavior constitutes aggressive conduct under Articles 24 and 25 of the Consumer Code, as it aims, through undue conditioning and verbal and psychological pressure, to induce the consumer to purchase unwanted products and to waive the exercise of their rights.</w:t>
        <w:br/>
        <w:t>31. The professional, following the allocation of the burden of proof pursuant to Article 27, paragraph 5, of the Consumer Code, did not provide the requested documentation to support the recognition of the right of withdrawal for approximately 300 consumers whose complaints were acquired during the inspection. Furthermore, the documentation on file shows that the professional consented to the withdrawal of some consumers only following the intervention of lawyers or requests for information from the Authority. It must therefore be considered that the professional has placed obstacles to the prompt recognition of the right of withdrawal, in violation of Article 25, paragraph 1, letter d), of the Consumer Code.</w:t>
        <w:br/>
        <w:t>V. QUANTIFICATION OF THE SANCTION</w:t>
        <w:br/>
        <w:t>32.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br/>
        <w:t>33. In the case of proceedings concerning a plurality of established administrative offenses, the jurisprudence has clarified that, in the presence of multiple conducts with structural and functional autonomy, attributed to the responsibility of the professionals, the criterion of material accumulation of sanctions applies, instead of legal accumulation (see among others, Council of State, Section VI, judgment no. 209 of 19 January 2012).</w:t>
        <w:br/>
        <w:t>34.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35. With reference to the economic dimension of Italgroup, from the latest available balance sheet, it appears that the professional, in 2020, generated revenues of approximately €740,000 with a profit of approximately €3,000. In 2021, it also generated over €93,000 in revenues solely from commissions for the procurement of financial contracts.</w:t>
        <w:br/>
        <w:t>36. Regarding the seriousness of the violation, account is taken of the economic dimension of the professional; the nature of the infringement, which concerns the concealment of the commercial purpose of the contact, the pressures for the execution of a contract not consciously signed, the failure to provide the contract that prevents the consumer from becoming aware of any obligations undertaken and exercising their rights, the denial of contractual rights; the particular situation of weakness in which consumers find themselves during a home sale, which facilitates misleading inducement regarding the actual establishment of a contractual bond; the extent of the expenditure to which consumers have unwittingly committed themselves, sometimes taking out financing, and the number of consumers involved.</w:t>
        <w:br/>
        <w:t>37. Regarding the duration of the violation, from the elements acquired in the records, it appears that the commercial practice has been carried out by Italgroup S.r.l.s. at least since January 2021 (the date of the earliest evidence present in the file) and is still ongoing.</w:t>
        <w:br/>
        <w:t>38. Based on these elements, it is deemed appropriate to determine the amount of the applicable administrative pecuniary sanction for Italgroup S.r.l.s. at €50,000 (fifty thousand euros). CONSIDERING, therefore, based on the aforementioned considerations, that the conduct under examination, consisting of an unfair commercial practice, pursuant to Articles 21, 22, 24, and 25, paragraph 1, letter d), of the Consumer Code, as it is contrary to professional diligence and suitable, through misleading and aggressive door-to-door selling methods, to appreciably distort the economic behavior of the average consumer in relation to the professional's offer, as well as a behavior in violation of Articles 49, paragraph 1, letter h), and 50, paragraphs 1 and 2, of the Consumer Code;</w:t>
        <w:br/>
        <w:t>RESOLVES</w:t>
        <w:br/>
        <w:t>a) that the conduct described in point II of this measure, carried out by Italgroup S.r.l.s., constitutes, for the reasons and within the limits set out in the reasoning, an unfair commercial practice pursuant to Articles 21, 22, 24, and 25, paragraph 1, letter d), of the Consumer Code and a behavior in violation of Articles 49, letter h), and 50, paragraphs 1 and 2, of the same Code, and prohibits its continuation;</w:t>
        <w:br/>
        <w:t>b) to impose on Italgroup S.r.l.s. an administrative pecuniary sanction of €50,000 (fifty thousand);</w:t>
        <w:br/>
        <w:t>c) that the professional communicates to the Authority, within sixty days from the notification of this measure, the initiatives taken in compliance with the injunction referred to in point a). The imposed administrative sanctions must be paid within thirty days from the notification of this measure, using the tax codes indicated in the attached F24 model with identifying elements, pursuant to Legislative Decree no. 241/1997. Payment must be made electronically with a debit from their bank or postal account, through home banking and CBI services provided by banks or Poste Italiane S.p.A., or using the telematic services of the Revenue Agency, available on the website www.agenziaentrate.gov.it. After the aforementioned deadline, for the period of delay of less than six months, late payment interest must be paid at the legal rate starting from the day following the expiration of the payment deadline.</w:t>
      </w:r>
    </w:p>
    <w:p>
      <w:r>
        <w:rPr>
          <w:b/>
        </w:rPr>
        <w:t>[Pages 31–32]</w:t>
      </w:r>
    </w:p>
    <w:p>
      <w:r>
        <w:t>BULLETIN NO. 34 OF 19 SEPTEMBER 2022 33</w:t>
        <w:br/>
        <w:t>expiration of the payment term and until the date of payment. In case of further delay in fulfillment, pursuant to Article 27, paragraph 6, of Law No. 689/81, the amount due for the imposed sanction is increased by one-tenth for each semester starting from the day following the expiration of the payment term and until the role is transmitted to the concessionaire for collection; in this case, the increase absorbs the late payment interest accrued during the same period.</w:t>
        <w:br/>
        <w:t>Immediate notification of the payment must be given to the Authority through the submission of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w:t>
        <w:br/>
        <w:t>Against this measure, an appeal may be filed with the TAR of Lazio, pursuant to Article 135, paragraph 1, letter b), of the Code of Administrative Procedure (Legislative Decree No. 104 of 2 July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24 November 1971, within the term of one hundred and twenty days from the date of notification of the measure itself.</w:t>
        <w:br/>
        <w:t>THE SECRETARY GENERAL THE PRESIDENT</w:t>
        <w:br/>
        <w:t>Guido Stazi Roberto Rustichelli</w:t>
      </w:r>
    </w:p>
    <w:p>
      <w:r>
        <w:t>Competition and Market Authority Weekly Bulletin</w:t>
        <w:br/>
        <w:t>Year XXXII - No. 34 - 2022</w:t>
        <w:br/>
        <w:t>Editorial Coordination Giulia Antenucci</w:t>
        <w:br/>
        <w:t>Editorial Staff Valerio Ruocco, Simonetta Schettini, Manuela Villani</w:t>
        <w:br/>
        <w:t>Competition and Market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