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https://www.agcm.it/dotcmsdoc/bollettini/2018/35-18.pdf</w:t>
      </w:r>
    </w:p>
    <w:p>
      <w:r>
        <w:t>Pages translated : 23</w:t>
      </w:r>
    </w:p>
    <w:p/>
    <w:p>
      <w:r>
        <w:rPr>
          <w:b/>
        </w:rPr>
        <w:t>[Pages 1–3]</w:t>
      </w:r>
    </w:p>
    <w:p>
      <w:r>
        <w:t>Bulletin</w:t>
        <w:br/>
        <w:t>Weekly</w:t>
        <w:br/>
        <w:t>Year XXVIII - No. 35</w:t>
        <w:br/>
        <w:t>Published on the website www.agcm.it</w:t>
        <w:br/>
        <w:t>September 24, 2018</w:t>
      </w:r>
    </w:p>
    <w:p>
      <w:r>
        <w:t>SUMMARY</w:t>
        <w:br/>
        <w:t>CONCENTRATION OPERATIONS 5</w:t>
        <w:br/>
        <w:t>C12185 - MIROVA/VENETA SANITARIA FINANZA DI PROGETTO</w:t>
        <w:br/>
        <w:t>Provision No. 27307 5</w:t>
        <w:br/>
        <w:t>C12186 - IREN/SPEZIA ENERGY TRADING</w:t>
        <w:br/>
        <w:t>Provision No. 27308 8</w:t>
        <w:br/>
        <w:t>C12187 - LEASYS/WIN RENT</w:t>
        <w:br/>
        <w:t>Provision No. 27309 14</w:t>
        <w:br/>
        <w:t>ACTIVITIES OF REPORTING AND CONSULTATION 17</w:t>
        <w:br/>
        <w:t>AS1533 – ATERSIR – TENDER FOR THE ASSIGNMENT OF INTEGRATED MANAGEMENT OF</w:t>
        <w:br/>
        <w:t>17</w:t>
        <w:br/>
        <w:t>URBAN HYGIENE SERVICE</w:t>
        <w:br/>
        <w:t>AS1534 - MODALITIES FOR THE ASSIGNMENT OF GUARANTEED SERVICES RELATED TO THE SUPPLY</w:t>
        <w:br/>
        <w:t>20</w:t>
        <w:br/>
        <w:t>AND IMPLEMENTATION OF A TELECOMMUNICATION SYSTEM FOR POLICE FORCES</w:t>
        <w:br/>
        <w:t>UNFAIR TRADE PRACTICES 23</w:t>
        <w:br/>
        <w:t>PS11086 - LYONESS-CASHBACK</w:t>
        <w:br/>
        <w:t>Notice of initiation of investigative proceedings 23</w:t>
      </w:r>
    </w:p>
    <w:p>
      <w:r>
        <w:t>BULLETIN NO. 35 OF SEPTEMBER 24, 2018 5</w:t>
        <w:br/>
        <w:t>CONCENTRATION OPERATIONS</w:t>
        <w:br/>
        <w:t>C12185 - MIROVA/VENETA SANITARIA FINANZA DI PROGETTO</w:t>
        <w:br/>
        <w:t>Provision No. 27307</w:t>
        <w:br/>
        <w:t>THE ITALIAN COMPETITION AUTHORITY</w:t>
        <w:br/>
        <w:t>IN ITS MEETING of September 5, 2018;</w:t>
        <w:br/>
        <w:t>HEARD the Rapporteur Professor Michele Ainis;</w:t>
        <w:br/>
        <w:t>HAVING REGARD TO Law No. 287 of October 10, 1990;</w:t>
        <w:br/>
        <w:t>HAVING REGARD TO Presidential Decree No. 217 of April 30, 1998;</w:t>
        <w:br/>
        <w:t>HAVING REGARD TO the communication from Mirova S.A. received on August 10, 2018 and</w:t>
        <w:br/>
        <w:t>subsequently supplemented on August 22 and 23, 2018;</w:t>
        <w:br/>
        <w:t>CONSIDERING the following:</w:t>
        <w:br/>
        <w:t>I. THE PARTIES</w:t>
        <w:br/>
        <w:t>Mirova S.A. (hereinafter Mirova) is a company under French law active in the organization and</w:t>
        <w:br/>
        <w:t>management of infrastructure funds and in the renewable energy sector. Mirova holds, among other</w:t>
        <w:br/>
        <w:t>things, control of the companies Core Infrastructure II sarl (hereinafter Core Infrastructure) and Aton per il Progetto S.r.l. (hereinafter Aton). Aton was established as part of a project financing initiative of the University Hospital Company of Udine and in this context is active in the provision of heat management and heating services in the province of Udine. Mirova is</w:t>
        <w:br/>
        <w:t>indirectly controlled by Natixis S.A., active in the sectors of asset management and wealth management, private banking, insurance services, and capital investment. The share capital of Natixis S.A. is held 71% by the French banking group BPCE S.A. (hereinafter BPCE group).</w:t>
        <w:br/>
        <w:t>In 2017, the BPCE group achieved a turnover of approximately 553 million euros in Italy1.</w:t>
        <w:br/>
        <w:t>Veneta Sanitaria Finanza di Progetto S.p.A. (hereinafter VSFP) is a project company, established</w:t>
        <w:br/>
        <w:t>in 2002 as part of a project financing initiative concerning the concession by the U.L.S.S. 12 Veneziana for the design, construction of the new Hospital of Mestre, the installation of machinery (activities completed in 2008), as well as the management of the hospital and the execution of a series of hospital and commercial services, including maintenance of civil works and systems, heat management, management of the information system, and catering services; the concession is expected to last until 2032.</w:t>
        <w:br/>
        <w:t>The share capital of VSFP is currently held by Astaldi S.p.A. (54.4%), Astaldi Concessioni</w:t>
        <w:br/>
        <w:t>1 For banks and financial institutions and for insurance companies of the BPCE group, turnover data has been calculated pursuant to Article 16, paragraph 2, of Law No. 287/90.</w:t>
      </w:r>
    </w:p>
    <w:p>
      <w:r>
        <w:rPr>
          <w:b/>
        </w:rPr>
        <w:t>[Pages 4–6]</w:t>
      </w:r>
    </w:p>
    <w:p>
      <w:r>
        <w:t>BULLETIN NO. 35 OF SEPTEMBER 24, 2018</w:t>
      </w:r>
    </w:p>
    <w:p>
      <w:r>
        <w:t>S.p.A. (6%), AcegasApSAmga Servizi Energenitci Sp.A. (17.5%), Gemmo S.p.A. (17.5%), Consta S.p.A. (2.5%), Studio Altieri S.p.A. (2%), Impresa Costruzioni Ing. E. Mantovani S.p.A. (0.1%). In 2017, VSFP achieved a turnover of approximately 61.5 million euros in Italy.</w:t>
      </w:r>
    </w:p>
    <w:p>
      <w:r>
        <w:t>II. DESCRIPTION OF THE TRANSACTION</w:t>
      </w:r>
    </w:p>
    <w:p>
      <w:r>
        <w:t>The reported transaction consists of the acquisition by the BPCE group, through Core Infrastructure, of a share of VSFP's share capital amounting to 59.4%, pursuant to a sale and purchase agreement signed with Astaldi S.p.A. and Astaldi Concessioni S.p.A.</w:t>
      </w:r>
    </w:p>
    <w:p>
      <w:r>
        <w:t>According to the parties, following the transaction, the Board of Directors of VSFP will be composed of seven directors, of whom four will be appointed by Core Infrastructure and will deliberate by absolute majority of those present regarding, among other things, decisions related to the business plan and the appointment of VSFP's executives. As a result of the transaction, therefore, VSFP will be subject to the exclusive control of Mirova.</w:t>
      </w:r>
    </w:p>
    <w:p>
      <w:r>
        <w:t>III. QUALIFICATION OF THE TRANSACTION</w:t>
      </w:r>
    </w:p>
    <w:p>
      <w:r>
        <w:t>The reported transaction, as it involves the acquisition of control of a company, constitutes a concentration pursuant to Article 5, paragraph 1, letter b), of Law No. 287/90. It falls within the scope of application of Law No. 287/90 as the conditions of Article 1 of Regulation (EC) No. 139/04 are not met, and it is subject to the obligation of prior notification provided for by Article 16, paragraph 1, of the same law as the total turnover achieved, in the last financial year at the national level, by the group of companies involved exceeded 495 million euros and as the total turnover achieved, in the last financial year at the national level, by at least two of the companies involved exceeded 30 million euros.</w:t>
      </w:r>
    </w:p>
    <w:p>
      <w:r>
        <w:t>IV. ASSESSMENT OF THE TRANSACTION</w:t>
      </w:r>
    </w:p>
    <w:p>
      <w:r>
        <w:t>The transaction in question results in limited overlaps between the activities of the parties regarding the offer of integrated management and governance services for real estate structures (so-called facility management).</w:t>
      </w:r>
    </w:p>
    <w:p>
      <w:r>
        <w:t>Facility management services include a set of logistical and organizational support services aimed at managing large real estate structures (generally in the public administration, hospital facilities, or large industrial, commercial complexes, etc.), offered by specialized companies to entities that manage the properties.</w:t>
      </w:r>
    </w:p>
    <w:p>
      <w:r>
        <w:t>Astaldi S.p.A. and Astaldi Concessioni S.p.A. will continue to hold an equal stake of 0.5% in VSFP. The parties to the transaction also specified that the provisions of Article 3 of the shareholders' agreement signed on November 22, 2002, by the shareholders of VSFP (“Agreement regarding the concession for the design, construction, and management of the new hospital in Mestre”), which required a qualified majority for the approval of certain decisions including those related to the organizational structure and budget of VSFP, are no longer in force and effective, as they were expressly intended to regulate the criteria for the appointment and voting of the Board of Directors “until the date of testing of the work,” which occurred in 2008.</w:t>
      </w:r>
    </w:p>
    <w:p>
      <w:r>
        <w:t>Facility management services typically involve a complex of services related to the management and maintenance of systems installed in the properties (thermal, electrical, hydraulic, telephone, fire prevention, elevators, and similar systems, including heat management services), the management and maintenance of buildings and their appurtenances (courtyards, gardens, etc.), services to individuals (cleaning, security, catering, and similar services), and support services for office activities (archive management, etc.).</w:t>
      </w:r>
    </w:p>
    <w:p>
      <w:r>
        <w:t>Considering the structure of demand and supply, as well as the absence of administrative constraints that limit the exercise of the activity to a local scope, the geographical dimension of the facility management market can encompass the entire national territory.</w:t>
      </w:r>
    </w:p>
    <w:p>
      <w:r>
        <w:t>From the information provided by the parties, it appears that VSFP provides facility management services exclusively to the Hospital of Mestre while the BPCE group is active, through Aton, solely in the offer of heating and heat management services limited to certain buildings in the province of Udine.</w:t>
      </w:r>
    </w:p>
    <w:p>
      <w:r>
        <w:t>The transaction in question does not therefore appear to be capable of altering the competitive conditions of the facility management services market.</w:t>
      </w:r>
    </w:p>
    <w:p>
      <w: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RESOLUTION</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Filippo Arena Giovanni Pitruzzella</w:t>
      </w:r>
    </w:p>
    <w:p>
      <w:r>
        <w:t>C12186 - IREN/SPEZIA ENERGY TRADING</w:t>
      </w:r>
    </w:p>
    <w:p>
      <w:r>
        <w:t>Provision No. 27308</w:t>
      </w:r>
    </w:p>
    <w:p>
      <w:r>
        <w:t>THE ITALIAN COMPETITION AUTHORITY</w:t>
      </w:r>
    </w:p>
    <w:p>
      <w:r>
        <w:t>IN ITS MEETING of September 5, 2018;</w:t>
      </w:r>
    </w:p>
    <w:p>
      <w:r>
        <w:t>HEARD the Rapporteur Professor Michele Ainis;</w:t>
      </w:r>
    </w:p>
    <w:p>
      <w:r>
        <w:t>HAVING REGARD to Law No. 287 of October 10, 1990;</w:t>
      </w:r>
    </w:p>
    <w:p>
      <w:r>
        <w:t>HAVING REGARD to Presidential Decree No. 217 of April 30, 1998;</w:t>
      </w:r>
    </w:p>
    <w:p>
      <w:r>
        <w:t>HAVING REGARD to the communication from Iren S.p.A., received on August 10, 2018;</w:t>
      </w:r>
    </w:p>
    <w:p>
      <w:r>
        <w:t>HAVING REGARD to the documentation on file;</w:t>
      </w:r>
    </w:p>
    <w:p>
      <w:r>
        <w:t>CONSIDERED the following:</w:t>
      </w:r>
    </w:p>
    <w:p>
      <w:r>
        <w:t>I. THE PARTIES</w:t>
      </w:r>
    </w:p>
    <w:p>
      <w:r>
        <w:t>1. Iren S.p.A. (hereinafter, “Iren”) is the company - listed on the Milan Stock Exchange - holding the namesake group, active at the national level in the sectors of electricity and natural gas, water resources, district heating, heat management services, environmental services, public lighting, and funeral and cemetery services, particularly in Piedmont, Liguria, and Emilia Romagna.</w:t>
      </w:r>
    </w:p>
    <w:p>
      <w:r>
        <w:t>16.33% of Iren's capital is held by Finanziaria Sviluppo Utilities S.r.l. - 100% controlled by the Municipality of Genoa - an additional 16.33% by Finanziaria Città di Torino Holding S.p.A. - 100% controlled by the Municipality of Turin - 6.9% by the Municipality of Reggio Emilia, 3.16% by the Municipality of Parma, 1.52% by the Municipality of Piacenza, and the remainder by other municipalities and institutional, financial, and retail investors. Iren is jointly controlled by the municipalities of Turin, Genoa, and Reggio Emilia by virtue of a shareholders' agreement.</w:t>
      </w:r>
    </w:p>
    <w:p>
      <w:r>
        <w:t>In 2017, the consolidated turnover of the Iren group was approximately 3.4 billion euros, entirely generated in Italy.</w:t>
      </w:r>
    </w:p>
    <w:p>
      <w:r>
        <w:t>2. Spezia Energy Trading S.r.l. (hereinafter, “SET”) is a company 100% controlled by Spienergy S.p.A. (hereinafter, “Spienergy”). Before the acquisition of SET by Iren S.p.A., a business unit of Spienergy, active exclusively in Italy in the purchase and marketing of electricity and natural gas, will be transferred to SET. SET, excluding the business unit subject to transfer from Spienergy, is not active in the market.</w:t>
      </w:r>
    </w:p>
    <w:p>
      <w:r>
        <w:t>In 2017, the business unit of Spienergy that will be transferred to SET achieved, entirely in Italy, a turnover of approximately 412 million euros.</w:t>
      </w:r>
    </w:p>
    <w:p>
      <w:r>
        <w:t>1 Also 100% controlled by ENOI S.p.A.</w:t>
      </w:r>
    </w:p>
    <w:p>
      <w:r>
        <w:t>2 Although established on February 14, 2013, the company remained completely inactive until February 1, 2018; from that date until the date of notification of this transaction to the Authority, the company has only initiated preliminary activities for the wholesale and retail sale of electricity and natural gas.</w:t>
      </w:r>
    </w:p>
    <w:p>
      <w:r>
        <w:rPr>
          <w:b/>
        </w:rPr>
        <w:t>[Pages 7–9]</w:t>
      </w:r>
    </w:p>
    <w:p>
      <w:r>
        <w:t>BULLETIN NO. 35 OF SEPTEMBER 24, 2018 9</w:t>
      </w:r>
    </w:p>
    <w:p>
      <w:r>
        <w:t>II. DESCRIPTION OF THE TRANSACTION</w:t>
      </w:r>
    </w:p>
    <w:p>
      <w:r>
        <w:t>3. The communication in question concerns the acquisition by Iren S.p.A. or by companies controlled by it of the entire share capital of SET, following the contribution, to that company and by Spienergy, of a business unit active in the purchase and marketing of electricity and natural gas. In particular, the activities that make up the business unit transferred to the target of this transaction (hereinafter also referred to as the “Transaction”) consist of: sales contracts for electricity and natural gas of which Spienergy will be a party at the date of the contribution, passive contracts (services, leasing, consulting, utilities, etc.), authorizations, trademarks, know-how, as well as all other tangible and intangible assets and the 22 employees of the same business unit.</w:t>
      </w:r>
    </w:p>
    <w:p>
      <w:r>
        <w:t>4. The execution of the Transaction is conditionally suspended pending the occurrence of certain conditions, including the notification of the same to the Italian Competition Authority.</w:t>
      </w:r>
    </w:p>
    <w:p>
      <w:r>
        <w:t>5. The Transaction is accompanied by a non-compete agreement lasting two years from the date of its execution, which provides that Spienergy, ENOI S.p.A. (100% controlling Spienergy) and two partners of ENOI S.p.A. [omissis]3</w:t>
      </w:r>
    </w:p>
    <w:p>
      <w:r>
        <w:t>III. QUALIFICATION OF THE TRANSACTION</w:t>
      </w:r>
    </w:p>
    <w:p>
      <w:r>
        <w:t>6. The reported transaction, as it involves the acquisition of control of a company, constitutes a concentration pursuant to Article 5, paragraph 1 letter b), of Law No. 287/90. It falls within the scope of application of Law No. 287/90 as the conditions of Article 1 of Regulation (EC) No. 139/04 are not met, and it is subject to the obligation of prior notification provided for by Article 16, paragraph 1, of the same law as the total turnover achieved, in the last financial year at the national level, by the group of interested companies exceeded 495 million euros and as the total turnover achieved, in the last financial year at the national level, by at least two of the interested companies exceeded 30 million euros.</w:t>
      </w:r>
    </w:p>
    <w:p>
      <w:r>
        <w:t>7. The non-compete agreement to which Spienergy, ENOI S.p.A. and two partners of ENOI S.p.A. commit can be configured as an ancillary restriction to the concentration transaction4.</w:t>
      </w:r>
    </w:p>
    <w:p>
      <w:r>
        <w:t>IV. ASSESSMENT OF THE CONCENTRATION</w:t>
      </w:r>
    </w:p>
    <w:p>
      <w:r>
        <w:t>Relevant markets</w:t>
      </w:r>
    </w:p>
    <w:p>
      <w:r>
        <w:t>8. Considering the structure of the transaction in question, the following markets are relevant for its assessment: the market for the procurement and wholesale sale of electricity (M01), the market for the retail sale of electricity to non-domestic customers connected at medium and high voltage (M02), the market for the retail sale of electricity to non-domestic customers connected at low voltage (M03), the market for the procurement and wholesale sale of natural gas (M04), the market for the retail sale of natural gas to medium-large final customers with consumption exceeding 200,000 cubic meters of gas/year (M05), the market for the retail sale of natural gas to small final customers with consumption below 200,000 cubic meters of gas/year (M06).</w:t>
      </w:r>
    </w:p>
    <w:p>
      <w:r>
        <w:t>Electricity</w:t>
      </w:r>
    </w:p>
    <w:p>
      <w:r>
        <w:t>Procurement and wholesale sale of electricity - M01</w:t>
      </w:r>
    </w:p>
    <w:p>
      <w:r>
        <w:t>9. Regarding the wholesale procurement of electricity – M01 –, from a commodity perspective, it includes, in Italy, both forward and spot transactions (“Day-Ahead Market” and “Intraday Market”) concluded through the platforms organized by the Energy Market Operator S.p.A. (“GME”), as well as bilateral contracts (OTC).</w:t>
      </w:r>
    </w:p>
    <w:p>
      <w:r>
        <w:t>10. From a geographical perspective, in the Authority's practice, the wholesale electricity market is traditionally considered to be of supra-regional dimensions, based on a subdivision into macro-zones dictated by both transmission constraints and differences in the structure of supply, which reflect stable differences in electricity sales prices5.</w:t>
      </w:r>
    </w:p>
    <w:p>
      <w:r>
        <w:t>Retail sale of electricity - M02, M03</w:t>
      </w:r>
    </w:p>
    <w:p>
      <w:r>
        <w:t>11. The retail sale activity of electricity in the free market consists of the marketing, supply, and delivery of electricity to final customers connected to the distribution network. The differentiation into sub-markets based on the different categories of final customers supplied depends on factors such as volumes and consumption profiles, marketing costs, the more or less pronounced standardization of sales contracts, the different degree of mobility, and the different risk of default.</w:t>
      </w:r>
    </w:p>
    <w:p>
      <w:r>
        <w:t>12. In particular, the market for the retail sale of electricity for non-domestic customers is distinguished from a commodity and geographical perspective in relation to different categories of final customers taking into account different sizes and characteristics, summarized in the type of connection to the network. In particular, it is differentiated as follows:</w:t>
        <w:br/>
        <w:t>a) market of non-domestic customers connected at medium and high voltage (large industrial and commercial customers), which is considered to be of national dimension – M02 –;</w:t>
        <w:br/>
        <w:t>b) market of non-domestic customers connected at low voltage (small businesses), which has sub-national dimensions, coinciding with the areas where the territorial distribution company operates – M03 –. This is due to the fact that the related demand appears less mobile compared to the market of large industrial customers as the costs of searching for and switching suppliers are significantly higher and the savings that can be obtained are significantly lower in relation to the size of consumption6.</w:t>
      </w:r>
    </w:p>
    <w:p>
      <w:r>
        <w:t>Natural gas</w:t>
      </w:r>
    </w:p>
    <w:p>
      <w:r>
        <w:t>Procurement and wholesale sale of natural gas - M04</w:t>
      </w:r>
    </w:p>
    <w:p>
      <w:r>
        <w:t>13. The wholesale market for natural gas has a national dimension and consists of the activity carried out by operators who purchase gas from national or foreign suppliers, which can be destined for both wholesale and retail sales to final customers, as well as for self-consumption7.</w:t>
      </w:r>
    </w:p>
    <w:p>
      <w:r>
        <w:t>Retail sale of natural gas - M05, M06</w:t>
      </w:r>
    </w:p>
    <w:p>
      <w:r>
        <w:t>14. The retail sale activity of natural gas consists of the supply and delivery of gas to final customers connected to the distribution networks or the gas transportation network. In this case as well, the differentiation based on the categories of customers served depends on considerations related to the specific characteristics of demand and supply. The retail gas market, in particular, is distinguished as follows:</w:t>
        <w:br/>
        <w:t>a) market of medium or large-sized final customers with consumption exceeding 200,000 cubic meters/year, which has a national dimension – M05 –;</w:t>
        <w:br/>
        <w:t>b) market of small final customers with consumption below 200,000 cubic meters/year, which has dimensions smaller than the national level – M06 –8.</w:t>
      </w:r>
    </w:p>
    <w:p>
      <w:r>
        <w:t>Effects of the transaction</w:t>
      </w:r>
    </w:p>
    <w:p>
      <w:r>
        <w:t>15. Following the Transaction, Iren will hold market shares in the electricity and natural gas sectors at the national level that are not significant, or in any case – where significant – only marginally resulting from the Transaction itself. In particular, regarding the wholesale energy markets, the acquiring company and the business unit subject to acquisition hold a joint market share: i) below one percentage point in the wholesale procurement market of electricity in the macro-zone South and equal to [5/10]% in the wholesale procurement and sale market of electricity in the macro-zone North – M01 – and ii) below one percentage point in the national wholesale procurement market of natural gas – M04 –.</w:t>
      </w:r>
    </w:p>
    <w:p>
      <w:r>
        <w:t>16. As for the retail energy markets for large customers, the acquiring company and the business unit subject to acquisition hold a joint market share: i) equal to [1/5]% in the national market for the sale of electricity to non-domestic customers connected at high and medium voltage – M02 – and ii) equal to [5/10]% in the market for the sale of natural gas to medium-large customers with consumption exceeding 200,000 cubic meters/year – M05 –.</w:t>
      </w:r>
    </w:p>
    <w:p>
      <w:r>
        <w:t>17. With reference to the retail energy markets for smaller customers, consider the following. Regarding the market for the retail sale of electricity to non-domestic customers connected at low voltage – M03 –, the presence of a local incumbent belonging to the corporate group of the distributor and therefore holder of sales under the regime of greater protection leads to narrowing the geographical scope to the local level, generally coinciding with the width of the distribution concession, which is usually municipal. In a first approximation, it is observed that, at the regional level, the Regions where the overlap of market shares of the acquiring company and the business unit subject to acquisition is most significant are Emilia Romagna, Liguria, and Piemonte. Analyzing the data at the provincial level in these Regions, however, only in four cases does the joint share resulting from the Transaction approach or exceed 20%, remaining nonetheless below 30%. In three of these cases, the relatively high share at the provincial level depends on the fact that these provinces...</w:t>
      </w:r>
    </w:p>
    <w:p>
      <w:r>
        <w:rPr>
          <w:b/>
        </w:rPr>
        <w:t>[Pages 10–12]</w:t>
      </w:r>
    </w:p>
    <w:p>
      <w:r>
        <w:t>12 BULLETIN NO. 35 OF SEPTEMBER 24, 2018</w:t>
      </w:r>
    </w:p>
    <w:p>
      <w:r>
        <w:t>includes the three municipalities (Turin, Parma, and Vercelli) where the acquiring company's group also conducts distribution and thus plays the role of local incumbent. In these three municipalities, the buyer's share is relatively high ([35-40]% in Parma, [40/45]% in Vercelli, and [55/60]% in Turin), but the target has shares always below 1%. In the fourth province (La Spezia), the significant share is not due to one of the parties being a local incumbent as part of the distributor group, but rather because it is the main territorial area of operation of the acquired business unit. Even in this case, however, the post-merger joint market share stands at [20/25]%9).</w:t>
      </w:r>
    </w:p>
    <w:p>
      <w:r>
        <w:t>18. Finally, regarding the retail market for natural gas to small final customers with consumption below 200,000 cubic meters/year – M06 –, it also appears that the Regions where the overlap of market shares of the acquiring company and the business unit being acquired seems most significant are Emilia Romagna, Liguria, and Piedmont. Analyzing the data at the provincial level in these Regions, in five cases, the joint shares resulting from the Operation exceed 20%, with two particularly significant cases (Parma [55/60]%, Reggio Emilia [85/90]%10). However, it should be noted that, in each of these five cases, the differential brought about by the acquisition of the target business unit is entirely marginal (well below 1%), and – more generally – in its previous decisions, the Authority has considered that the particular characteristics of the market in question and the evolution experienced by this activity render the precise geographical boundaries of the relevant market uncertain11. In particular, it may be appropriate to consider a broader geographical level, at least equal to the regional territory. In this specific case, considering the post-merger shares at the regional level, they appear significantly lower, with only one case exceeding 20% (Liguria [20/25]%).</w:t>
      </w:r>
    </w:p>
    <w:p>
      <w:r>
        <w:t>19. In light of all the considerations above, the effects of the Operation on the relevant markets for the wholesale and retail marketing of electricity and natural gas appear marginal.</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9 The other two Provinces in question are Parma (joint share equal to [20/25]%) and Turin ([25/30]%).</w:t>
      </w:r>
    </w:p>
    <w:p>
      <w:r>
        <w:t>10 The other Provinces for which a joint share exceeding 20% is reported are Genoa ([35/40]%), Alessandria ([25/30]%), and Vercelli ([25/30]%).</w:t>
      </w:r>
    </w:p>
    <w:p>
      <w:r>
        <w:t>11 Cf. AGCM C12159 – A2A/ACSM-AGAM, in Bulletin No. 19/18.</w:t>
      </w:r>
    </w:p>
    <w:p>
      <w:r>
        <w:t>BULLETIN NO. 35 OF SEPTEMBER 24, 2018 13</w:t>
      </w:r>
    </w:p>
    <w:p>
      <w:r>
        <w:t>This provision will be published in the Bulletin of the Italian Competition Authority.</w:t>
      </w:r>
    </w:p>
    <w:p>
      <w:r>
        <w:t>THE SECRETARY GENERAL THE PRESIDENT</w:t>
      </w:r>
    </w:p>
    <w:p>
      <w:r>
        <w:t>Filippo Arena Giovanni Pitruzzella</w:t>
      </w:r>
    </w:p>
    <w:p>
      <w:r>
        <w:t>14 BULLETIN NO. 35 OF SEPTEMBER 24, 2018</w:t>
      </w:r>
    </w:p>
    <w:p>
      <w:r>
        <w:t>C12187 - LEASYS/WIN RENT</w:t>
      </w:r>
    </w:p>
    <w:p>
      <w:r>
        <w:t>Provision No. 27309</w:t>
      </w:r>
    </w:p>
    <w:p>
      <w:r>
        <w:t>THE ITALIAN COMPETITION AUTHORITY</w:t>
      </w:r>
    </w:p>
    <w:p>
      <w:r>
        <w:t>IN ITS MEETING of September 5, 2018;</w:t>
      </w:r>
    </w:p>
    <w:p>
      <w:r>
        <w:t>HEARD the Rapporteur Professor Michele Ainis;</w:t>
      </w:r>
    </w:p>
    <w:p>
      <w:r>
        <w:t>HAVING REGARD to Law No. 287 of October 10, 1990;</w:t>
      </w:r>
    </w:p>
    <w:p>
      <w:r>
        <w:t>HAVING REGARD to Presidential Decree No. 217 of April 30, 1998;</w:t>
      </w:r>
    </w:p>
    <w:p>
      <w:r>
        <w:t>HAVING REGARD to the communication from Leasys S.p.A., received on August 20, 2018;</w:t>
      </w:r>
    </w:p>
    <w:p>
      <w:r>
        <w:t>CONSIDERING the following:</w:t>
      </w:r>
    </w:p>
    <w:p>
      <w:r>
        <w:t>I. THE PARTIES</w:t>
      </w:r>
    </w:p>
    <w:p>
      <w:r>
        <w:t>1. Leasys S.p.A. (hereinafter, Leasys) is a joint-stock company under Italian law belonging to the banking group FCA Bank S.p.A., which is jointly controlled by the automotive group Fiat Chrysler Automobiles (hereinafter, FCA) and the banking group Credit Agricole. The company is active in the long-term car rental and fleet management sector; in the fiscal year 2017, Leasys achieved a turnover of approximately 600 million euros in Italy.</w:t>
      </w:r>
    </w:p>
    <w:p>
      <w:r>
        <w:t>2. Win Rent S.p.A. (hereinafter, WinRent) is a joint-stock company under Italian law controlled by a natural person, who holds – also through a joint-stock company – 95%, while the remaining 5% is held by another natural person. The company is active in the short-term car rental sector, where, since 2017, it operates under the brand "Winrent"; in the fiscal year 2017, WinRent's turnover was approximately 31.4 million euros, entirely generated in Italy.</w:t>
      </w:r>
    </w:p>
    <w:p>
      <w:r>
        <w:t>II. DESCRIPTION OF THE TRANSACTION</w:t>
      </w:r>
    </w:p>
    <w:p>
      <w:r>
        <w:t>3. The transaction in question consists of the acquisition, by Leasys, of exclusive control over WinRent through the purchase of 100% of the shareholdings from the current shareholders.</w:t>
      </w:r>
    </w:p>
    <w:p>
      <w:r>
        <w:t>4. The agreement includes a non-compete clause, under which the sellers undertake, for a period of five years, not to engage in activities in competition with those carried out by WinRent throughout the Italian territory.</w:t>
      </w:r>
    </w:p>
    <w:p>
      <w:r>
        <w:t>III. QUALIFICATION OF THE TRANSACTION</w:t>
      </w:r>
    </w:p>
    <w:p>
      <w:r>
        <w:t>5. The reported transaction, as it involves the acquisition of control of a company, constitutes a concentration pursuant to Article 5, paragraph 1, letter b), of Law No. 287/90.</w:t>
      </w:r>
    </w:p>
    <w:p>
      <w:r>
        <w:t>6. It falls within the scope of application of Law No. 287/90 as the conditions of Article 1 of EC Regulation No. 139/04 are not met, and it is subject to the obligation of prior notification provided for by Article 16, paragraph 1, of the same law as the total turnover achieved, in the last fiscal year at the national level, by the group of companies involved was...</w:t>
      </w:r>
    </w:p>
    <w:p>
      <w:r>
        <w:rPr>
          <w:b/>
        </w:rPr>
        <w:t>[Pages 13–15]</w:t>
      </w:r>
    </w:p>
    <w:p>
      <w:r>
        <w:t>BULLETIN NO. 35 OF SEPTEMBER 24, 2018 15</w:t>
      </w:r>
    </w:p>
    <w:p>
      <w:r>
        <w:t>exceeding 495 million euros and since the total turnover achieved, in the last financial year at the national level, by at least two of the companies involved was over 30 million euros.</w:t>
      </w:r>
    </w:p>
    <w:p>
      <w:r>
        <w:t>7. The non-competition agreement described above constitutes a restriction directly connected and necessary for the realization of the transaction, as it is strictly functional to safeguarding the value of the acquired company, including goodwill, provided that it does not exceed a period of two years from the date of realization of the concentration, that is, from the date of acquisition of control, and that the geographical scope does not exceed the current geographical area of operation of the acquired company1.</w:t>
      </w:r>
    </w:p>
    <w:p>
      <w:r>
        <w:t>IV. ASSESSMENT OF THE CONCENTRATION</w:t>
      </w:r>
    </w:p>
    <w:p>
      <w:r>
        <w:t>The relevant market</w:t>
      </w:r>
    </w:p>
    <w:p>
      <w:r>
        <w:t>8. The market affected by the transaction in question consists of short-term car and light commercial vehicle rental without a driver. This type of service is distinguished from long-term rental, according to the established orientation of the Commission and the Authority2, as the related services differ both in terms of duration and price of services and in terms of consumers, typically individuals.</w:t>
      </w:r>
    </w:p>
    <w:p>
      <w:r>
        <w:t>8. The short-term rental activity of cars and light commercial vehicles, also based on previous community and national cases, presents a national geographical dimension, considering the characteristics of demand and the organization of companies holding agency networks distributed throughout the territory.</w:t>
      </w:r>
    </w:p>
    <w:p>
      <w:r>
        <w:t>Effects of the transaction</w:t>
      </w:r>
    </w:p>
    <w:p>
      <w:r>
        <w:t>9. The transaction allows Leasys, which is already present in the Italian long-term car rental market, to also acquire a presence in the short-term market, acquiring through WinRent a share currently below 5%, both in value and in volume.</w:t>
      </w:r>
    </w:p>
    <w:p>
      <w:r>
        <w:t>10. In the short-term car rental market in Italy, qualified competitors operate, in particular Avis with a share exceeding 35%, Hertz with a share exceeding 20%, Europcar with a share exceeding 5%.</w:t>
      </w:r>
    </w:p>
    <w:p>
      <w:r>
        <w:t>11. For the reasons stated above, the reported transaction does not significantly alter the competitive conditions in the affected market, effectively resulting in the mere substitution of one operator for another.</w:t>
      </w:r>
    </w:p>
    <w:p>
      <w:r>
        <w:t>CONSIDERING, therefore, that the transaction in question does not result, pursuant to Article 6, paragraph 1, of Law No. 287/90, in the establishment or strengthening of a dominant position in the affected markets, such as to eliminate or substantially and durably reduce competition;</w:t>
      </w:r>
    </w:p>
    <w:p>
      <w:r>
        <w:t>CONSIDERING, furthermore, that the non-competition agreement can be considered accessory to the present transaction only within the aforementioned temporal limits and that the Authority reserves the right to assess, where the conditions exist, the aforementioned agreement if it is realized beyond those limits;</w:t>
      </w:r>
    </w:p>
    <w:p>
      <w:r>
        <w:t>1 See Commission Communication on restrictions directly connected and necessary to concentrations (2005/C 56/03) § 22.</w:t>
        <w:br/>
        <w:t>2 See provision No. 26519 of March 30, 2017, I791 - LONG-TERM CAR RENTAL MARKET, in Bull. 14/2017; provision No. 23179 of December 21, 2011, C1140 - VW LEASING/EUROMOBIL AUTOVERMIETUNG, in Bull. 51/2011.</w:t>
      </w:r>
    </w:p>
    <w:p>
      <w:r>
        <w:t>BULLETIN NO. 35 OF SEPTEMBER 24, 2018</w:t>
      </w:r>
    </w:p>
    <w:p>
      <w:r>
        <w:t>RESOLUTION</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Filippo Arena Giovanni Pitruzzella</w:t>
      </w:r>
    </w:p>
    <w:p>
      <w:r>
        <w:t>BULLETIN NO. 35 OF SEPTEMBER 24, 2018</w:t>
      </w:r>
    </w:p>
    <w:p>
      <w:r>
        <w:t>ACTIVITY OF REPORTING AND CONSULTATION</w:t>
      </w:r>
    </w:p>
    <w:p>
      <w:r>
        <w:t>AS1533 – ATERSIR – TENDER FOR THE ASSIGNMENT OF INTEGRATED MANAGEMENT OF URBAN HYGIENE SERVICE</w:t>
      </w:r>
    </w:p>
    <w:p>
      <w:r>
        <w:t>Rome, July 4, 2018</w:t>
      </w:r>
    </w:p>
    <w:p>
      <w:r>
        <w:t>Emilia Romagna Region</w:t>
      </w:r>
    </w:p>
    <w:p>
      <w:r>
        <w:t>Atersir – Territorial Agency of Emilia Romagna for water and waste services</w:t>
      </w:r>
    </w:p>
    <w:p>
      <w:r>
        <w:t>The Italian Competition Authority, in its meeting of June 20, 2018 – following a report concerning some possible competitive issues inherent in the tenders issued by Atersir, concerning the assignment of "the integrated management of urban hygiene services" in the provinces of Parma, Piacenza, and Ravenna-Cesena – has intended to make the following considerations in exercising the powers referred to in Article 22 of Law No. 287 of October 10, 1990.</w:t>
      </w:r>
    </w:p>
    <w:p>
      <w:r>
        <w:t>In general, the Authority positively acknowledges the circumstance that the addressed entity, in accordance with the observations expressed in a previous opinion issued by the same Authority on June 15, 2017 – regarding the need to avoid the perpetuation of de facto extension regimes of previous agreements held by the historical contractors (Hera and Iren) as a circumstance likely to cause serious harm to the proper unfolding of competitive dynamics in the management of the services in question1 – has decided to issue public tenders for the management of urban hygiene services in the territories in question.</w:t>
      </w:r>
    </w:p>
    <w:p>
      <w:r>
        <w:t>That said, the Authority believes, however, that some of the provisions of the aforementioned tenders are in evident contrast with the legislation protecting competition and with the traditional orientation expressed by the Authority, among other things also in the Inquiry IC49, concerning the "Market for the management of municipal solid waste" concluded with a provision of January 21, 2016.</w:t>
      </w:r>
    </w:p>
    <w:p>
      <w:r>
        <w:t>1 See, AS1398, concerning "Emilia Romagna Region – Methods of assigning the waste management service," sent on June 15, 2017, to the Region and Atersir. In this sense, the Authority had hoped for a rapid assignment of urban waste management services in Emilia Romagna, for a reasonable period of time and in any case strictly calibrated to the actual needs for recovering any new investments, through the conduct of public procedures open to the largest number of possible subjects and in compliance with the competitive principles of national and community legislation.</w:t>
      </w:r>
    </w:p>
    <w:p>
      <w:r>
        <w:rPr>
          <w:b/>
        </w:rPr>
        <w:t>[Pages 16–18]</w:t>
      </w:r>
    </w:p>
    <w:p>
      <w:r>
        <w:t>18 BULLETIN NO. 35 OF SEPTEMBER 24, 2018</w:t>
      </w:r>
    </w:p>
    <w:p>
      <w:r>
        <w:t>Specifically, it refers to the provisions regarding the duration of the assignments in consideration of the characteristics of the requested services, as well as those governing the extent of the service areas which, especially when read together, appear suitable to significantly limit the participation in the tenders by medium and small enterprises, even in a temporary association of enterprises (ATI), to the advantage of the historical market operators.</w:t>
      </w:r>
    </w:p>
    <w:p>
      <w:r>
        <w:t>As for the duration of the service assignment, it is worth noting that in IC49, the Board emphasized the need for the duration of the assignments to be limited and, in any case, proportional to the time required to recover investments, in order to prevent the consolidation of rent-seeking positions. In light of this recommendation, and considering the type of activities actually subject to the awards, the duration of the assignment set forth in the tenders - fixed at 15 years - is clearly disproportionate and not in line with the Authority's consistent orientation.</w:t>
      </w:r>
    </w:p>
    <w:p>
      <w:r>
        <w:t>In fact, the services required from the concessionaire in the tenders subject to reporting concern, in substance, the entirety of urban hygiene services, namely primarily the collection of urban waste. Therefore, this is an activity whose execution requires limited investments, mainly related to the vehicles that carry out the collection, and whose amortization period is certainly shorter than that necessary to recover investments, for example, of an infrastructural nature.</w:t>
      </w:r>
    </w:p>
    <w:p>
      <w:r>
        <w:t>The aforementioned tenders, in fact, while including in the object of the assignment the activities of initiation to recovery and initiation to disposal, do not correctly include - from a competitive standpoint - either the recovery activities or the disposal activities, which, as is known, can be carried out in a market regime. Nor could "initiation to recovery" activities that exceed the mere transport and delivery to the plants be considered included within the scope of the assignment, despite these activities being qualified in the tenders as "all operations and preliminary treatments for recycling." In this regard, it should be noted that, according to the current regulatory provisions - specifically Article 183, paragraph 1, letter s) of the TUA - the preparation activities prior to recovery or disposal, as seem to be defined by the contracting authority, fall within the notion of "treatment" which includes services traditionally considered market activities, and regarding which any extension of the municipal monopoly would therefore result in an unjustified competitive restriction.</w:t>
      </w:r>
    </w:p>
    <w:p>
      <w:r>
        <w:t>For these reasons, the duration of the assignment - set in the tenders at 15 years - is clearly disproportionate and not in line with the Authority's consistent orientation, which in the aforementioned IC49 investigation has stated that for assignments concerning activities upstream of the waste management system, the optimal duration of the assignments for municipal solid waste management should not exceed five years.</w:t>
      </w:r>
    </w:p>
    <w:p>
      <w:r>
        <w:t>Another element of the tenders that could be brought to the attention of the addressed entities concerns the excessive breadth of the service areas provided therein and the economic, financial, and technical-organizational requirements requested.</w:t>
      </w:r>
    </w:p>
    <w:p>
      <w:r>
        <w:t>2. On the same subject, the Authority has already had the opportunity to express itself recently, indicating with the AS1432 report titled "Emilia Romagna Region - Urban Waste Management" dated September 6, 2017, sent to the Presidency of the Council of Ministers, Department for Regional Affairs, the competitive restrictiveness of certain amendments to regional law No. 16/2015 made by Emilia Romagna Law No. 16 of July 18, 2017, which would have allowed an illegitimate expansion of the monopoly.</w:t>
      </w:r>
    </w:p>
    <w:p>
      <w:r>
        <w:t>BULLETIN NO. 35 OF SEPTEMBER 24, 2018 19</w:t>
      </w:r>
    </w:p>
    <w:p>
      <w:r>
        <w:t>In this regard, while being aware that, in general, the breadth of the tender areas and the participation requirements requested constitute discretionary choices of the contracting authority, presumably responding to efficiency criteria, the Authority observes that in this specific case, the combination of an excessively long and unjustified duration of the assignments, together with the provision of particularly large tender areas (the Ravenna-Cesena area alone encompasses about 600,000 inhabitants), risks in fact conflicting with the established jurisprudential orientation regarding the necessity/opportunity for tenders to be designed in a way that guarantees broad participation of potentially interested operators, in order to avoid "unjustified restrictions on the freedom of establishment and the free provision of services, as referred to in Articles 49 and 56 TFEU" as well as being "in contrast with the principles of non-discrimination, equal treatment, and proportionality that govern the awarding of public contracts."</w:t>
      </w:r>
    </w:p>
    <w:p>
      <w:r>
        <w:t>In this sense, therefore, especially in order to ensure the possibility of participation in the tender also for small and medium enterprises in ATI, the Authority suggests to the Region and the contracting authority, in addition to reducing the duration of the assignments for the reasons mentioned above, also to reduce the breadth of the service areas. This is to avoid the pre-constitution of tender documents suitable for favoring the historical market incumbents, previous holders of the services.</w:t>
      </w:r>
    </w:p>
    <w:p>
      <w:r>
        <w:t>The Authority invites this Administration and this Agency to communicate within 45 days the initiatives it intends to undertake to ensure correct competitive dynamics in light of what has been represented.</w:t>
      </w:r>
    </w:p>
    <w:p>
      <w:r>
        <w:t>This opinion will be published in the bulletin referred to in Article 26 of Law No. 287/90.</w:t>
      </w:r>
    </w:p>
    <w:p>
      <w:r>
        <w:t>f.f. THE PRESIDENT</w:t>
      </w:r>
    </w:p>
    <w:p>
      <w:r>
        <w:t>Gabriella Muscolo</w:t>
      </w:r>
    </w:p>
    <w:p>
      <w:r>
        <w:t>20 BULLETIN NO. 35 OF SEPTEMBER 24, 2018</w:t>
      </w:r>
    </w:p>
    <w:p>
      <w:r>
        <w:t>AS1534 - MODALITIES FOR THE AWARD OF GUARANTEED SERVICES RELATED TO THE SUPPLY AND INSTALLATION OF A TELECOMMUNICATIONS SYSTEM FOR THE POLICE FORCES</w:t>
      </w:r>
    </w:p>
    <w:p>
      <w:r>
        <w:t>Rome, August 2, 2018</w:t>
      </w:r>
    </w:p>
    <w:p>
      <w:r>
        <w:t>Ministry of the Interior</w:t>
      </w:r>
    </w:p>
    <w:p>
      <w:r>
        <w:t>Department of Public Security</w:t>
      </w:r>
    </w:p>
    <w:p>
      <w:r>
        <w:t>With reference to the request for an opinion formulated by this Department, received by the Authority on July 3, 20181, regarding the modalities for the award of "guaranteed services" related to a contract for the "supply and installation of a fiber optic telecommunications system in Objective 1 regions aimed at enhancing the broadband transmission infrastructures of the Police Forces," the Authority, in its meeting on July 20, 2018, resolved to make the following considerations pursuant to Article 22 of Law No. 287 of October 10, 1990.</w:t>
      </w:r>
    </w:p>
    <w:p>
      <w:r>
        <w:t>The two issues subject to the request for an opinion are the possibility of dissociating the so-called guarantee service and the ownership of the infrastructural network, without prejudice to the quality level of the service provided and the security of the network itself, and the eventuality that the company owning the infrastructural network may legitimately exclude access to potential competitors in the maintenance/restoration of materials owned or otherwise available or under the responsibility of other subjects, public or private, or whether accessibility to the infrastructures can be predicated in compliance with predetermined safety standards even by companies that do not own them.</w:t>
      </w:r>
    </w:p>
    <w:p>
      <w:r>
        <w:t>It is noted that both the issue of the separation between ownership and management of the access network and the provision of services to the end user and that of the necessity to ensure non-discriminatory access to essential infrastructures have been the subject of numerous and repeated interventions by the Authority both in the context of repressing business conduct in violation of antitrust regulations and in the context of advisory activities.</w:t>
      </w:r>
    </w:p>
    <w:p>
      <w:r>
        <w:t>Regarding the first issue, already within the framework of the Inquiry on static and dynamic competition in the access services market and the investment prospects in broadband and ultra-broadband telecommunications networks2, published on November 8, 2014, and jointly conducted by this Authority and the Authority for Communications Guarantees, it was noted how the model of a pure wholesale network operator, not vertically integrated in the supply...</w:t>
      </w:r>
    </w:p>
    <w:p>
      <w:r>
        <w:t>1 Ref. Your Prot. No. 555/VCP/1157 of July 3, 2018.</w:t>
        <w:br/>
        <w:t>2 Text available on the Authority's website at &lt;www.agcm.it&gt;.</w:t>
      </w:r>
    </w:p>
    <w:p>
      <w:r>
        <w:rPr>
          <w:b/>
        </w:rPr>
        <w:t>[Pages 19–21]</w:t>
      </w:r>
    </w:p>
    <w:p>
      <w:r>
        <w:t>BULLETIN NO. 35 OF SEPTEMBER 24, 2018 21</w:t>
      </w:r>
    </w:p>
    <w:p>
      <w:r>
        <w:t>of services to final customers, which provides wholesale access services to telecommunications operators in a neutral manner, allows for the "structural" overcoming of vertical integration between ownership of the network, which constitutes an essential facility, and the provision of services that has historically characterized the fixed network sector even after liberalization.</w:t>
      </w:r>
    </w:p>
    <w:p>
      <w:r>
        <w:t>The ownership separation between "essential" network and services presents evident advantages from a competitive perspective, as it removes ab initio the incentives to engage in economically and technically discriminatory conduct by the network operator and thus constitutes the most solid basis for ensuring full compliance with the principle of equal treatment, fundamental for ensuring full competition in the provision of services to end users.</w:t>
      </w:r>
    </w:p>
    <w:p>
      <w:r>
        <w:t>Regarding the second aspect of the request for an opinion, the Authority notes that for the protection of the competitive process in the provision of services to end users, it is of fundamental importance that network operators who, as a result of the awarding procedures, are tasked with building new infrastructures, provide access services to their network on non-discriminatory terms. The importance of non-discrimination in access to ultra-broadband infrastructure and the relevance of vertical integration in this regard are widely recognized even in the Community Guidelines concerning the application of State aid rules in relation to the rapid development of networks and broadband (Commission Communication No. 235/04/2009). In this document, it is noted, in fact, that "if Member States opt for a management model in which the subsidized infrastructure offers only wholesale broadband services for the benefit of third parties, thus excluding retail services, the likely distortions of competition are further reduced as such a network management model avoids potentially complex issues of predatory pricing and covert forms of discrimination in access." The guidelines outlined above have also been reiterated in numerous other interventions by the Authority on the same topic of access to broadband services.</w:t>
      </w:r>
    </w:p>
    <w:p>
      <w:r>
        <w:t>Regarding maintenance of the network and access to the infrastructure owned by Telecom Italia, it is recalled that the Authority intervened against this operator for having established, together with the main operators active in maintenance, an agreement aimed, among other things, at hindering the implementation of the disaggregated provision of ancillary technical services within the I761 procedure – Market for ancillary technical services.</w:t>
      </w:r>
    </w:p>
    <w:p>
      <w:r>
        <w:t>Consequently, in light of the considerations made above, the Authority can only reiterate that, from a competitive standpoint, the best solution would consist of awarding the "guaranteed services," the subject of the request for an opinion, through a public procurement procedure, in compliance with the network security requirements, the assessment of which is entrusted to this administration.</w:t>
      </w:r>
    </w:p>
    <w:p>
      <w:r>
        <w:t>This administration is invited to communicate, within forty-five days from the receipt of this opinion, the determinations made in relation to the considerations outlined above.</w:t>
      </w:r>
    </w:p>
    <w:p>
      <w:r>
        <w:t>3 See inter alia the cases: AS1180 – Italian strategy for ultra-broadband (in Bulletin No. 10 of March 30, 2015); AS1264 – Markets for fixed network access services (in Bulletin No. 9 of March 29, 2016); AS1301 – Tender for the construction, maintenance, and management of passive ultra-broadband network infrastructure in white areas (in Bulletin No. 37 of October 24, 2016); AS1302 – Supplementary documentation for the tender for the construction, maintenance, and management of passive ultra-broadband network infrastructure in white areas (in Bulletin No. 37 of October 24, 2016); AS1461 – Tender scheme for the provision of integrated communication services on fixed and mobile networks for the Public Administrations of the Emilia-Romagna region (in Bulletin No. 51 of January 8, 2018).</w:t>
      </w:r>
    </w:p>
    <w:p>
      <w:r>
        <w:t>4 Case I761 – Market for ancillary technical services, concluded with provision No. 25784 of December 16, 2015 (in Bulletin No. 47 of December 28, 2015) and the recipient was Telecom Italia S.p.A.</w:t>
      </w:r>
    </w:p>
    <w:p>
      <w:r>
        <w:t>22 BULLETIN NO. 35 OF SEPTEMBER 24, 2018</w:t>
      </w:r>
    </w:p>
    <w:p>
      <w:r>
        <w:t>This opinion will be published in the bulletin referred to in Article 26 of Law No. 287/90. Any confidentiality requirements must be communicated to the Authority within ten days of receipt of the same, specifying the reasons.</w:t>
      </w:r>
    </w:p>
    <w:p>
      <w:r>
        <w:t>f.f. THE PRESIDENT</w:t>
      </w:r>
    </w:p>
    <w:p>
      <w:r>
        <w:t>Gabriella Muscolo</w:t>
      </w:r>
    </w:p>
    <w:p>
      <w:r>
        <w:t>BULLETIN NO. 35 OF SEPTEMBER 24, 2018 23</w:t>
      </w:r>
    </w:p>
    <w:p>
      <w:r>
        <w:t>UNFAIR TRADE PRACTICES</w:t>
      </w:r>
    </w:p>
    <w:p>
      <w:r>
        <w:t>PS11086 - LYONESS-CASHBACK</w:t>
      </w:r>
    </w:p>
    <w:p>
      <w:r>
        <w:t>Notice of initiation of investigation procedure</w:t>
      </w:r>
    </w:p>
    <w:p>
      <w:r>
        <w:t>ITALIAN COMPETITION AUTHORITY</w:t>
      </w:r>
    </w:p>
    <w:p>
      <w:r>
        <w:t>Notice of the initiation of the investigation, due to the high number of intervention requests received, pursuant to Article 6,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PS11086.</w:t>
      </w:r>
    </w:p>
    <w:p>
      <w:r>
        <w:t>I. THE PARTY</w:t>
      </w:r>
    </w:p>
    <w:p>
      <w:r>
        <w:t>1. The company LYONESS ITALIA S.R.L., VAT/Tax Code 03817520236, based in Italy, Verona (VR), in its capacity as a professional, pursuant to Article 18, letter b), of the Consumer Code, active in the sector of promoting the sale of products and services.</w:t>
      </w:r>
    </w:p>
    <w:p>
      <w:r>
        <w:t>II. THE COMMERCIAL PRACTICE</w:t>
      </w:r>
    </w:p>
    <w:p>
      <w:r>
        <w:t>2. The professional, in the exercise of its activity of promoting and disseminating a cashback system, would have engaged in an unfair commercial practice consisting of requesting a significant amount for access to the Multi Level Marketing it manages and other significant sums all presented as "advances" against future cashback earnings.</w:t>
      </w:r>
    </w:p>
    <w:p>
      <w:r>
        <w:t>3. The manner of presenting the sales scheme carried out by the Professional – and by the entities connected to it – appears potentially capable of providing an incomplete, opaque, and untruthful representation to the consumer who pays money to enter the System regarding: (i) the terms and conditions of the Program proposed to consumers, the actual nature of the commitments that the consumer undertakes by signing up for the Lyoness system; (ii) the real possibilities of making profits by adhering to the scheme proposed by the Professional; (iii) the legally required information.</w:t>
      </w:r>
    </w:p>
    <w:p>
      <w:r>
        <w:t>III. NOTICE</w:t>
      </w:r>
    </w:p>
    <w:p>
      <w:r>
        <w:t>4. Through this notice, interested parties who have submitted requests for intervention pursuant to Article 4 of the Regulation are informed that, with communication of July 20, 2018, Prot. No. 54969, an investigation procedure has been initiated against the Professional, aimed at ascertaining any violation of Articles 20, 21, paragraph 1, letters b) and c), 22, 23, paragraph 1, letter p), 49, paragraph 1, letters a), g), h), v) and 66-bis of the Consumer Code.</w:t>
      </w:r>
    </w:p>
    <w:p>
      <w:r>
        <w:t>5. It is also informed that interested parties have the right to intervene in the ongoing procedure by submitting a specific act, duly signed, containing the elements indicated in Article 10 of the Regulation.</w:t>
      </w:r>
    </w:p>
    <w:p>
      <w:r>
        <w:rPr>
          <w:b/>
        </w:rPr>
        <w:t>[Pages 22–23]</w:t>
      </w:r>
    </w:p>
    <w:p>
      <w:r>
        <w:t>BULLETIN NO. 35 OF SEPTEMBER 24, 2018</w:t>
      </w:r>
    </w:p>
    <w:p>
      <w:r>
        <w:t>6. For any communication addressed to the Authority regarding the procedure in question, please refer to Directorate A of the Directorate General for Consumer Protection and the reference PS11086.</w:t>
      </w:r>
    </w:p>
    <w:p>
      <w:r>
        <w:t>THE RESPONSIBLE OFFICER OF THE PROCEDURE</w:t>
      </w:r>
    </w:p>
    <w:p>
      <w:r>
        <w:t>Weekly Bulletin of the Competition Authority and the Market Year XXVIII - No. 35 - 2018</w:t>
      </w:r>
    </w:p>
    <w:p>
      <w:r>
        <w:t>Editorial Coordination Giulia Antenucci</w:t>
      </w:r>
    </w:p>
    <w:p>
      <w:r>
        <w:t>Editorial Staff Sandro Cini, Valerio Ruocco, Simonetta Schettini, Manuela Villani</w:t>
      </w:r>
    </w:p>
    <w:p>
      <w:r>
        <w:t>Italian Competition Authority</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