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https://www.agcm.it/dotcmsdoc/bollettini/2021/35-21.pdf</w:t>
      </w:r>
    </w:p>
    <w:p>
      <w:r>
        <w:t>Pages translated : 30</w:t>
      </w:r>
    </w:p>
    <w:p/>
    <w:p>
      <w:r>
        <w:rPr>
          <w:b/>
        </w:rPr>
        <w:t>[Pages 1–3]</w:t>
      </w:r>
    </w:p>
    <w:p>
      <w:r>
        <w:t>Bulletin</w:t>
        <w:br/>
        <w:t>Weekly</w:t>
        <w:br/>
        <w:t>Year XXXI - No. 35</w:t>
        <w:br/>
        <w:t>Published on the website www.agcm.it</w:t>
        <w:br/>
        <w:t>September 6, 2021</w:t>
      </w:r>
    </w:p>
    <w:p>
      <w:r>
        <w:t>SUMMARY</w:t>
        <w:br/>
        <w:t>CONCENTRATION OPERATIONS 5</w:t>
        <w:br/>
        <w:t>C12373 - NEXI/SIA</w:t>
        <w:br/>
        <w:t>Decision No. 29806 5</w:t>
        <w:br/>
        <w:t>UNFAIR COMMERCIAL PRACTICES 21</w:t>
        <w:br/>
        <w:t>IP342 - SEO MARKETING</w:t>
        <w:br/>
        <w:t>Notice of communication of the conclusion of the investigative phase and extension of the procedure deadline 21</w:t>
        <w:br/>
        <w:t>IP343 – MULPOR-INTERNATIONAL FAIRS DIRECTORY</w:t>
        <w:br/>
        <w:t>Notice of communication of the conclusion of the investigative phase and extension of the procedure deadline 27</w:t>
      </w:r>
    </w:p>
    <w:p>
      <w:r>
        <w:t>BULLETIN NO. 35 OF SEPTEMBER 6, 2021 5</w:t>
        <w:br/>
        <w:t>CONCENTRATION OPERATIONS</w:t>
        <w:br/>
        <w:t>C12373 - NEXI/SIA</w:t>
        <w:br/>
        <w:t>Decision No. 29806</w:t>
        <w:br/>
        <w:t>THE COMPETITION AND MARKET AUTHORITY</w:t>
        <w:br/>
        <w:t>IN ITS MEETING of August 31, 2021;</w:t>
        <w:br/>
        <w:t>HEARD the Rapporteur, President Roberto Rustichelli;</w:t>
        <w:br/>
        <w:t>HAVING REGARD TO Regulation (EC) No. 139/2004;</w:t>
        <w:br/>
        <w:t>HAVING REGARD TO Law No. 287 of October 10, 1990;</w:t>
        <w:br/>
        <w:t>HAVING REGARD TO Presidential Decree No. 217 of April 30, 1998;</w:t>
        <w:br/>
        <w:t>HAVING REGARD TO the communication from Nexi S.p.A. and SIA S.p.A., received on May 12, 2021;</w:t>
        <w:br/>
        <w:t>HAVING REGARD TO the request for information sent on June 9, 2021, with consequent interruption of the deadlines pursuant to Article 5, paragraph 3, of Presidential Decree No. 217 of April 30, 1998;</w:t>
        <w:br/>
        <w:t>HAVING REGARD TO the subsequent communication from Nexi S.p.A. and SIA S.p.A. received on August 6, 2021, supplemented on August 30, 2021;</w:t>
        <w:br/>
        <w:t>HAVING REGARD TO the documentation on file;</w:t>
        <w:br/>
        <w:t>CONSIDERING the following:</w:t>
        <w:br/>
        <w:t>I. THE PARTIES</w:t>
        <w:br/>
        <w:t>1. Nexi S.p.A. (hereinafter, "Nexi") is the Italian holding company of the eponymous group active, primarily in Italy, in the payment services sector and, in particular, in the activities of Merchant Services &amp; Solutions, Cards &amp; Digital Payments, and Digital Banking Solutions. Nexi is listed on the Italian electronic stock market of Borsa Italiana. It is currently indirectly subject to joint control by the funds Advent International Corporation (hereinafter, "Advent") and Bain Capital Investors L.L.C. (hereinafter, "Bain") through the vehicle Mercury UK HoldCo (hereinafter, "Mercury"), which holds 19.6% of the share capital. In 2020, the revenue generated by Nexi, almost entirely in Italy, was approximately [1-2] billion euros*.</w:t>
        <w:br/>
        <w:t xml:space="preserve">2. SIA S.p.A. (hereinafter, "SIA") is an Italian company at the head of the eponymous group active worldwide in the design, implementation, and management of technological infrastructures and services for financial institutions, central banks, companies, and public entities, as well as in services. </w:t>
        <w:br/>
        <w:t>1 See the decision of the European Commission of September 16, 2015 in case COMP/M.7711 – Advent International/Bain Capital/ICBPI.</w:t>
        <w:br/>
        <w:t>* In this version, some data and/or information have been omitted for confidentiality reasons.</w:t>
      </w:r>
    </w:p>
    <w:p>
      <w:r>
        <w:rPr>
          <w:b/>
        </w:rPr>
        <w:t>[Pages 4–6]</w:t>
      </w:r>
    </w:p>
    <w:p>
      <w:r>
        <w:t>6 BULLETIN NO. 35 OF SEPTEMBER 6, 2021</w:t>
      </w:r>
    </w:p>
    <w:p>
      <w:r>
        <w:t>of payment. In particular, SIA operates through three lines of business, namely, Card &amp; Merchant Solutions, Digital Payment Solutions, and Capital Market &amp; Network Solutions. It is under the joint control of Cassa Depositi e Prestiti – CDP S.p.A. (through CDP Equity S.p.A.) and Poste Italiane S.p.A., which jointly control FSIA Investimenti S.r.l., the majority shareholder of the company. In 2020, SIA generated total revenue of approximately [700-1,000] million euros, of which approximately [511-700] million euros were generated in Italy.</w:t>
      </w:r>
    </w:p>
    <w:p>
      <w:r>
        <w:t>II. DESCRIPTION OF THE TRANSACTION</w:t>
      </w:r>
    </w:p>
    <w:p>
      <w:r>
        <w:t>3. The transaction consists of the merger by incorporation of SIA into Nexi. As a result of the transaction, the share capital of the post-merger entity will be held, for the non-floating part, by the following entities: CDP Equity S.p.A./ FSIA Investimenti S.r.l. (for a share of approximately [omitted]), Mercury UK HoldCo (for [omitted]), AB Europe Luxembourg Investment S.à.r.l. (for a share of approximately [omitted]), Eagle AIBC &amp; Cy S.C.A. (for a share of approximately [omitted]), Hellman &amp; Friedman LC (for a share of approximately [omitted]), Intesa Sanpaolo S.p.A. (for a share of approximately [omitted]).</w:t>
      </w:r>
    </w:p>
    <w:p>
      <w:r>
        <w:t>4. Concurrently with the transaction, CDP Equity S.p.A., FSIA Investimenti S.r.l., Mercury UK HoldCo, AB Europe Luxembourg Investment S.à.r.l., Eagle AIBC &amp; Cy S.C.A., and Hellman &amp; Friedman LC have signed a Shareholders' Agreement aimed at regulating certain aspects of the governance of the post-merger entity. The Parties assume that, as a result of the transaction, there will be no shareholder who, alone or jointly with other shareholders, will have the ability to exercise control over the entity resulting from the transaction. In this sense, some provisions of the Shareholders' Agreement would support this, particularly those that provide that: i. the Board of Directors shall consist of [10-15] members appointed according to the provisions of the same Agreement, such that no shareholder is able to appoint the majority of the Directors; ii. the Board of Directors makes its resolutions by a majority of those present, with the presence of the majority of the Directors being necessary; iii. finally, no shareholder is granted veto rights on matters relevant from an antitrust perspective.</w:t>
      </w:r>
    </w:p>
    <w:p>
      <w:r>
        <w:t>5. That said, at this stage, it does not appear possible to exclude that there may be control, even de facto, over the post-merger entity, considering the distribution of share capital among the shareholders and the mechanism for appointing the Board of Directors. This point will be the subject of further investigation, remaining understood that, even where, for example,</w:t>
      </w:r>
    </w:p>
    <w:p>
      <w:r>
        <w:t>2 In particular, FSIA Investimenti S.r.l. is controlled by CDP Equity S.p.A. (which holds 70% of the capital) and Poste Italiane S.p.A. (which holds the remaining 30%) based on a shareholders' agreement between these two companies which, consequently, means that CDP S.p.A. and Poste Italiane S.p.A. jointly control SIA as well (see the decision of the AGCM of January 11, 2017 - C12073 - Poste Italiane-FSII Investimenti-F2I Reti Logistiche/SIA).</w:t>
      </w:r>
    </w:p>
    <w:p>
      <w:r>
        <w:t>3 In particular, based on the Shareholders' Agreement, as communicated by the Parties on August 30, 2021, the Directors should be appointed as follows: CDP Equity S.p.A./FSIA Investimenti S.r.l. may appoint [5-10], Mercury UK HoldCo together with AB Europe Luxembourg Investment S.à.r.l. and Eagle AIBC &amp; Cy S.C.A. (companies that are all ultimately controlled by the Advent and Bain funds) may appoint [1-5], Hellman &amp; Friedman LC may appoint [1-5], minority shareholders may appoint [1-5], and finally, one seat will be reserved for the Chief Executive Officer who will be appointed [omitted].</w:t>
      </w:r>
    </w:p>
    <w:p>
      <w:r>
        <w:t>BULLETIN NO. 35 OF SEPTEMBER 6, 2021 7</w:t>
      </w:r>
    </w:p>
    <w:p>
      <w:r>
        <w:t>should control by CDP over the post-merger entity emerge, such circumstance does not appear suitable to affect the assessments regarding jurisdiction, as the conditions of Article 1 of EC Regulation No. 139/04 would not be met; nor does it appear relevant from a substantive point of view, given that neither CDP nor the companies it controls operate in the markets affected by the transaction.</w:t>
      </w:r>
    </w:p>
    <w:p>
      <w:r>
        <w:t>III. QUALIFICATION OF THE TRANSACTION</w:t>
      </w:r>
    </w:p>
    <w:p>
      <w:r>
        <w:t>6. The notified transaction, as it involves the merger between two companies, constitutes a concentration pursuant to Article 5, paragraph 1, letter a), of Law No. 287/90. It falls within the scope of application of Law No. 287/90, as the conditions of Article 1 of EC Regulation No. 139/04 are not met, and is subject to the obligation of prior notification provided for by Article 16, paragraph 1, of the same law, as the total revenue, calculated pursuant to Article 16, paragraph 1, of Law No. 287/90, generated in the last financial year at the national level by the group of companies involved was over 511 million euros, and the revenue generated individually, at the national level, by at least two of them is over 31 million euros.</w:t>
      </w:r>
    </w:p>
    <w:p>
      <w:r>
        <w:t>IV. ASSESSMENT OF THE TRANSACTION</w:t>
      </w:r>
    </w:p>
    <w:p>
      <w:r>
        <w:t>7. Due to the activities carried out by the Parties, the transaction involves numerous services that are offered within the value chain of payment services, fitting into different levels of it and involving different operators, both from the demand side and from the supply side. In particular, it is noted from the outset that, by its nature, the payment services sector is characterized by a complex and heterogeneous supply chain, articulated in the offering of services that are often vertically integrated and in which operators can offer a single service or, as in the case of the Parties to this transaction, many services, even jointly.</w:t>
      </w:r>
    </w:p>
    <w:p>
      <w:r>
        <w:t>8. Furthermore, alongside the services more typically dedicated to the payment phase, there are other related and functional activities, such as the technical processing of the transaction, the management of the network through which the data transit, retail payment clearing services, the provision of hardware and software services, and the management of ATMs. The combination of these services allows for the payment to take place (or for the withdrawal to be made) and ensures the general functioning of the system.</w:t>
      </w:r>
    </w:p>
    <w:p>
      <w:r>
        <w:t>9. Specifically, this transaction concerns merchant acquiring services, processing, issuance of payment cards, retail payment clearing services, transmission of interbank data, as well as services for the provision and maintenance of ATMs.</w:t>
      </w:r>
    </w:p>
    <w:p>
      <w:r>
        <w:t>a) Merchant acquiring services</w:t>
      </w:r>
    </w:p>
    <w:p>
      <w:r>
        <w:t>10. Merchant acquiring services consist of a series of activities aimed at enabling merchants to accept payments by card, both at traditional points of sale and online, and to ensure the subsequent receipt of the money related to such transactions. These services include: i) the marketing of necessary and ancillary products and services for the acceptance of online payments, in order to allow merchants to accept as many payment methods as possible; ii) the contracting of merchants and the provision of the technical infrastructure (hardware/software – POS terminals) for the acceptance of payments and the acquisition of transaction data; iii) the maintenance and management of the relationship with the merchant; iv) the verification of the merchant's suitability to join the payment circuit and the management of the relationship with the circuits themselves; v) the performance of any activities necessary to clear and settle the transfer of money (a) to the issuer that issued the payment card to the consumer, (b) to the payment circuit through whose network the transaction was directed, and (c) to the merchant with reference to the executed transaction, net of the various fees due to the merchant acquirer; and vi) the provision of other miscellaneous and/or ancillary services related to merchant acquiring.</w:t>
      </w:r>
    </w:p>
    <w:p>
      <w:r>
        <w:t>11. The listed services are provided to merchants by banks or Payment Service Providers - PSPs; banks, in turn, may self-produce these services or purchase them wholesale from PSPs.</w:t>
      </w:r>
    </w:p>
    <w:p>
      <w:r>
        <w:t>12. In its decision-making practice, the Authority has considered that the activities of contracting merchants, managing relationships with payment circuits, negotiating and managing the fees charged to the merchant (merchant fee), installing and managing POS, managing fraud, and, in general, customer service activities all fall within a single relevant product market, defined as the acquiring market. From a geographical perspective, it is characterized by a national dimension.</w:t>
      </w:r>
    </w:p>
    <w:p>
      <w:r>
        <w:t>13. Recently, the European Commission, partly modifying its own practice, has first identified three distinct markets within the sector, namely: the wholesale merchant acquiring market, the retail merchant acquiring market, and the POS services provision market. From a geographical perspective, it has observed a trend towards a broader definition of geographical boundaries, without, however, arriving at a univocal definition in this regard.</w:t>
      </w:r>
    </w:p>
    <w:p>
      <w:r>
        <w:t>14. In line with this more recent practice of the Commission, in the Form, the Parties propose a market definition for the services in question that differs from national practice; in particular, regarding the product market, they assume that within merchant acquiring three distinct markets should be identified: i) wholesale merchant acquiring, which would identify only the wholesale level, where banks purchase services from PSPs to then resell them to merchants; ii) retail merchant acquiring, which identifies the retail sales level of services, directly to merchants, either by banks or directly by PSPs; iii) provision of POS and related services.</w:t>
      </w:r>
    </w:p>
    <w:p>
      <w:r>
        <w:t>15. Regarding its geographical dimension, the Parties assume that the market should be extended to the borders of the EU, due to the absence of significant barriers and the regulatory framework that would facilitate the offering of cross-border acquiring services.</w:t>
      </w:r>
    </w:p>
    <w:p>
      <w:r>
        <w:t>16. That said, at this stage, based on the information provided by the Parties and the definition previously adopted by the Authority, following the transaction the post-merger entity would have a share of [45-50%] in the provision of merchant acquiring services in Italy, resulting from the sum of Nexi's share of [45-50%] and SIA's share [less than 1%]. According to the Parties, the share should remain unchanged if the provision of POS is also included in the market. Instead, the post-</w:t>
      </w:r>
    </w:p>
    <w:p>
      <w:r>
        <w:rPr>
          <w:b/>
        </w:rPr>
        <w:t>[Pages 7–9]</w:t>
      </w:r>
    </w:p>
    <w:p>
      <w:r>
        <w:t>BULLETIN NO. 35 OF SEPTEMBER 6, 2021 9</w:t>
      </w:r>
    </w:p>
    <w:p>
      <w:r>
        <w:t>the merger would hold [45-50%] in the sole provision of POS in Italy, with Nexi holding [35-40%] and SIA holding [5-10%]. In the market, there are also other operators whose shares, however, appear significantly lower than those of the Parties; in fact, the main competitors, namely Unicredit S.p.A., ICCREA, and Banca Sella S.p.A., according to the Parties' estimates, hold shares of [5-10%], [5-10%], and [5-10%], respectively.</w:t>
      </w:r>
    </w:p>
    <w:p>
      <w:r>
        <w:t>17. Considering the above, it is believed that the transaction in question could lead to restrictive effects on competition in the provision of merchant acquiring services, with the establishment or strengthening of a position characterized by significant market power for the post-merger entity. Furthermore, based on the available information, it emerges that acquiring services are vertically integrated with processing services, which constitute the main input for the former, and that such services are sometimes purchased jointly by the end customers, represented by banking institutions; in this sense, also considering that, as will be discussed below, following the transaction the post-merger entity appears to acquire a significant market position in processing services as well, it is believed that the transaction in question could also lead to vertical and conglomerate effects. However, these effects will be further examined in light of the most recent community practice and the arguments provided by the Parties regarding the correct definition of the relevant market and the consequential market shares.</w:t>
      </w:r>
    </w:p>
    <w:p>
      <w:r>
        <w:t>b) Processing services</w:t>
      </w:r>
    </w:p>
    <w:p>
      <w:r>
        <w:t>18. In the context of payment card transactions, the processing activity consists of a series of operations that the processor performs for the benefit of banks or other companies that issue payment cards (issuing processing) or that contract with merchants (acquiring processing). Processing is divided into two activities: i) acquiring processing, which includes the activities necessary for the technical processing and routing of a transaction on the merchant side, and includes, among other things, the acquisition and management of contracts with merchants, the management of POS, transactions, clearing, and settlement, as well as the production and shipment of merchant statements and the charging of fees; in this sense, from the information on file, it emerges that processing services constitute an important input for merchant acquiring services, as well as the main cost incurred by banks to offer such merchant acquiring services to merchants; ii) issuing processing, which consists of the technical processing and routing activities of a transaction on the cardholder side, and includes, among other things, the management of data, authorizations, and accounting positions of cardholders, as well as the management of card blocking and security parameters.</w:t>
      </w:r>
    </w:p>
    <w:p>
      <w:r>
        <w:t>19. Processing services are offered by the processor to merchant acquirers, and thus to banks, often jointly with both merchant acquiring services, in cases where banks do not produce the acquiring service in-house but purchase it from third parties, and with POS services. They may also be provided to banks jointly with card issuance and personalization services.</w:t>
      </w:r>
    </w:p>
    <w:p>
      <w:r>
        <w:t>20. In its decision-making practice, from a product perspective, the Authority has defined processing services as distinct in two relevant markets: i) processing of national debit cards and ii) processing of international payment cards; the latter could, moreover, be further segmented depending on whether the processing concerns debit or credit cards. From a geographical perspective, in the past, the Authority has defined this market as national in size, noting, however, that in previous years there had been some regulatory changes, including the so-called MIF Regulation, which appeared to indicate a homogenization and extension of the operational area beyond national borders, outlining a European processing market.</w:t>
      </w:r>
    </w:p>
    <w:p>
      <w:r>
        <w:t>21. In the Form, the Parties, referring to some precedents of the Commission, propose a different definition of the relevant market. In particular, with regard to the product market, the Parties believe that processing services should be articulated into two distinct relevant markets: i) acquiring processing and ii) issuing processing, without the need for further segmentation depending on the type of payment card or transaction; these services, in fact, would differ in content, price, regulatory framework, competitive landscape, and clientele.</w:t>
      </w:r>
    </w:p>
    <w:p>
      <w:r>
        <w:t>22. With regard to the geographical dimension of the market, the Parties, in line with some precedents of the European Commission, believe that acquiring processing should have a dimension equal to the area of the EU. Similarly, due to the technical and supply analogies with acquiring processing activities, the Parties believe that the issuing processing market should also have a dimension equal to the EU.</w:t>
      </w:r>
    </w:p>
    <w:p>
      <w:r>
        <w:t>23. Currently, based on the information provided by the Parties regarding the market definition adopted by the Authority, in Italy, in the processing of national debit cards, Nexi holds a share of [20-25%], while SIA holds a share of [40-45%], with the consequence that the transaction would lead the post-merger entity to hold a share of [65-70%] in Italy. Similarly, in the Italian market for processing international credit cards, Nexi holds a share of [20-25%], while SIA holds a share of [45-50%], and therefore, following the transaction, the post-merger entity would hold a share of [70-75%].</w:t>
      </w:r>
    </w:p>
    <w:p>
      <w:r>
        <w:t>24. Based on the above, considering the significant horizontal overlaps, but also the vertical and conglomerate integrations given the presence of both Parties in the provision of processing services as well as in the provision of merchant acquiring services and in the provision of card issuance and personalization services, the transaction could raise competitive concerns in the Italian markets for processing national debit cards and processing international payment cards; however, these concerns will be assessed during the investigation also considering the most recent community practice and the arguments proposed by the Parties regarding the definition of the relevant market.</w:t>
      </w:r>
    </w:p>
    <w:p>
      <w:r>
        <w:t>c) Payment card issuance services</w:t>
      </w:r>
    </w:p>
    <w:p>
      <w:r>
        <w:t>25. The activity of issuing payment cards (so-called card issuing) consists of a set of services aimed at providing payment cards (debit, credit, or prepaid) to end customers who are typically represented by consumers.</w:t>
      </w:r>
    </w:p>
    <w:p>
      <w:r>
        <w:t>26. In particular, the activity of issuing cards mainly includes offering the card to the end customer (who becomes the cardholder), defining the characteristics of the card and the related economic conditions (amount of the annual fee, fees for cash advance service, statement sending fees, and other fees), credit assessment of the customer (i.e., whether the individual is creditworthy), contracting with the customer, managing relationships with networks, customer service and marketing activities, and managing credit risk and fraud.</w:t>
      </w:r>
    </w:p>
    <w:p>
      <w:r>
        <w:t>27. In the past, the Authority's practice has noted that the set of these activities falls within the card issuance sector, which in turn was distinguished depending on whether it concerned credit cards or debit cards; therefore, in the Authority's precedents, two distinct product markets were identified: one relating to credit card issuance services and the other relating to debit card issuance services.</w:t>
      </w:r>
    </w:p>
    <w:p>
      <w:r>
        <w:t>28. From a geographical perspective, however, in the past, the market size has been identified within national borders, as the issuance conditions appeared sufficiently uniform within the same country; conversely, differences in the conduct of activities have been noted among various European countries, at the level of active operators, methods of using national licenses, and economic conditions, such as to exclude that the relevant product markets had a geographical scope broader than the national one.</w:t>
      </w:r>
    </w:p>
    <w:p>
      <w:r>
        <w:t>29. In the Form, the Parties have suggested a different definition of the market, both for the product dimension and for the geographical dimension. From a product perspective, according to the Parties, there would be a single market, which would encompass all types of cards; in particular, there would be a high degree of substitutability among payment cards from the supply side, since: i) most issuers would have licenses to issue multiple types of payment cards active on different payment circuits, both at the national and EU level; ii) most operators would provide issuing services for both credit and debit cards, as well as for most major card brands, with limited differences in price and contractual conditions; iii) there would be significant fungibility from the demand side, as cardholders generally hold multiple payment cards, which can be used interchangeably for making payments, as most cards have similar functionalities; and finally, iv) payment cards are widely accepted and can generally be used at any POS terminal or for any online payment.</w:t>
      </w:r>
    </w:p>
    <w:p>
      <w:r>
        <w:rPr>
          <w:b/>
        </w:rPr>
        <w:t>[Pages 10–12]</w:t>
      </w:r>
    </w:p>
    <w:p>
      <w:r>
        <w:t>BULLETIN NO. 35 OF SEPTEMBER 6, 2021</w:t>
      </w:r>
    </w:p>
    <w:p>
      <w:r>
        <w:t>30. From a geographical perspective, the Parties assume that the market has a size at least corresponding to the EU.</w:t>
      </w:r>
    </w:p>
    <w:p>
      <w:r>
        <w:t>31. That said, based on the information provided by the Parties, it appears that, in the Italian market for credit card issuance services, as defined in the Authority's practice, Nexi has a market share of [20-25%], while SIA's share is below 1%; the Parties, however, are not active in the Italian market for debit card issuance services. Furthermore, in these markets, there are numerous and qualified competitors such as Intesa Sanpaolo S.p.A. (which has a share of [10-15%]), Unicredit S.p.A., and American Express (both with a share of [5-10%]). If, on the other hand, the thesis suggested by the Parties regarding the geographical and product definition of the market were accepted, the post-merger share would be significantly lower, at [1-5%] in the Italian market for payment card issuance services and below 1% in the corresponding European market.</w:t>
      </w:r>
    </w:p>
    <w:p>
      <w:r>
        <w:t>32. It follows that regardless of the market definition one wishes to adhere to, the transaction does not appear capable of raising horizontal competitive concerns considering the market share that the post-merger entity would have in the various configured markets, the marginal presence of SIA, and thus the increase that in any case would be below 1%, as well as the simultaneous presence of numerous and qualified competitors. Instead, given the nature of the markets in question, characterized by significant elements of vertical and conglomerate integration, particularly considering the profiles of vertical integration between issuing processing and card issuing activities, to the extent that issuing banks and PSPs require issuing processing services to offer card issuing services to cardholders, and given that the Parties are active both in processing activities, with a significant market share, and in card issuance activities, it cannot currently be excluded that the transaction may be capable of producing vertical or conglomerate effects that are also relevant for the provision of card issuing services, which will therefore be subject to further investigation.</w:t>
      </w:r>
    </w:p>
    <w:p>
      <w:r>
        <w:t>d) Production and personalization services for smart payment cards</w:t>
      </w:r>
    </w:p>
    <w:p>
      <w:r>
        <w:t>33. Smart payment cards are payment instruments with embedded microprocessors that store and protect card data and ensure advanced security standards, not available with traditional magnetic stripe cards due to the chip they incorporate. They are purchased by banks so that they can be placed with end consumers.</w:t>
      </w:r>
    </w:p>
    <w:p>
      <w:r>
        <w:t>34. In the production of smart payment cards, two phases can be identified: the first concerns the manufacturing of the card itself, i.e., the plastic and the chip (non-personalized card); the second concerns the personalization of the card, which consists of adding the cardholder's details both on the card (name, card number, expiration date) and within the chip (name, account number, PIN, and account details), as well as the shipping of the card and PIN directly to the cardholder or the issuing bank. The Parties are active only in the personalization of cards. Furthermore, as highlighted by the Parties themselves, the provision of smart payment cards constitutes an input for card issuing services, in which both companies are active.</w:t>
      </w:r>
    </w:p>
    <w:p>
      <w:r>
        <w:t>35. The production and personalization services for smart payment cards have not yet been the subject of a precise analysis and definition by the Authority; instead, they have been addressed by the European Commission, which has, in the first instance, considered that there is a difference between the provision of payment cards compared to the provision of other types of cards (for example, SIM cards); regarding other possible segmentations, the Commission has left the definition of the product market open. Only in its most recent practice has the Commission, while not arriving at a precise definition of the markets, emphasized the presence of some elements in favor of a distinction between the production and provision of non-personalized cards and the provision of personalized cards, highlighting that: a) most buyers purchase the two services from different suppliers; b) buyers base their choices regarding the card supplier on different criteria depending on whether they are dealing with personalized or non-personalized cards; c) different entities offer only one of the two services, namely the provision of personalized cards, and they have encountered many difficulties in producing non-personalized cards.</w:t>
      </w:r>
    </w:p>
    <w:p>
      <w:r>
        <w:t>36. As for the geographical dimension, the Commission has not indicated whether it should be national or extend to the borders of the EU.</w:t>
      </w:r>
    </w:p>
    <w:p>
      <w:r>
        <w:t>37. On this point, the Parties believe that there is a single market for the production and personalization of smart cards, which includes both personalized and non-personalized cards, and that, also due to recent developments in the market, it should have a supranational geographical dimension.</w:t>
      </w:r>
    </w:p>
    <w:p>
      <w:r>
        <w:t>38. Based on the information provided by the Parties, the post-merger entity would hold a share in the overall market for the provision of smart payment cards (which includes the provision of smart cards and the personalization service) of approximately [5-10%], when considering the supranational dimension, and [35-40%], when considering the national dimension (volume data). However, this latter figure would also include in-house provision, and thus – in the opinion of the Parties – would be overestimated. The Parties have also provided market shares (in volume) regarding the provision of the personalization service alone: when considering a supranational market dimension, Nexi holds a share of [1-5%], SIA [1-5%], and Nets [below 1%], with a combined share of approximately [5-10%]; when considering a national dimension, Nexi holds a share of [25-30%], SIA [10-15%], with a post-merger share of [35-40%]. In the Italian market, there are several other specialized operators, also active at the supranational level, such as Thales, with a share of [15-20%], ST Incard, with a share of [10-15%], and IDEMIA, with a share of [5-10%].</w:t>
      </w:r>
    </w:p>
    <w:p>
      <w:r>
        <w:t>39. Based on the information currently available, given the market share of the Parties at the national level in the provision of smart payment cards and, more specifically, in the provision of the personalization service alone, and given the nature of the markets in question, characterized by significant elements of vertical and conglomerate integration, especially with the card issuance market, in which both Parties are present, it is believed that the transaction may raise competitive concerns in the national market for the provision of smart payment cards; these concerns will be assessed during the investigation also in light of the arguments proposed by the Parties both in relation to the product and geographical definition of the relevant market, and in relation to the activity they perform.</w:t>
      </w:r>
    </w:p>
    <w:p>
      <w:r>
        <w:t>e) Retail payment clearing services</w:t>
      </w:r>
    </w:p>
    <w:p>
      <w:r>
        <w:t>40. Retail payment clearing services consist of managing the exchange of accounting and financial information between credit institutions aimed at the accounting settlement of individual transactions, and include the transmission, reconciliation, and confirmation of fund transfer orders between bank accounts before settlement. In other words, these are the services through which banks exchange accounting data related to their clients (for example, debit and credit data) in order to settle their reciprocal positions.</w:t>
      </w:r>
    </w:p>
    <w:p>
      <w:r>
        <w:t>41. Clearing services have been partially influenced by some regulatory changes that have occurred at the European level. In particular, following the introduction of the Single Euro Payments Area - SEPA, which established a harmonized legal framework for transfers and direct debits throughout the EU, some purely national instruments have been replaced by European instruments, such as SEPA-SCT transfers, SEPA-SDD direct debits, and SEPA-SCT instant transfers, also influencing the related clearing services. Some non-SEPA payments remain at the national level, for which specific clearing services remain in force, namely: payments by Notice – MAV, Collection by Notice – RAV, Bank Receipt – Ri.Ba., and electronic checks.</w:t>
      </w:r>
    </w:p>
    <w:p>
      <w:r>
        <w:t>42. Clearing services, where they are not subject to bilateral clearing agreements, which are however rarely used, are offered in a centralized manner through clearing houses, i.e., multilateral platforms that operate in compliance with standards set by the European Payments Council and are subject to the supervision of the central banking authority of the country in which they are based. Both Nexi and SIA operate as clearing houses.</w:t>
      </w:r>
    </w:p>
    <w:p>
      <w:r>
        <w:t>43. In its latest precedents, the Authority, while highlighting that there has been a substantial change in competitive arrangements following the entry into force of SEPA regulations and that non-SEPA products now represent a minority part of the total retail payments among Italian banks, has nonetheless distinguished between the market for clearing services for SEPA products and that for clearing services for non-SEPA products. Regarding the geographical dimension, the Authority has considered that while the market for clearing SEPA products has a European dimension, the market for clearing non-SEPA products has a national dimension, due to some peculiarities in the offering of such services.</w:t>
      </w:r>
    </w:p>
    <w:p>
      <w:r>
        <w:t>44. The Parties agree that, given the lack of full substitutability from the demand side, the distinction between clearing SEPA and non-SEPA payments could theoretically be relevant but, from a geographical perspective, they believe that both markets have a European dimension, given the absence of barriers to entry.</w:t>
      </w:r>
    </w:p>
    <w:p>
      <w:r>
        <w:t>45. That said, it should be noted that, based on the information present in the Form, in the European market for the provision of SEPA payment clearing services, the Parties each hold a market share of less than 1%. Furthermore, in this market, there are numerous and qualified competing clearing houses such as EBA Clearing, equensWorldline, SIX Interbank Clearing, STET, all belonging to multinational groups and active in various EU countries. Therefore, it is not considered</w:t>
      </w:r>
    </w:p>
    <w:p>
      <w:r>
        <w:rPr>
          <w:b/>
        </w:rPr>
        <w:t>[Pages 13–15]</w:t>
      </w:r>
    </w:p>
    <w:p>
      <w:r>
        <w:t>BULLETIN NO. 35 OF SEPTEMBER 6, 2021 15</w:t>
      </w:r>
    </w:p>
    <w:p>
      <w:r>
        <w:t>that the transaction is likely to have adverse effects on competitive dynamics in this market.</w:t>
      </w:r>
    </w:p>
    <w:p>
      <w:r>
        <w:t>46. As for the Italian market for the provision of non-SEPA payment clearing services, it emerges that such services are currently offered by three domestic clearing houses, namely Nexi, SIA, and ICCREA, and are provided in accordance with the standards established by SITRAD (Interbank System for Data Transmission). In this context, it is noted that, based on the data provided by the Parties, following the transaction, they would have an aggregate market share of [90-95%], with Nexi holding [40-45%] and SIA holding [45-50%].</w:t>
      </w:r>
    </w:p>
    <w:p>
      <w:r>
        <w:t>47. With specific regard to market shares, the Parties argue that there would be an overestimation of their market position as the indicated shares do not take into account the following circumstances: (i) Nexi would not own the necessary technological infrastructure for the service, relying on equensWorldline; (ii) there would be no regulatory or technical barriers; (iii) equensWorldline is expected to enter the market directly soon; and (iv) there are other competitors, such as ICCREA, which could easily serve the market.</w:t>
      </w:r>
    </w:p>
    <w:p>
      <w:r>
        <w:t>48. In light of the above considerations, it is believed that the transaction could raise competitive concerns in the national market for the provision of clearing services for non-SEPA payments in terms of horizontal overlaps, as well as in terms of vertical and conglomerate effects, considering SIA's position in network services, which will be discussed later, as these constitute a necessary element for the provision of clearing services, and considering that clearing services are often offered in conjunction with those of merchant acquiring, processing, and network services. Such concerns will be assessed during the investigation, also considering the arguments proposed by the Parties regarding the definition of the market, as well as in relation to their position in the provision of the service. On the other hand, the transaction does not appear likely to raise concerns in the European market for the provision of clearing services for SEPA payments.</w:t>
      </w:r>
    </w:p>
    <w:p>
      <w:r>
        <w:t>f) Interbank data transmission services</w:t>
      </w:r>
    </w:p>
    <w:p>
      <w:r>
        <w:t>49. Network services enable the transmission of interbank data for various purposes, including payment clearing, debit card payment authorizations, and statement processing, and can be distinguished into physical network services (so-called connectivity services, typically provided by telecommunications companies) and logical network services; the latter, offered by industry operators such as SIA itself, consist of the activities of transporting payment instructions through hardware and software solutions aimed at ensuring the transmission of data between banks, processors, Application Centers, and payment circuits, ensuring that they circulate on the network without the risk of being lost, duplicated, intercepted, or manipulated.</w:t>
      </w:r>
    </w:p>
    <w:p>
      <w:r>
        <w:t>50. SIA is directly active in offering logical network services (for both SEPA and non-SEPA payments, and for domestic debit cards) and physical network services, but mainly in the trading &amp; post-trading area; Nexi, on the other hand, is not active in such services, sometimes limiting itself to offering SIA's logical network services or those of other operators as part of its clearing service offering to requesting banks.</w:t>
      </w:r>
    </w:p>
    <w:p>
      <w:r>
        <w:t>51. In its practice, the Authority has analyzed the activity of providing network services and, from a product perspective, has distinguished the market for physical network services from that for logical network services. From a geographical perspective, the Authority has defined these markets as having a national dimension, although in light of regulatory changes mainly related to the introduction of SEPA, it has recently recognized that for the service related to SEPA payments, a supranational market dimension can be considered, while in the transmission of data functional to the clearing of non-SEPA products and to the processing of national debit cards, the market has a dimension coinciding with the Italian territory. The Parties have stated in the Form that for such services, the geographical dimension should be equal to the EU.</w:t>
      </w:r>
    </w:p>
    <w:p>
      <w:r>
        <w:t>52. In the provision of logical network services, which are primarily relevant here, based on the data provided by the Parties, SIA holds a share of [5-10%] at the supranational level and [55-60%] at the national level (with the remaining [40-45%] held by SWIFT); Nexi, as mentioned earlier, is not directly active in providing such services but limits itself to providing third-party services. Therefore, there are no horizontal overlaps recorded.</w:t>
      </w:r>
    </w:p>
    <w:p>
      <w:r>
        <w:t>53. From a vertical perspective, the logical network services, in which SIA is directly active, are necessary for banks and payment service providers to transmit payment instructions between themselves or to clearing houses (these include, for example, the hardware and software services necessary to ensure that data circulates between operators - banks, clearing houses, and payment schemes - without the risk of being lost, intercepted, or manipulated); SIA and Nexi, as previously mentioned, both operate as clearing houses, with a significant joint share when considering clearing services for non-SEPA payments. Furthermore, logical network services are used for card processing, particularly for the processing of national debit cards (for example, the transmission of the information necessary for the authorization request of a transaction).</w:t>
      </w:r>
    </w:p>
    <w:p>
      <w:r>
        <w:t>54. In light of the above considerations, it is believed that, given the absence of overlaps resulting from Nexi's mere placement activity of services, the transaction is not likely to raise horizontal competitive concerns in the provision of logical network services. However, possible concerns related primarily to vertical overlaps between SIA's activity in providing logical network services and the Parties' activity in providing clearing and processing services for national debit cards, as well as conglomerate integrations, cannot be excluded, which will be verified during the investigation, also taking into account the arguments of the Parties.</w:t>
      </w:r>
    </w:p>
    <w:p>
      <w:r>
        <w:t>g) ATM services</w:t>
      </w:r>
    </w:p>
    <w:p>
      <w:r>
        <w:t>55. The provision of so-called Automated Teller Machine (ATM) and related services mainly includes three areas of activity: (i) production and supply of hardware (i.e., the "physical" terminal); (ii) provision of services and software for the remote management/monitoring of terminals; and (iii) provision of on-site maintenance services. Nexi and SIA are both active in providing services and software for the management and monitoring of ATMs.</w:t>
      </w:r>
    </w:p>
    <w:p>
      <w:r>
        <w:t>56. In its previous practice, the Authority defined the market as encompassing electronic systems for automation, namely the activities of design, production, installation, and sale - as well as post-sale assistance and maintenance services - of electronic and electromagnetic devices and systems intended to meet the automation needs of the banking and mobility sectors. With reference to the banking sector, this particularly concerns the provision, management, and maintenance services of ATM terminals, queue management devices, self-service machines for transactions, and currency exchange.</w:t>
      </w:r>
    </w:p>
    <w:p>
      <w:r>
        <w:t>57. In this regard, the Parties highlight how the Commission has similarly defined such markets, distinguishing the production and supply of automated cash handling products from the more general supply of workstations for retail. In particular, according to the Parties, only workstations intended for the banking sector should be considered; moreover, this is the only area in which SIA and Nexi are active in providing software and related services for the management of terminals and for their advanced monitoring.</w:t>
      </w:r>
    </w:p>
    <w:p>
      <w:r>
        <w:t>58. From a geographical perspective, the Authority, while considering the possibility that it could transcend the national dimension due to the presence of numerous manufacturers active worldwide, has not specifically defined the market dimension in its previous assessments.</w:t>
      </w:r>
    </w:p>
    <w:p>
      <w:r>
        <w:t>59. According to the Parties, who also refer to some community precedents on this point, the market should have a dimension equal to the EU or, in any case, supranational. In particular, on one hand, the main suppliers would consist of multinational companies active at the European level, which apply similar conditions and terms in each country; on the other hand, customers would indiscriminately use national or foreign suppliers, and, on yet another hand, there are common regulatory standards. In any case, according to the Parties, the exact definition of the market from both a product and geographical perspective can be left open, since the transaction is not likely to raise competitive concerns.</w:t>
      </w:r>
    </w:p>
    <w:p>
      <w:r>
        <w:t>60. Regarding market positioning, the Parties have estimated a post-merger share for the provision of ATMs (including software and related services) of [5-10%] at the EEA level and [40-45%] at the national level (with Nexi at [25-30%] and SIA at [10-15%]). Concerning their market positioning, in addition to the aforementioned arguments supporting a supranational market dimension, the Parties provide further arguments in support of the absence of competitive concerns arising from the transaction, such as: i) the circumstance that such shares would overestimate their market position as the provision of such services is now awarded through competitive procedures; ii) furthermore, on one hand, SIA's share would essentially derive from its relationship with Unicredit S.p.A., and, on the other hand, Nexi's current positioning would be the result of the long-standing relationship that ICBPI (Nexi's predecessor) had established with numerous banks, which would be diminishing; iii) finally, there would be several rival suppliers capable of exerting strong competitive pressure.</w:t>
      </w:r>
    </w:p>
    <w:p>
      <w:r>
        <w:rPr>
          <w:b/>
        </w:rPr>
        <w:t>[Pages 16–18]</w:t>
      </w:r>
    </w:p>
    <w:p>
      <w:r>
        <w:t>BULLETIN NO. 35 OF SEPTEMBER 6, 2021</w:t>
      </w:r>
    </w:p>
    <w:p>
      <w:r>
        <w:t>61. As for the presence of vertical overlaps and conglomerate effects, the offer of ATM services may present integration profiles particularly with the offer of processing services, as the two services are connected and often bundled both at the supply level and in terms of demand from operators.</w:t>
      </w:r>
    </w:p>
    <w:p>
      <w:r>
        <w:t>62. Based on the above, and considering the nature of the markets in question, characterized by significant elements of vertical and conglomerate integration, it is believed that the transaction could lead to restrictive effects on competition in the national market for the provision of ATMs (including software and related services), which will need to be further examined in light of the correct definition of the relevant market, particularly in its geographic dimension, also taking into account community practices and the arguments provided by the Parties.</w:t>
      </w:r>
    </w:p>
    <w:p>
      <w:r>
        <w:t>h) Digital Corporate Banking services</w:t>
      </w:r>
    </w:p>
    <w:p>
      <w:r>
        <w:t>63. Digital Corporate Banking (‘DCB’) services are part of the relevant market for IT services applied to the banking sector and allow companies to centrally manage their bank accounts through a single front-end. Within DCB services, two segments can be distinguished: (i) the development and management of the CBI infrastructure; and (ii) access services to the CBI network, which include a service for connecting banks to the CBI network through nodes and the provision of actual e-banking platform services. The first activity is designed to be managed by a single service provider, periodically selected through a tender procedure; the latter two (i.e., provision of node services and platform services), although distinct, are closely linked as the platform must be interconnected to the chosen node and banks tend to purchase node and e-banking platform services from a single provider.</w:t>
      </w:r>
    </w:p>
    <w:p>
      <w:r>
        <w:t>64. In Italy, access to multi-banking services is offered through the Corporate Banking Interbancario (“CBI”), a network that includes almost all Italian financial institutions, whose task is to standardize interactions between banks and between them and corporate clients regarding all types of payments. The CBI connectivity infrastructure consists of central components managed by the CBI Consortium and peripheral access nodes managed directly by banks and their IT service providers (e.g., Cedacri, SIA, Nexi), based on standards defined by the consortium itself. The CBI Consortium controls the central infrastructure and entrusts the development and management of the network to third parties through a five-year tender; since 2009, Nexi and SIA have submitted bids for the joint management of the infrastructure. With the last tender concluded in March 2021, some operational and management aspects of the network will change, allowing banks and companies to connect directly to the network, which will be based on an open Internet protocol structure, and no longer on nodes.</w:t>
      </w:r>
    </w:p>
    <w:p>
      <w:r>
        <w:t>65. Currently, Nexi manages its own node and provides e-banking platform services directly to banks, which in turn offer such services to their clients; SIA also manages its own node and provides e-banking platform services almost exclusively to large enterprises. The new arrangement, which according to the information provided by the Parties will be operational by the end of 2022, will allow any value-added IT service provider to connect to the CBI via Open Banking protocols, and therefore will enable various providers, including foreign ones, to enter the offering of such services.</w:t>
      </w:r>
    </w:p>
    <w:p>
      <w:r>
        <w:t>66. In its decision-making practice, the Authority has defined a broader market for the provision of value-added IT services applied to the banking sector, which includes IT services that allow banks to access the CBI network infrastructure; this market has been considered national in size, while recognizing the possibility of a broader opening due to regulatory and technological developments. According to the Parties, the geographic dimension could be of a supranational nature.</w:t>
      </w:r>
    </w:p>
    <w:p>
      <w:r>
        <w:t>67. In this market, the joint market share of the Parties at the national level is very limited, [below 1%], with Nexi holding a share [below 1%] and SIA [below 1%].</w:t>
      </w:r>
    </w:p>
    <w:p>
      <w:r>
        <w:t>68. Based on the considerations above, it follows that regardless of the definition of the market one wishes to adhere to, the transaction does not appear likely to raise horizontal competitive concerns in the DCB services sector considering the very limited post-merger market share and the minimal contribution from SIA; for the same reasons, it is believed that the transaction is not likely to produce vertical or conglomerate effects that are relevant for the provision of digital corporate banking services.</w:t>
      </w:r>
    </w:p>
    <w:p>
      <w:r>
        <w:t>THEREFORE, it is deemed that the transaction in question is likely to create or strengthen a dominant position, pursuant to Article 6 of Law No. 287/90, in the terms indicated above;</w:t>
      </w:r>
    </w:p>
    <w:p>
      <w:r>
        <w:t>RESOLVES</w:t>
      </w:r>
    </w:p>
    <w:p>
      <w:r>
        <w:t>a) to initiate the investigation, pursuant to Article 16, paragraph 4, of Law No. 287/90, against Nexi S.p.A. and SIA S.p.A.;</w:t>
      </w:r>
    </w:p>
    <w:p>
      <w: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Credit, Post and Tourism Directorate of the General Directorate for Competition of this Authority at least three days before the expiration of the aforementioned deadline;</w:t>
      </w:r>
    </w:p>
    <w:p>
      <w:r>
        <w:t>c) that the person responsible for the procedure is Dr. Matteo Zavattini;</w:t>
      </w:r>
    </w:p>
    <w:p>
      <w:r>
        <w:t>d) that the documents of the procedure can be viewed at the Credit, Post and Tourism Directorate of the General Directorate for Competition of this Authority by the legal representatives of the Parties, as well as by persons with a legally relevant interest or by persons delegated by them;</w:t>
      </w:r>
    </w:p>
    <w:p>
      <w:r>
        <w:t>e) that the procedure must be concluded within forty-five days from the date of resolution of this provision.</w:t>
      </w:r>
    </w:p>
    <w:p>
      <w:r>
        <w:t>This provision will be notified to the interested parties and published in the Bulletin of the Competition and Market Authority.</w:t>
      </w:r>
    </w:p>
    <w:p>
      <w:r>
        <w:t>THE SECRETARY GENERAL THE PRESIDENT</w:t>
      </w:r>
    </w:p>
    <w:p>
      <w:r>
        <w:t>Filippo Arena Roberto Rustichelli</w:t>
      </w:r>
    </w:p>
    <w:p>
      <w:r>
        <w:rPr>
          <w:b/>
        </w:rPr>
        <w:t>[Pages 19–21]</w:t>
      </w:r>
    </w:p>
    <w:p>
      <w:r>
        <w:t>BULLETIN NO. 35 OF SEPTEMBER 6, 2021</w:t>
      </w:r>
    </w:p>
    <w:p>
      <w:r>
        <w:t>UNFAIR COMMERCIAL PRACTICES</w:t>
      </w:r>
    </w:p>
    <w:p>
      <w:r>
        <w:t>IP342 - SEO MARKETING</w:t>
      </w:r>
    </w:p>
    <w:p>
      <w:r>
        <w:t>Notice of communication of the conclusion of the investigative phase and extension of the procedure deadline</w:t>
      </w:r>
    </w:p>
    <w:p>
      <w:r>
        <w:t>COMPETITION AND MARKET AUTHORITY</w:t>
      </w:r>
    </w:p>
    <w:p>
      <w:r>
        <w:t>Notice of communication of the conclusion of the investigative phase,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 in relation to the procedure IP342 – SEO MARKETING.</w:t>
      </w:r>
    </w:p>
    <w:p>
      <w:r>
        <w:t>NOTICE</w:t>
      </w:r>
    </w:p>
    <w:p>
      <w:r>
        <w:t>The publication of this notice, followed by the communication of the conclusion of the investigative phase, in the weekly Bulletin of the Competition and Market Authority is made pursuant to and for the effects of Article 19, paragraph 2 of the Regulation, given the lack of receipt of feedback to the attempt to transmit the same communication to the headquarters of SEO MARKETING (Malaga, Spain) – made on July 9, 2021 (prot. no. 57947) by international registered mail. In this case, in fact, POSTE ITALIANE on August 4, 2021 communicated the non-delivery of the communication at the headquarters in Spain of SEO MARKETING S.L.</w:t>
      </w:r>
    </w:p>
    <w:p>
      <w:r>
        <w:t>Within 20 days from the publication of this notice, the Party may submit statements and documents.</w:t>
      </w:r>
    </w:p>
    <w:p>
      <w:r>
        <w:t>It is also communicated that, in the meeting of August 31, 2021, the Authority extended the deadline for the conclusion of the procedure by thirty days in order to allow the Party to exercise its right to be heard. The new deadline for conclusion is therefore set for October 26, 2021.</w:t>
      </w:r>
    </w:p>
    <w:p>
      <w:r>
        <w:t>For any communication addressed to the Authority regarding the case in question, please cite Directorate C of the General Directorate for Consumer Protection and reference IP342.</w:t>
      </w:r>
    </w:p>
    <w:p>
      <w:r>
        <w:t>_______________________________________________________</w:t>
      </w:r>
    </w:p>
    <w:p>
      <w:r>
        <w:t>IP 342 - SEO MARKETING</w:t>
      </w:r>
    </w:p>
    <w:p>
      <w:r>
        <w:t>Communication of the conclusion of the investigative phase</w:t>
      </w:r>
    </w:p>
    <w:p>
      <w:r>
        <w:t>Subject: Communication of the conclusion of the investigative phase pursuant to Article 16, paragraph 1,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procedure IP/342, initiated with resolution of March 30, 2021, no. 28624.</w:t>
      </w:r>
    </w:p>
    <w:p>
      <w:r>
        <w:t>I. Premise</w:t>
      </w:r>
    </w:p>
    <w:p>
      <w:r>
        <w:t>1. With resolution no. 26608 of May 4, 2017, adopted at the conclusion of procedure PS/10609, the Authority established the unfairness of the commercial practice carried out by SEO Marketing S.L. in violation of Articles 20, 24, 25, paragraph 1, letters d) and e), as well as Article 26, paragraph 1, letter f), of the Consumer Code.</w:t>
      </w:r>
    </w:p>
    <w:p>
      <w:r>
        <w:t>2. The practice consisted of a plurality of behaviors aimed at inducing the contacted Italian micro-enterprises, through undue conditioning of their decision-making process, to subscribe and pay for an unsolicited subscription to an online advertising service. The reporting micro-enterprises received communications that disguised their commercial nature, presenting themselves as a simple request for the insertion/update of company data in private databases including that accessible at the website www.eu-businessregister.com. The publisher of the site appeared to be the company EU Business Service Ltd, of which, however, there was no trace in the international registers of chambers of commerce. Such communications were confusing and omitted information regarding the nature and characteristics of the service offered. In fact, in response to the aforementioned request, presented promptly in the central part of the specific form included and referring to a database that evoked an official European register through the logo “Eu business register”, the description of the commercial service actually offered and the related price to be paid were instead marginalized in a small portion of the communication with tiny and almost illegible characters. The recipient micro-enterprises were thus artfully induced to fill in their company data and to sign the communications, unwittingly binding themselves to a burdensome three-year contract (annual price of 995 euros). Only once the term of the right of withdrawal contractually granted had expired did the same micro-enterprises receive a communication in which the existence of a contractual obligation was clearly revealed and the payment request was presented. In case of non-payment of the requested amount, the micro-enterprises subsequently received repeated notices and payment reminders, sometimes accompanied by the threat of legal action, some of which were made by an alleged debt collection company named Waldberg &amp; Hirsh Global Collection Ltd. In all communications received by the Italian micro-enterprises, the beneficiary of the payments demanded for the online service offered was the company SEO Marketing S.L.</w:t>
      </w:r>
    </w:p>
    <w:p>
      <w:r>
        <w:t>3. Based on the above, the Authority deemed SEO Marketing S.L. responsible for the unfair commercial practice subject to investigation and sanctioned the company by prohibiting the further dissemination of the practice with resolution no. 26608 of May 4, 2017, communicated to the professional on May 22, 2017.</w:t>
      </w:r>
    </w:p>
    <w:p>
      <w:r>
        <w:t>4. In light of subsequent reports received, with resolution of March 30, 2021, no. 28624, the Authority decided to initiate the investigative procedure IP/342, contesting to the professional the violation of Article 27, paragraph 12, of the Consumer Code, for failing to comply with the injunction referred to in letter a) of the device of resolution no. 26608 of May 4, 2017, which prohibited the dissemination or continuation of the commercial practice established as unfair. The resolution was communicated to the professional with act of April 16, 2021, prot. 35651, received by the professional on April 20, 2021.</w:t>
      </w:r>
    </w:p>
    <w:p>
      <w:r>
        <w:t>II. The behaviors subject to the procedure</w:t>
      </w:r>
    </w:p>
    <w:p>
      <w:r>
        <w:t>5. In light of the elements currently acquired in the context of the procedure in question, this communication confirms and specifies the allegations already subject to the initiation communication, relating to the possible reiteration, by SEO Marketing S.L., of the behaviors censured in the closure resolution of procedure PS/10609 of May 4, 2017.</w:t>
      </w:r>
    </w:p>
    <w:p>
      <w:r>
        <w:t>6. From the analysis of the complaints received in January and March 2021 submitted by the consumer association AECI, it emerged that Italian micro-enterprises received payment requests concerning the alleged subscription to a service of advertising announcements inserted in the database accessible at the website www.eu-businessregister.com.</w:t>
      </w:r>
    </w:p>
    <w:p>
      <w:r>
        <w:t>7. The graphic layout of the commercial communication received by the micro-enterprises is identical to that already subject to investigation in the context of the investigative procedure PS10609 just mentioned. In particular, it is noted that in the heading of the communication, at the top right, the logo “Eu business register” is displayed. Also at the top, in the center, there is a text presenting the purpose of the communication as follows: “We are compiling 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 We thank you for your cooperation.” After this text, it is stated: “To update your company profile, please print, complete and return this form. Updating is free of charge! Only sign if you want to place an insertion.” The central part of the page is occupied by two boxes. In the left box, some economic activity sectors are indicated among which the enterprise must indicate its belonging, while in the right box, there are fields related to company data (“name of the company”, “address”, “country”, “telephone”, “e-mail”, “web address”, “contact person”), sometimes already pre-filled, in other cases to be filled in or supplemented. At the bottom of the page, with tiny and closely spaced graphic characters contained in a single almost illegible paragraph after the wording “ORDER”, it is indicated: “THE SIGNING OF THIS DOCUMENT REPRESENTS THE ACCEPTANCE OF THE FOLLOWING CONDITIONS AND THE CONDITIONS STATED IN ‘THE TERMS AND CONDITIONS FOR INSERTION’ ON THE WEB.”</w:t>
      </w:r>
    </w:p>
    <w:p>
      <w:r>
        <w:rPr>
          <w:b/>
        </w:rPr>
        <w:t>[Pages 22–24]</w:t>
      </w:r>
    </w:p>
    <w:p>
      <w:r>
        <w:t>BULLETIN NO. 35 OF SEPTEMBER 6, 2021</w:t>
      </w:r>
    </w:p>
    <w:p>
      <w:r>
        <w:t>PAGE WWW.EUBUSINESSREGISTER.NET THE SIGNING IS LEGALLY BINDING AND GIVES YOU THE RIGHT OF AN INSERTION IN THE ONLINE DATABASE OF THE EU BUSINESS REGISTER WHICH CAN BE ACCESSED VIA THE INTERNET ALL IN ACCORDANCE WITH THE CONTRACTUAL CONDITIONS STATED ON THE TERMS AND CONDITIONS FOR INSERTION ON WEBPAGE WWW.EUBUSINESSREGISTER.NET. THE VALIDATION TIME OF THE CONTRACT IS THREE YEARS AND STARTS ON THE EIGHTH DAY AFTER SIGNING THE CONTRACT. THE INSERTION IS GRANTED AFTER SIGNING AND RECEIVING THIS DOCUMENT BY THE SERVICE PROVIDER. I HEREBY ORDER A SUBSCRIPTION WITH THE SERVICE PROVIDER EU BUSINESS SERVICE LTD. ‘EU BUSINESS REGISTER’ I WILL HAVE AN INSERTION INTO ITS DATABASE FOR THREE YEARS, THE PRICE FOR YEAR IS EURO 995. THE SUBSCRIPTION WILL BE AUTOMATICALLY EXTENDED EVERY YEAR FOR ANOTHER YEAR, UNLESS SPECIFIC WRITTEN NOTICE IS RECEIVED BY THE SERVICE PROVIDER OR THE SUBSCRIBER TWO MONTHS BEFORE THE EXPIRATION OF THE SUBSCRIPTION. YOUR DATA WILL BE RECORDED. THE PLACE OF JURISDICTION IN ANY DISPUTE ARISING IS THE SERVICE PROVIDER’S ADDRESS. THE AGREEMENT BETWEEN THE SERVICE PROVIDER EU BUSINESS SERVICE LTD AND THE SUBSCRIBER IS GOVERNED BY THE CONDITIONS STATED IN ‘THE TERMS AND CONDITIONS FOR INSERTION’ ON WEB PAGE WWW.EUBUSINESSREGISTER.NET.</w:t>
      </w:r>
    </w:p>
    <w:p>
      <w:r>
        <w:t>8. The communication also contains two dedicated spaces, respectively, for the insertion of the date (“date”) and the signature and stamp of the contacted company (“Legal signature/Company stamp”) to be filled in once such business data is entered, or the pre-filled business data is supplemented and corrected. At the end, there is an invitation to transmit via fax to a Dutch address.</w:t>
      </w:r>
    </w:p>
    <w:p>
      <w:r>
        <w:t>9. In the communication in question, the company EU Business Service LTD is indicated as the publisher of the database currently available on the website www.eu-businessregister.com. However, no trace of this company can be found in the international registers of chambers of commerce.</w:t>
      </w:r>
    </w:p>
    <w:p>
      <w:r>
        <w:t>10. The payment requests subsequently received from the contacted micro-enterprises, defined as “INVOICE”, for an annual amount of 995 euros (“one year subscription”) indicate, as the beneficiary of the payment, the company SEO MARKETING S.L. based in Spain (Malaga); the banking references (IBAN and BIC of Spanish law) for paying the requested amount are also specified.</w:t>
      </w:r>
    </w:p>
    <w:p>
      <w:r>
        <w:t>11. If the contacted companies do not pay the requested amount, they receive periodic payment reminders defined as “REMINDER”, in which the aforementioned company SEO MARKETING S.L. is always indicated as the beneficiary of the payment. These reminders request payment not only of the initial amount of 995 euros annually but also of additional fees: a “late payment fee” of 99 euros and an “administration fee” of 35 euros.</w:t>
      </w:r>
    </w:p>
    <w:p>
      <w:r>
        <w:t>12. From the documentation attached to the report received in March 2021, it emerges that the credit is subsequently claimed with further reminders from an alleged debt collection company, Walberg &amp; Hirsh Global Collections Ltd, which claims to be based in Amsterdam (Netherlands), of which, however, there is no trace in the Dutch Business Register. In this reminder, the company SEO MARKETING S.L. based in Spain (Malaga) is again indicated as the beneficiary of the requested payment, and the same banking references are specified. This reminder requests payment of the aforementioned amounts (for a total of 1129 euros, fees included) plus additional fees titled “Legal Fee” and “Additional Legal Fee” totaling 1929 euros.</w:t>
      </w:r>
    </w:p>
    <w:p>
      <w:r>
        <w:t>III. Possible profiles of unlawfulness of the conduct</w:t>
      </w:r>
    </w:p>
    <w:p>
      <w:r>
        <w:t>13. The behavior described above appears to demonstrate the reiteration, by SEO Marketing, of the commercial practice already established and sanctioned by the Authority with resolution no. 26608 of May 4, 2017.</w:t>
      </w:r>
    </w:p>
    <w:p>
      <w:r>
        <w:t>14. In fact, from the examination of the complaints and the related attachments, received in January and March 2021, it emerges that the professional continued to send misleading communications aimed at inducing the recipient micro-enterprises to unwittingly subscribe to an unsolicited advertising service accessible on the website www.eu-businessregister.com. SEO Marketing subsequently reiterated, through the same alleged debt collection company previously employed, payment requests for a service unwittingly subscribed to, threatening to take legal action. This was done to unduly influence the decision-making process of the recipients, artfully inducing them to make payment of what was unjustly demanded.</w:t>
      </w:r>
    </w:p>
    <w:p>
      <w:r>
        <w:t>15. Such conduct therefore appears to constitute substantial non-compliance with the Authority's resolution no. 26608 of May 4, 2017 and, consequently, a violation of Article 27, paragraph 12 of the Consumer Code.</w:t>
      </w:r>
    </w:p>
    <w:p>
      <w:r>
        <w:t>16. Based on the acquired elements, the reiteration of the conduct has been carried out at least until March 2021, with the last report received on March 11, 2021.</w:t>
      </w:r>
    </w:p>
    <w:p>
      <w:r>
        <w:t>17. Therefore, it is hereby communicated that the deadline for concluding the investigative phase is set for July 23, 2021.</w:t>
      </w:r>
    </w:p>
    <w:p>
      <w:r>
        <w:t>18. It is also communicated, pursuant to the same article of the Regulation in question, that the Party may submit, within the same deadline, concluding memoranda or documents that will be submitted to the College along with the other investigative acts for the adoption of the final measure.</w:t>
      </w:r>
    </w:p>
    <w:p>
      <w:r>
        <w:t>19. It is also reminded that the Party may request access to the documents of the procedure as already highlighted in the communication initiating the procedure itself. Access may be made directly by the Party or by a person delegated in writing.</w:t>
      </w:r>
    </w:p>
    <w:p>
      <w:r>
        <w:t>20. For the purposes of quantifying any monetary sanction provided for by Article 27, paragraph 9, of the aforementioned Consumer Code, SEO MARKETING S.L. is requested to provide a copy of the last approved financial statement.</w:t>
      </w:r>
    </w:p>
    <w:p>
      <w:r>
        <w:t>21. For any communication addressed to the Authority regarding the case in question, please cite Direction C of the Directorate General for Consumer Protection and reference IP342. For any clarifications and information, you may contact Dr. Letizia Razzitti at the number 06/85821246 (PEC: protocollo.agcm@pec.agcm.it).</w:t>
      </w:r>
    </w:p>
    <w:p>
      <w:r>
        <w:t>THE RESPONSIBLE FOR THE PROCEDURE</w:t>
      </w:r>
    </w:p>
    <w:p>
      <w:r>
        <w:rPr>
          <w:b/>
        </w:rPr>
        <w:t>[Pages 25–27]</w:t>
      </w:r>
    </w:p>
    <w:p>
      <w:r>
        <w:t>BULLETIN NO. 35 OF SEPTEMBER 6, 2021 27</w:t>
      </w:r>
    </w:p>
    <w:p>
      <w:r>
        <w:t>IP343 – MULPOR-INTERNATIONAL FAIRS DIRECTORY</w:t>
      </w:r>
    </w:p>
    <w:p>
      <w:r>
        <w:t>Notice of communication of the conclusion of the investigative phase and extension of the procedure deadline</w:t>
      </w:r>
    </w:p>
    <w:p>
      <w:r>
        <w:t>COMPETITION AND MARKET AUTHORITY</w:t>
      </w:r>
    </w:p>
    <w:p>
      <w:r>
        <w:t>Notice of communication of the conclusion of the investigative phase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as well as the extension of the conclusion deadline of procedure IP 343 initiated pursuant to Article 27, paragraph 12, of the Consumer Code against Mulpor Company S.r.l. and IBCM International Business Convention Management Ltd.</w:t>
      </w:r>
    </w:p>
    <w:p>
      <w:r>
        <w:t>The publication of this notice, followed by the communication of the conclusion of the investigative phase, in the weekly Bulletin of the Competition and Market Authority is made pursuant to and for the effects of Article 19, paragraph 2, of the Regulation, considering the current lack of responses to attempts to notify the aforementioned communication to Mulpor Company S.r.l., with legal headquarters in Costa Rica, and IBCM International Business Convention Management Ltd., with legal headquarters in Cyprus.</w:t>
      </w:r>
    </w:p>
    <w:p>
      <w:r>
        <w:t>Within 20 days from the publication of this notice, the Party may submit statements and documents.</w:t>
      </w:r>
    </w:p>
    <w:p>
      <w:r>
        <w:t>It is also communicated that, in the meeting of July 13, 2021, the Authority extended the conclusion deadline of the procedure by sixty days, setting it to September 26, 2021, considering the need to ensure a full exercise of the defense rights of the Parties.</w:t>
      </w:r>
    </w:p>
    <w:p>
      <w:r>
        <w:t>It is further communicated that, in the meeting of August 31, 2021, the Authority extended the conclusion deadline by an additional 30 days in order to ensure the adversarial nature with the Parties. The new conclusion deadline is therefore set to October 26, 2021.</w:t>
      </w:r>
    </w:p>
    <w:p>
      <w:r>
        <w:t>For any communication addressed to the Authority regarding the case in question, please cite Direction C of the General Directorate for Consumer Protection and reference IP343.</w:t>
      </w:r>
    </w:p>
    <w:p>
      <w:r>
        <w:t>_______________________________________________________</w:t>
      </w:r>
    </w:p>
    <w:p>
      <w:r>
        <w:t>IP343 – MULPOR-INTERNATIONAL FAIRS DIRECTORY</w:t>
      </w:r>
    </w:p>
    <w:p>
      <w:r>
        <w:t>Communication of the conclusion deadline of the investigative phase</w:t>
      </w:r>
    </w:p>
    <w:p>
      <w:r>
        <w:t>SUBJECT: communication of the conclusion deadline of the investigative phase pursuant to Article 16, paragraph 1,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procedure IP343, initiated with resolution of March 30, 2021, no. 37786.</w:t>
      </w:r>
    </w:p>
    <w:p>
      <w:r>
        <w:t>I. Premise</w:t>
      </w:r>
    </w:p>
    <w:p>
      <w:r>
        <w:t>With provision no. 27552 of February 6, 2019, the Authority closed procedure PS/11138, ascertaining the unfairness, pursuant to Articles 21, 22, 24, 25, paragraph 1, letters d) and e), and 26, paragraph 1, letter f), of the Consumer Code, of the commercial practice carried out against Italian micro-enterprises by Mulpor Company S.A., Mulpor Company S.r.l. (jointly, “Mulpor”), Connect Publisher S.C., PayTrac Lda, Finad Economy Lda, IBCM International Business Convention Management Ltd (“IBCM”) and Credit Collection Factoring s.r.o (“CCF”).</w:t>
      </w:r>
    </w:p>
    <w:p>
      <w:r>
        <w:t>This practice consisted of presenting the offer of a paid advertising service as a request to verify the business data present in a database, implying - contrary to the truth - that it was a database linked to a trade fair and the organizing body and that failure to update would result in the cancellation of the business from the database and thus exclusion from an important advertising channel. In this way, businesses and micro-enterprises were induced to verify, sign, and quickly return a pre-filled form with their business data, thereby unwittingly committing to the purchase of an advertisement in the International Fairs Directory for three years, at a cost of approximately 1,200 euros/year.</w:t>
      </w:r>
    </w:p>
    <w:p>
      <w:r>
        <w:t>Upon refusal to pay such amounts, unjustly demanded by PayTrac and Finad Economy on behalf of Mulpor and Connect Publisher, persistent solicitations followed from the companies tasked with collection (IBCM and CCF), up to the threat of initiating international actions for the coercive recovery of the claimed credits, which were announced to incur significant costs.</w:t>
      </w:r>
    </w:p>
    <w:p>
      <w:r>
        <w:t>The Authority found that Connect Publisher, publisher of the Directory until February 2016, and Mulpor Company S.A., which took over this role, had built, unbeknownst to the businesses and micro-enterprises participating in national and international trade fairs, a database containing their business data as well as information on the trade fairs they had attended. The businesses and micro-enterprises recorded became aware of being included in this database only after receiving a letter and a Form containing their business data. The letter and the related form prominently featured the reference to the trade fair they had recently attended and the corresponding organizing body.</w:t>
      </w:r>
    </w:p>
    <w:p>
      <w:r>
        <w:t>The text of the aforementioned letter referred to a “Data Report 201x-201x” and the need to verify and update business data to avoid cancellation. The communication in question, due to its overall presentation, was capable of inducing numerous businesses and micro-enterprises to believe it originated, contrary to the truth, from the organizing body of the trade fair and/or was otherwise aimed at the need to verify business data (which notoriously represent a fundamental contact channel with potential clients and organizers of other trade fairs), in order to avoid cancellation from the records of a specific fair.</w:t>
      </w:r>
    </w:p>
    <w:p>
      <w:r>
        <w:t>The emphasis on the risk of cancellation and the misleading context, which made the communication appear as coming from the organizing body or otherwise connected to participation in the trade fair indicated in the heading, were deemed capable of unduly influencing the choices of the businesses and micro-enterprises receiving the letters, pushing them to sign the form, thereby diverting their attention from the actual consequences of affixing their signature and company stamp on the aforementioned form.</w:t>
      </w:r>
    </w:p>
    <w:p>
      <w:r>
        <w:t>Businesses and micro-enterprises, in fact, became aware of the unwitting activation, and therefore unrequested, of the three-year subscription to the paid advertisement service on the International Fair Guide only upon receiving invoices issued by PayTrac and, later, by Finad, when the deadlines for any withdrawal request had already long expired.</w:t>
      </w:r>
    </w:p>
    <w:p>
      <w:r>
        <w:t>In light of the denial of the intention to activate such a service and the unfoundedness of such credit claims noted by the businesses and micro-enterprises involved, Mulpor reiterated its payment requests (also related to contracts concluded by Connect Publisher in which it had taken over) and tasked two debt collection companies, CCF and IBCM, to carry out all necessary activities for the collection of the allegedly claimed credits, including the possibility of extrajudicial settlement of the dispute through a settlement agreement.</w:t>
      </w:r>
    </w:p>
    <w:p>
      <w:r>
        <w:t>CCF and IBCM initiated the collection procedures for the credits claimed by Mulpor by proceeding with numerous and pressing solicitations and threatening to initiate costly international debt recovery actions to obtain payment of the credits claimed by Mulpor if the micro-enterprises did not accept the proposed settlement solutions.</w:t>
      </w:r>
    </w:p>
    <w:p>
      <w:r>
        <w:t>In this context, CCF and IBCM disseminated, solely to induce the contacted businesses and micro-enterprises to accept the proposed settlement solution, misleading information about the characteristics of international procedures and the alleged irrelevance of any ruling of unfairness by the Authority in a civil judgment regarding the nullity or annulment of the contract between Mulpor and the businesses and micro-enterprises subject to the commercial practice.</w:t>
      </w:r>
    </w:p>
    <w:p>
      <w:r>
        <w:t>The Authority therefore deemed that the aforementioned behaviors, carried out jointly by Mulpor and Connect Publisher, with the contribution and cooperation of PayTrac and Finad in managing payment requests and of CCF and IBCM in the collection of the allegedly claimed credits, constituted an unfair commercial practice, in violation of Articles 21, 22, 24, 25 paragraph 1, letters d) and e) and 26, paragraph 1, letter f) of the Consumer Code. Such behaviors were deemed capable of misleading businesses and micro-enterprises regarding the true identity of the advertising operator, the nature and economic conditions of the advertised offer, leading them to unwittingly subscribe to unrequested services, unduly conditioning them through the demand for payment of the unrequested and unwittingly subscribed service, the continuous solicitations, and the threat of resorting to international judicial actions. With the same resolution, the Authority imposed monetary sanctions totaling approximately 2.7 million euros against the aforementioned Companies.</w:t>
      </w:r>
    </w:p>
    <w:p>
      <w:r>
        <w:t>Provision no. 27552 of February 6, 2019 (PS11138) was notified to IBCM on March 27, 2019, and to the other professionals by notice in Bulletin no. 27/2019 published on July 8, 2019, due to difficulties encountered in notification.</w:t>
      </w:r>
    </w:p>
    <w:p>
      <w:r>
        <w:t>In light of the reports received since January 2021, with the provision adopted on March 30, 2021, no. 37786, the Authority decided to initiate the investigative procedure IP343, contesting to the Companies Mulpor and IBCM the violation of Article 27, paragraph 12, of the Consumer Code, for failing to comply with the warning referred to in letter a) of the device of the resolution.</w:t>
      </w:r>
    </w:p>
    <w:p>
      <w:r>
        <w:rPr>
          <w:b/>
        </w:rPr>
        <w:t>[Pages 28–30]</w:t>
      </w:r>
    </w:p>
    <w:p>
      <w:r>
        <w:t>30 BULLETIN NO. 35 OF SEPTEMBER 6, 2021</w:t>
      </w:r>
    </w:p>
    <w:p>
      <w:r>
        <w:t>No. 27552 of February 6, 2019 (PS11138), which prohibited the further dissemination of the commercial practice identified as unfair.</w:t>
      </w:r>
    </w:p>
    <w:p>
      <w:r>
        <w:t>Attempts have been made to communicate the measure to the Companies Mulpor and IBCM, respectively with acts of April 16, 2021 (prot. no. 37783 and no. 37786), which were unsuccessful. Consequently, the communication of the initiation of the investigation was made through a notice in the Authority's Bulletin No. 24/2021 of June 14, 2021, as provided for by Article 19 of AGCM Resolution of April 1, 2015, no. 25411, containing the Regulation on investigative procedures concerning consumer protection.</w:t>
      </w:r>
    </w:p>
    <w:p>
      <w:r>
        <w:t>II. The conduct subject to the procedure</w:t>
      </w:r>
    </w:p>
    <w:p>
      <w:r>
        <w:t>In light of the elements currently acquired in the context of the procedure in question, this notice confirms and specifies the allegations already subject to the initiation measure, relating to the repetition, by Mulpor and IBCM, of the conduct censured in the closure measure of procedure No. 27552 of February 6, 2019 (PS/11138).</w:t>
      </w:r>
    </w:p>
    <w:p>
      <w:r>
        <w:t>In this regard, it is noted that from the reports received, it appears that Mulpor, now publisher of the International Fairs Directory, has sent at least since January 2021 the same misleading forms that were the subject of measure No. 27552 of February 6, 2019.</w:t>
      </w:r>
    </w:p>
    <w:p>
      <w:r>
        <w:t>The form is presented in such a way that it can easily be confused with the database of the fair that the recipient of the communication has recently attended, and its signature for the verification attestation actually entails adherence to a three-year offer for the publication of an advertisement in the Directory at a cost of over 1200 euros/year.</w:t>
      </w:r>
    </w:p>
    <w:p>
      <w:r>
        <w:t>In this context, Mulpor has continued to demand payment for unsolicited services by sending so-called "invoices" and payment notices from appointed companies. In response to the objections of the companies and micro-enterprises receiving such requests, Mulpor has denied the misleading nature of its commercial offer.</w:t>
      </w:r>
    </w:p>
    <w:p>
      <w:r>
        <w:t>From the aforementioned reports, it also emerges that IBCM has reiterated the sending of payment reminders and coercive collection notices threatening the initiation of international litigation for the recovery of debts claimed by "Mulpor Company" for unsolicited advertising services unknowingly purchased over the years by the reporters.</w:t>
      </w:r>
    </w:p>
    <w:p>
      <w:r>
        <w:t>In these reminders and notices, a bank account held by IBCM at a Hungarian bank is indicated for payment.</w:t>
      </w:r>
    </w:p>
    <w:p>
      <w:r>
        <w:t>The commercial practices currently in place by Mulpor and IBCM therefore present the same profile of unfairness already established and sanctioned by the Authority with the aforementioned measure No. 27552 of February 6, 2019 (PS11138).</w:t>
      </w:r>
    </w:p>
    <w:p>
      <w:r>
        <w:t>Therefore, from the content of the aforementioned reports, it is evident that the commercial practice deemed unfair by the Authority with the aforementioned measure has been disseminated again by the cited professionals, at least since January 2021.</w:t>
      </w:r>
    </w:p>
    <w:p>
      <w:r>
        <w:t>III. Possible profiles of unlawfulness of the conduct</w:t>
      </w:r>
    </w:p>
    <w:p>
      <w:r>
        <w:t>The behavior described above appears to demonstrate the repetition, by Mulpor and IBCM, of the commercial practice already established and sanctioned by the Authority with Resolution No. 27552 of February 6, 2019 (PS/11138).</w:t>
      </w:r>
    </w:p>
    <w:p>
      <w:r>
        <w:t>In fact, from the examination of the complaints and the related attachments, received since January 2021 and continuing, to date, until July 2021, it emerges that the professional has continued to send misleading communications aimed at misleading the recipients regarding the true identity of the advertising operator, the nature and economic conditions of the advertised offer, leading the recipient micro-enterprises to unknowingly subscribe to unsolicited services, while improperly conditioning them through the demand for payment of an unsolicited service unknowingly subscribed via continuous reminders and the threat of resorting to international legal actions.</w:t>
      </w:r>
    </w:p>
    <w:p>
      <w:r>
        <w:t>Such conduct therefore appears to constitute substantial non-compliance with the aforementioned Resolution of the Authority No. 27552 of February 6, 2019 (PS11138) and, consequently, the violation of Article 27, paragraph 12 of the Consumer Code.</w:t>
      </w:r>
    </w:p>
    <w:p>
      <w:r>
        <w:t>Based on the elements acquired, the repetition of the conduct has been carried out since January 2021 and is still ongoing.</w:t>
      </w:r>
    </w:p>
    <w:p>
      <w:r>
        <w:t>With this notice, therefore, it is communicated that the deadline for concluding the investigative phase is set for August 17, 2021.</w:t>
      </w:r>
    </w:p>
    <w:p>
      <w:r>
        <w:t>It is also communicated, pursuant to the same article of the Regulation in question, that the parties may submit, by the same deadline, final submissions or documents, which will be submitted to the Board along with the other investigative acts for the adoption of the final measure.</w:t>
      </w:r>
    </w:p>
    <w:p>
      <w:r>
        <w:t>It is also reminded that the parties may request access to the documents of the procedure as previously highlighted in the communication of the initiation of the procedure itself. Access may be made directly by the parties or by a person delegated by them in writing.</w:t>
      </w:r>
    </w:p>
    <w:p>
      <w:r>
        <w:t>For the purposes of quantifying any monetary sanction provided for by Article 27, paragraph 9, of the aforementioned Consumer Code, Mulpor and IBCM are requested to provide a copy of the last approved financial statement.</w:t>
      </w:r>
    </w:p>
    <w:p>
      <w:r>
        <w:t>For any communication addressed to the Authority regarding the case in question, please cite Directorate C of the Directorate General for Consumer Protection and reference IP343. For any clarifications and information, you may contact Dr. Riccardo Piccoli at the number 06/85821298 (PEC: protocollo.agcm@pec.agcm.it).</w:t>
      </w:r>
    </w:p>
    <w:p>
      <w:r>
        <w:t>THE RESPONSIBLE FOR THE PROCEDURE</w:t>
      </w:r>
    </w:p>
    <w:p>
      <w:r>
        <w:t>Competition and Market Authority Weekly Bulletin</w:t>
      </w:r>
    </w:p>
    <w:p>
      <w:r>
        <w:t>Year XXXI - No. 35 - 2021</w:t>
      </w:r>
    </w:p>
    <w:p>
      <w:r>
        <w:t>Editorial Coordination Giulia Antenucci</w:t>
      </w:r>
    </w:p>
    <w:p>
      <w:r>
        <w:t>Editorial Staff Valerio Ruocco, Simonetta Schettini, Manuela Villani</w:t>
      </w:r>
    </w:p>
    <w:p>
      <w:r>
        <w:t>Competition and Market Authority</w:t>
      </w:r>
    </w:p>
    <w:p>
      <w:r>
        <w:t>Office of Statistics and IT Applications</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