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https://www.agcm.it/dotcmsdoc/bollettini/36-12.pdf</w:t>
      </w:r>
    </w:p>
    <w:p>
      <w:r>
        <w:t>Pages translated : 90</w:t>
      </w:r>
    </w:p>
    <w:p/>
    <w:p>
      <w:r>
        <w:rPr>
          <w:b/>
        </w:rPr>
        <w:t>[Pages 1–3]</w:t>
      </w:r>
    </w:p>
    <w:p>
      <w:r>
        <w:t>Bulletin</w:t>
        <w:br/>
        <w:t>Weekly</w:t>
        <w:br/>
        <w:t>Year XXII - No. 36</w:t>
        <w:br/>
        <w:t>Published on the website www.agcm.it</w:t>
        <w:br/>
        <w:t>on September 24, 2012</w:t>
      </w:r>
    </w:p>
    <w:p>
      <w:r>
        <w:t>SUMMARY</w:t>
        <w:br/>
        <w:t>AGREEMENTS AND ABUSE OF DOMINANT POSITION 5</w:t>
        <w:br/>
        <w:t>A440 – ITALIAN MARKET FOR WHOLESALE NATURAL GAS SUPPLY</w:t>
        <w:br/>
        <w:t>Decision No. 23871 5</w:t>
        <w:br/>
        <w:t>CONCENTRATION OPERATIONS 5</w:t>
        <w:br/>
        <w:t>C11589 - BOLTON GROUP INTERNATIONAL/LUIS CALVO SANZ</w:t>
        <w:br/>
        <w:t>Decision No. 23873 5</w:t>
        <w:br/>
        <w:t>C11730 - AELIA/ADR RETAIL</w:t>
        <w:br/>
        <w:t>Decision No. 23874 5</w:t>
        <w:br/>
        <w:t>C11755 - APPLE/AUTHENTEC</w:t>
        <w:br/>
        <w:t>Decision No. 23875 5</w:t>
        <w:br/>
        <w:t>C11756 - UPIM/BRANCH OF UNICOOP FIRENZE</w:t>
        <w:br/>
        <w:t>Decision No. 23876 5</w:t>
        <w:br/>
        <w:t>C11757 - OVIESSE/BRANCH OF UNICOOP FIRENZE</w:t>
        <w:br/>
        <w:t>Decision No. 23877 5</w:t>
        <w:br/>
        <w:t>C11759 – AL.TO./PITECO</w:t>
        <w:br/>
        <w:t>Decision No. 23878 5</w:t>
        <w:br/>
        <w:t>C11761 - SYNERGO/SOFIPA SGR</w:t>
        <w:br/>
        <w:t>Decision No. 23879 5</w:t>
        <w:br/>
        <w:t>C11762 - ROBERT BOSCH/AMMANN GROUP</w:t>
        <w:br/>
        <w:t>Decision No. 23880 5</w:t>
        <w:br/>
        <w:t>ACTIVITIES OF REPORTING AND CONSULTATION 5</w:t>
        <w:br/>
        <w:t>AS984 – MUNICIPALITY OF PIACENZA - SIGNING AGREEMENT WITH FUNERAL SERVICE COMPANIES 5</w:t>
        <w:br/>
        <w:t>AS985 - AUTONOMOUS PROVINCE OF TRENTO - PROJECT FOR THE DEVELOPMENT OF THE NEXT GENERATION BROADBAND NETWORK IN PARTNERSHIP WITH TELECOM ITALIA 5</w:t>
        <w:br/>
        <w:t>UNFAIR COMMERCIAL PRACTICES 5</w:t>
        <w:br/>
        <w:t>PS8149 - TRENITALIA-TRAVEL IN ITALY STARTING FROM 9</w:t>
        <w:br/>
        <w:t>Decision No. 23867 5</w:t>
        <w:br/>
        <w:t>PS8285 - DAVID2-SPOT SUPERQUIZ PREMIUM SERVICES</w:t>
        <w:br/>
        <w:t>Decision No. 23870 5</w:t>
        <w:br/>
        <w:t>VARIOUS 5</w:t>
        <w:br/>
        <w:t>FRAMEWORK PROTOCOL OF UNDERSTANDING BETWEEN THE AUTHORITY FOR ELECTRICITY AND GAS AND THE ANTITRUST AUTHORITY</w:t>
      </w:r>
    </w:p>
    <w:p>
      <w:r>
        <w:t>BULLETIN NO. 36 OF SEPTEMBER 24, 2012 5</w:t>
        <w:br/>
        <w:t>AGREEMENTS AND ABUSE OF DOMINANT POSITION</w:t>
        <w:br/>
        <w:t>A440 – ITALIAN MARKET FOR WHOLESALE NATURAL GAS SUPPLY</w:t>
        <w:br/>
        <w:t>Decision No. 23871</w:t>
        <w:br/>
        <w:t>THE ANTITRUST AUTHORITY</w:t>
        <w:br/>
        <w:t>IN ITS MEETING of September 6, 2012;</w:t>
        <w:br/>
        <w:t>HEARD the Rapporteur Dr. Salvatore Rebecchini;</w:t>
        <w:br/>
        <w:t>HAVING REGARD to Law No. 287 of October 10, 1990, and in particular Article 14-ter introduced by Law No. 248 of August 4, 2006, which amended and converted Decree-Law No. 223 of July 4, 2006;</w:t>
        <w:br/>
        <w:t>HAVING REGARD to Article 102 of the Treaty on the Functioning of the European Union (“TFEU”);</w:t>
        <w:br/>
        <w:t>HAVING REGARD to the notification from the Gas Intensive Consortium of industrial customers received on November 22, 2011 and supplemented on December 20, 2011;</w:t>
        <w:br/>
        <w:t>HAVING REGARD to its resolution of March 6, 2012, which initiated, pursuant to Article 14 of Law No. 287/90, an investigation against Eni S.p.A. to ascertain any violations of Article 102 of the TFEU;</w:t>
        <w:br/>
        <w:t>HAVING REGARD to Council Regulation (EC) No. 1/2003 of December 16, 2002, concerning the application of the competition rules laid down in Articles 81 and 82 of the EC Treaty (now Articles 101 and 102 of the TFEU);</w:t>
        <w:br/>
        <w:t>HAVING REGARD to the “Communication on the procedures for the application of Article 14-ter of Law No. 287/90,” adopted by the Authority with resolution of October 12, 2006 and published in Bulletin No. 39 of October 16, 2006;</w:t>
        <w:br/>
        <w:t>HAVING REGARD to the communication of June 4, 2012, whereby Eni S.p.A., according to the methods and timelines specifically indicated in the appropriate “Form for the submission of commitments pursuant to Article 14-ter of Law No. 287/90,” submitted commitments pursuant to Article 14-ter of Law No. 287/90;</w:t>
        <w:br/>
        <w:t>HAVING REGARD to its resolution adopted on June 12, 2012, which ordered the publication of the commitments submitted by Eni S.p.A. and set September 12, 2012 as the deadline for adopting a decision on the commitments pursuant to Article 14-ter of Law No. 287/90;</w:t>
        <w:br/>
        <w:t>HAVING REGARD to the observations of third parties and the counterarguments from Eni S.p.A.;</w:t>
        <w:br/>
        <w:t>HAVING REGARD to the ancillary modifications to the commitments communicated by Eni S.p.A. on July 26, 2012;</w:t>
        <w:br/>
        <w:t>HAVING REGARD to its communication to the European Commission, pursuant to Article 11, paragraph 4, of Regulation (EC) No. 1/2003;</w:t>
        <w:br/>
        <w:t>HAVING REGARD to the documents of the proceedings;</w:t>
        <w:br/>
        <w:t>CONSIDERING the following:</w:t>
      </w:r>
    </w:p>
    <w:p>
      <w:r>
        <w:rPr>
          <w:b/>
        </w:rPr>
        <w:t>[Pages 4–6]</w:t>
      </w:r>
    </w:p>
    <w:p>
      <w:r>
        <w:t>6 BULLETIN NO. 36 OF SEPTEMBER 24, 2012</w:t>
      </w:r>
    </w:p>
    <w:p>
      <w:r>
        <w:t>I. INTRODUCTION</w:t>
      </w:r>
    </w:p>
    <w:p>
      <w:r>
        <w:t>1. This proceeding concerns the decision of Eni S.p.A. to suspend the announcement of international transport capacity auctions on the TAG and Transitgas pipelines for the summer of 2011 and for the entire thermal year 2011-2012, despite the presence of unused capacity on both pipelines and parties interested in accessing that capacity.</w:t>
      </w:r>
    </w:p>
    <w:p>
      <w:r>
        <w:t>2. In the initial assessment by the Authority, it was hypothesized that Eni S.p.A.'s decision to suspend the auctions could constitute a violation of Article 102 of the TFEU.</w:t>
      </w:r>
    </w:p>
    <w:p>
      <w:r>
        <w:t>3. This decision concerns the evaluation of the commitments that Eni S.p.A. has presented pursuant to Article 14-ter of Law No. 287/90.</w:t>
      </w:r>
    </w:p>
    <w:p>
      <w:r>
        <w:t>II. THE PARTIES</w:t>
      </w:r>
    </w:p>
    <w:p>
      <w:r>
        <w:t>4. Eni S.p.A. (hereinafter also ENI) operates, also through numerous subsidiaries, globally in the sectors of oil, natural gas, electricity, petrochemicals, finance, engineering, and services. In the natural gas sector, in particular, ENI is involved in extraction activities and, through its Gas and Power Division, in procurement, international transport, wholesale, and retail sales of natural gas in Italy and abroad. In the electricity sector, ENI is active in the production and wholesale and retail sale of electricity in the Italian market, where it operates through its ENI Gas and Power Division. ENI's global revenue in 2011 was approximately 109 billion euros.</w:t>
      </w:r>
    </w:p>
    <w:p>
      <w:r>
        <w:t>5. Gas Intensive Società Consortile a.r.l. (hereinafter also GI) is a company, a member of Confindustria, established in 2001 by 8 trade associations representing more than 300 large Italian consumers of natural gas: Andil, Assocarta, Assofond, Assomet, Assovetro, Cagema, Confindustria Ceramica, Federacciai. The main purpose of Gas Intensive is to operate as a purchasing center, negotiating the purchase of gas under more favorable conditions than those that individual member companies would be able to obtain in the market, as well as directly managing activities related to the transport and storage of natural gas.</w:t>
      </w:r>
    </w:p>
    <w:p>
      <w:r>
        <w:t>6. ENOI S.p.A. is a company operating in the gas sector since 2000 and is currently present in thirteen European countries, including Italy. It engages in procurement, trading, and sales activities, importing, among other things, gas to Italy with a share of total imports of approximately 2.5%.</w:t>
      </w:r>
    </w:p>
    <w:p>
      <w:r>
        <w:t>7. Energy Trading International S.p.A. is a company that engages in procurement, trading, and sales of gas, primarily supplying industrial customers and local distributors.</w:t>
      </w:r>
    </w:p>
    <w:p>
      <w:r>
        <w:t>8. Sorgenia S.p.A. is a thermoelectric operator that operates, among other things, in the international market for the procurement of natural gas as a shipper and seller in the Italian final market. Sorgenia is also active in the development of natural gas transport infrastructure in Europe.</w:t>
      </w:r>
    </w:p>
    <w:p>
      <w:r>
        <w:t>III. COMMUNITY AND NATIONAL REGULATORY FRAMEWORK</w:t>
      </w:r>
    </w:p>
    <w:p>
      <w:r>
        <w:t>9. The current community and national regulatory framework in the gas sector is based on the objective of expanding the possibilities for European final consumers – whether private or businesses – to choose among different suppliers, creating new business opportunities and intensifying cross-border exchanges of both capacity and gas, in order to promote a convergence of prices across various countries to the most competitive levels and to standardize service quality at the highest levels.</w:t>
      </w:r>
    </w:p>
    <w:p>
      <w:r>
        <w:t>10. In this regard, Directive 2009/73/EC of the European Parliament and of the Council of July 13, 2009 - the so-called third gas directive - provides, in analogy with previous gas directives, the following obligations for Member States: a) third-party access to transport and distribution systems as well as LNG facilities (Article 32, paragraph 1); b) compatibility between long-term contracts and compliance with Community competition rules (Article 32, paragraph 3); c) fair and open access to the "upstream gas pipeline network" (Article 34, paragraph 2).</w:t>
      </w:r>
    </w:p>
    <w:p>
      <w:r>
        <w:t>11. The infrastructure manager is instead obliged to ensure the construction of sufficient cross-border capacity to integrate the European transport infrastructure by accommodating all economically reasonable and technically feasible capacity requests while considering the security of gas supplies (Article 13, paragraph 2).</w:t>
      </w:r>
    </w:p>
    <w:p>
      <w:r>
        <w:t>12. Regulatory authorities and competition protection authorities in individual Member States must ensure, among other things, to "eliminate restrictions on natural gas exchanges between Member States and develop adequate cross-border transport capacity to meet demand and improve the integration of national markets that could facilitate the flow of natural gas throughout the Community" (Article 40, letter c);</w:t>
      </w:r>
    </w:p>
    <w:p>
      <w:r>
        <w:t>13. Currently, the first secondary regulatory standards are being approved at the community level, according to the guidelines prepared by the Agency for Coordination of Energy Regulators (ACER), which should be incorporated into the network codes of various European TSOs. These regulations concern both so-called contractual congestions and the methods of allocating capacity at interconnection points. Regarding the first aspect, there is discussion about introducing mandatory "capacity surrender" and "use it or lose it" rules to develop a market for unused secondary capacity; while regarding the second aspect, the allocation of capacity should prioritize the method of allocation through mandatory auctions of products of varying durations (with a prevalence of short-term products) and that concern simultaneously entry and exit rights at a given interconnection point (so-called bundled capacity).</w:t>
      </w:r>
    </w:p>
    <w:p>
      <w:r>
        <w:t>14. As of March 1, 2012, following Eni's divestiture of control over the TAG pipeline as a commitment to the European Commission, the TAG pipeline operator has experimentally launched a day-ahead interruptible transport service on its transport system up to the entry point of Tarvisio, which provides for the sale on the market (the day before for the next day) of all unused primary capacity on that day by holders of long-term transport contracts, including Eni itself.</w:t>
      </w:r>
    </w:p>
    <w:p>
      <w:r>
        <w:t>15. Regarding national legislation, relevant for this proceeding is Legislative Decree No. 130 of August 13, 2010, which provides for the obligation to implement gas release measures at an administratively set price for parties exceeding the maximum wholesale market share of 40% attributed by the previous Law No. 102 of August 3, 2009 (Article 3 of the aforementioned Legislative Decree No. 130/10). This limit can be raised to 55% if the interested operator commits to realizing, within five years, new storage capacity in the national territory for a total volume of 4 billion cubic meters to be made available to industrial customers (of any size) and electricity producers.</w:t>
      </w:r>
    </w:p>
    <w:p>
      <w:r>
        <w:t>16. Legislative Decree No. 130/10 pursues, among other objectives, the aim of transferring the benefits resulting from greater market openness to large final customers, encouraging the increase of storage capacity, in support of supply security and greater flexibility and liquidity of the gas system. In the long term, the decree should indeed allow large industrial customers to purchase gas on the spot markets during the summer months, a period when it is generally more convenient to store it for later use in the winter months, thus benefiting from the seasonal price differential. This new regulatory context makes the availability of transport capacity during the summer months on the main international pipelines particularly important for large industrial gas consumers. This is especially true for the pipelines connecting the Snam Rete Gas network to the European spot markets characterized by greater liquidity and ease of access to the commodity, namely TAG and Transitgas.</w:t>
      </w:r>
    </w:p>
    <w:p>
      <w:r>
        <w:t>IV. INITIATION OF THE INQUIRY PROCEDURE: THE CONDUCT UNDER INVESTIGATION</w:t>
      </w:r>
    </w:p>
    <w:p>
      <w:r>
        <w:t>17. On November 22, 2011, a report was received, subsequently supplemented on December 20, 2011, from GI. The subject of the report concerns certain conduct by Eni that has been in effect since the spring of 2011 regarding the transfer of secondary transport capacity on certain international pipelines. In particular, GI alleges that, starting in April 2011, for the first time after years of regular summer transport capacity auctions, Eni no longer organized such auctions on the Transitgas and TAG pipelines. Similarly, Eni did not conduct any annual secondary capacity auction on the two pipelines for the entire thermal year 2011-2012, during the period when, in previous years, such auctions were regularly held (between May and early July).</w:t>
      </w:r>
    </w:p>
    <w:p>
      <w:r>
        <w:t>18. GI frames Eni's behavior within the particular context that has characterized the gas sector in Italy and Europe in recent months. In fact, in March 2011, the auction for the allocation of physical and virtual storage quotas was held for the first time in application of the provisions of Legislative Decree No. 130/10. This innovation was set against a backdrop where the differential between the prevailing gas price at the so-called Virtual Trading Point (PSV) and the prevailing gas price in the organized Dutch gas market, the Title Transfer Facility (TTF), had shown a consistently positive trend, around 4-5€/MWh. According to GI, a differential between the PSV price and TTF prices exceeding 2€/MWh would always make imports of gas from Northern Europe to Italy advantageous, as this value would cover the transport costs of gas along the pipelines.</w:t>
      </w:r>
    </w:p>
    <w:p>
      <w:r>
        <w:t>19. Finally, as a third contextual element, GI has produced some data analyses from the Ministry of Economic Development (MSE) and the Authority for Electricity and Gas (AEEG) showing that the TAG and Transitgas pipelines exhibited an average utilization level of available capacity between a summer value of 30%-40% and a winter value of 60%-70% during the period from January 2009 to September 2011 (with the exception of certain months in the winter of 2010-2011).</w:t>
      </w:r>
    </w:p>
    <w:p>
      <w:r>
        <w:rPr>
          <w:b/>
        </w:rPr>
        <w:t>[Pages 7–9]</w:t>
      </w:r>
    </w:p>
    <w:p>
      <w:r>
        <w:t>BULLETIN NO. 36 OF SEPTEMBER 24, 2012 9</w:t>
      </w:r>
    </w:p>
    <w:p>
      <w:r>
        <w:t>in which an incident led to the closure of Transitgas and the consequent increased use of TAG). In particular, in the period from March to September 2011, the TAG and Transitgas pipelines showed an average utilization of 60% and 56%, respectively, compared to an average total utilization of the import pipelines (including Transmed and Greenstream) of 58%.</w:t>
      </w:r>
    </w:p>
    <w:p>
      <w:r>
        <w:t>20. By resolution of March 6, 2012, the Authority initiated an investigation procedure for the alleged violation of Article 102 of the TFEU against the company Eni S.p.A. regarding the decision not to hold international transport capacity auctions on the two TAG and Transitgas pipelines for the summer of 2011 and for the entire thermal year 2011-2012, in the face of substantial underutilization of the pipelines by Eni itself and in the presence of several operators interested in accessing such capacity, thereby limiting the availability of transport capacity for these latter (shippers and end users/industrial customers).</w:t>
      </w:r>
    </w:p>
    <w:p>
      <w:r>
        <w:t>21. In the initiation of the investigation, the Authority's competitive concerns arose from the observation that Eni's change in conduct regarding the auctions on the TAG and Transitgas pipelines began (spring 2011) precisely coinciding with the new conjunctural framework of the sector in Italy: the presence of a positive differential between Italian prices and prices prevailing on European hubs (around €5/MWh), exceeding the costs necessary to transport that gas to Italy (about €3/MWh) and the possibility, even for end users of gas (industrial customers), to have physical storage capacity, following Legislative Decree No. 130/10.</w:t>
      </w:r>
    </w:p>
    <w:p>
      <w:r>
        <w:t>22. In this new context, it became particularly relevant for industrial customers to be able to have, even for short periods, transport capacity on the pipelines connecting Italy to spot markets, in order to procure gas at a more favorable price on the more liquid and advantageous markets and/or to exploit the storage infrastructures allocated to them through the import of gas in the summer period, to be used later in the winter period. Eni's conduct thus seemed to take on particular significance in that, following such conduct, large industrial customers had not been able to independently procure gas from abroad, precisely when market conditions and the new regulatory framework made it economically advantageous.</w:t>
      </w:r>
    </w:p>
    <w:p>
      <w:r>
        <w:t>23. By interrupting the auctions, Eni had prevented access to transport capacity for those parties who, like the complainants, were interested in such capacity and had clearly expressed this interest on several occasions since May 2011.</w:t>
      </w:r>
    </w:p>
    <w:p>
      <w:r>
        <w:t>24. The possible effects of Eni's conduct on large final gas consumers appeared immediately evident. In fact, the analyzed elements allowed for the hypothesis that an independent procurement mode by such consumers - through participation in auctions for the transfer of Eni's secondary capacity - could have reduced their costs of acquiring natural gas.</w:t>
      </w:r>
    </w:p>
    <w:p>
      <w:r>
        <w:t>25. Overall, therefore, the Authority's competitive concerns stemmed from the fact that the failure to hold secondary capacity auctions for the summer of 2011 and for the entire thermal year 2011-2012 could have hindered forms of independent gas procurement aimed at exploiting the favorable conditions due to the differential between Italian and European prices, to the detriment of end customers.</w:t>
      </w:r>
    </w:p>
    <w:p>
      <w:r>
        <w:t>26. After the initiation of the procedure, the three companies, ENOI S.p.A., Energy Trading International S.p.A., and Sorgenia S.p.A., requested - and obtained - to participate in the procedure pursuant to Article 7, letter d) of DPR No. 217/98.</w:t>
      </w:r>
    </w:p>
    <w:p>
      <w:r>
        <w:t>10 BULLETIN NO. 36 OF SEPTEMBER 24, 2012</w:t>
      </w:r>
    </w:p>
    <w:p>
      <w:r>
        <w:t>V. HARM TO INTRA-COMMUNITY TRADE</w:t>
      </w:r>
    </w:p>
    <w:p>
      <w:r>
        <w:t>27. In the initiation document, the existence of a possible harm to intra-community trade was identified as arising from the described behaviors due to their extent and scope. In fact, the failure to hold secondary capacity auctions had prevented the complainant GI, as well as other operators, from procuring spot gas in other member countries of the European Union (Netherlands, Belgium, and Austria).</w:t>
      </w:r>
    </w:p>
    <w:p>
      <w:r>
        <w:t>VI. RELEVANT MARKETS IDENTIFIED IN THE INITIATION DOCUMENT AND Eni'S POSITION</w:t>
      </w:r>
    </w:p>
    <w:p>
      <w:r>
        <w:t>Relevant markets</w:t>
      </w:r>
    </w:p>
    <w:p>
      <w:r>
        <w:t>28. In the initiation document, it was hypothesized that the relevant markets for the assessment of the examined conduct were both the international gas transport market to Italy along the TAG and Tenp/Transitgas pipelines, where the behavior took place; and the national market for the supply of gas to industrial customers, where it was presumed that the effects of such behavior could have been expressed.</w:t>
      </w:r>
    </w:p>
    <w:p>
      <w:r>
        <w:t>29. Regarding the first market, it is noted that the TAG and Tenp/Transitgas pipelines are the only ones that allow operators to transport gas purchased at the main European hubs (organized spot markets) to Italy (i.e., at the Austrian CEGH, the Dutch TTF, the Belgian ZEE, and the French PEG). Compared to direct procurement from producing countries, procurement of gas at the hub is generally characterized by shorter supply durations and by the pricing method, which results from the actual interaction of supply and demand rather than from a formula indexed to oil prices. For several years, due to the increase in supply and the decrease in gas demand in the face of the global economic crisis, this purchasing method has consistently generated spot prices lower than those determined based on take-or-pay contracts linked to oil price quotations.</w:t>
      </w:r>
    </w:p>
    <w:p>
      <w:r>
        <w:t>30. For these reasons, both shippers and any end customers interested in short-term supplies (for example, summer gas supplies to exploit available storage space) and/or the more economical procurement conditions practiced at European hubs cannot effectively replace the transport services of TAG and Tenp/Transitgas for this purpose with those of other natural gas import pipelines in Italy (TTPC/TMPC and Greenstream). The latter, in fact, are not connected to liquid hubs but to production sites located, respectively, in Algeria and Libya, from which gas procurement requires the signing of long-term contracts. For the aforementioned reasons, within the broader category of international pipeline transport infrastructures for the import of natural gas to Italy, the two pipelines that allow the transport of gas purchased at European spot markets (TAG and Tenp/Transitgas) identify a distinct relevant market.</w:t>
      </w:r>
    </w:p>
    <w:p>
      <w:r>
        <w:t>31. The above has led the Authority to define, for the purposes of the case at hand, a relevant market for international gas transport in Italy through the TAG and Tenp/Transitgas pipelines that are connected to the spot markets of Northern Europe.</w:t>
      </w:r>
    </w:p>
    <w:p>
      <w:r>
        <w:t>7 The TTPC/TMPC system represents the connection for transporting gas from Algeria to Italy and consists of the TTPC pipeline, which crosses Tunisian territory from the border with Algeria to the Sicilian Channel, and the underwater TMPC pipeline, which connects the Tunisian coast to Mazara del Vallo. The import capacity of the system is approximately 36 billion cubic meters/year. The capacity added with the last enhancement that came into operation in 2009, totaling 6.5 billion cubic meters/year, has been fully allocated to third operators. The underwater Greenstream pipeline connects the second entry terminal in southern Italy, that of Gela, to Libya, with a capacity of 10.6 billion cubic meters/year.</w:t>
      </w:r>
    </w:p>
    <w:p>
      <w:r>
        <w:t>BULLETIN NO. 36 OF SEPTEMBER 24, 2012 11</w:t>
      </w:r>
    </w:p>
    <w:p>
      <w:r>
        <w:t>32. Regarding the second market, in the initiation document it was confined to the activity of supplying gas to industrial customers (directly or through shippers), carried out at the national level, distinguishing it from that of supplying thermoelectric customers and small end customers.</w:t>
      </w:r>
    </w:p>
    <w:p>
      <w:r>
        <w:t>The dominant position</w:t>
      </w:r>
    </w:p>
    <w:p>
      <w:r>
        <w:t>33. Regarding the position held by Eni in the markets affected by the procedure, the initiation document noted that Eni is the historical incumbent in the gas sector in Italy and has a significant presence in all markets of the supply chain. In particular, it was observed that Eni is certainly the dominant operator in the relevant market of international gas transport in Italy by virtue of the transit rights on the TAG and Tenp/Transitgas pipelines and is the leading national operator in those downstream of the supply of gas to industrial customers.</w:t>
      </w:r>
    </w:p>
    <w:p>
      <w:r>
        <w:t>34. Regarding the first market, Eni holds long-term contracts for the utilization of the capacity of the Transitgas and TAG pipelines, for a share between 85% and 95% of the total capacity and for a share of about 67% on Tenp. In the past, Eni also controlled the TSOs (Transport System Operators), that is, the companies that manage the TAG, Tenp, and Transitgas pipelines. The control of the TSOs was ceded by Eni in the last months of 2011, in compliance with the commitments undertaken by the company within the community procedure Comp IV39315, conducted by the European Commission. However, this decision did not affect in any way the ownership of the long-term ship-or-pay contracts held by Eni, which, for the purposes of this case, constitutes a qualifying element of full control over the transport capacity of the two pipelines.</w:t>
      </w:r>
    </w:p>
    <w:p>
      <w:r>
        <w:t>35. Regarding the downstream market of gas sales to large industrial customers, the available information indicates that Eni accounted for a significant portion (about 36%) of the total supplies to such entities in 2010 (See AEEG, Annual Report 2011).</w:t>
      </w:r>
    </w:p>
    <w:p>
      <w:r>
        <w:t>VII. COMMITMENTS PROPOSED BY ENI</w:t>
      </w:r>
    </w:p>
    <w:p>
      <w:r>
        <w:t>36. On June 4, 2012, Eni S.p.A. submitted commitments under Article 14-ter of Law No. 287/90, aimed at resolving the issues related to the failure to transfer transport capacity through auctions.</w:t>
      </w:r>
    </w:p>
    <w:p>
      <w:r>
        <w:t>37. By resolution of June 12, 2012, the Authority decided to publish on its website the commitments proposed by Eni S.p.A., in order to allow interested third parties to express their observations. Furthermore, to fully verify whether and to what extent the commitments were able to address the competitive concerns expressed by the Authority, requests for information were made to 43 companies including thermoelectric companies, shippers, and industrial customers, as well as to the relevant trade associations operating in the sector. Additionally, the AEEG was asked to express its technical position taking into account the regulatory and market context, both national and community, in which the commitments presented by Eni S.p.A. are situated.</w:t>
      </w:r>
    </w:p>
    <w:p>
      <w:r>
        <w:t>38. The commitments presented by Eni S.p.A. pursuant to Article 14-ter of Law No. 287/90 concern the transfer of secondary transport capacity on the TAG and Tenp/Transitgas routes. In particular, the first version of the commitments, which, as will be illustrated later, was subject to ancillary modifications aimed at gathering some improvement proposals that emerged during the market test, provided as follows: i) Eni committed to making available to interested third parties, through auction, for a period of 5 years (from September 2012 to October 2017), 4 billion cubic meters/year of capacity.</w:t>
      </w:r>
    </w:p>
    <w:p>
      <w:r>
        <w:rPr>
          <w:b/>
        </w:rPr>
        <w:t>[Pages 10–12]</w:t>
      </w:r>
    </w:p>
    <w:p>
      <w:r>
        <w:t>12 BULLETIN NO. 36 OF SEPTEMBER 24, 2012</w:t>
      </w:r>
    </w:p>
    <w:p>
      <w:r>
        <w:t>of physical and/or virtual transport capacity allocated between the TAG pipeline and each section of Tenp/Transitgas. This capacity was divided into 32 variable lots, with a minimum size of 200,000 Smc/d. Regarding the allocation of lots between the two transport systems TAG and Transitgas, the commitments provided for the availability of 60% of the lots on TAG and 40% on Transitgas; ii) the transfer of physical transport capacity could occur through the transfer to third parties of secondary capacity held by Eni (subletting) based on long-term transport contracts concluded with the infrastructure owners (TSO); iii) as an alternative to subletting, Eni would also make available to third parties a virtual transport service, called logistical swap, structured according to the following scheme:</w:t>
        <w:br/>
        <w:t>- Eni withdraws from service users at the main gas exchanges of continental Europe (hubs) volumes of gas during the period for which individual users have secured the service;</w:t>
        <w:br/>
        <w:t>- Eni returns the same volumes of gas to the Italian PSV to the service users. The logistical swap service was offered by Eni in two different modes: one that provided for the possibility of delivering gas quantities at the foreign hub in a rigid manner (flat) and withdrawing at the PSV in a flexible manner based on the operator's needs; another that provided for the same flexibility both in the delivery of gas by the operator at the foreign hub and in the availability of gas at the PSV by Eni; iv) the two alternative services (subletting vs. swap) would be simultaneously offered by Eni, on a semi-annual, annual, and multi-year basis. This means that interested customers could submit bids for one or both services for 1, 2, 3, 4, or 5 consecutive thermal years starting from the first thermal year, namely 2012-2013. The capacity on a semi-annual basis would instead be offered year by year. Any quantities not assigned, on a multi-year basis, during each auction procedure would be offered in subsequent auctions, subject to the limit of volumes equal to 4 billion per year and the time limit of five years (no later than October 2017); v) the type of auction proposed by Eni was that of pay as bid. According to this methodology, the bids of all participants are ordered according to a descending price criterion until the quantity put up for auction is satisfied; the accepted bids are all those that contribute to covering the 4 billion offered; each participant pays the offered price. The auction mechanism proposed by Eni provided for a single auction for all types of products offered both with respect to duration (semi-annual, annual, and multi-year) and with respect to the type of service (subletting vs. swap); this made it possible, therefore, that in the first auction all capacity could go to a single product (for example, multi-year swap); vi) the auction bases were defined in relation to the transport tariffs applied by the TSOs of the pipelines concerned to the shippers and a "fair margin" to cover Eni's operational and commercial costs. For each thermal year, an update was provided based on changes to the transport tariffs applied by the TSOs to Eni in its long-term contracts, which implied that for the winners of multi-year auctions the auction base and therefore the price calculated on it could vary over the years; vii) if during the five-year duration of the commitments additional quantities of secondary capacity became available, Eni committed to offering such quantities to the market, coinciding with the auction procedures mentioned above, thus exceeding the 4 billion annual limit set in the commitments as a minimum commitment.</w:t>
      </w:r>
    </w:p>
    <w:p>
      <w:r>
        <w:t>BULLETIN NO. 36 OF SEPTEMBER 24, 2012</w:t>
      </w:r>
    </w:p>
    <w:p>
      <w:r>
        <w:t>VIII. OBSERVATIONS RECEIVED REGARDING THE COMMITMENTS</w:t>
      </w:r>
    </w:p>
    <w:p>
      <w:r>
        <w:t>Observations from companies and associations</w:t>
      </w:r>
    </w:p>
    <w:p>
      <w:r>
        <w:t>39. A total of 29 different operators participated in the market test, including 7 industrial customers, 13 shippers, 5 thermoelectric companies, and 4 associations (2 of industrial customers and 2 of shippers) that submitted their observations regarding the commitments presented by Eni. Furthermore, on July 20, 2012, the response from the AEEG to the Authority's request for a technical assessment of the commitments was received.</w:t>
      </w:r>
    </w:p>
    <w:p>
      <w:r>
        <w:t>40. Almost all of the participating companies expressed a general appreciation regarding the possibility of knowing ex-ante the quantities of secondary capacity that will certainly be offered by Eni for the next five years on TAG and Transitgas. However, these same companies simultaneously presented critical observations regarding the following aspects contemplated in the commitments: 1) timing of the auctions; 2) volumes of capacity put up for auction; 3) size of the lots; 4) distribution of capacity between the two transport systems; 5) auction method; 6) mode of transfer of capacity (physical, subletting, and virtual, swap).</w:t>
      </w:r>
    </w:p>
    <w:p>
      <w:r>
        <w:t>41. All participating operators stated that the scheduling of capacity auctions from September 2012 was problematic. In September of each year, in fact, both gas traders and large end customers typically have already concluded negotiations for the purchase of gas for the following thermal year. Therefore, there would be a high probability of low participation in the first annual auction or, worse still, many operators (given the multi-year nature of the auctions proposed by Eni) could be forced to submit a bid even without a real need for using the capacity during the first year.</w:t>
      </w:r>
    </w:p>
    <w:p>
      <w:r>
        <w:t>42. A large portion of the participants in the market test considered the volumes proposed by Eni unsuitable to meet the overall demand of operators at an adequate price, especially considering the proposed auction method, the pay as bid, which, in the presence of excess demand over supply, would tend to push the awarded price upwards, thereby neutralizing the advantage derived from purchasing gas at a lower price from Northern Europe.</w:t>
      </w:r>
    </w:p>
    <w:p>
      <w:r>
        <w:t>43. Almost all operators highlighted the need for greater availability of capacity on Tenp/Transitgas compared to TAG, since the former pipeline is certainly more relevant for transporting gas from markets with a higher degree of "liquidity" (TTF, ZEE, PEG); moreover, the assessment of a lesser need for secondary capacity on TAG compared to Transitgas also emerged from the market test as a result of the aforementioned changes in the management of primary capacity by the TAG pipeline TSO, which provides for the use it or lose it mechanism on a day-ahead basis.</w:t>
      </w:r>
    </w:p>
    <w:p>
      <w:r>
        <w:t>44. Some operators emphasized the need to reduce the amount of capacity allocated to each lot, consequently increasing the number of lots, in order to allow broader participation in the auction by all interested operators, including smaller ones.</w:t>
      </w:r>
    </w:p>
    <w:p>
      <w:r>
        <w:t>45. The pay as bid mechanism proposed by Eni S.p.A was considered, by most of the companies participating in the market test, suitable for determining excessively high premiums, which would translate into a corresponding greater burden for transport on the winning companies and a competitive advantage for Eni in the downstream gas sales market to end customers. This effect would be amplified in the presence of "insufficient" volumes of capacity put up for auction compared to demand. Many participants in the market test proposed, as an alternative auction mechanism, the so-called "system marginal price," while a more limited number suggested the use of the so-called convergence auction (or multi-round clock ascending auction). Some industrial customers instead requested that all offered capacity be reserved for them and allocated through a pro-rata allocation mechanism. Moreover, some operators complained that, even through the provision of a "fair margin" as an additional component of the tariffs based on the auction base, Eni would have derived undue profits. These operators also expressed the opinion that Eni's auction profits should somehow be redistributed as compensation for the failure to hold capacity auctions in 2011.</w:t>
      </w:r>
    </w:p>
    <w:p>
      <w:r>
        <w:t>46. Although a limited number of subjects highlighted the possible benefits that would arise from the multi-year nature of the auctions, for the purposes of more efficient procurement portfolio planning, far more companies emphasized the disadvantages. Such disadvantages would lie in the risk of binding the multi-year capacity purchaser to a quantity and price (lock-in) that could prove costly or inefficient over time. This problem would be overcome with much shorter reference periods for the offered products (annual or even seasonal) that reflect the actual liquidity of the markets.</w:t>
      </w:r>
    </w:p>
    <w:p>
      <w:r>
        <w:t>47. Most of the participating shippers, as well as their main associations, expressed concern that the logistical swap proposed by Eni could limit their access to physical transport capacity, weakening competition in the sales market and having negative effects for industrial customers. Furthermore, if the swap became the predominant option for industrial customers, it would completely "displace" the subletting of capacity, preventing the</w:t>
      </w:r>
    </w:p>
    <w:p>
      <w:r>
        <w:t>14 Among them [omitted], Meta Energia S.p.A. and Cartiere Modesto Cardella S.p.A.</w:t>
      </w:r>
    </w:p>
    <w:p>
      <w:r>
        <w:t>15 Gas Intensive Scarl, Burgo Energia S.r.l., Enoi S.p.A., Energy Trading International S.p.A., 2BEnergia S.p.A., Tenaris Dalmine S.p.A., ItalTrading S.p.A., BP Italia S.p.A., Sorgenia S.p.A., Yara Italia, Tera Energy Management, Eon, AIGET.</w:t>
      </w:r>
    </w:p>
    <w:p>
      <w:r>
        <w:t>16 Burgo Energia S.r.l., Enoi S.p.A., Sorgenia S.p.A., E.On and Consorzio Toscana Energia; Tenaris Dalmine S.p.A. and Shell Italia S.p.A. referred to the system marginal price method subordinate to the pro-rata allocation mechanism they preferred.</w:t>
      </w:r>
    </w:p>
    <w:p>
      <w:r>
        <w:t>17 The system marginal price auction type provides that bids are ordered according to price (merit order), starting from the highest bid, the accepted bids (until the capacity put up for auction is exhausted) and that the price offered in the last accepted bid (marginal price) is used as the award price for all others. The convergence auction, on the other hand, allows participants to progressively adjust their bid in terms of price and quantity in subsequent sessions until reaching an equilibrium price.</w:t>
      </w:r>
    </w:p>
    <w:p>
      <w:r>
        <w:t>18 Gas Intensive Scarl, Energy Trading International S.p.A., Tenaris Dalmine S.p.A., Tera Energy Management S.r.l. and Shell Italia S.p.A.</w:t>
      </w:r>
    </w:p>
    <w:p>
      <w:r>
        <w:t>19 AIGET, Gas Intensive S.c. a r.l., [omitted], Italtrading S.p.A, BP Italia S.p.A., Enoi S.p.A., Sorgenia S.p.A. and Yara Italia S.p.A.</w:t>
      </w:r>
    </w:p>
    <w:p>
      <w:r>
        <w:t>20 These are largely subjects who also claim to already have, or be interested in entering into, long-term gas import contracts such as [omitted], Elga Trade SA, Energy Trading International S.p.A., Gas Plus Italiana S.p.A. and 2BEnergia S.p.A., as well as the end industrial customer, Tenaris Dalmine S.p.A.</w:t>
      </w:r>
    </w:p>
    <w:p>
      <w:r>
        <w:t>21 Burgo Energia S.r.l., Enoi S.p.A., ItalTrading S.p.A., BP Italia S.p.A., Sorgenia S.p.A., Alpiq Energia Italia S.p.A., Edison S.p.A. and AIGET.</w:t>
      </w:r>
    </w:p>
    <w:p>
      <w:r>
        <w:t>22 Sorgenia S.p.A., 2BEnergia S.p.A., Edison S.p.A., Enoi S.p.A., [omitted], Shell Italia S.p.A., ItalTrading S.p.A. and [omitted].</w:t>
      </w:r>
    </w:p>
    <w:p>
      <w:r>
        <w:t>23 AIGET and Libera Energia S.r.l.</w:t>
      </w:r>
    </w:p>
    <w:p>
      <w:r>
        <w:rPr>
          <w:b/>
        </w:rPr>
        <w:t>[Pages 13–15]</w:t>
      </w:r>
    </w:p>
    <w:p>
      <w:r>
        <w:t>BULLETIN NO. 36 OF SEPTEMBER 24, 2012 15</w:t>
      </w:r>
    </w:p>
    <w:p>
      <w:r>
        <w:t>Eni's competitors to offer, themselves, the swap service optimizing the management of their own portfolio. Finally, according to the shippers, the swap, in the event that Eni had also proposed itself as a supplier of gas upstream on foreign hubs, would have guaranteed Eni a captive market (demand from industrial customers), further reducing the share of contestable gas demand.</w:t>
      </w:r>
    </w:p>
    <w:p>
      <w:r>
        <w:t>48. Industrial customers, through the Gas Intensive consortium, did not express a critical position regarding the swap, appreciating the possibility of having an additional option compared to mere subletting. However, some of these industrial customers did not show interest in using this tool, also to avoid the risk of having to commit to withdrawing volumes abroad, on which the offer was made, even in the face of potential changes in market conditions (for example, in the presence of a reversal of the price spread between Northern Europe and Italy).</w:t>
      </w:r>
    </w:p>
    <w:p>
      <w:r>
        <w:t>49. Finally, a more general aspect was raised by some participants in the market test (who considered the commitments as a mere anticipation of the community regulation that will soon impose on Eni, under more burdensome conditions than those provided for in the commitments, the release of unused capacity).</w:t>
      </w:r>
    </w:p>
    <w:p>
      <w:r>
        <w:t>The observations received from the AEEG</w:t>
      </w:r>
    </w:p>
    <w:p>
      <w:r>
        <w:t>50. In its communication of July 20, 2012, the AEEG highlighted that Eni's commitments are set within a context characterized by two main elements. The first is the evolution of community regulation, which requires member states to align the rules for capacity allocation and congestion resolution with the European network codes, which are currently being defined and approved. The other is represented by the persistent condition of excess gas supply that characterizes the Italian market. Both contextual elements lead to the belief that the price differential between the PSV and the main spot markets in Northern Europe, although still appreciable at present, may tend to decrease over time.</w:t>
      </w:r>
    </w:p>
    <w:p>
      <w:r>
        <w:t>51. At the same time, however, the AEEG emphasized the uncertainties that still exist regarding the timing and final contents of the new regulations, uncertainties with respect to which, in the AEEG's view, Eni's commitments could provide a positive form of coverage for operators, provided they are accompanied by extensive information on ongoing developments, allowing them to make informed choices. This need for extensive information, in the AEEG's view, would have been particularly felt if the provision for multi-year capacity allocations had been maintained (considered particularly critical in a perspective of evolving markets).</w:t>
      </w:r>
    </w:p>
    <w:p>
      <w:r>
        <w:t>52. The AEEG also noted that the Tenp/Transitgas direction assumes greater relevance than that of the Tag, both because it has upstream the most liquid hubs and because it crosses Switzerland, where the community regulatory framework is not yet applicable.</w:t>
      </w:r>
    </w:p>
    <w:p>
      <w:r>
        <w:t>24 It is evident, in fact, that to offer the logistical swap service it is essential to have physical import capacity on at least one of the gas supply infrastructures in Italy, which allows for the import of gas that is then sold to the PSV to the counterparty of the swap service. The availability of physical capacity guaranteed by subletting could thus allow Eni's competing shippers to offer such a service themselves, which could be particularly appreciated by at least some of the large industrial customers.</w:t>
      </w:r>
    </w:p>
    <w:p>
      <w:r>
        <w:t>25 In support of this thesis, the intervening shippers cited the case of the virtual storage service made operational in the first year of validity of Legislative Decree No. 130/2010 when many of the industrial customers who purchased virtual storage quotas for the thermal year 2010-2011 also purchased gas from Eni to be stored "virtually".</w:t>
      </w:r>
    </w:p>
    <w:p>
      <w:r>
        <w:t>26 Tenaris Dalmine S.p.A. and Burgo Energia S.r.l..</w:t>
      </w:r>
    </w:p>
    <w:p>
      <w:r>
        <w:t>27 Sorgenia S.p.A., 2BEnergia S.p.A., Edison S.p.A., AIGET.</w:t>
      </w:r>
    </w:p>
    <w:p>
      <w:r>
        <w:t>16 BULLETIN NO. 36 OF SEPTEMBER 24, 2012</w:t>
      </w:r>
    </w:p>
    <w:p>
      <w:r>
        <w:t>IX. ENI'S RESPONSE TO THIRD PARTY OBSERVATIONS AND ANCILLARY MODIFICATIONS OF THE COMMITMENTS</w:t>
      </w:r>
    </w:p>
    <w:p>
      <w:r>
        <w:t>53. In order to incorporate some improvement proposals that emerged from the market test, Eni has made the following ancillary modifications.</w:t>
      </w:r>
    </w:p>
    <w:p>
      <w:r>
        <w:t>1) Eni commits to conducting auctions only on an annual and seasonal basis and no longer on a multi-year basis;</w:t>
        <w:br/>
        <w:t>2) Eni commits to increasing the transport capacity volumes from 4 billion cubic meters to 5 billion cubic meters. The size of the lots has been reduced compared to the originally proposed size (from a minimum lot of 0.2 million Nmc/d to 0.13 million Nmc/d);</w:t>
        <w:br/>
        <w:t>3) Eni commits to offering the logistical swap service limited to 1 billion cubic meters of capacity; while the other 4 billion subject to commitment will be released according to the method of subletting. Any capacity not allocated with the swap will be offered in sub-letting;</w:t>
        <w:br/>
        <w:t>4) if Eni decides to independently offer additional quantities of available capacity, beyond that overall transferred based on the commitments, with characteristics and methods similar to the swap, it commits to providing prior notice to the Authority with adequate advance notice of the expected publication date of the swap auction notice;</w:t>
        <w:br/>
        <w:t>5) Eni commits to conducting the auctions according to the so-called system marginal price and no longer based on the pay as bid method;</w:t>
        <w:br/>
        <w:t>6) Eni commits, for the four billion cubic meters offered in subletting mode, to reverse the allocation of volumes between the two pipelines TAG and Tenp/Transitgas, providing that 60% of the lots be offered on the Tenp/Transitgas system and 40% on the TAG; furthermore, Eni proposes that the entire quantity offered through the swap service concern exclusively the Tenp/Transitgas system;</w:t>
        <w:br/>
        <w:t>7) to address the critical issues that emerged regarding the timing proposed in the commitments, Eni, in the event of non-allocation of all the capacity put up for auction in September 2012, proposes to conduct an additional auction at the end of the five-year duration of the commitments (i.e., in the thermal year 2017-2018) for a quantity equal to that possibly not allocated in the 2012-2013 auction, with a maximum volume cap of 2 billion cubic meters. This auction will exclusively concern the Tenp/Transitgas direction;</w:t>
        <w:br/>
        <w:t>8) within two months of the expiration of each thermal year of the commitments, Eni will send a report to the Authority containing a brief summary regarding: i) the auctions published pursuant to the commitments; ii) their outcomes; iii) the prior notices to the Authority regarding any further (beyond what is provided for in the commitments) swap auctions.</w:t>
      </w:r>
    </w:p>
    <w:p>
      <w:r>
        <w:t>54. On July 27, 2012, Eni also submitted its own memorandum aimed at discussing some of the issues that emerged in the market test. In particular, Eni presented its counterarguments on the adequacy of the quantity of capacity offered, on the auction mechanisms to be adopted for the allocation of capacity, and on the appropriateness of the logistical swap offer. Eni also provided a general argument in favor of the suitability of the commitments to address the competitive concerns expressed by the Authority, also reiterating the AEEG's arguments regarding the uncertainties of the timing of the new community regulation and the fact that it will not apply, in any case, to the Transitgas pipeline that crosses Switzerland.</w:t>
      </w:r>
    </w:p>
    <w:p>
      <w:r>
        <w:t>X. EVALUATION OF THE COMMITMENTS</w:t>
      </w:r>
    </w:p>
    <w:p>
      <w:r>
        <w:t>55. As stated in the Introduction, this proceeding concerns the verification of possible restrictions of competition, in violation of Article 102 of the EC Treaty, attributable to the behavior of the company Eni consisting of the decision to interrupt international transport capacity auctions on the TAG and Tenp/Transitgas routes for the summer of 2011 and for the entire thermal year 2011-2012, despite the presence of unused capacity on both pipelines and several operators interested in accessing that capacity.</w:t>
      </w:r>
    </w:p>
    <w:p>
      <w:r>
        <w:t>56. In this regard, the commitment consisting of making available for a certain number of years a minimum amount of secondary capacity by Eni appears suitable to remove the competitive concerns raised by the Authority in the initiation measure. The investigative hypothesis was, in fact, that by exercising the discretion it had, in its capacity as holder of the majority of primary capacity rights on the TAG and Transitgas pipelines, Eni had abused its dominant position in the relevant markets by deciding, for the year 2011, not to conduct auctions for the transfer of secondary capacity. The certainty that every year, regardless of any market situation that may arise, Eni will make available a minimum of 5 billion cubic meters of secondary capacity (3.4 billion on the Tenp/Transitgas system and 1.6 billion on the TAG) undoubtedly represents a positive element on which to build a stable presence in the final market for the sale of Italian gas. Moreover, Eni specifies that this amount of capacity may only vary, in an increasing manner, where the prerequisites occur.</w:t>
      </w:r>
    </w:p>
    <w:p>
      <w:r>
        <w:t>57. The commitment, as structured, allows for a stable basis and in anticipation of future community-based regulation, the direct communication of the Italian market (and in particular of the so-called PSV or Virtual Exchange Point) with the liquid markets of Northern Europe, allowing for the reduction of the existing spread between these markets and the domestic one. Large industrial customers, such as the reporting GI, will thus be able to take advantage of the capacity made available on a stable basis by Eni to reduce their national gas procurement costs to the level of their European competitors; Eni's competing shippers will instead be able to take advantage of the capacity put up for auction to facilitate their procurement at lower costs for that type of medium-large consumers who do not have the size and know-how to integrate upstream into the gas procurement activity.</w:t>
      </w:r>
    </w:p>
    <w:p>
      <w:r>
        <w:t>58. In their final formulation, the commitments proposed by Eni also allow for overcoming a series of critical issues raised by industry operators during the market test regarding the concrete modalities of conducting capacity auctions as well as the products that Eni had initially proposed to offer.</w:t>
      </w:r>
    </w:p>
    <w:p>
      <w:r>
        <w:t>59. In the market test, strong critical issues primarily emerged regarding Eni's proposal to start the auctions from September 2012. This was because end customers (and thus also their supplier shippers) typically close supply contracts for the following thermal year at the beginning of summer; this concern was heightened by Eni's initial proposal to also offer multi-year capacity, which could make it necessary to purchase capacity for the first year even if it was not needed.</w:t>
      </w:r>
    </w:p>
    <w:p>
      <w:r>
        <w:t>60. In their final version, the commitments contain elements capable of addressing these concerns. First, Eni proposes to conduct only annual and semi-annual auctions, renouncing the idea of multi-year auctions. Second, Eni commits, if the first auction in September 2012 does not allocate all the offered capacity, to conduct a new auction in the sixth year for the capacity not allocated in the first, albeit only on the Transitgas pipeline and up to a value of 2 billion cubic meters. The elimination of multi-year auctions appears to adequately respond to the need to avoid lock-in effects in a market and regulatory context characterized by strong uncertainty regarding future dynamics in the coming years.</w:t>
      </w:r>
    </w:p>
    <w:p>
      <w:r>
        <w:rPr>
          <w:b/>
        </w:rPr>
        <w:t>[Pages 16–18]</w:t>
      </w:r>
    </w:p>
    <w:p>
      <w:r>
        <w:t>18 BULLETIN NO. 36 OF SEPTEMBER 24, 2012</w:t>
      </w:r>
    </w:p>
    <w:p>
      <w:r>
        <w:t>61. It is also noteworthy that the commitments, in their final version, assign a marginal role to the logistical swap product (1 billion cubic meters per year) compared to the transfer of secondary capacity through sub-letting (4 billion cubic meters per year), thereby promoting a correct competitive dynamic in the downstream market for gas supply to end customers. In fact, this proportion between swap and sub-letting does not appear to be suitable in itself to prejudice the operations of Eni's competing shippers in the final sales markets and, at the same time, may allow some industrial customers to benefit from the facilitation that this service can offer, reducing the costs associated with the logistical organization of imports. In this regard, the Authority also positively assesses Eni's commitment to communicate in advance for the next five years all autonomous decisions that Eni may take regarding any increases in capacity transfers through swaps. Such prior communication will indeed enable the Authority to evaluate ex ante whether the level of logistical swap product that Eni intends to offer - also in relation to the amount of physical capacity simultaneously made available by the company - exceeds the quantity beyond which it could produce undesirable effects on the market.</w:t>
      </w:r>
    </w:p>
    <w:p>
      <w:r>
        <w:t>62. The choice to reserve a greater availability of capacity on the Tenp/Transitgas route, compared to TAG (respectively 60% and 40% of the capacity in sub-letting, plus the reserve on the Tenp/Transitgas route of the entire swap service) allows for broader access to the more liquid markets where operators can benefit from lower prices compared to those present in national markets. A positive assessment regarding the choice to make greater capacity available on this pipeline also derives, as noted by the AEEG during the market test, from the fact that the Transitgas pipeline crosses Swiss territory, where the community regulatory framework may not apply, which in the coming years will improve congestion resolution procedures.</w:t>
      </w:r>
    </w:p>
    <w:p>
      <w:r>
        <w:t>63. Also positive is Eni's final choice to conduct auctions according to the system marginal price method, different from the pay as bid proposed in the first version of the commitments. The procedure provided by the system marginal price method is indeed functional to temper the level of the award price paid by the subjects to whom the transport capacity will be attributed and to reduce the excess rents in favor of Eni. This measure, therefore, also serves as an indirect form of compensation for the failure to conduct auctions in the summer of 2011 and in the 2011-2012 thermal year.</w:t>
      </w:r>
    </w:p>
    <w:p>
      <w:r>
        <w:t>64. Ultimately, it is believed that the commitments presented by Eni, concerning the systematic release of minimum defined transport capacity volumes ex ante for a period of five years (potentially extendable to the sixth year) on the routes that represent the relevant markets in this proceeding, are suitable to eliminate the anticompetitive profiles hypothesized in the initiation order of the investigation, also in light of what emerged from the observations of industry operators during the market test.</w:t>
      </w:r>
    </w:p>
    <w:p>
      <w:r>
        <w:t>CONSIDERING therefore that the commitments presented by Eni S.p.A. are such as to eliminate, in the sense indicated above, the anticompetitive profiles subject to the investigation;</w:t>
      </w:r>
    </w:p>
    <w:p>
      <w:r>
        <w:t>CONSIDERING to order the mandatory nature of the commitments undertaken by Eni S.p.A. pursuant to Article 14-ter, paragraph 1, of Law No. 287/90;</w:t>
      </w:r>
    </w:p>
    <w:p>
      <w:r>
        <w:t>CONSIDERING, therefore, that it is possible to close the proceeding initiated by resolution of March 6, 2012, without establishing the infringement, pursuant to Article 14-ter, paragraph 1, of Law No. 287/90;</w:t>
      </w:r>
    </w:p>
    <w:p>
      <w:r>
        <w:t>All of the above having been stated and considered:</w:t>
      </w:r>
    </w:p>
    <w:p>
      <w:r>
        <w:t>BULLETIN NO. 36 OF SEPTEMBER 24, 2012</w:t>
      </w:r>
    </w:p>
    <w:p>
      <w:r>
        <w:t>RESOLUTION</w:t>
      </w:r>
    </w:p>
    <w:p>
      <w:r>
        <w:t>a) to make the commitments presented by Eni S.p.A. mandatory pursuant to Article 14-ter, paragraph 1, of Law No. 287/90, in the terms described above and attached to this provision, which are an integral part thereof;</w:t>
      </w:r>
    </w:p>
    <w:p>
      <w:r>
        <w:t>b) to close the proceeding without establishing the infringement pursuant to Article 14-ter, paragraph 1, of Law No. 287/90;</w:t>
      </w:r>
    </w:p>
    <w:p>
      <w:r>
        <w:t>c) that Eni S.p.A., within sixty days from the date of notification of this provision, informs the Authority of the actions taken to implement the commitments undertaken and that, within two months from the expiration of each thermal year of the commitments, Eni S.p.A. will send a compliance report to the Authority in the terms described above.</w:t>
      </w:r>
    </w:p>
    <w:p>
      <w:r>
        <w:t>This provision will be notified to the interested parties and published in the Bulletin of the Antitrust Authority.</w:t>
      </w:r>
    </w:p>
    <w:p>
      <w:r>
        <w:t>THE SECRETARY GENERAL THE PRESIDENT</w:t>
        <w:br/>
        <w:t>Roberto Chieppa Giovanni Pitruzzella</w:t>
      </w:r>
    </w:p>
    <w:p>
      <w:r>
        <w:t>20 BULLETIN NO. 36 OF SEPTEMBER 24, 2012</w:t>
      </w:r>
    </w:p>
    <w:p>
      <w:r>
        <w:t>CONCENTRATION OPERATIONS</w:t>
      </w:r>
    </w:p>
    <w:p>
      <w:r>
        <w:t>C11589 - BOLTON GROUP INTERNATIONAL/LUIS CALVO SANZ</w:t>
      </w:r>
    </w:p>
    <w:p>
      <w:r>
        <w:t>Provision No. 23873</w:t>
      </w:r>
    </w:p>
    <w:p>
      <w:r>
        <w:t>THE ANTITRUST AUTHORITY</w:t>
      </w:r>
    </w:p>
    <w:p>
      <w:r>
        <w:t>IN ITS MEETING of September 6, 2012;</w:t>
      </w:r>
    </w:p>
    <w:p>
      <w:r>
        <w:t>HEARD the Rapporteur Professor Piero Barucci;</w:t>
      </w:r>
    </w:p>
    <w:p>
      <w:r>
        <w:t>VIEWED Law No. 287 of October 10, 1990;</w:t>
      </w:r>
    </w:p>
    <w:p>
      <w:r>
        <w:t>VIEWED the communication from Bolton Group International S.r.l., received on April 20, 2012;</w:t>
      </w:r>
    </w:p>
    <w:p>
      <w:r>
        <w:t>VIEWED its request for information, sent on May 21, 2012, with consequent interruption of the deadlines pursuant to Article 5, paragraph 3, of D.P.R. No. 217/1998;</w:t>
      </w:r>
    </w:p>
    <w:p>
      <w:r>
        <w:t>VIEWED the response from Bolton Group International S.r.l. to the aforementioned request for information, received on June 26, 2012;</w:t>
      </w:r>
    </w:p>
    <w:p>
      <w:r>
        <w:t>VIEWED its resolution of July 25, 2012, with which the proceeding against Bolton Group International S.r.l. was initiated pursuant to Article 16, paragraph 4, of Law No. 287/90;</w:t>
      </w:r>
    </w:p>
    <w:p>
      <w:r>
        <w:t>VIEWED the acts of the proceeding and the documentation acquired during the investigation;</w:t>
      </w:r>
    </w:p>
    <w:p>
      <w:r>
        <w:t>VIEWED the deadline for concluding the investigative phase set for September 3, 2012;</w:t>
      </w:r>
    </w:p>
    <w:p>
      <w:r>
        <w:t>CONSIDERED the following:</w:t>
      </w:r>
    </w:p>
    <w:p>
      <w:r>
        <w:t>I. THE PARTIES</w:t>
      </w:r>
    </w:p>
    <w:p>
      <w:r>
        <w:t>1. Bolton Group International S.r.l. (hereinafter, "Bolton") is a limited liability company under Italian law, at the head of the homonymous group active worldwide in the production and marketing of a wide range of consumer goods, including food products, household cleaning products, cosmetics and personal care products, adhesives, and glues. In 2011, the worldwide revenue of the Bolton group was [1-2] billion euros, of which approximately [700-1000] million were generated in Italy.</w:t>
      </w:r>
    </w:p>
    <w:p>
      <w:r>
        <w:t>2. In the various reference markets, Bolton is present with brands particularly well-known to consumers, such as, in the food sector, "Rio Mare," "Palmera," "Alco," "Manzotin," "Petreet"; in the household hygiene sector, "Omino Bianco," "WC Net," "Smac," "Vetril"; in the cosmetics and personal care products sectors, "Collistar," "Neutro Roberts," "Borotalco," "Chilly," "Somatoline"; in the adhesives and glues sector, "UHU," "Bison," "Bostik." Specifically regarding the canned fish markets, in addition to the aforementioned brands Rio Mare, Palmera, and Alco, Bolton holds the brand "Saupiquet," particularly well-known in France and Germany. The production activities of canned fish are concentrated in the plant in Cermenate, in the province of Como, where raw materials are processed that are entirely purchased from operators active in international trading.</w:t>
      </w:r>
    </w:p>
    <w:p>
      <w:r>
        <w:rPr>
          <w:b/>
        </w:rPr>
        <w:t>[Pages 19–21]</w:t>
      </w:r>
    </w:p>
    <w:p>
      <w:r>
        <w:t>BULLETIN NO. 36 OF SEPTEMBER 24, 2012 21</w:t>
      </w:r>
    </w:p>
    <w:p>
      <w:r>
        <w:t>3. Luis Calvo Sanz S.A. (hereinafter, “Calvo”) is a Spanish joint-stock company at the head of the eponymous group, active worldwide in the food sector and particularly in the various markets of fish preserves: the control of Calvo is in turn attributable to a group of individuals belonging to the Calvo family. In 2011, Calvo's worldwide revenue was [100-468] million euros, of which approximately [47-100] million was generated in Italy.</w:t>
      </w:r>
    </w:p>
    <w:p>
      <w:r>
        <w:t>4. Internationally, Calvo's presence is particularly significant in Spain and Brazil, where the group's fish preserve production activities are concentrated, and marketing activities occur respectively under the brands “Calvo” and “Gomes da Costa”; Calvo also has a production facility in the state of El Salvador and a fleet of six fishing vessels dedicated to sourcing raw materials. In Italy, Calvo operates through the controlled company Nostromo S.p.A. (hereinafter, “Nostromo”), which produces and markets fish preserves under the “Nostromo” brand.</w:t>
      </w:r>
    </w:p>
    <w:p>
      <w:r>
        <w:t>II. DESCRIPTION OF THE OPERATION</w:t>
      </w:r>
    </w:p>
    <w:p>
      <w:r>
        <w:t>5. The notified operation involves the acquisition by Bolton of a shareholding corresponding to approximately 40% of Calvo, while the remaining 60% will continue to be held by the Calvo family, based on a specific share purchase agreement (sale and purchase agreement) entered into by Bolton, the shareholders of the Calvo family, and a financial company.</w:t>
      </w:r>
    </w:p>
    <w:p>
      <w:r>
        <w:t>6. By virtue of agreements made with the majority shareholder and incorporated into specific shareholders' agreements, the board of directors of Calvo will be composed of [omitted] representatives of the Calvo family and [omitted] from Bolton, through which the latter will be able to exercise a significant number of veto rights on strategic decisions of the company – such as [omitted] – which go well beyond those generally conferred to minority shareholders, thus resulting in a joint control of Calvo by Bolton and the Calvo family.</w:t>
      </w:r>
    </w:p>
    <w:p>
      <w:r>
        <w:t>7. Alongside the share purchase agreement, Bolton and Calvo have also signed a complementary agreement (side letter) whereby Bolton has committed not to intervene in any way in the strategic decisions of Calvo regarding the subsidiary Nostromo, in order to ensure total operational autonomy and preserve the separation of the respective commercial structures and brands of the parties involved in the operation (Annex 4 to doc. 2.32; doc. 3.71).</w:t>
      </w:r>
    </w:p>
    <w:p>
      <w:r>
        <w:t>III. QUALIFICATION OF THE OPERATION</w:t>
      </w:r>
    </w:p>
    <w:p>
      <w:r>
        <w:t>8. The notified operation, as it involves the acquisition of joint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468 million euros.</w:t>
      </w:r>
    </w:p>
    <w:p>
      <w:r>
        <w:t>IV. THE PROCEDURE</w:t>
      </w:r>
    </w:p>
    <w:p>
      <w:r>
        <w:t>9. On July 25, 2012, the Authority initiated an investigation procedure pursuant to Article 16, paragraph 4, of Law No. 287/90, against Bolton, believing that the operation could lead, pursuant to Article 6 of Law No. 287/90, to the creation or strengthening of a dominant position, such as to eliminate or substantially and durably reduce competition in the markets for the production and marketing of tuna and salmon preserves. With the same provision, the Authority considered that the operation did not raise competitive concerns regarding the markets for the production and marketing of mackerel, sardines, and anchovies.</w:t>
      </w:r>
    </w:p>
    <w:p>
      <w:r>
        <w:t>10. The initiation provision was notified to Bolton on July 26, 2012, and published on the Authority's website on July 27, 2012. From that date, the deadlines for submitting any requests to participate in the investigation, pursuant to Article 7 of Presidential Decree No. 217/98, began; no party submitted a request. During the procedure, Bolton was heard in hearings on July 27 and August 27, 2012; the same company also repeatedly exercised its right of access to the documents of the investigation file.</w:t>
      </w:r>
    </w:p>
    <w:p>
      <w:r>
        <w:t>11. During the procedure, information requests were sent to the companies Carrefour S.p.A., Sicilconad Mercurio soc.coop., Conad Sicilia Soc.Coop., Nordiconad Soc.Coop., Commercianti Indip. Associati Soc.Coop., Conad del Tirreno Soc.Coop., Pac2000A Soc.Coop., Conad Centro Nord Soc.Coop., Unicoop Tirreno, Unicoop Firenze, Coop Liguria Soc. Coop., Nova Coop Soc. Coop., Coop Estense S.c. a r.l., Coop Centro Italia, S.c. a r.l., Esselunga S.p.A., Gruppo Auchan S.p.A., Selex Gruppo Commerciale S.r.l.; the same companies had also previously received a request for information before the initiation of the procedure, along with the companies Delicious Rizzoli S.p.A., Generale Conserve S.p.A., Giacinto Callipo Conserve Alimentari S.p.A., ICAT Food S.p.A., Igino Mazzola S.p.A., Mare Aperto S.r.l., Mareblu S.r.l., Rizzoli Emanuelli S.p.A. Finally, during the procedure, information requests were sent to the companies Generale Conserve S.r.l., Nino Castiglione S.r.l., ICAT Food S.p.A., Igino Mazzola S.p.A., Mareblu S.r.l., Giacinto Callipo Conserve Alimentari S.p.A.</w:t>
      </w:r>
    </w:p>
    <w:p>
      <w:r>
        <w:t>V. THE INVESTIGATIVE FINDINGS</w:t>
      </w:r>
    </w:p>
    <w:p>
      <w:r>
        <w:t>V.I. Characteristics of the sector and definition of relevant markets</w:t>
      </w:r>
    </w:p>
    <w:p>
      <w:r>
        <w:t>12. The operation concerns the food preserves sector, and specifically fish preserves, in which both Bolton and Calvo are active. A preserve refers to the process aimed at packaging a food product in a hermetically sealed container to prevent gas, liquids, and microorganisms under normal conditions of use, possibly subjected to treatments (e.g., thermal or chemical) and/or the addition of substances capable of preserving its organoleptic characteristics and maintaining its edibility over time. Regarding fish preserves specifically, the production process is evidently conditioned by fishing activities, which are subject to complex regulations at both national and international levels that, particularly within the European Union (the largest single fishing market in the world and a net importer of fish and fish products), are currently undergoing a significant review process aimed at preserving fish stocks and maintaining the sustainability of marine ecosystems.</w:t>
      </w:r>
    </w:p>
    <w:p>
      <w:r>
        <w:t>13. The regulation of fishing activities and their conduct worldwide evidently affects the competitive dynamics of the various markets identifiable in the sector, as well as the trend of global demand, which in recent years has increasingly been influenced by the increase in consumption recorded in emerging countries (particularly in the Asia-Pacific and Latin America regions). In fact, regarding certain fish species - notably tuna - several traditionally net-exporting countries are significantly increasing domestic consumption, with consequent effects on international raw material trading prices: this has led, among other things, to a marked search by the main operators in the preserves sector for operational efficiencies through vertical integration between fishing, processing, and marketing activities of the products.</w:t>
      </w:r>
    </w:p>
    <w:p>
      <w:r>
        <w:t>14. Fishing activities are complemented by aquaculture activities, which involve the production of fish in human-controlled environments, further distinguishable into intensive or extensive production depending on whether the farming density is increased beyond natural productivity with artificial feeding integration. The classification of a specific fish product as either wild-caught or farmed leads to significant differences in the industrial and commercial dynamics of the supply chain (e.g., seasonality of certain activities, occurrence of so-called “biological rest” periods aimed at allowing the natural stocks to regenerate, situations of stock breakdown for various reasons leading to price variations of the raw material, etc.).</w:t>
      </w:r>
    </w:p>
    <w:p>
      <w:r>
        <w:t>15. Within the realm of fish preserves, three major groups are typically distinguished based on the animal product composition, namely fish, mollusks, and crustaceans. The main types of fish-based preserves are classified as (1) tuna; (2) sardines; (3) anchovies; (4) mackerel; (5) salmon: in all cases, the starting raw material can be fresh or frozen fish, leading to some differences in the production process. If, in fact, it involves frozen fish, a preliminary processing phase consisting of thawing is necessary, followed by the phases - common to the processing of fresh fish - of washing, head removal, and gutting.</w:t>
      </w:r>
    </w:p>
    <w:p>
      <w:r>
        <w:t>16. The resulting product undergoes various processes of precooking, finishing (e.g., removal of skins and bones), cutting, washing, sorting, canning, addition of so-called preserving liquid (oil or brine), hermetic sealing of the container using different technologies (can seaming, capping, or heat sealing), and sterilization, followed by distribution and marketing phases, during which fish preserves become available to consumers through the retail channel in its various specifications (traditional distribution and organized large-scale distribution, so-called “G.D.O.”, within which the discount channel is further distinguishable).</w:t>
      </w:r>
    </w:p>
    <w:p>
      <w:r>
        <w:t>17. According to previous provisions of the Authority, in the fish preserves sector, it is possible to distinguish as many relevant markets as there are different types of fish used. Taking into account the above regarding the contents of the initiation provision, the effects of the operation are hereinafter considered only concerning the markets for the production and marketing of tuna and salmon preserves.</w:t>
      </w:r>
    </w:p>
    <w:p>
      <w:r>
        <w:t>V.II. The market for the production and marketing of tuna preserves</w:t>
      </w:r>
    </w:p>
    <w:p>
      <w:r>
        <w:t>18. Tuna preserves come in a variety of preparations depending on the parts of the animal used (fillets, chunks), the use of different preserving liquids (olive oil, seed oil, brine for the so-called natural preservation), and the possible addition of side dishes. The type of tuna used can also vary: the species most commonly used in the preserves industry are currently yellowfin tuna, which has high-quality components, and skipjack tuna, which has lower prices. In both cases, the fish is caught in the Pacific, Atlantic, and Indian Oceans by ocean fleets using purse seines or pole-and-line fishing. A third species used by the preserves industry, albacore tuna, is caught in the Mediterranean but is mostly destined for the Spanish market; another Mediterranean species, bluefin tuna, due to its high prices, finds only a marginal use in the preserves industry. From a production perspective, it is worth noting that</w:t>
      </w:r>
    </w:p>
    <w:p>
      <w:r>
        <w:rPr>
          <w:b/>
        </w:rPr>
        <w:t>[Pages 22–24]</w:t>
      </w:r>
    </w:p>
    <w:p>
      <w:r>
        <w:t>24 BULLETIN NO. 36 OF SEPTEMBER 24, 2012</w:t>
      </w:r>
    </w:p>
    <w:p>
      <w:r>
        <w:t>It is also worth noting how tuna-based preserves can be made from fresh fish or frozen semi-finished products (distinguished into loin and round, depending on whether they are fillets or whole bodies).</w:t>
      </w:r>
    </w:p>
    <w:p>
      <w:r>
        <w:t>19. Despite the possible differences in the raw material used and its processing methods, as well as in the variety of preparations, the various tuna preserves should be considered a mere variation of a single product, nor does the distinction found in consumer perception between a series of "premium" products, attributable to some well-known brands, and a series of "standard" products appear to be such as to induce a segmentation of the market for antitrust evaluation purposes. Once the choice to consume tuna has been made, in fact, the consumer may then alternatively opt for one of the various types in which the product is sold, with the orientation of the choice being strongly dependent on the promotional activities currently underway in the different distribution channels, and particularly in the G.D.O. (infra, §§ 37 et seq.).</w:t>
      </w:r>
    </w:p>
    <w:p>
      <w:r>
        <w:t>20. From a geographical perspective, in line with a consolidated orientation of the Authority, the market for the production and marketing of tuna-based preserves (as well as those of other fish preserves) presents a national dimension: this is due, among other things, to the specificity of tastes and consumption habits of each country, as well as the fact that national consumption is largely satisfied by domestic production within individual States, even though this uses raw materials largely sourced through international trading.</w:t>
      </w:r>
    </w:p>
    <w:p>
      <w:r>
        <w:t>21. In terms of economic magnitude, within the fish preserves sector, those based on tuna represent by far the main relevant market, corresponding to about 80% of the entire sector: moreover, this is a market that is constantly growing both in value and in volume, with particularly marked increases observed especially in G.D.O. sales. The market size – including the different types of products (tuna in oil, natural, in fillets, with side dishes) and distinguished in the two distribution segments of G.D.O. and traditional distribution ("TRAD.") – is as follows:</w:t>
      </w:r>
    </w:p>
    <w:p>
      <w:r>
        <w:t>BULLETIN NO. 36 OF SEPTEMBER 24, 2012 25</w:t>
      </w:r>
    </w:p>
    <w:p>
      <w:r>
        <w:t>Table 1: Size of the national market for tuna-based preserves</w:t>
      </w:r>
    </w:p>
    <w:p>
      <w:r>
        <w:t>TOTAL 2007 2008 2009 2010 2011</w:t>
        <w:br/>
        <w:t>[110,000,000- [110,000,000-</w:t>
        <w:br/>
        <w:t>VOLUME Kg 101,049,139 100,809,051 104,967,202</w:t>
        <w:br/>
        <w:t>120,000,000] 120,000,000]</w:t>
        <w:br/>
        <w:t>[900,000,000- [1,000,000,000-</w:t>
        <w:br/>
        <w:t>VALUE Euro 850,499,883 903,348,229 960,050,486</w:t>
        <w:br/>
        <w:t>1,000,000,000] 1,100,000,000]</w:t>
        <w:br/>
        <w:t>G.D.O. 2007 2008 2009 2010 2011</w:t>
        <w:br/>
        <w:t>[80,000,000- [90,000,000-</w:t>
        <w:br/>
        <w:t>VOLUME Kg 78,065,609 78,667,597 82,554,553</w:t>
        <w:br/>
        <w:t>90,000,000] 100,000,000]</w:t>
        <w:br/>
        <w:t>[700,000,000- [800,000,000-</w:t>
        <w:br/>
        <w:t>VALUE Euro 632,402,378 680,137,250 731,476,192</w:t>
        <w:br/>
        <w:t>800,000,000] 900,000,000]</w:t>
        <w:br/>
        <w:t>TRAD. 2007 2008 2009 2010 2011</w:t>
        <w:br/>
        <w:t>[20,000,000- [20,000,000-</w:t>
        <w:br/>
        <w:t>VOLUME Kg 22,983,530 22,141,453 22,412,650</w:t>
        <w:br/>
        <w:t>25,000,000] 25,000,000]</w:t>
        <w:br/>
        <w:t>[200,000,000- [200,000,000-</w:t>
        <w:br/>
        <w:t>VALUE Euro 218,097,509 223,210,979 228,574,308</w:t>
        <w:br/>
        <w:t>250,000,000] 250,000,000]</w:t>
      </w:r>
    </w:p>
    <w:p>
      <w:r>
        <w:t>Source: Agcm processing on IRI/Infoscan data provided by Bolton</w:t>
      </w:r>
    </w:p>
    <w:p>
      <w:r>
        <w:t>22. Within this market, as already mentioned, Bolton operates with the brands Rio Mare, Palmera, and Alco; according to what was communicated by Bolton during the investigation, the use of the Alco brand has been suspended since the end of 2011 due to an internal reconsideration of the related packaging methods and product re-evaluation strategies (cfr. doc. 2.32, p. 14). Calvo, except for limited activities attributable to the San Marco brand, operates instead with the Nostromo brand, while the main competitors of the parties to the operation appear to be G.D.O. operators with their own branded products (so-called private label).</w:t>
      </w:r>
    </w:p>
    <w:p>
      <w:r>
        <w:t>23. Regarding the major competitors with well-known brands, it is worth mentioning Generale Conserve S.p.A. (hereinafter, "GC") with the brand "As do Mar," Thai Union Group (hereinafter, "TUG") with the brand "Mareblu," ICAT Food S.p.A. with the brand "Consorcio," Mare Aperto S.r.l. with the brand "Star Mare Aperto," Iginio Mazzola S.p.A. with the brand "Maruzzella." Alongside these operators, there are also a number of entities with locally known brands, which account for about 15% of the market both in value and in volume. Below are the shares of the various operators, further distinguished by the segments of G.D.O. and traditional distribution:</w:t>
      </w:r>
    </w:p>
    <w:p>
      <w:r>
        <w:t>26 BULLETIN NO. 36 OF SEPTEMBER 24, 2012</w:t>
      </w:r>
    </w:p>
    <w:p>
      <w:r>
        <w:t>Table 2: Market shares of main competitors in the tuna-based preserves market - TOTAL</w:t>
      </w:r>
    </w:p>
    <w:p>
      <w:r>
        <w:t>TOTAL</w:t>
      </w:r>
    </w:p>
    <w:p>
      <w:r>
        <w:t>Market shares (volume) 2007 2008 2009 2010 2011</w:t>
        <w:br/>
        <w:t>Rio Mare 33.8% 34.1% 33.9% [30-35%] [30-35%]</w:t>
        <w:br/>
        <w:t>Palmera 5.5% 3.6% 3.2% [1-5%] [1-5%]</w:t>
        <w:br/>
        <w:t>[less than [less than</w:t>
        <w:br/>
        <w:t>Alco 0.8% 0.3% 0.2%</w:t>
        <w:br/>
        <w:t>1%] 1%]</w:t>
        <w:br/>
        <w:t>As Do Mar 1.8% 2.2% 3.1% [1-5%] [1-5%]</w:t>
        <w:br/>
        <w:t>[less than [less than</w:t>
        <w:br/>
        <w:t>Consorcio 0.7% 0.7% 0.7%</w:t>
        <w:br/>
        <w:t>1%] 1%]</w:t>
        <w:br/>
        <w:t>Mareblu 4.8% 4.8% 4.7% [1-5%] [5-10%]</w:t>
        <w:br/>
        <w:t>Maruzzella 2.8% 2.7% 2.4% [1-5%] [1-5%]</w:t>
        <w:br/>
        <w:t>Nostromo 7.3% 7.7% 7.5% [5-10%] [5-10%]</w:t>
        <w:br/>
        <w:t>Private Label 21.2% 22.0% 24.3% [25-30%] [25-30%]</w:t>
        <w:br/>
        <w:t>Star Mare Aperto 5.3% 5.4% 4.4% [1-5%] [1-5%]</w:t>
      </w:r>
    </w:p>
    <w:p>
      <w:r>
        <w:t>Market shares (value) 2007 2008 2009 2010 2011</w:t>
        <w:br/>
        <w:t>Rio Mare 36.1% 36.9% 36.7% [30-35%] [30-35%]</w:t>
        <w:br/>
        <w:t>Palmera 5.1% 3.5% 3.1% [1-5%] [1-5%]</w:t>
        <w:br/>
        <w:t>[less than [less than</w:t>
        <w:br/>
        <w:t>Alco 1.1% 0.5% 0.4%</w:t>
        <w:br/>
        <w:t>1%] 1%]</w:t>
        <w:br/>
        <w:t>As Do Mar 3.5% 3.8% 4.7% [1-5%] [1-5%]</w:t>
        <w:br/>
        <w:t>Consorcio 2.3% 2.1% 2.1% [1-5%] [1-5%]</w:t>
        <w:br/>
        <w:t>Mareblu 4.2% 4.3% 4.3% [1-5%] [5-10%]</w:t>
        <w:br/>
        <w:t>Maruzzella 3.1% 2.9% 2.6% [1-5%] [1-5%]</w:t>
        <w:br/>
        <w:t>Nostromo 7.1% 7.5% 7.4% [5-10%] [5-10%]</w:t>
        <w:br/>
        <w:t>Private Label 17.5% 18.3% 19.7% [20-25%] [20-25%]</w:t>
        <w:br/>
        <w:t>Star Mare Aperto 4.8% 4.8% 4.1% [1-5%] [1-5%]</w:t>
      </w:r>
    </w:p>
    <w:p>
      <w:r>
        <w:t>Source: Agcm processing on IRI/Infoscan data provided by Bolton</w:t>
      </w:r>
    </w:p>
    <w:p>
      <w:r>
        <w:rPr>
          <w:b/>
        </w:rPr>
        <w:t>[Pages 25–27]</w:t>
      </w:r>
    </w:p>
    <w:p>
      <w:r>
        <w:t>BULLETIN NO. 36 OF SEPTEMBER 24, 2012 27</w:t>
      </w:r>
    </w:p>
    <w:p>
      <w:r>
        <w:t>Table 3: Market shares of main competitors in the tuna-based preserves market – G.D.O.</w:t>
      </w:r>
    </w:p>
    <w:p>
      <w:r>
        <w:t>G.D.O.</w:t>
      </w:r>
    </w:p>
    <w:p>
      <w:r>
        <w:t>Market shares (volume) 2007 2008 2009 2010 2011</w:t>
        <w:br/>
        <w:t>Rio Mare 33.0% 33.3% 33.1% [30-35%] [30-35%]</w:t>
        <w:br/>
        <w:t>Palmera 5.4% 3.5% 3.1% [1-5%] [1-5%]</w:t>
        <w:br/>
        <w:t>[less than [less than</w:t>
        <w:br/>
        <w:t>Alco 0.5% 0.2% 0.1%</w:t>
        <w:br/>
        <w:t>1%] 1%]</w:t>
        <w:br/>
        <w:t>As Do Mar 1.6% 2.1% 3.1% [1-5%] [1-5%]</w:t>
        <w:br/>
        <w:t>[less than [less than</w:t>
        <w:br/>
        <w:t>Consorcio 0.8% 0.7% 0.7%</w:t>
        <w:br/>
        <w:t>1%] 1%]</w:t>
        <w:br/>
        <w:t>Mareblu 4.4% 4.2% 4.1% [1-5%] [5-10%]</w:t>
        <w:br/>
        <w:t>Maruzzella 2.6% 2.5% 2.3% [1-5%] [1-5%]</w:t>
        <w:br/>
        <w:t>Nostromo 7.1% 7.5% 7.1% [5-10%] [5-10%]</w:t>
        <w:br/>
        <w:t>Private Label 22.2% 23.2% 25.3% [25-30%] [25-30%]</w:t>
        <w:br/>
        <w:t>Star Mare Aperto 5.4% 5.3% 4.3% [1-5%] [1-5%]</w:t>
      </w:r>
    </w:p>
    <w:p>
      <w:r>
        <w:t>Market shares (value) 2007 2008 2009 2010 2011</w:t>
        <w:br/>
        <w:t>Rio Mare 35.5% 36.2% 36.1% [30-35%] [30-35%]</w:t>
        <w:br/>
        <w:t>Palmera 5.1% 3.4% 3.1% [1-5%] [1-5%]</w:t>
        <w:br/>
        <w:t>[less than [less than</w:t>
        <w:br/>
        <w:t>Alco 0.8% 0.3% 0.3%</w:t>
        <w:br/>
        <w:t>1%] 1%]</w:t>
        <w:br/>
        <w:t>As Do Mar 3.4% 3.8% 4.8% [1-5%] [1-5%]</w:t>
        <w:br/>
        <w:t>Consorcio 2.3% 2.1% 2.2% [1-5%] [1-5%]</w:t>
        <w:br/>
        <w:t>Mareblu 3.9% 3.9% 3.9% [1-5%] [1-5%]</w:t>
        <w:br/>
        <w:t>Maruzzella 2.8% 2.7% 2.5% [1-5%] [1-5%]</w:t>
        <w:br/>
        <w:t>Nostromo 7.1% 7.4% 7.1% [5-10%] [5-10%]</w:t>
        <w:br/>
        <w:t>Private Label 18.5% 19.4% 20.7% [20-25%] [20-25%]</w:t>
        <w:br/>
        <w:t>Star 4.9% 4.8% 4.0% [1-5%] [1-5%]</w:t>
      </w:r>
    </w:p>
    <w:p>
      <w:r>
        <w:t>Source: Agcm processing on IRI/Infoscan data provided by Bolton</w:t>
      </w:r>
    </w:p>
    <w:p>
      <w:r>
        <w:t>28 BULLETIN NO. 36 OF SEPTEMBER 24, 2012</w:t>
      </w:r>
    </w:p>
    <w:p>
      <w:r>
        <w:t>Table 4: Market shares of main competitors in the tuna-based preserves market – TRAD.</w:t>
      </w:r>
    </w:p>
    <w:p>
      <w:r>
        <w:t>TRAD.</w:t>
      </w:r>
    </w:p>
    <w:p>
      <w:r>
        <w:t>Market shares (volume) 2007 2008 2009 2010 2011</w:t>
        <w:br/>
        <w:t>Rio Mare 36.3% 37.3% 36.6% [35-40%] [35-40%]</w:t>
        <w:br/>
        <w:t>Palmera 6.2% 4.1% 3.7% [1-5%] [1-5%]</w:t>
        <w:br/>
        <w:t>[less than [less than</w:t>
        <w:br/>
        <w:t>Alco 1.9% 0.9% 0.4%</w:t>
        <w:br/>
        <w:t>1%] 1%]</w:t>
        <w:br/>
        <w:t>As Do Mar 2.2% 2.4% 3.0% [1-5%] [1-5%]</w:t>
        <w:br/>
        <w:t>[less than [less than</w:t>
        <w:br/>
        <w:t>Consorcio 0.7% 0.7% 0.7%</w:t>
        <w:br/>
        <w:t>1%] 1%]</w:t>
        <w:br/>
        <w:t>Mareblu 6.2% 6.7% 6.8% [5-10%] [5-10%]</w:t>
        <w:br/>
        <w:t>Maruzzella 3.7% 3.3% 2.7% [1-5%] [1-5%]</w:t>
        <w:br/>
        <w:t>Nostromo 7.9% 8.5% 8.8% [5-10%] [5-10%]</w:t>
        <w:br/>
        <w:t>Private Label 17.8% 18.1% 20.6% [20-25%] [20-25%]</w:t>
        <w:br/>
        <w:t>Star Mare Aperto 5.2% 5.6% 4.7% [5-10%] [5-10%]</w:t>
      </w:r>
    </w:p>
    <w:p>
      <w:r>
        <w:t>Market shares (value) 2007 2008 2009 2010 2011</w:t>
        <w:br/>
        <w:t>Rio Mare 37.7% 39.1% 38.7% [35-40%] [35-40%]</w:t>
        <w:br/>
        <w:t>Palmera 5.4% 3.7% 3.4% [1-5%] [1-5%]</w:t>
        <w:br/>
        <w:t>[less than [less than</w:t>
        <w:br/>
        <w:t>Alco 2.1% 1.0% 0.7%</w:t>
        <w:br/>
        <w:t>1%] 1%]</w:t>
        <w:br/>
        <w:t>As Do Mar 4.0% 4.0% 4.6% [1-5%] [1-5%]</w:t>
        <w:br/>
        <w:t>Consorcio 2.1% 2.1% 2.1% [1-5%] [1-5%]</w:t>
        <w:br/>
        <w:t>Mareblu 5.1% 5.5% 5.8% [5-10%] [5-10%]</w:t>
        <w:br/>
        <w:t>Maruzzella 3.7% 3.3% 2.8% [1-5%] [1-5%]</w:t>
        <w:br/>
        <w:t>Nostromo 7.1% 7.9% 8.3% [5-10%] [5-10%]</w:t>
        <w:br/>
        <w:t>Private Label 14.5% 14.8% 16.4% [15-20%] [15-20%]</w:t>
        <w:br/>
        <w:t>Star Mare Aperto 4.5% 4.9% 4.2% [1-5%] [1-5%]</w:t>
      </w:r>
    </w:p>
    <w:p>
      <w:r>
        <w:t>Source: Agcm processing on IRI/Infoscan data provided by Bolton</w:t>
      </w:r>
    </w:p>
    <w:p>
      <w:r>
        <w:t>24. As can be seen from Table 2, Bolton is by far the leading operator in the market with overall shares in value and volume currently exceeding [35-40%] and [30-35%], mostly attributable to the Rio Mare brand. Moreover, despite an absolute increase in sales due to the overall market expansion, Bolton has progressively seen its market shares decrease for each of its respective brands. Significantly, this trend has been observed since 2007, following the acquisition of the Palmera and Alco brands, until the end of 2011, with a loss of market shares for the totality of the brands held corresponding to approximately 6% in volume ([30-35%]) and about 5% in value ([35-40%]). This decline is noted both at the overall level and across the various sales channels, namely G.D.O. and traditional distribution, in a substantially corresponding manner (see Tables 3 and 4). Furthermore, as previously mentioned, since the end of 2011, Bolton has suspended the use of the Alco brand, resulting in a consequent loss of market share attributable to it.</w:t>
      </w:r>
    </w:p>
    <w:p>
      <w:r>
        <w:t>25. Calvo, for its part, holds shares ranging between [5-10%] in both value and volume, also in decline – approximately [1-5%] less in both volume and value ([5-10%]; [5-10%]) – compared to the total market. This decline is particularly recorded in the G.D.O. channel (which, due to its predominance in quantitative terms, strongly influences overall sales performance), and is expressly noted by some of the main distributors: Coop, for example, refers to the “low weight of Nostromo (with a trend that is also in strong decline)” (see doc. 2.54, 2.55, 3.59, 3.60, 3.62). In the traditional distribution channel, Nostromo branded products have instead shown a slight increase, both in value and volume (respectively [5-10%] and [5-10%]).</w:t>
      </w:r>
    </w:p>
    <w:p>
      <w:r>
        <w:t>26. In light of this trend in the shares of the parties involved in the concentration under examination, there is also a significant growth in the shares of some of the main competitors: the increase is particularly evident in the case of private label products attributable to the G.D.O., whose shares have overall increased during the considered period by over [1-5%] in volume ([25-30%]) and [1-5%] in value ([20-25%]). Regarding these products, it is also worth noting that a significant presence has been observed within the traditional distribution channel, where their shares in volume and value reached in 2011 respectively [20-25%] and [15-20%], a clear sign of the commercial success of private labels even outside their original scope.</w:t>
      </w:r>
    </w:p>
    <w:p>
      <w:r>
        <w:t>27. As for producers of well-known brands, the positive trend of the activities of Generale Conserve/As do Mar and TUG/Mareblu stands out, with increases around 1%. In the specific case of As do Mar branded products, the increase is significant, considering the lower starting shares ([1-5%] in volume and [1-5%] in value), as well as the fact that these products present a fairly significant price differential compared to other products, as exemplified by the graph below, positioning themselves in a definable premium range.</w:t>
      </w:r>
    </w:p>
    <w:p>
      <w:r>
        <w:t>Figure 1: trend of the average price for each tuna brand (Euro/kg), January 2008 - January 2012.</w:t>
      </w:r>
    </w:p>
    <w:p>
      <w:r>
        <w:rPr>
          <w:b/>
        </w:rPr>
        <w:t>[Pages 28–30]</w:t>
      </w:r>
    </w:p>
    <w:p>
      <w:r>
        <w:t>30 BULLETIN NO. 36 OF SEPTEMBER 24, 2012</w:t>
      </w:r>
    </w:p>
    <w:p>
      <w:r>
        <w:t>gk/oruE</w:t>
        <w:br/>
        <w:t>02</w:t>
        <w:br/>
        <w:t>51</w:t>
        <w:br/>
        <w:t>01</w:t>
        <w:br/>
        <w:t>5</w:t>
        <w:br/>
        <w:t>2008m1 2009m1 2010m1 2011m1 2012m1</w:t>
        <w:br/>
        <w:t>Date</w:t>
        <w:br/>
        <w:t>Rio Mare Nostromo</w:t>
        <w:br/>
        <w:t>Palmera Private label</w:t>
        <w:br/>
        <w:t>Maruzzella Mareblù</w:t>
        <w:br/>
        <w:t>Star As Do Mar</w:t>
        <w:br/>
        <w:t>Source: AGCM processing on IRI/Infoscan data provided by Bolton</w:t>
      </w:r>
    </w:p>
    <w:p>
      <w:r>
        <w:t>Industrial structure of the market and vertical integration of the supply chain</w:t>
      </w:r>
    </w:p>
    <w:p>
      <w:r>
        <w:t>28. With respect to the industrial structure of the tuna-based preserves market, there are no particularly significant barriers to entry either from a technical or regulatory perspective. In general, in fact, the activities of preserving and canning the product are technologically mature and do not require particularly high investments, nor does the regulation of preserving activities appear particularly rigid for companies.</w:t>
      </w:r>
    </w:p>
    <w:p>
      <w:r>
        <w:t>29. More complex, however, is the issue related to the dynamics of supply observed in the international raw material market, where, in addition to the aforementioned increase in domestic demand recorded in traditionally exporting countries (supra, § 13), also due to a tightening of fishing regulations, there has been a significant increase in prices in recent years for both yellowfin tuna and skipjack, with prices that, particularly in the last two years, have risen from $1,500 to $2,900/ton for the former, and from $1,100 to $2,000/ton for the latter (annex 2 to doc. 2.32).</w:t>
      </w:r>
    </w:p>
    <w:p>
      <w:r>
        <w:t>30. In light of such trends, an increasingly distinctive element from a competitive perspective has become the availability of direct sourcing and processing channels for raw materials by various operators, in line with the previously mentioned gradual shift towards vertical integration of the supply chain pursued as an element of greater overall efficiency (supra, § 13). Indeed, at the international level, the main operators are vertically integrated, starting from the fishing phase with the use of their own fleets of fishing vessels: consistently, the availability of well-known brands for the marketing of their products by companies traditionally active in the production of semi-finished products has gained increasing importance.</w:t>
      </w:r>
    </w:p>
    <w:p>
      <w:r>
        <w:t>BULLETIN NO. 36 OF SEPTEMBER 24, 2012</w:t>
      </w:r>
    </w:p>
    <w:p>
      <w:r>
        <w:t>31. Exemplifying the aforementioned trend towards vertical integration, the world's leading producer of canned tuna and tuna semi-finished products is the Thai company TUG, which has a fleet of nine fishing vessels and has long been acquiring well-known brands in various relevant markets: in Italy, as previously mentioned, it uses the Mareblu brand, acquired in 2010. The second largest producer in the world is the Korean company Dong Won, which has a fleet of 44 fishing vessels and in recent years has also been pursuing a targeted strategy of acquiring well-known brands in various relevant markets.</w:t>
      </w:r>
    </w:p>
    <w:p>
      <w:r>
        <w:t>32. In light of the trend just described, the concentration operation under examination has been presented by Bolton as having typically industrial purposes, allowing the Italian company to finally have production facilities in countries with low labor costs that are better integrated with fishing activities, which would see increased direct activity thanks to the fleet of six fishing vessels currently owned by Calvo (supra, § 4). Currently, in fact, Bolton has only one processing plant located in Italy, while the catch from some fishing vessels owned by the company is destined for international trading (doc. 2.32).</w:t>
      </w:r>
    </w:p>
    <w:p>
      <w:r>
        <w:t>Competitive pressure from private label products and the bargaining power of G.D.O.</w:t>
      </w:r>
    </w:p>
    <w:p>
      <w:r>
        <w:t>33. The strong increase in market shares attributable to private label products recorded during the observed period – both in their preferred distribution channel, dominated by G.D.O., and in traditional distribution – suggests their actual disciplining power over the conduct of the market leader, Bolton, and even more so over other operators, including Calvo. This disciplining power is demonstrated by a series of econometric exercises conducted during the investigation, which show, among other things, a significant elasticity of demand in the event of non-negligible price increases (10%), as represented in the following table regarding sales made in the G.D.O. channel:</w:t>
      </w:r>
    </w:p>
    <w:p>
      <w:r>
        <w:t>Table 5: elasticity of the main brands of tuna sold by GDO during the period October 2008 - January 2012</w:t>
      </w:r>
    </w:p>
    <w:p>
      <w:r>
        <w:t>Asdoma P. Rio Mareblu Maruzzella Nostromo Palmera Star Private Label Mare</w:t>
      </w:r>
    </w:p>
    <w:p>
      <w:r>
        <w:t>Asdomar -2.54 0.89 -0.95 - - - - -0.68</w:t>
        <w:br/>
        <w:t>Mareblu -3.39 - - - - 1.80 -</w:t>
        <w:br/>
        <w:t>Maruzzella 0.18 0.40 -3.11 - - - 1.17 -</w:t>
        <w:br/>
        <w:t>Nostromo - - - -2.94 - 0.99 - 0.95</w:t>
        <w:br/>
        <w:t>Palmera - - - 0.80 -4.66 - - 0.71</w:t>
        <w:br/>
        <w:t>P. Label - 0.25 -0.55 - 0.58 -3.09 2.44 -0.22</w:t>
        <w:br/>
        <w:t>Rio Mare 0.12 - 0.60 0.32 - 1.06 -3.28 0.48</w:t>
        <w:br/>
        <w:t>Star - 1.41 - 0.99 0.70 - 1.65 -4.92</w:t>
      </w:r>
    </w:p>
    <w:p>
      <w:r>
        <w:t>Source: AGCM processing on IRI/Infoscan data provided by Bolton</w:t>
      </w:r>
    </w:p>
    <w:p>
      <w:r>
        <w:t>Note: For the analyses, packages in olive oil weighing less than 300 grams were considered.</w:t>
      </w:r>
    </w:p>
    <w:p>
      <w:r>
        <w:t>34. From the analyses conducted, it emerges that Rio Mare is a product characterized by a fair degree of "brand loyalty," as indicated by the elasticity value with respect to its (own) price of -3.28. Essentially, based on the developed estimates, a 10% increase in the price of Rio Mare tuna would lead to a reduction in its demand of approximately 33%: this percentage is lower than the decrease in demand for other products with well-known brands following the same price increase (for example, in the case of Star Mare Aperto tuna, the corresponding decrease in demand would be 49.2%). At the same time, in consumer preferences, Rio Mare appears easily substitutable with other brands on the market, as evidenced by the relatively high values of the cross elasticities between the demand for tuna of each brand and the price of Rio Mare tuna: in particular, this substitutability appears high with private label products, showing a cross elasticity of 2.44.</w:t>
      </w:r>
    </w:p>
    <w:p>
      <w:r>
        <w:t>35. Following the concentration under examination, however, concerns have been raised about Bolton strengthening its position as a reference interlocutor for G.D.O. regarding tuna-based preserves, resulting in a consequent restriction of the commercial spaces available to competitors. Such concerns have been expressed by some medium-sized competing operators (see docs. 2.14 and 2.25), who argue that the concentration could lead to a reduction in shelf space and promotional offers available for products competing with those branded Rio Mare, Palmera, and Nostromo in supermarkets. To verify this aspect, a series of investigative deep dives were conducted: in particular, more detailed information was requested from the main G.D.O. operators regarding their respective product placement policies on shelves and the definition of promotional campaigns for tuna-based preserves. Further requests for information were also directed to the main producers to ascertain their respective positions on this matter.</w:t>
      </w:r>
    </w:p>
    <w:p>
      <w:r>
        <w:t>36. From the overall responses obtained, a substantial independence of G.D.O. from producers in defining their commercial policies emerges, with also significant distinguishing elements compared to what can be found in other EU states. In this regard, for example, while in France producers typically place indicative prices on the packaging of tuna preserves, this does not occur in Italy, thus leaving greater commercial discretion to G.D.O. regarding product pricing (doc. 2.38). This power is also evident in the management of shelf space, with a recurring preferential positioning of private label products, as well as in the organization of promotional activities.</w:t>
      </w:r>
    </w:p>
    <w:p>
      <w:r>
        <w:t>37. Regarding this latter aspect, it should be noted that there are two levels of contracts, since, in light of the conditions established in the framework agreements usually concluded annually between purchasing centers and individual suppliers (so-called first-level agreements), which provide for the amount of discount granted to the center on the revenue generated by it in exchange for a generic promotional activity, subsequent decisions by individual operators affiliated with the center intervene (so-called second level). In fact, it is at this level that negotiations with suppliers are more concretely established, which can range from the preparation of agreed plans (see the response of Igino Mazzola, doc. 3.70) to the allocation of promotional expenses (usually in the form of "flyer contributions": see the response of Bolton, doc. 3.71). Also in relation to promotions, their strong impact on overall sales has been widely confirmed: according to most G.D.O. operators, in fact, promotional sales of tuna-based preserves exceed 40% of the total, with seasonal peaks reaching 60% (see doc. 3.57).</w:t>
      </w:r>
    </w:p>
    <w:p>
      <w:r>
        <w:rPr>
          <w:b/>
        </w:rPr>
        <w:t>[Pages 31–33]</w:t>
      </w:r>
    </w:p>
    <w:p>
      <w:r>
        <w:t>BULLETIN NO. 36 OF SEPTEMBER 24, 2012 33</w:t>
      </w:r>
    </w:p>
    <w:p>
      <w:r>
        <w:t>38. Regarding the individual positions expressed by G.D.O. operators, Auchan (doc. 2.44) pointed out that "there is currently no type of binding agreement with suppliers regarding minimum spaces, nor are there any criteria for brand rotation." As for the positioning of the private label, it is located "at eye level, approximately 130 cm from the ground, distributing the other brands above or below it to facilitate comparison [...] so that the customer can perceive the convenience and direct their purchases towards the private label."</w:t>
      </w:r>
    </w:p>
    <w:p>
      <w:r>
        <w:t>39. Esselunga stated (doc. 2.46) that "there are no agreements regarding the minimum spaces available on the shelves [...] Assortment choices are made based on products and not brands." Furthermore, "decisions regarding promotional activities are at our discretion, subject to subsequent sharing with the relevant suppliers, according to a temporal schedule with rotation of all brands including private ones." Carrefour, for its part (doc. 3.57), communicated that "the display, i.e., the methods of positioning products on the shelves, is made based on criteria related to product rotations, which follow the principle related to sales volumes (the more a product is sold, the greater the rotation and shelf space)." The company's promotional policies "develop independently [...] The list of selected references, periods, and the level of discount applied are subsequently communicated to the producing companies so they can correctly plan their production."</w:t>
      </w:r>
    </w:p>
    <w:p>
      <w:r>
        <w:t>40. Furthermore, Selex communicated (doc. 2.47) that in the framework agreements established for the supply of fish preserves "there is no minimum allocation of sales spaces nor criteria for managing brand rotation on the shelf. The private label generally enjoys preferential spaces, even in relation to the leading brand, resulting from independent business choices made by the distributor." From the perspective of promotional activities, Selex also noted that "promotions are sometimes proposed by suppliers, and at other times requested from suppliers by distributors."</w:t>
      </w:r>
    </w:p>
    <w:p>
      <w:r>
        <w:t>41. Regarding the Conad system, the distributor's full autonomy in managing shelf space is widely confirmed. As for promotions, according to most associates (doc. 2.49, 2.50, 2.53), "sales on offer are made based on agreements reached between the parties (mediation between proposals from the distributor and the producing companies) both at the national and local level, with a temporal planning predominantly on an annual basis with brand rotation" (similarly see also doc. 2.56). The position of Sicilconad (doc. 2.45) appears partially divergent, stating that "the promotional logic is decided by us and the products considered are those we decide": no supplier, in particular, "has the guarantee of being included in the promo package" unless they meet a series of conditions set by the distributor regarding extra discounts and margins related to sales.</w:t>
      </w:r>
    </w:p>
    <w:p>
      <w:r>
        <w:t>42. Finally, regarding the Coop system, the various cooperatives unanimously considered that "the management of shelf space has always been the prerogative of the distributor, and therefore spaces on the shelf are not negotiated/contracted with suppliers in terms of the number of facings per reference or allocation of the references themselves on more or less 'noble' shelves. However, there may be agreements regarding the number of references to be handled or better adherence to a format; in other words, the distributor defines the assortments common to the various supermarkets/hypermarkets and regarding a specific brand, can negotiate with it a contractual item related to compliance with that shared number." In general, shelf space is assigned "broadly based on rotations, margins, assortment depth, and more general marketing criteria," except that canned tuna slices are usually displayed on less prominent shelves due to the extremely high commercialization of the product, "seeking to give greater visibility nonetheless to the private label, which generally can both bring better margins and convey the overall values of the brand" (doc. 2.54, 2.55, 3.60, 3.61, 3.62).</w:t>
      </w:r>
    </w:p>
    <w:p>
      <w:r>
        <w:t>43. Regarding promotional activities, according to what Coop communicated, "promotions on tuna and salmon are generally carried out at the initiative of the distributor, who has specific needs related to a predefined general promotional plan and therefore plans the references to be promoted [...] Sometimes, although much more rarely, promotions can be carried out at the proposal of the supplier (when, of course, the proposal is interesting and is believed to generate good returns)" (doc. 2.54, 2.55, 3.60, 3.61, 3.62. Similarly, see also doc. 3.63).</w:t>
      </w:r>
    </w:p>
    <w:p>
      <w:r>
        <w:t>44. Also concerning the relationships between G.D.O. and producers of fish preserves, for the assessment of this concentration, a significant episode occurred immediately following the operation in which, in 2007, Bolton acquired the Palmera and Alco brands. It appears, in particular, that some major G.D.O. operators – specifically, Conad and Finiper – did not renew the supply contracts for products under the Palmera brand, resulting in their disappearance from the shelves (so-called de-listing), which, limited to Conad, were marketed again only after about a year and a half of intense negotiations by Bolton. This de-listing, according to Bolton, would constitute an ordinary reaction by many G.D.O. operators to concentration operations involving well-known brands, and would demonstrate the full independence of the G.D.O. from its suppliers, even when it comes to the market leader (doc. 3.71).</w:t>
      </w:r>
    </w:p>
    <w:p>
      <w:r>
        <w:t>V.III. The market for the production and marketing of salmon-based preserves</w:t>
      </w:r>
    </w:p>
    <w:p>
      <w:r>
        <w:t>45. With reference to the market for salmon-based preserves, the considerations already made previously regarding geographical delimitation (supra, § 20) are perfectly replicable. Moreover, unlike the market for tuna-based preserves, characterized by particularly significant dimensions and a fair degree of product differentiation depending on preparations (supra, §§ 18 et seq.), the market for salmon-based preserves presents still contained dimensions and an even greater product homogeneity, focusing on pre-cooked fillets: this is due to the relative novelty of such preserves in relation to national eating habits, introduced in Italy only from the 2000s.</w:t>
      </w:r>
    </w:p>
    <w:p>
      <w:r>
        <w:t>46. As for the type of fish used, except for the fact that under the designation "salmon" a large number of different species belonging to the salmon family are included, the most commonly used for production purposes in the canning industry is Atlantic salmon (salmo salar), originating from the cold seas of the North Atlantic: the use of wild salmon (sockeye) is indeed marginal, as it is intended for the production of smoked cuts. Regarding the industrial supply chain, a distinguishing element compared to that of tuna-based preserves concerns the origin of the raw material: unlike tuna, which is caught in open sea, the salmon destined for preserves actually comes from intensive aquaculture activities, with farms in open sea or in fjords enclosed by nets and/or the use of floating cages: currently, the vast majority of global production is located in Norway and Chile.</w:t>
      </w:r>
    </w:p>
    <w:p>
      <w:r>
        <w:t>47. The farmed origin of the fish also excludes, among other things, the occurrence of biological rest periods and the subjection to particular regulatory constraints of fishing activities verified in the case of tuna: the risks of stock breakage are consequently lower, although a significant episode has been recorded in the recent past where a significant portion of the global production of salmon destined for the canning industry was lost due to an epidemic that spread in the farms of Chile. Also from a production perspective, salmon-based preserves can be produced starting from frozen semi-finished products: considering the limited commercial impact of the relevant market under examination, which does not yet justify specific industrial investments, it is also quite common for operators to resort to already processed and canned products abroad (see doc. 3.64), to which the commercial livery of the well-known brand or private label is simply provided.</w:t>
      </w:r>
    </w:p>
    <w:p>
      <w:r>
        <w:t>48. Within the fish preserves market, the market for salmon-based preserves effectively represents a niche market due to its contained dimensions: this is particularly evident when compared to the size of the tuna-based preserves market (supra, §§ 23 et seq.), but it is also true in relation to the markets for mackerel and sardine preserves, which have developed over time in response to more entrenched eating habits. Nevertheless, the market for salmon-based preserves has shown very positive trends both in terms of value and volumes, with an increase of about 50% occurring over just five years. Below are the market dimensions, distinguished by the two distribution segments of G.D.O. and traditional distribution ("TRAD."):</w:t>
      </w:r>
    </w:p>
    <w:p>
      <w:r>
        <w:t>Table 6: Dimensions of the national market for salmon-based preserves</w:t>
        <w:br/>
        <w:t>TOTAL 2007 2008 2009 2010 2011</w:t>
        <w:br/>
        <w:t>[1,000,000- [1,000,000-</w:t>
        <w:br/>
        <w:t>VOLUME Kg 1,079,013 1,194,811 1,344,212</w:t>
        <w:br/>
        <w:t>1,500,000] 1,500,000]</w:t>
        <w:br/>
        <w:t>[25,000,000- [30,000,000-</w:t>
        <w:br/>
        <w:t>VALUE Euro 21,337,510 25,136,666 28,345,732</w:t>
        <w:br/>
        <w:t>30,000,000] 35,000,000]</w:t>
        <w:br/>
        <w:t>GDO 2007 2008 2009 2010 2011</w:t>
        <w:br/>
        <w:t>[1,000,000- [1,000,000-</w:t>
        <w:br/>
        <w:t>VOLUME kg 813,483 913,758 1,039,261</w:t>
        <w:br/>
        <w:t>1,500,000] 1,500,000]</w:t>
        <w:br/>
        <w:t>[20,000,000- [20,000,000-</w:t>
        <w:br/>
        <w:t>VALUE Euro 15,616,355 18,747,671 21,386,673</w:t>
        <w:br/>
        <w:t>25,000,000] 25,000,000]</w:t>
        <w:br/>
        <w:t>TRAD. 2007 2008 2009 2010 2011</w:t>
        <w:br/>
        <w:t>[100,000- [100,000-</w:t>
        <w:br/>
        <w:t>VOLUME kg 265,531 281,057 304,950</w:t>
        <w:br/>
        <w:t>500,000] 500,000]</w:t>
        <w:br/>
        <w:t>[5,000,000- [5,000,000-</w:t>
        <w:br/>
        <w:t>VALUE Euro 5,721,156 6,388,996 6,959,058</w:t>
        <w:br/>
        <w:t>10,000,000] 10,000,000]</w:t>
      </w:r>
    </w:p>
    <w:p>
      <w:r>
        <w:t>Source: Agcm processing on IRI/Infoscan data provided by Bolton</w:t>
      </w:r>
    </w:p>
    <w:p>
      <w:r>
        <w:t>49. Within this market, Bolton operates exclusively with the Rio Mare brand, after a very limited experience in the past with products under the Palmera brand. The number of competing operators is also significantly smaller compared to other fish preserves markets, particularly those based on tuna: in fact, currently only Calvo with Nostromo branded products, G.D.O. with private label products, GC with As do Mar branded products, and Rizzoli Emanuelli S.p.A. (hereinafter, "Rizzoli") are present: however, the latter appears to have substantially exited the market since 2012. Additionally, the presence of a series of operators with even smaller dimensions and geographically limited distribution has been recorded, with products bearing the well-known brands "San Cusumano" and "Insuperabile." Below are the shares of the main operators, further distinguished by the segments of G.D.O. and traditional distribution:</w:t>
      </w:r>
    </w:p>
    <w:p>
      <w:r>
        <w:rPr>
          <w:b/>
        </w:rPr>
        <w:t>[Pages 34–36]</w:t>
      </w:r>
    </w:p>
    <w:p>
      <w:r>
        <w:t>36 BULLETIN NO. 36 OF SEPTEMBER 24, 2012</w:t>
      </w:r>
    </w:p>
    <w:p>
      <w:r>
        <w:t>Table 7: Market shares of main competitors in the salmon-based preserves market – TOTAL</w:t>
      </w:r>
    </w:p>
    <w:p>
      <w:r>
        <w:t>TOTAL</w:t>
      </w:r>
    </w:p>
    <w:p>
      <w:r>
        <w:t>Market shares (volume) 2007 2008 2009 2010 2011</w:t>
        <w:br/>
        <w:t>Rio Mare 80.2% 82.0% 79.4% [75-80%] [75-80%]</w:t>
        <w:br/>
        <w:t>Nostromo 0.0% 0.0% 0.0% [1-5%] [1-5%]</w:t>
        <w:br/>
        <w:t>Private Label 14.3% 14.1% 18.2% [20-25%] [15-20%]</w:t>
        <w:br/>
        <w:t>[less than [less than</w:t>
        <w:br/>
        <w:t>As Do Mar 0.8% 0.2% 0.0%</w:t>
        <w:br/>
        <w:t>1%] 1%]</w:t>
        <w:br/>
        <w:t>Rizzoli 2.7% 2.0% 1.5% [1-5%] [1-5%]</w:t>
      </w:r>
    </w:p>
    <w:p>
      <w:r>
        <w:t>Market shares (value) 2007 2008 2009 2010 2011</w:t>
        <w:br/>
        <w:t>Rio Mare 80.8% 83.6% 82.9% [75-80%] [75-80%]</w:t>
        <w:br/>
        <w:t>Nostromo 0.0% 0.0% 0.0% [1-5%] [1-5%]</w:t>
        <w:br/>
        <w:t>Private Label 11.1% 11.0% 14.2% [15-20%] [15-20%]</w:t>
        <w:br/>
        <w:t>[less than [less than</w:t>
        <w:br/>
        <w:t>As Do Mar 1.1% 0.3% 0.0%</w:t>
        <w:br/>
        <w:t>1%] 1%]</w:t>
        <w:br/>
        <w:t>Rizzoli 4.5% 3.3% 2.4% [1-5%] [1-5%]</w:t>
      </w:r>
    </w:p>
    <w:p>
      <w:r>
        <w:t>Source: Agcm processing on IRI/Infoscan data provided by Bolton</w:t>
      </w:r>
    </w:p>
    <w:p>
      <w:r>
        <w:t>BULLETIN NO. 36 OF SEPTEMBER 24, 2012 37</w:t>
      </w:r>
    </w:p>
    <w:p>
      <w:r>
        <w:t>Table 8: Market shares of main competitors in the salmon-based preserves market – G.D.O.</w:t>
      </w:r>
    </w:p>
    <w:p>
      <w:r>
        <w:t>G.D.O.</w:t>
      </w:r>
    </w:p>
    <w:p>
      <w:r>
        <w:t>Market shares (volume) 2007 2008 2009 2010 2011</w:t>
        <w:br/>
        <w:t>Rio Mare 79.8% 81.8% 80.4% [75-80%] [75-80%]</w:t>
        <w:br/>
        <w:t>Nostromo 0.0% 0.0% 0.0% [1-5%] [1-5%]</w:t>
        <w:br/>
        <w:t>Private Label 14.5% 14.2% 17.4% [15-20%] [15-20%]</w:t>
        <w:br/>
        <w:t>[less than [less than</w:t>
        <w:br/>
        <w:t>As Do Mar 0.5% 0.1% 0.0%</w:t>
        <w:br/>
        <w:t>1%] 1%]</w:t>
        <w:br/>
        <w:t>[less than [less than</w:t>
        <w:br/>
        <w:t>Rizzoli 2.8% 1.8% 1.3%</w:t>
        <w:br/>
        <w:t>1%] 1%]</w:t>
      </w:r>
    </w:p>
    <w:p>
      <w:r>
        <w:t>Market shares (value) 2007 2008 2009 2010 2011</w:t>
        <w:br/>
        <w:t>Rio Mare 80.4% 83.5% 83.8% [80-85%] [75-80%]</w:t>
        <w:br/>
        <w:t>Nostromo 0.0% 0.0% 0.0% [1-5%] [1-5%]</w:t>
        <w:br/>
        <w:t>Private Label 11.1% 11.1% 13.6% [15-20%] [15-20%]</w:t>
        <w:br/>
        <w:t>[less than [less than</w:t>
        <w:br/>
        <w:t>As Do Mar 0.5% 0.1% 0.0%</w:t>
        <w:br/>
        <w:t>1%] 1%]</w:t>
        <w:br/>
        <w:t>[less than</w:t>
        <w:br/>
        <w:t>Rizzoli 4.8% 3.0% 2.0% [1-5%]</w:t>
        <w:br/>
        <w:t>1%]</w:t>
      </w:r>
    </w:p>
    <w:p>
      <w:r>
        <w:t>Source: Agcm processing on IRI/Infoscan data provided by Bolton</w:t>
      </w:r>
    </w:p>
    <w:p>
      <w:r>
        <w:t>38 BULLETIN NO. 36 OF SEPTEMBER 24, 2012</w:t>
      </w:r>
    </w:p>
    <w:p>
      <w:r>
        <w:t>Table 9: Market shares of main competitors in the salmon-based preserves market – TRAD.</w:t>
      </w:r>
    </w:p>
    <w:p>
      <w:r>
        <w:t>TRAD.</w:t>
      </w:r>
    </w:p>
    <w:p>
      <w:r>
        <w:t>Market shares (volume) 2007 2008 2009 2010 2011</w:t>
        <w:br/>
        <w:t>Rio Mare 81.4% 82.4% 76.2% [70-75%] [70-75%]</w:t>
        <w:br/>
        <w:t>[less than</w:t>
        <w:br/>
        <w:t>Nostromo 0.0% 0.0% 0.0% [1-5%]</w:t>
        <w:br/>
        <w:t>1%]</w:t>
        <w:br/>
        <w:t>Private Label 13.9% 14.0% 21.1% [20-25%] [15-20%]</w:t>
        <w:br/>
        <w:t>[less than [less than</w:t>
        <w:br/>
        <w:t>As Do Mar 1.8% 0.5% 0.0%</w:t>
        <w:br/>
        <w:t>1%] 1%]</w:t>
        <w:br/>
        <w:t>Rizzoli 2.3% 2.7% 2.2% [1-5%] [1-5%]</w:t>
      </w:r>
    </w:p>
    <w:p>
      <w:r>
        <w:t>Market shares (value) 2007 2008 2009 2010 2011</w:t>
        <w:br/>
        <w:t>Rio Mare 81.9% 84.0% 80.1% [75-80%] [75-80%]</w:t>
        <w:br/>
        <w:t>[less than</w:t>
        <w:br/>
        <w:t>Nostromo 0.0% 0.0% 0.0% [1-5%]</w:t>
        <w:br/>
        <w:t>1%]</w:t>
        <w:br/>
        <w:t>Private Label 11.1% 10.9% 16.1% [15-20%] [15-20%]</w:t>
        <w:br/>
        <w:t>[less than [less than</w:t>
        <w:br/>
        <w:t>As Do Mar 2.6% 0.6% 0.1%</w:t>
        <w:br/>
        <w:t>1%] 1%]</w:t>
        <w:br/>
        <w:t>Rizzoli 3.7% 4.1% 3.5% [1-5%] [1-5%]</w:t>
      </w:r>
    </w:p>
    <w:p>
      <w:r>
        <w:t>Source: Agcm processing on IRI/Infoscan data provided by Bolton</w:t>
      </w:r>
    </w:p>
    <w:p>
      <w:r>
        <w:t>50. From the analysis of the previous tables, it is evident that Bolton is by far the main operator, with shares exceeding 75% both in value and in volume concerning the total market in the year 2011, reaching almost 80% in value in the G.D.O. distribution segment. The main competitive constraint is represented by private label products, which reach shares corresponding to approximately [15-20%] and [15-20%] in volume and value, and, what is particularly significant once again (supra, § 26), a strong presence also in the traditional distribution channel, with shares substantially corresponding to those recorded in their preferred distribution channel. Among the well-known brand products, those of Calvo stand out, with shares ranging between [1-5%] both in value and in volume, concentrated in the G.D.O. segment.</w:t>
      </w:r>
    </w:p>
    <w:p>
      <w:r>
        <w:t>51. With reference to the mentioned operators, it is noted that their respective products are all situated in a substantially homogeneous market segment, since the only product attributable to a premium segment is that of Rizzoli, which, as already seen, has essentially abandoned the market. The following table allows for a more detailed consideration of the price trends over the last eighteen months.</w:t>
      </w:r>
    </w:p>
    <w:p>
      <w:r>
        <w:t>Figure 2: trend of the average price for each salmon brand (Euro/kg), July 2010 - January 2012.</w:t>
      </w:r>
    </w:p>
    <w:p>
      <w:r>
        <w:rPr>
          <w:b/>
        </w:rPr>
        <w:t>[Pages 37–39]</w:t>
      </w:r>
    </w:p>
    <w:p>
      <w:r>
        <w:t>BULLETIN NO. 36 OF SEPTEMBER 24, 2012 39</w:t>
      </w:r>
    </w:p>
    <w:p>
      <w:r>
        <w:t>52. In light of these elements, it is noted that (1) Bolton's market shares, despite an expansion of the market in terms of volumes and values, are decreasing over time, with a loss of over 4% in volume and 2% in value over a five-year period; (2) private label shares, conversely, are growing, with an increase of almost 5% in both volume and value over the same period already observed for Bolton; (3) Calvo's shares were acquired in significantly short timeframes, stabilizing at over [1-5%] within just two years from the start of the marketing activities of salmon-based preserves under the Nostromo brand.</w:t>
      </w:r>
    </w:p>
    <w:p>
      <w:r>
        <w:t>53. Also in relation to market trends, with reference to the tables and graphs above, it should be noted that, due to the historical nature of the available data, it has not been possible to continuously represent the situation for the year 2012, which, coinciding with Rizzoli's exit, recorded a sudden and significant increase in GC's presence with the As do Mar branded products. Indeed, based on the most updated data (source IRI/Infoscan) corresponding to July 2012, it appears that Bolton's volume share has stabilized around [70-75%], Calvo's share has slightly decreased to a level corresponding to [1-5%], private labels of the G.D.O. have consolidated their position reaching [15-20%], and, most importantly, compared to the June-July period, GC has gained a share of almost [5-10%]: on an annual basis, according to what was communicated by GC itself, this performance results in an estimated share attributable to GC of approximately [1-5%] in value and [1-5%] in volume (doc. 3.72).</w:t>
      </w:r>
    </w:p>
    <w:p>
      <w:r>
        <w:t>54. This set of data should be appropriately taken into account as, as in the case of tuna-based preserves, for salmon-based preserves the investigating offices have carried out a series of econometric exercises, starting from the analysis of the cross-elasticity of demand for the different products. In the case of salmon-based preserves, however, the limited number of available market observations regarding the recent entry of GC/As do Mar is insufficient to estimate the matrix of cross-elasticity concerning all currently existing operators: the following table, therefore, does not take GC into account, whose recent sales performance is thus interpreted in terms of a significant commercial shock from the perspective of the dynamism/full contestability of the relevant market. Notwithstanding these warnings, the analyses reported below outline a scenario not dissimilar from that already commented on in the case of tuna-based preserves, characterized by relatively high own elasticities and a relative brand loyalty for the Rio Mare brand, but still counterbalanced by a notable substitutability between Bolton's products and others present in the market.</w:t>
      </w:r>
    </w:p>
    <w:p>
      <w:r>
        <w:t>Table 10: Elasticity of the main salmon brands sold by GDO over the period January 2011 - January 2012</w:t>
      </w:r>
    </w:p>
    <w:p>
      <w:r>
        <w:t>Nostromo P. Label Rio Mare Rizzoli</w:t>
        <w:br/>
        <w:t>Nostromo -3.75 4.73 10.63 -1.0</w:t>
        <w:br/>
        <w:t>P. Label 0.56 -2.80 3.10 -</w:t>
        <w:br/>
        <w:t>Rio Mare - 0.29 -2.0 -</w:t>
        <w:br/>
        <w:t>Rizzoli - -4.14 -1.51 -</w:t>
      </w:r>
    </w:p>
    <w:p>
      <w:r>
        <w:t>Source: AGCM processing on IRI/Infoscan data provided by Bolton</w:t>
      </w:r>
    </w:p>
    <w:p>
      <w:r>
        <w:t>Distinctive characteristics of the distribution of salmon-based preserves in G.D.O.</w:t>
      </w:r>
    </w:p>
    <w:p>
      <w:r>
        <w:t>55. For the purposes of evaluating the operation in question, it is worth recalling a series of elements collected during the investigation regarding the distribution of salmon-based preserves in the G.D.O. channel (a channel, it should be noted, that accounts for about 80% of total sales: see above, table 6), particularly concerning the two aspects of shelf placement and the incidence of promotional sales.</w:t>
      </w:r>
    </w:p>
    <w:p>
      <w:r>
        <w:t>56. In this regard, in addition to a reiteration of all the information and considerations regarding the non-existence of pre-assigned shelf space agreed upon with suppliers and the predominant availability of G.D.O. in organizing promotional campaigns (see above, §§ 36 et seq.), it has emerged that salmon-based preserves tend to be better positioned on the shelf due to their current lower commercial incidence: this characteristic is well expressed by the components of the Coop system, according to which salmon "is a relatively small consumption segment compared to tuna, so it will be preferable to position all canned salmon in a highly visible position (let's say at eye level) to encourage impulse buying by the consumer (generally, the purchase of salmon is not planned, that is, it is not on the shopping list)" (doc. 2.54, 2.55, 3.60, 3.61, 3.62).</w:t>
      </w:r>
    </w:p>
    <w:p>
      <w:r>
        <w:t>57. In the case of salmon-based preserves, finally, a less extensive use of promotional leverage has been recorded, which tends to concentrate in certain periods of the year, particularly during the Christmas holidays (doc. 2.49, 2.54, 2.55, 3.60, 3.61, 3.62): this is because salmon-based preserves still represent a niche product that, despite a constantly growing market trend (see above, § 48), does not yet meet the most widespread tastes. Moreover, the significant performance of As do Mar branded products that occurred in June and July 2012 has been expressly attributed by GC to a strong promotional campaign developed by a single G.D.O. operator, Esselunga (see doc. 3.72).</w:t>
      </w:r>
    </w:p>
    <w:p>
      <w:r>
        <w:t>VI. EVALUATION OF THE CONCENTRATION</w:t>
      </w:r>
    </w:p>
    <w:p>
      <w:r>
        <w:t>58. Based on the findings of the investigation, Bolton's acquisition of 40% of Calvo will allow the leading operator in the national markets for tuna and salmon preserves to jointly control another primary operator, equipped with a well-known brand such as Nostromo. In both mentioned markets, the sum of the shares leads to significant percentages, exceeding the 40% threshold in the case of tuna preserves and even approaching 80% in the case of salmon preserves. In light of these particularly high shares, and considering a series of concerns expressed by some competitors during the pre-investigation phase, the investigative direction of the Authority has therefore carried out a series of in-depth analyses, referred to in the previous paragraphs, after which it is possible to formulate the following considerations.</w:t>
      </w:r>
    </w:p>
    <w:p>
      <w:r>
        <w:t>VI.I. Effects of the operation</w:t>
      </w:r>
    </w:p>
    <w:p>
      <w:r>
        <w:t>Tuna preserves market</w:t>
      </w:r>
    </w:p>
    <w:p>
      <w:r>
        <w:t>59. The market for tuna preserves is characterized by the presence of a number of producers with well-known brands, among which Bolton stands out, a strong incidence of private labels, and a broad yet fragmented residual offer: the sum of these operators competes in a constantly expanding market both in terms of value and volume, essentially free of technological barriers to entry and in which, despite a constant increase in the price of raw materials recorded over the last two years, there do not appear to be risks of supply difficulties or stockouts that would exclude the possibility of entry by new operators or the persistence of existing competitors.</w:t>
      </w:r>
    </w:p>
    <w:p>
      <w:r>
        <w:t>60. From a perspective of analyzing the market structure and the competitive importance of the various operators, the post-merger entity will be attributable shares corresponding respectively to [40-45%] in volume and [40-45%] in value: these are high shares, but to which, in light of the collected investigative elements, no market power appears to be attributable that would raise concerns from a competitive standpoint. In this regard, it is worth noting first that both Bolton's and Calvo's shares are declining (showing a total decrease of over 6% in both value and volume), in contrast to very positive commercial performances from both private labels as a whole and some producers operating with well-known brands. In fact, it is significant to consider that through the concentration in question, the shares attributable to Bolton would practically return to levels already verified as compatible with competition in the context of the previous operation concerning the market for tuna preserves11, nor does Calvo with the Nostromo branded products appear to constitute an important competitive force that would be eliminated following the concentration, much less a subject traditionally characterized by particular innovativeness in terms of product/commercial strategies12.</w:t>
      </w:r>
    </w:p>
    <w:p>
      <w:r>
        <w:t>61. All this, moreover, is verified in light of a series of significant novelties regarding the market positioning of various competitors. Among these, TUG with the Mareblu branded products should be highlighted first, whose rapid growth in both value and volume (see above, § 23) appears to be attributable to the vertical integration of the parent group, which allows for</w:t>
      </w:r>
    </w:p>
    <w:p>
      <w:r>
        <w:t>11 Provv. C8971, cited, §§ 20 et seq.</w:t>
        <w:br/>
        <w:t>12 See in this regard the Guidelines for the assessment of horizontal concentrations pursuant to the Council Regulation on the control of concentrations between enterprises, 2004/C31/03, particularly §§ 37 et seq.</w:t>
      </w:r>
    </w:p>
    <w:p>
      <w:r>
        <w:rPr>
          <w:b/>
        </w:rPr>
        <w:t>[Pages 40–42]</w:t>
      </w:r>
    </w:p>
    <w:p>
      <w:r>
        <w:t>42 BULLETIN NO. 36 OF SEPTEMBER 24, 2012</w:t>
      </w:r>
    </w:p>
    <w:p>
      <w:r>
        <w:t>to obtain better efficiencies and economies of scale. As evidence of this element, responses obtained from the G.D.O. regarding the impact of promotional sales revealed that the entity usually more aggressive in this regard is not the market leader, namely Bolton, but rather TUG (doc. 2.54, 2.55, 3.60, 3.61, 3.62), which, among other things, also leads to considering the concerns previously expressed by some operators about the possible dominance of Bolton in the use of promotional policies (supra, § 35) as less worrying. Also in terms of market share analysis, it is noteworthy that other operators with well-known brands besides TUG have improved their position: this is the case of GC/As do Mar, which has recorded increases both in value and in volume around 1%.</w:t>
      </w:r>
    </w:p>
    <w:p>
      <w:r>
        <w:t>62. The market in question, above all, appears characterized by the competitive impact of the G.D.O. both on the demand side and on the supply side. Regarding the first aspect, private label products are showing constant and robust growth, with increases of over 5% over a period of 5 years. Significantly, the presence of such products is found at similar levels both in the G.D.O. channel, the preferred area for private labels, and in traditional distribution, demonstrating a predominant dependence of tuna preserve purchases on quality/convenience motivations rather than on brand loyalty reasons, and confirming the already noted substantial homogeneity of the product, such that products marketed under different brands are largely substitutable with a competitive comparison based primarily on price. These considerations, it should be noted, also apply to the traditional distribution channel, where (due to a wide range of behavioral factors, starting from the lower incidence of promotional policies) one would have expected greater brand loyalty.</w:t>
      </w:r>
    </w:p>
    <w:p>
      <w:r>
        <w:t>63. The relatively minor significance of brand loyalty has also been confirmed by the econometric analyses conducted during the investigation, which revealed that even in the face of not particularly significant price increases, the cross-elasticity of products attributable to Bolton and Calvo compared to their main competitors (notably private labels) is high, which leads to the conclusion that the risk of unilateral conduct by the market leader is nonexistent. Given the high substitutability of competing products, the incentive for the companies participating in the concentration to raise prices is therefore limited. The possibility of such increases, moreover, is contradicted by a cross-comparison between the trend of consumer prices and that of raw materials, particularly over the last two years, from which it emerges that in the face of absolutely significant increases in the cost of fish (which has practically doubled: see supra, § 29), the majority of producers have been able to transfer only negligible price increases to the packaged product (supra, § 21, fig. 1). In this regard, it is worth noting that Coop has pointed out that “both Bolton and Nostromo […] have made requests for increases aligned with the market average and it is not foreseen that following a potential joint control of Bolton over Nostromo, such requests may follow dynamics different from those of the recent past” (doc. 2.54, 2.55, 3.60, 3.61, 3.62, 3.63).</w:t>
      </w:r>
    </w:p>
    <w:p>
      <w:r>
        <w:t>64. Also regarding the supply side and the performance of private label products, the power of the G.D.O. to orient the supply concerning its products – on which it evidently has greater margins in addition to further advantages in terms of overall consumer loyalty to the brand – through full and exclusive ownership of shelf space management is significant: in fact, according to what has been established from the responses of the main operators (supra, §§ 36 ss.), it is common for private labels to be placed in the most prestigious spaces, namely those facing the customer, while products with well-known brands are reserved for the residual shelf space. This arrangement is even more significant when considering that tuna preserves, due to their easy sellability, do not inherently have privileged spaces within commercial areas, resulting in products with well-known brands being further marginalized.</w:t>
      </w:r>
    </w:p>
    <w:p>
      <w:r>
        <w:t>65. Finally, regarding the countervailing power of buyers, the fact that the demand faced by producers is overwhelmingly attributable to the G.D.O. leads to the conclusion that even following the concentration under examination, Bolton will not be able to exercise significant market power, given the easy possibility for its main distributors to quickly resort to alternative sources of supply, also considering the absolute absence of exclusive supply relationships. It has been observed, in the verification of the investigations conducted regarding the management of shelf space and promotional policies, how the G.D.O. actually enjoys significant autonomy, and a significant episode of de-listing of products attributable to the market leader in the relevant market has also been recorded in the recent past (supra, § 44), demonstrating how G.D.O. operators can operate independently of their main suppliers.</w:t>
      </w:r>
    </w:p>
    <w:p>
      <w:r>
        <w:t>Market for salmon-based preserves</w:t>
      </w:r>
    </w:p>
    <w:p>
      <w:r>
        <w:t>66. Unlike the previous market, characterized by a large number of operators, the market for salmon-based preserves is distinguished by the presence of a significantly smaller number of competitors, among which Bolton stands out with absolutely dominant market shares: aside from a strong incidence of private labels in this case as well, Bolton is accompanied only by Calvo, GC, and, to a lesser extent, a series of smaller operators with geographically localized activities, while the trend of the respective market shares suggests that Rizzoli is abandoning the market. This is a market, moreover, of limited size but in constant and significant expansion, having increased by about 50% over the course of five years.</w:t>
      </w:r>
    </w:p>
    <w:p>
      <w:r>
        <w:t>67. Just as seen in the case of tuna preserves, there are no particular barriers to entry of a technological or regulatory nature for this canned food industry. In the case of salmon preserves, moreover, there is ample availability of product at the international level, stabilized due to the sourcing of fish from intensive aquaculture, allowing any operator to sustain even significant expansion of supply, regardless of the potential attainment of vertical integration. The available product, in particular, is predominantly in the form of pre-packaged salmon fillets, which can be resold to operators in various distribution channels with the simple application of a commercial label (e.g., well-known brand, or, as in the case of private labels, store identity). In this regard, it is worth noting that the main supplier in Italy of tuna and salmon preserves intended for private labels, Castiglione, has confirmed that, regarding salmon, its activity is essentially limited to commercial intermediation with foreign suppliers of already packaged product (see doc. 3.64).</w:t>
      </w:r>
    </w:p>
    <w:p>
      <w:r>
        <w:t>68. From the perspective of market structure, Bolton's shares (entirely attributable to Rio Mare branded products) have historically been close to 80%: even considering the most updated available data (supra, §§ 53 ss.), according to which these shares would have settled around [70-75%], the increase resulting from the acquisition of joint control of Calvo – to which shares of just over [1-5%] are attributable – appears significant. However, in light of the overall value of the shares, it is necessary to consider a series of factors that lead to not considering these shares as an index of actual market power. In fact, in addition to what has just been considered regarding the contestability of the relevant market, and thus the pressure that potential competition can exert on the conduct of the market leader, as well as in light of a rather significant cross-elasticity of demand throughout the available market observations (supra, § 54), the most recent market data reveals the existence of particularly significant effective competition both in terms of well-known branded products and private labels.</w:t>
      </w:r>
    </w:p>
    <w:p>
      <w:r>
        <w:t>69. Regarding the first case, the fact that GC with As do Mar branded products has managed to quickly capture a share exceeding [5-10%] – which projected over the entire current year corresponds to a share of almost [1-5%] – clearly indicates how the market, also due to the previously noted absence of barriers to entry, is particularly dynamic, allowing all operators, even those so far of smaller or even negligible size, to easily and quickly capture significant market shares. The fact that GC's increase has been due to promotional activity (moreover limited to a single G.D.O. operator: see supra, § 57) indicates the strong flexibility of demand. From these elements, at the same time, a brand function emerges that has already appeared in the case of tuna preserves, and which is appreciated even more clearly in the case of salmon preserves.</w:t>
      </w:r>
    </w:p>
    <w:p>
      <w:r>
        <w:t>70. Essentially, in markets for food products that constitute commodities such as canned fish, the function of the brand is not so much to create a brand identity in which the consumer can recognize themselves in broader cultural and lifestyle values, but rather simply to convey a guarantee of quality in relation to price, which, while making the purchase confident, does not necessarily determine strong brand loyalty. This explains, on one hand, the recurring phenomenon of the "dragging" of well-known brands from one market to another in the canned fish sector (see the cases of Rio Mare, Nostromo, and As do Mar, all transferred to the younger market of salmon preserves after consolidating in the tuna preserves market), and, on the other hand, the high elasticity still observed between well-known branded products and private labels, which also have a reassurance function regarding the quality/price relationship.</w:t>
      </w:r>
    </w:p>
    <w:p>
      <w:r>
        <w:t>71. Regarding the countervailing power of buyers, the considerations already made in the case of the tuna preserves market are substantially replicable. In this case as well, there is significant countervailing buyer power attributable to the G.D.O., due to its independence in managing shelf space and product positioning, as well as in determining promotional policies, which, as already noted, although currently less frequent than in the case of tuna preserves, have more recently demonstrated the potential to constitute a particularly significant commercial/competitive lever (supra, § 57).</w:t>
      </w:r>
    </w:p>
    <w:p>
      <w:r>
        <w:t>Conclusions on the effects of the operation concerning the different relevant markets and commercial policies of the new post-merger entity</w:t>
      </w:r>
    </w:p>
    <w:p>
      <w:r>
        <w:t>72. In light of the elements collected during the investigation and the analyses developed above, it must be concluded that, despite the achievement of high joint market shares both in value and in volume in both relevant markets considered, the acquisition of 40% of Calvo by Bolton is not likely to result in detrimental consequences from a competitive perspective. The contestability of the markets appears to be high, considering both the state of barriers to entry and the relationships between the various competing operators, among which the complex of G.D.O. distributors with private label products stands out. The disciplining role of the G.D.O. is also appreciated in terms of countervailing power on the demand side, considering the significant independence of the commercial organization of the various distributors with respect to</w:t>
      </w:r>
    </w:p>
    <w:p>
      <w:r>
        <w:rPr>
          <w:b/>
        </w:rPr>
        <w:t>[Pages 43–45]</w:t>
      </w:r>
    </w:p>
    <w:p>
      <w:r>
        <w:t>BULLETIN NO. 36 OF SEPTEMBER 24, 2012 45</w:t>
      </w:r>
    </w:p>
    <w:p>
      <w:r>
        <w:t>to the management of the product references attributable to the markets for tuna and salmon-based preserves.</w:t>
      </w:r>
    </w:p>
    <w:p>
      <w:r>
        <w:t>73. Regarding the effects of the concentration from the demand side, it should be noted that neither for the G.D.O. distribution channel nor for the traditional distribution channel does the acquisition of joint control of Calvo by Bolton appear likely to alter the balance of existing relationships. In this regard, the agreements between Bolton and Calvo concerning the maintenance of the separateness of their respective commercial networks dedicated to the marketing of Rio Mare and Palmera branded products on one side, and Nostromo on the other (supra, § 7), are recalled. In fact, following this maintained separateness – recently explicitly reaffirmed by Bolton during the final review of the terms of the notified operation (doc. 3.71) – buyers will continue to face a substantially distinct offer and will be able to maintain diversified decisions regarding the presence of the various brands on the shelves, with the further elimination of competitive concerns that could have arisen from the concentration in a single commercial organization of the "packaged" offer of well-known branded products.</w:t>
      </w:r>
    </w:p>
    <w:p>
      <w:r>
        <w:t>74. In conclusion, the operation in question, which from an industrial perspective seems to pursue a vertical integration of the supply chain in the relevant market of tuna-based preserves by one of its operators in order to adapt to existing competitive pressures at the international level, does not appear capable of causing effects that would preclude third parties from sources of supply or outlets, and/or significant price increases to the detriment of consumers in the various relevant markets considered.</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to authorize the notified concentration operation.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Roberto Chieppa Giovanni Pitruzzella</w:t>
      </w:r>
    </w:p>
    <w:p>
      <w:r>
        <w:t>46 BULLETIN NO. 36 OF SEPTEMBER 24, 2012</w:t>
      </w:r>
    </w:p>
    <w:p>
      <w:r>
        <w:t>C11730 - AELIA/ADR RETAIL</w:t>
      </w:r>
    </w:p>
    <w:p>
      <w:r>
        <w:t>Provision No. 23874</w:t>
      </w:r>
    </w:p>
    <w:p>
      <w:r>
        <w:t>THE COMPETITION AND MARKET AUTHORITY</w:t>
      </w:r>
    </w:p>
    <w:p>
      <w:r>
        <w:t>IN ITS MEETING of September 6, 2012;</w:t>
      </w:r>
    </w:p>
    <w:p>
      <w:r>
        <w:t>HEARD the Rapporteur Professor Carla Bedogni Rabitti;</w:t>
      </w:r>
    </w:p>
    <w:p>
      <w:r>
        <w:t>HAVING REGARD TO Law No. 287 of October 10, 1990;</w:t>
      </w:r>
    </w:p>
    <w:p>
      <w:r>
        <w:t>HAVING REGARD TO the communication from Aelia SAS, received on July 26, 2012;</w:t>
      </w:r>
    </w:p>
    <w:p>
      <w:r>
        <w:t>HAVING REGARD TO its request for information, sent on August 10, 2012, with consequent interruption of the terms pursuant to Article 5, paragraph 3, of the D.P.R. No. 217 of April 30, 1998;</w:t>
      </w:r>
    </w:p>
    <w:p>
      <w:r>
        <w:t>HAVING REGARD TO the additional information from Aelia SAS received on August 17, 2012;</w:t>
      </w:r>
    </w:p>
    <w:p>
      <w:r>
        <w:t>CONSIDERED the following:</w:t>
      </w:r>
    </w:p>
    <w:p>
      <w:r>
        <w:t>I. THE PARTIES</w:t>
      </w:r>
    </w:p>
    <w:p>
      <w:r>
        <w:t>Aelia SAS (hereinafter, Aelia) is a French company specialized in so-called travel retail and, in particular, in the retail sale of items intended for domestic and international travelers at airports and on board airplanes, as well as, marginally, at ports and train stations. Aelia is under the exclusive control of Lagardère Services SAS (hereinafter, Lagardère Services), which holds 84.49% of it. Lagardère Services is part of the Lagardère Group, at the head of which is Lagardère SCA, primarily active in the media sector.</w:t>
      </w:r>
    </w:p>
    <w:p>
      <w:r>
        <w:t>In 2011, the Lagardère Group achieved a global turnover of [20-30] billion euros, of which [10-20] billion euros in the European Union and [100-468] million euros in Italy.</w:t>
      </w:r>
    </w:p>
    <w:p>
      <w:r>
        <w:t>ADR Retail S.r.l. (hereinafter, ADR Retail) is a company controlled by Aeroporti di Roma S.p.A. (hereinafter, ADR), established on April 2, 2012. ADR Retail operates in the retail sale of duty-free and duty-paid products intended for domestic and international travelers at seven stores located within Leonardo Da Vinci Airport (Fiumicino Airport) and one store located within Giovan Battista Pastine Airport (Ciampino Airport). ADR Retail also manages logistical areas and premises located within Fiumicino Airport, intended for storage, warehousing, and logistics activities to support retail activities. The sales and supporting logistics activities are carried out under two separate sub-concession agreements, concluded with ADR on April 2, 2012, expiring on December 31, 2026. With specific reference to the sales activities in the seven stores located within Fiumicino Airport and in the store located within Ciampino Airport (collectively, hereinafter, Sub-conceded Areas), the agreement provides for the right to sell products falling within certain categories, some of which are exclusive, as well as a right of first refusal in case of availability of new commercial areas.</w:t>
      </w:r>
    </w:p>
    <w:p>
      <w:r>
        <w:t>The turnover related to the activities pertaining to ADR Retail, entirely attributable to Italy, was equal in 2011 to [47-100] million euros.</w:t>
      </w:r>
    </w:p>
    <w:p>
      <w:r>
        <w:t>II. DESCRIPTION OF THE OPERATION</w:t>
      </w:r>
    </w:p>
    <w:p>
      <w:r>
        <w:t>The operation in question consists of the acquisition, by Aelia and thus by the Lagardère Group, of the exclusive control of ADR Retail through the purchase of the entire share capital.</w:t>
      </w:r>
    </w:p>
    <w:p>
      <w:r>
        <w:t>III. QUALIFICATION OF THE OPERATION</w:t>
      </w:r>
    </w:p>
    <w:p>
      <w:r>
        <w:t>The notified operation, as it involves the acquisition of exclusive control of a company,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the turnover achieved in the last financial year at the national level by the company subject to acquisition exceeded 47 million euros.</w:t>
      </w:r>
    </w:p>
    <w:p>
      <w:r>
        <w:t>IV. EVALUATION OF THE CONCENTRATION</w:t>
      </w:r>
    </w:p>
    <w:p>
      <w:r>
        <w:t>The product market</w:t>
      </w:r>
    </w:p>
    <w:p>
      <w:r>
        <w:t>From a product perspective, the sector affected by the operation in question is that of the retail sale of various items intended for domestic and international travelers, which, according to a consolidated orientation of the Authority, includes both sales at airports and on board aircraft (where sales are conducted by airline personnel). The product market also concerns both so-called duty-free and tax-paid commercial activities.</w:t>
      </w:r>
    </w:p>
    <w:p>
      <w:r>
        <w:t>The sales activity is carried out under concession (in this case, under sub-concession until 2026).</w:t>
      </w:r>
    </w:p>
    <w:p>
      <w:r>
        <w:t>The geographical market</w:t>
      </w:r>
    </w:p>
    <w:p>
      <w:r>
        <w:t>The operation concerns the acquisition of seven retail outlets for the sale of various products at Fiumicino Airport and one retail outlet at Ciampino Airport.</w:t>
      </w:r>
    </w:p>
    <w:p>
      <w:r>
        <w:t>From the demand side, the consumer of goods purchasing from retailers located within airports can decide to make their purchase at different times during their journey. The purchase is possible at the departure airport, the destination airport, during any intermediate stop, or finally, while traveling. For intra-community travelers, the purchase is possible in different countries of the Union depending on the airport stops that will be made, as they are subject to the same tax conditions.</w:t>
      </w:r>
    </w:p>
    <w:p>
      <w:r>
        <w:t>From the supply side, companies operate in different geographical areas that compete with each other as they contend for demand that may decide to make purchases in different countries, particularly within the European Union.</w:t>
      </w:r>
    </w:p>
    <w:p>
      <w:r>
        <w:rPr>
          <w:b/>
        </w:rPr>
        <w:t>[Pages 46–48]</w:t>
      </w:r>
    </w:p>
    <w:p>
      <w:r>
        <w:t>48 BULLETIN NO. 36 OF SEPTEMBER 24, 2012</w:t>
      </w:r>
    </w:p>
    <w:p>
      <w:r>
        <w:t>In line with previous community decisions, for the purposes of this operation, it is not necessary to proceed with a precise definition of the geographic market, since, even if one were to consider the relevant market to be of a narrower dimension than the community level and coinciding with the individual airports of Fiumicino and Ciampino, the operation in question, as will be seen, would not be suitable to produce restrictive effects.</w:t>
      </w:r>
    </w:p>
    <w:p>
      <w:r>
        <w:t>Effects of the operation</w:t>
      </w:r>
    </w:p>
    <w:p>
      <w:r>
        <w:t>In the relevant market of retail sales of various types of goods intended for domestic and international travelers, including sales at airports and on board, the joint market share of the Parties, assessed on the basis of sales value, stands at [5-10%] globally and at [10-15%] within the European Union in 2011. In particular, the notified operation will result in a marginal increase in Aelia's share both at the European level, where ADR Retail holds a share of [less than 1%], and globally, with ADR Retail representing [less than 1%] of the market.</w:t>
      </w:r>
    </w:p>
    <w:p>
      <w:r>
        <w:t>Aelia is not present at the airports of Fiumicino and Ciampino, where ADR Retail represents, respectively, [35-40%] and [45-50%] of sales. In these areas, the operation will therefore result in the replacement of one operator with another.</w:t>
      </w:r>
    </w:p>
    <w:p>
      <w:r>
        <w:t>CONSIDERING, therefore,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 and Infrastructure and Transport.</w:t>
      </w:r>
    </w:p>
    <w:p>
      <w:r>
        <w:t>This provision will be published in the Bulletin of the Competition and Market Authority.</w:t>
      </w:r>
    </w:p>
    <w:p>
      <w:r>
        <w:t>THE SECRETARY GENERAL THE PRESIDENT</w:t>
        <w:br/>
        <w:t>Roberto Chieppa Giovanni Pitruzzella</w:t>
      </w:r>
    </w:p>
    <w:p>
      <w:r>
        <w:t>BULLETIN NO. 36 OF SEPTEMBER 24, 2012 49</w:t>
      </w:r>
    </w:p>
    <w:p>
      <w:r>
        <w:t>C11755 - APPLE/AUTHENTEC</w:t>
      </w:r>
    </w:p>
    <w:p>
      <w:r>
        <w:t>Provision No. 23875</w:t>
      </w:r>
    </w:p>
    <w:p>
      <w:r>
        <w:t>THE COMPETITION AND MARKET AUTHORITY</w:t>
      </w:r>
    </w:p>
    <w:p>
      <w:r>
        <w:t>IN ITS MEETING of September 6, 2012;</w:t>
      </w:r>
    </w:p>
    <w:p>
      <w:r>
        <w:t>HEARD the Rapporteur Professor Piero Barucci;</w:t>
      </w:r>
    </w:p>
    <w:p>
      <w:r>
        <w:t>HAVING REGARD to Law No. 287 of October 10, 1990;</w:t>
      </w:r>
    </w:p>
    <w:p>
      <w:r>
        <w:t>HAVING REGARD to the communication from Apple, Inc., received on August 8, 2012;</w:t>
      </w:r>
    </w:p>
    <w:p>
      <w:r>
        <w:t>CONSIDERED the following:</w:t>
      </w:r>
    </w:p>
    <w:p>
      <w:r>
        <w:t>I. THE PARTIES</w:t>
      </w:r>
    </w:p>
    <w:p>
      <w:r>
        <w:t>Apple, Inc. (hereinafter, Apple) is a company under U.S. law, active in the design, production, and marketing of mobile communication and multimedia devices, personal computers, and portable digital music players, in the sale of a wide range of software, services, peripherals, and related networking solutions, as well as applications and digital content from third parties.</w:t>
      </w:r>
    </w:p>
    <w:p>
      <w:r>
        <w:t>Apple is a publicly traded company listed on the New York Stock Exchange, not subject to the control of any company or person.</w:t>
      </w:r>
    </w:p>
    <w:p>
      <w:r>
        <w:t>In 2010/11, the consolidated revenue generated worldwide by Apple was approximately €77.6 billion, of which approximately [10-20] billion euros were generated in the European Union and [1-2] billion euros were generated in Italy.</w:t>
      </w:r>
    </w:p>
    <w:p>
      <w:r>
        <w:t>AuthenTec, Inc. (hereinafter, AuthenTec) is a company under U.S. law active in the development and production of biometric fingerprint sensors and recognition and identification software used to monitor access to physical locations, as well as to computers and mobile phones. Additionally, AuthenTec has developed software and systems for the protection of communications and multimedia content.</w:t>
      </w:r>
    </w:p>
    <w:p>
      <w:r>
        <w:t>AuthenTec is a publicly traded company listed on the New York Stock Exchange, with its share capital dispersed among numerous institutional and private shareholders, none of whom control the company.</w:t>
      </w:r>
    </w:p>
    <w:p>
      <w:r>
        <w:t>The revenue generated by AuthenTec in 2011 was approximately €50 million, of which approximately [1-10] million euros were generated in Europe and approximately [less than 1 million] euros were generated in Italy.</w:t>
      </w:r>
    </w:p>
    <w:p>
      <w:r>
        <w:t>II. DESCRIPTION OF THE OPERATION</w:t>
      </w:r>
    </w:p>
    <w:p>
      <w:r>
        <w:t>The operation in question consists of Apple's acquisition of exclusive control over AuthenTec. Under the purchase agreement, Bryce Acquisition Corporation, a wholly owned vehicle company of Apple, will be merged into AuthenTec, which will become a subsidiary of Apple.</w:t>
      </w:r>
    </w:p>
    <w:p>
      <w:r>
        <w:t>1 The financial year ending September 30, 2011, is considered.</w:t>
        <w:br/>
        <w:t>2 In this version, some data are omitted, as elements of confidentiality or secrecy of the information were deemed to exist.</w:t>
      </w:r>
    </w:p>
    <w:p>
      <w:r>
        <w:t>50 BULLETIN NO. 36 OF SEPTEMBER 24, 2012</w:t>
      </w:r>
    </w:p>
    <w:p>
      <w:r>
        <w:t>III. QUALIFICATION OF THE OPERATION</w:t>
      </w:r>
    </w:p>
    <w:p>
      <w:r>
        <w:t>The notified operation, as it involves the acquisition of exclusive control over a company,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financial year at the national level by the group of companies involved exceeded €468 million.</w:t>
      </w:r>
    </w:p>
    <w:p>
      <w:r>
        <w:t>IV. ASSESSMENT OF THE CONCENTRATION</w:t>
      </w:r>
    </w:p>
    <w:p>
      <w:r>
        <w:t>The product market</w:t>
      </w:r>
    </w:p>
    <w:p>
      <w:r>
        <w:t>The company subject to acquisition offers two categories of products based on solutions that utilize encryption technology (so-called Embedded Security Solutions - ESS): a) fingerprint sensors and related software, both for access and navigation on computers and mobile phones, and for authentication purposes for access to physical locations; b) software solutions aimed at ensuring secure user access to certain content and/or data on a device and/or protected data transfer.</w:t>
      </w:r>
    </w:p>
    <w:p>
      <w:r>
        <w:t>Apple does not market any product sold by the company subject to acquisition, but produces and markets some of the final products in which sensors and software developed by AuthenTec can be used. In light of the activities carried out by the Parties and considering the absence of horizontal overlaps between them, the markets affected by the operation are, on one hand, i) the upstream markets related to the products of the company subject to acquisition and, on the other hand, ii) the downstream markets related to the final products sold by Apple, in which the solutions developed by AuthenTec may be incorporated.</w:t>
      </w:r>
    </w:p>
    <w:p>
      <w:r>
        <w:t>According to the notifying Party, the upstream markets include the so-called Application Software (AS), which encompasses a wide range of software programs related to aspects concerning planning, access, execution, or internal collaboration within certain companies, government agencies, or other organizations. The upstream markets also include the so-called System Infrastructure Software (SIS). Finally, an additional sector included in the upstream markets is that related to systems for the identification of individuals based on fingerprint recognition.</w:t>
      </w:r>
    </w:p>
    <w:p>
      <w:r>
        <w:t>In the downstream markets, on the other hand, Personal Computers, tablets, and mobile phones are included.</w:t>
      </w:r>
    </w:p>
    <w:p>
      <w:r>
        <w:t>Both with respect to the upstream markets and the downstream markets, further distinctions may be hypothesized based on, respectively, the type of software or the type of device. However, for the purposes of assessing this operation, it is not necessary to proceed with an exact definition of the relevant product market, as, even in the most restrictive scenario, the operation does not appear to be suitable to alter the existing competitive conditions.</w:t>
      </w:r>
    </w:p>
    <w:p>
      <w:r>
        <w:t>The geographic market</w:t>
      </w:r>
    </w:p>
    <w:p>
      <w:r>
        <w:t>Regarding the geographical extent of the upstream and downstream markets outlined, according to the notifying Party, they appear to have at least a European dimension, if not a global one, considering the commercial relationships between suppliers and customers, the absence of significant barriers</w:t>
      </w:r>
    </w:p>
    <w:p>
      <w:r>
        <w:rPr>
          <w:b/>
        </w:rPr>
        <w:t>[Pages 49–51]</w:t>
      </w:r>
    </w:p>
    <w:p>
      <w:r>
        <w:t>BULLETIN NO. 36 OF SEPTEMBER 24, 2012 51</w:t>
      </w:r>
    </w:p>
    <w:p>
      <w:r>
        <w:t>regulatory barriers to entry, the substantial irrelevance of transportation costs, the absence of linguistic limits, and the global comparability of prices.</w:t>
      </w:r>
    </w:p>
    <w:p>
      <w:r>
        <w:t>The notifying party arrives at the same conclusion with respect to the downstream markets, based in particular on the limited impact of transportation costs, the similarity of product characteristics, and the worldwide marketing.</w:t>
      </w:r>
    </w:p>
    <w:p>
      <w:r>
        <w:t>In any case, for the purposes of evaluating this operation, it is not necessary to proceed with an exact definition of the relevant geographic market, as, regardless of the definition of the geographic market adopted, even in the most restrictive scenario, the assessment of the competitive impact of the operation would not change.</w:t>
      </w:r>
    </w:p>
    <w:p>
      <w:r>
        <w:t>Effects of the operation</w:t>
      </w:r>
    </w:p>
    <w:p>
      <w:r>
        <w:t>Regarding horizontal aspects, AuthenTec, according to the estimates provided by the Party, holds a share of less than 1% in each of the affected upstream markets, while Apple does not produce any of the products and systems developed by AuthenTec.</w:t>
      </w:r>
    </w:p>
    <w:p>
      <w:r>
        <w:t>From a vertical perspective, again according to the estimates provided by the Party, Apple holds a share in the PC market (which also includes tablets) of approximately [10-15%] worldwide, while in the mobile phone market it holds a share of approximately [10-15%] at the European level.</w:t>
      </w:r>
    </w:p>
    <w:p>
      <w:r>
        <w:t>In any case, the operation under consideration does not appear to raise significant vertical competitive concerns: considering AuthenTec's limited position in the upstream markets, important and qualified alternative suppliers of the products developed by the acquired company will continue to be available for Apple's competitors in the downstream markets; moreover, there are significant manufacturers of devices and equipment other than Apple that can use or integrate the products developed by AuthenTec's competitors.</w:t>
      </w:r>
    </w:p>
    <w:p>
      <w:r>
        <w:t>In light of the above, therefore, this operation does not seem capable of establishing or strengthening a dominant position in the affected markets that would eliminate or substantially and durably reduce competition.</w:t>
      </w:r>
    </w:p>
    <w:p>
      <w:r>
        <w:t>CONSIDERING, therefore, that the operation under consideration does not establish or strengthen a dominant position in the affected markets, as per Article 6, paragraph 1, of Law No. 287/90, that would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 and Infrastructure and Transport.</w:t>
      </w:r>
    </w:p>
    <w:p>
      <w:r>
        <w:t>3 For example, the Commission, with reference to the PC market, has considered the existence of a segment constituted by tablets, distinct from both desktops and laptops. See Case COMP/M.6196 – Lenovo/Medion, of July 26, 2011.</w:t>
      </w:r>
    </w:p>
    <w:p>
      <w:r>
        <w:t>BULLETIN NO. 36 OF SEPTEMBER 24, 2012 52</w:t>
      </w:r>
    </w:p>
    <w:p>
      <w:r>
        <w:t>This provision will be published in the Bulletin of the Competition Authority.</w:t>
      </w:r>
    </w:p>
    <w:p>
      <w:r>
        <w:t>THE SECRETARY GENERAL THE PRESIDENT</w:t>
      </w:r>
    </w:p>
    <w:p>
      <w:r>
        <w:t>Roberto Chieppa Giovanni Pitruzzella</w:t>
      </w:r>
    </w:p>
    <w:p>
      <w:r>
        <w:t>BULLETIN NO. 36 OF SEPTEMBER 24, 2012 53</w:t>
      </w:r>
    </w:p>
    <w:p>
      <w:r>
        <w:t>C11756 - UPIM/BRANCH OF UNI COOP FIRENZE</w:t>
      </w:r>
    </w:p>
    <w:p>
      <w:r>
        <w:t>Provision No. 23876</w:t>
      </w:r>
    </w:p>
    <w:p>
      <w:r>
        <w:t>THE COMPETITION AUTHORITY</w:t>
      </w:r>
    </w:p>
    <w:p>
      <w:r>
        <w:t>IN ITS MEETING of September 6, 2012;</w:t>
      </w:r>
    </w:p>
    <w:p>
      <w:r>
        <w:t>HEARD the Rapporteur Professor Carla Bedogni Rabitti;</w:t>
      </w:r>
    </w:p>
    <w:p>
      <w:r>
        <w:t>HAVING REGARD to Law No. 287 of October 10, 1990;</w:t>
      </w:r>
    </w:p>
    <w:p>
      <w:r>
        <w:t>HAVING REGARD to the communication from Upim S.r.l., received on August 9, 2012;</w:t>
      </w:r>
    </w:p>
    <w:p>
      <w:r>
        <w:t>CONSIDERED the following:</w:t>
      </w:r>
    </w:p>
    <w:p>
      <w:r>
        <w:t>I. THE PARTIES</w:t>
      </w:r>
    </w:p>
    <w:p>
      <w:r>
        <w:t>Upim S.r.l. (hereinafter, Up) is an Italian company belonging to the Coin group active in the retail distribution of clothing and related accessories and complements under the brands Coin, Upim, Oviesse, and Young Village.</w:t>
      </w:r>
    </w:p>
    <w:p>
      <w:r>
        <w:t>Up is wholly owned by the holding company Gruppo Coin S.p.A., which is ultimately attributable to financial companies and funds (in particular, funds managed by Cie Management II Limited, a fund management company controlled by individuals) that do not engage in commercial economic activities.</w:t>
      </w:r>
    </w:p>
    <w:p>
      <w:r>
        <w:t>The revenue achieved by the Coin group in the 2011 financial year was a total of 1.6 billion euros, almost entirely generated in Italy.</w:t>
      </w:r>
    </w:p>
    <w:p>
      <w:r>
        <w:t>The subject of acquisition is the business branch of the Italian company UniCoop Firenze S.c. (hereinafter, Coop) related to a retail operation, as a complex of goods that will be organized for the retail sale of clothing and accessories, located in a shopping center owned by Coop in the province of Florence. Coop is a large distribution operator for the retail sale of food and non-food goods.</w:t>
      </w:r>
    </w:p>
    <w:p>
      <w:r>
        <w:t>Coop is a member of the Coop Italia Consortium.</w:t>
      </w:r>
    </w:p>
    <w:p>
      <w:r>
        <w:t>The business branch of Coop has not generated any revenue in the past, as it is newly established (having previously been part of a hypermarket intended for the sale of food products).</w:t>
      </w:r>
    </w:p>
    <w:p>
      <w:r>
        <w:t>II. DESCRIPTION OF THE OPERATION</w:t>
      </w:r>
    </w:p>
    <w:p>
      <w:r>
        <w:t>The operation in question concerns the acquisition, by Up and thus by the Coin group, of control over the business branch of Coop described above; in particular, the acquisition of control will occur by means of a lease agreement lasting eight years.</w:t>
      </w:r>
    </w:p>
    <w:p>
      <w:r>
        <w:t>III. QUALIFICATION OF THE OPERATION</w:t>
      </w:r>
    </w:p>
    <w:p>
      <w:r>
        <w:t>The notified operation, as it involves the acquisition of control over part of a company, constitutes a concentration pursuant to Article 5, paragraph 1, letter b), of Law No. 287/90.</w:t>
      </w:r>
    </w:p>
    <w:p>
      <w:r>
        <w:t>It falls within the scope of application of Law No. 287/90 as the conditions of Article 1 of Regulation (EC) No. 139/04 are not met, and it is subject to the obligation of prior notification provided for by Article 16, paragraph 1, of the same law as the total revenue achieved, in the last financial year at the national level, by the group of interested companies exceeded 468 million euros.</w:t>
      </w:r>
    </w:p>
    <w:p>
      <w:r>
        <w:rPr>
          <w:b/>
        </w:rPr>
        <w:t>[Pages 52–54]</w:t>
      </w:r>
    </w:p>
    <w:p>
      <w:r>
        <w:t>54 BULLETIN NO. 36 OF SEPTEMBER 24, 2012</w:t>
      </w:r>
    </w:p>
    <w:p>
      <w:r>
        <w:t>IV. ASSESSMENT OF THE CONCENTRATION</w:t>
      </w:r>
    </w:p>
    <w:p>
      <w:r>
        <w:t>The product market</w:t>
      </w:r>
    </w:p>
    <w:p>
      <w:r>
        <w:t>From a commodity perspective, the market affected by the operation under examination is that of the retail distribution of clothing items and related accessories and complements, an activity that will be carried out by the business branch subject to acquisition.</w:t>
      </w:r>
    </w:p>
    <w:p>
      <w:r>
        <w:t>In Italy, the retail marketing of clothing items and accessories primarily occurs through two channels: traditional distribution and so-called modern distribution. The latter (for example, concerning shopping centers) is characterized, firstly, by the large size of the stores in terms of sales area, a factor that allows, among other things, the establishment of departments specifically dedicated to different types of garments (men's, women's, children's clothing, underwear); secondly, modern distribution is predominantly based on self-service for customers. In contrast, traditional distribution tends to specialize in a narrow range of products, providing customers with assisted sales service in smaller retail outlets.</w:t>
      </w:r>
    </w:p>
    <w:p>
      <w:r>
        <w:t>However, it is necessary to highlight that the presence of all types of products in a single retail outlet is not of decisive importance for consumers. Clothing items and accessories are indeed to be considered durable goods, of high unit value, that satisfy both the primary need for clothing and a set of other needs related to a person's image. The consumer is therefore willing to invest significant time resources in searching for the item that best meets their needs in terms of quality, price, and aesthetic characteristics, visiting various retail outlets and repeatedly comparing offers for each item they require.</w:t>
      </w:r>
    </w:p>
    <w:p>
      <w:r>
        <w:t>It can therefore be considered that traditional distribution and modern distribution are part of the same market.</w:t>
      </w:r>
    </w:p>
    <w:p>
      <w:r>
        <w:t>The geographical market</w:t>
      </w:r>
    </w:p>
    <w:p>
      <w:r>
        <w:t>From a geographical relevance perspective, the product market presents a local dimension, as the need for consumers to make multiple comparisons is limited by the constraints of geographical distances (the purchasing behaviors of consumers and the importance they attribute to the proximity of retail outlets are indeed relevant). The exact delineation of the territorial scope involved must be carried out on a case-by-case basis based on the catchment areas of the individual retail outlets of the companies involved and their level of overlap.</w:t>
      </w:r>
    </w:p>
    <w:p>
      <w:r>
        <w:t>In accordance with the established orientation of the Authority, the relevant geographical market can be assumed on a provincial scale corresponding, in this case, to the province of Florence.</w:t>
      </w:r>
    </w:p>
    <w:p>
      <w:r>
        <w:t>Effects of the operation</w:t>
      </w:r>
    </w:p>
    <w:p>
      <w:r>
        <w:t>In the field of clothing and accessories distribution, and specifically regarding the affected province, the Coin group holds a market share (based on revenue data) estimated at approximately [10-15%].</w:t>
      </w:r>
    </w:p>
    <w:p>
      <w:r>
        <w:t>The negligible effect of having an additional retail outlet is confirmed by the sales data of the business branch subject to acquisition, which are nonexistent as it pertains to a branch that has been inactive so far concerning the relevant market.</w:t>
      </w:r>
    </w:p>
    <w:p>
      <w:r>
        <w:t>The market context is characterized, on one hand, by a rather fragmented system with numerous competitors of limited impact and, on the other hand, by a certain dynamism favored by the absence of significant entry barriers.</w:t>
      </w:r>
    </w:p>
    <w:p>
      <w:r>
        <w:t>In light of the preceding considerations, the concentration under examination does not appear to be suitable for significantly altering the competitive dynamics in the relevant market.</w:t>
      </w:r>
    </w:p>
    <w:p>
      <w:r>
        <w:t>THEREFORE, IT IS CONSIDERED that the operation under examination does not entail, pursuant to Article 6, paragraph 1, of Law No. 287/90,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 and Infrastructure and Transport.</w:t>
      </w:r>
    </w:p>
    <w:p>
      <w:r>
        <w:t>This provision will be published in the Bulletin of the Antitrust Authority.</w:t>
      </w:r>
    </w:p>
    <w:p>
      <w:r>
        <w:t>THE SECRETARY GENERAL THE PRESIDENT</w:t>
      </w:r>
    </w:p>
    <w:p>
      <w:r>
        <w:t>Roberto Chieppa Giovanni Pitruzzella</w:t>
      </w:r>
    </w:p>
    <w:p>
      <w:r>
        <w:t>COMMERCIALI ITALIA in Boll. n. 29/12.</w:t>
      </w:r>
    </w:p>
    <w:p>
      <w:r>
        <w:t>In this version, some data are omitted, as elements of confidentiality or secrecy of the information were deemed to exist.</w:t>
      </w:r>
    </w:p>
    <w:p>
      <w:r>
        <w:t>56 BULLETIN NO. 36 OF SEPTEMBER 24, 2012</w:t>
      </w:r>
    </w:p>
    <w:p>
      <w:r>
        <w:t>C11757 - OVIESSE/BRANCH OF UNICOOP FIRENZE</w:t>
      </w:r>
    </w:p>
    <w:p>
      <w:r>
        <w:t>Provision No. 23877</w:t>
      </w:r>
    </w:p>
    <w:p>
      <w:r>
        <w:t>THE ANTITRUST AUTHORITY</w:t>
      </w:r>
    </w:p>
    <w:p>
      <w:r>
        <w:t>IN ITS MEETING of September 6, 2012;</w:t>
      </w:r>
    </w:p>
    <w:p>
      <w:r>
        <w:t>HEARD the Rapporteur Professor Carla Bedogni Rabitti;</w:t>
      </w:r>
    </w:p>
    <w:p>
      <w:r>
        <w:t>HAVING REGARD to Law No. 287 of October 10, 1990;</w:t>
      </w:r>
    </w:p>
    <w:p>
      <w:r>
        <w:t>HAVING REGARD to the communication from the company Oviesse S.p.A., received on August 9, 2012;</w:t>
      </w:r>
    </w:p>
    <w:p>
      <w:r>
        <w:t>CONSIDERING the following:</w:t>
      </w:r>
    </w:p>
    <w:p>
      <w:r>
        <w:t>I. THE PARTIES</w:t>
      </w:r>
    </w:p>
    <w:p>
      <w:r>
        <w:t>Oviesse S.p.A. (hereinafter, Ovs) is an Italian company belonging to the Coin group active in the retail distribution of clothing items and related accessories and complements under the brands Coin, Upim, Oviesse, and Young Village.</w:t>
      </w:r>
    </w:p>
    <w:p>
      <w:r>
        <w:t>Ovs is wholly owned by the holding company Gruppo Coin S.p.A., which is ultimately attributable to financial companies and funds (in particular, funds managed by Cie Management II Limited, a fund management company controlled by individuals) that do not engage in commercial economic activities.</w:t>
      </w:r>
    </w:p>
    <w:p>
      <w:r>
        <w:t>The revenue achieved by the Coin group in the 2011 fiscal year amounted to a total of 1.6 billion euros, almost entirely generated in Italy.</w:t>
      </w:r>
    </w:p>
    <w:p>
      <w:r>
        <w:t>The subject of acquisition is the business branch of the Italian company UniCoop Firenze S.c. (hereinafter, Coop) related to a retail outlet, as a complex of goods that will be organized for the retail sale of clothing items and accessories, located in a shopping center owned by Coop in the province of Pistoia. Coop is a large distribution operator for the retail sale of food and non-food goods.</w:t>
      </w:r>
    </w:p>
    <w:p>
      <w:r>
        <w:t>Coop is a member of the Coop Italia Consortium.</w:t>
      </w:r>
    </w:p>
    <w:p>
      <w:r>
        <w:t>The business branch of Coop has not generated any revenue in the past, as it is newly established (having previously been part of a hypermarket intended for the sale of food products).</w:t>
      </w:r>
    </w:p>
    <w:p>
      <w:r>
        <w:t>II. DESCRIPTION OF THE OPERATION</w:t>
      </w:r>
    </w:p>
    <w:p>
      <w:r>
        <w:t>The operation under examination concerns the acquisition, by Ovs and thus by the Coin group, of control over the business branch of Coop described above; in particular, the acquisition of control will occur by virtue of a lease agreement lasting nine years.</w:t>
      </w:r>
    </w:p>
    <w:p>
      <w:r>
        <w:t>III. QUALIFICATION OF THE OPERATION</w:t>
      </w:r>
    </w:p>
    <w:p>
      <w:r>
        <w:t>The notified operation, as it involves the acquisition of control over part of a company, constitutes a concentration pursuant to Article 5, paragraph 1, letter b), of Law No. 287/90.</w:t>
      </w:r>
    </w:p>
    <w:p>
      <w:r>
        <w:t>It falls within the scope of application of Law No. 287/90 as the conditions of Article 1 of Regulation (EC) No. 139/04 are not met, and it is subject to the obligation of prior notification provided for by Article 16, paragraph 1, of the same law as the total revenue achieved, in the last fiscal year at the national level, by the group of companies involved was over 468 million euros.</w:t>
      </w:r>
    </w:p>
    <w:p>
      <w:r>
        <w:rPr>
          <w:b/>
        </w:rPr>
        <w:t>[Pages 55–57]</w:t>
      </w:r>
    </w:p>
    <w:p>
      <w:r>
        <w:t>BULLETIN NO. 36 OF SEPTEMBER 24, 2012 57</w:t>
      </w:r>
    </w:p>
    <w:p>
      <w:r>
        <w:t>IV. ASSESSMENT OF THE CONCENTRATION</w:t>
      </w:r>
    </w:p>
    <w:p>
      <w:r>
        <w:t>The product market</w:t>
      </w:r>
    </w:p>
    <w:p>
      <w:r>
        <w:t>From a commodity perspective, the market affected by the operation under examination is that of the retail distribution of clothing items and related accessories and complements, an activity that will be carried out by the business branch subject to acquisition.</w:t>
      </w:r>
    </w:p>
    <w:p>
      <w:r>
        <w:t>In Italy, the retail marketing of clothing items and accessories mainly occurs through two channels: traditional distribution and so-called modern distribution. The latter (for example, concerning shopping centers) is characterized, firstly, by the large size of the establishments in terms of sales area, a factor that allows, among other things, the establishment of departments specifically dedicated to different types of garments (men's, women's, children's clothing, underwear); secondly, modern distribution is predominantly based on self-service for customers. In contrast, traditional distribution tends to specialize in a narrow range of products, providing customers with assisted sales service in smaller commercial establishments.</w:t>
      </w:r>
    </w:p>
    <w:p>
      <w:r>
        <w:t>However, it is necessary to highlight that the presence of all types of products in a single retail outlet is not of decisive importance for consumers. Clothing items and accessories are indeed to be considered durable goods, of high unit value, that satisfy both the primary need for clothing and a set of other needs related to a person's image. The consumer is therefore willing to invest significant time resources in searching for the item that best suits their needs in terms of quality, price, and aesthetic characteristics, visiting various commercial establishments and repeatedly comparing offers for each item they require.</w:t>
      </w:r>
    </w:p>
    <w:p>
      <w:r>
        <w:t>It can therefore be considered that traditional and modern distribution are part of the same market.</w:t>
      </w:r>
    </w:p>
    <w:p>
      <w:r>
        <w:t>The geographical market</w:t>
      </w:r>
    </w:p>
    <w:p>
      <w:r>
        <w:t>From a geographical relevance perspective, the product market presents a local dimension, as the need for consumers to make multiple comparisons finds a limit in the constraint of the related geographical distances (the purchasing behaviors of consumers and the importance they attribute to the proximity of retail outlets are indeed relevant). The exact delimitation of the territorial scope concerned must be carried out on a case-by-case basis based on the catchment areas of the individual retail outlets of the companies involved and their level of overlap.</w:t>
      </w:r>
    </w:p>
    <w:p>
      <w:r>
        <w:t>In accordance with the established orientation of the Authority, the relevant geographical market can be assumed on a provincial scale corresponding, in this case, to the province of Pistoia.</w:t>
      </w:r>
    </w:p>
    <w:p>
      <w:r>
        <w:t>1 Various other smaller distribution forms such as markets, street sales, mail order sales, etc. are also included.</w:t>
        <w:br/>
        <w:t>2 This distribution system, which meets the needs of mass consumption, has expanded from the initial offering related to food and clothing goods to include a variety of other goods (hobbies, furniture, electronics, etc.).</w:t>
        <w:br/>
        <w:t>3 It should also be noted the trend towards a gradual reduction in the weight of multi-brand retail in favor of mono-brand and franchised chains, specialized in selling items and accessories produced under a single brand. In these, self-service prevails, allowing the consumer autonomous choice, but at the same time, assisted sales typical of traditional establishments are ensured, if requested.</w:t>
        <w:br/>
        <w:t>4 See, lastly, provision no. 23757 of July 18, 2012 C11678 - BERSHKA ITALIA/ BUSINESS BRANCH OF GALLERIE COMMERCIALI ITALIA in Bulletin no. 29/12.</w:t>
      </w:r>
    </w:p>
    <w:p>
      <w:r>
        <w:t>58 BULLETIN NO. 36 OF SEPTEMBER 24, 2012</w:t>
      </w:r>
    </w:p>
    <w:p>
      <w:r>
        <w:t>Effects of the operation</w:t>
      </w:r>
    </w:p>
    <w:p>
      <w:r>
        <w:t>In the field of clothing and accessories distribution, and specifically regarding the affected province, the Coin group holds a market share (based on revenue data) estimated at modest values (approximately [1-5%]).</w:t>
      </w:r>
    </w:p>
    <w:p>
      <w:r>
        <w:t>The negligible effect of having an additional retail outlet is confirmed by the sales data of the business branch subject to acquisition, which are nonexistent as it pertains to a branch that has been inactive so far concerning the relevant market.</w:t>
      </w:r>
    </w:p>
    <w:p>
      <w:r>
        <w:t>The market context is characterized, on one hand, by a rather fragmented system with numerous competitors of limited impact and, on the other hand, by a certain dynamism favored by the absence of significant entry barriers.</w:t>
      </w:r>
    </w:p>
    <w:p>
      <w:r>
        <w:t>In light of the preceding considerations, the concentration under examination does not appear to be suitable for significantly altering the competitive dynamics in the relevant market.</w:t>
      </w:r>
    </w:p>
    <w:p>
      <w:r>
        <w:t>THEREFORE, it is deemed that the operation under examination does not entail, pursuant to Article 6, paragraph 1, of Law No. 287/90,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 and Infrastructure and Transport.</w:t>
      </w:r>
    </w:p>
    <w:p>
      <w:r>
        <w:t>This provision will be published in the Bulletin of the Antitrust Authority.</w:t>
      </w:r>
    </w:p>
    <w:p>
      <w:r>
        <w:t>THE SECRETARY GENERAL THE PRESIDENT</w:t>
      </w:r>
    </w:p>
    <w:p>
      <w:r>
        <w:t>Roberto Chieppa Giovanni Pitruzzella</w:t>
      </w:r>
    </w:p>
    <w:p>
      <w:r>
        <w:t>BULLETIN NO. 36 OF SEPTEMBER 24, 2012 59</w:t>
      </w:r>
    </w:p>
    <w:p>
      <w:r>
        <w:t>C11759 – AL.TO./PITECO</w:t>
      </w:r>
    </w:p>
    <w:p>
      <w:r>
        <w:t>Provision No. 23878</w:t>
      </w:r>
    </w:p>
    <w:p>
      <w:r>
        <w:t>THE ANTITRUST AUTHORITY</w:t>
      </w:r>
    </w:p>
    <w:p>
      <w:r>
        <w:t>IN ITS MEETING of September 6, 2012;</w:t>
      </w:r>
    </w:p>
    <w:p>
      <w:r>
        <w:t>HEARD the Rapporteur Professor Carla Bedogni Rabitti;</w:t>
      </w:r>
    </w:p>
    <w:p>
      <w:r>
        <w:t>VIEWED Law No. 287 of October 10, 1990;</w:t>
      </w:r>
    </w:p>
    <w:p>
      <w:r>
        <w:t>VIEWED the communication from AL.TO. S.r.l., received on August 13, 2012;</w:t>
      </w:r>
    </w:p>
    <w:p>
      <w:r>
        <w:t>CONSIDERED the following:</w:t>
      </w:r>
    </w:p>
    <w:p>
      <w:r>
        <w:t>I. THE PARTIES</w:t>
      </w:r>
    </w:p>
    <w:p>
      <w:r>
        <w:t>AL.TO. S.r.l. (hereinafter also AL.TO) is a company established for the purpose of the communicated operation and controlled by Sequenza S.p.A., which in turn is subject to the control of Lillo S.p.A., a group attributable to two natural persons.</w:t>
      </w:r>
    </w:p>
    <w:p>
      <w:r>
        <w:t>Lillo S.p.A. (hereinafter also Lillo) is a company active, also through controlled companies, mainly in the sector of modern retail distribution of food products and other mass and general consumption products under the discount formula.</w:t>
      </w:r>
    </w:p>
    <w:p>
      <w:r>
        <w:t>In 2011, the Lillo Group achieved a revenue of approximately 771 million euros entirely in Italy.</w:t>
      </w:r>
    </w:p>
    <w:p>
      <w:r>
        <w:t>Piteco S.p.A. (hereinafter also Piteco) is a company active in the design and implementation of management solutions in the areas of administration, finance, and control, consisting, in particular, of application software for managing corporate treasury and related IT services for maintenance, assistance, integration, development, and consulting, as well as data processing services, IT services, research, selection, and training of personnel. The share capital of Piteco is held by San Marco Immobiliare S.r.l., Dedagroup S.p.A., and three natural persons, in the capacity of operational partners.</w:t>
      </w:r>
    </w:p>
    <w:p>
      <w:r>
        <w:t>In 2011, Piteco achieved a revenue of approximately 11 million euros, almost entirely in Italy.</w:t>
      </w:r>
    </w:p>
    <w:p>
      <w:r>
        <w:t>II. DESCRIPTION OF THE OPERATION</w:t>
      </w:r>
    </w:p>
    <w:p>
      <w:r>
        <w:t>The operation under examination consists of the acquisition by AL.TO of exclusive control of Piteco. The operation will be carried out through a capital increase of AL.TO and the simultaneous entry into the corporate structure of Dedagroup S.p.A. and San Marco Immobiliare S.r.l., subject to the control of the same natural persons who control Lillo.</w:t>
      </w:r>
    </w:p>
    <w:p>
      <w:r>
        <w:t>Subsequently, AL.TO will acquire the entire share capital of Piteco. The current three operational partners of Piteco will maintain a marginal share in the capital of AL.TO of 3% each.</w:t>
      </w:r>
    </w:p>
    <w:p>
      <w:r>
        <w:t>The operation includes a non-compete agreement on the part of the sellers aimed at protecting the goodwill and know-how of the acquired company. Under this agreement, each of them, for a period of three years from the execution date, agrees to:</w:t>
      </w:r>
    </w:p>
    <w:p>
      <w:r>
        <w:t xml:space="preserve">a) not to carry out, on their own, in association with third parties, or on behalf of third parties, directly or indirectly, by any means, any activity within the territory of Italy that competes with the activities carried out by Piteco; </w:t>
        <w:br/>
        <w:t>b) not to assume and in any case hold, directly or indirectly, shares in companies that carry out, within the territory of Italy, activities in competition with the activities carried out by Piteco (or</w:t>
      </w:r>
    </w:p>
    <w:p>
      <w:r>
        <w:rPr>
          <w:b/>
        </w:rPr>
        <w:t>[Pages 58–60]</w:t>
      </w:r>
    </w:p>
    <w:p>
      <w:r>
        <w:t>60 BULLETIN NO. 36 OF SEPTEMBER 24, 2012</w:t>
      </w:r>
    </w:p>
    <w:p>
      <w:r>
        <w:t>b) not to acquire and in any case hold, directly or indirectly, shares in companies that carry out, within the territory of Italy, activities in competition with the activities carried out by Piteco (or by the company that may result from the merger between Newco and Piteco), provided that shares held as a mere financial investment, amounting to less than 2%, in companies listed on a regulated market in Italy or abroad will not be taken into account;</w:t>
      </w:r>
    </w:p>
    <w:p>
      <w:r>
        <w:t>c) not to solicit or offer, directly or indirectly, employment to employees, agents, collaborators, and/or consultants of Piteco.</w:t>
      </w:r>
    </w:p>
    <w:p>
      <w:r>
        <w:t>III. QUALIFICATION OF THE OPERATION</w:t>
      </w:r>
    </w:p>
    <w:p>
      <w:r>
        <w:t>The communicated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468 million euros.</w:t>
      </w:r>
    </w:p>
    <w:p>
      <w:r>
        <w:t>The non-competition agreement signed by the Parties can be considered directly connected and necessary for the realization of the concentration operation in question, as it is functional to safeguarding the value of the acquired company.</w:t>
      </w:r>
    </w:p>
    <w:p>
      <w:r>
        <w:t>IV. EVALUATION OF THE CONCENTRATION</w:t>
      </w:r>
    </w:p>
    <w:p>
      <w:r>
        <w:t>The product market</w:t>
      </w:r>
    </w:p>
    <w:p>
      <w:r>
        <w:t>From a commodity perspective, the sector affected by the operation in question is that of Information Technology (IT) services in which the company subject to acquisition operates, active in the provision of software for analysis and information management.</w:t>
      </w:r>
    </w:p>
    <w:p>
      <w:r>
        <w:t>Within the IT sector, distinguishing between more specific markets is not easy. This difficulty mainly arises from the strong innovation and rapid and constant technological evolution that characterize the sector, as well as the fact that the companies present tend to offer a multitude of products and services, adapting their offerings to technological evolution, demand, and customer needs.</w:t>
      </w:r>
    </w:p>
    <w:p>
      <w:r>
        <w:t>In this regard, the European Commission has identified seven segments that identify a plurality of IT products and services: 1) IT management; 2) business management; 3) software development and integration; 4) consulting; 5) software maintenance; 6) hardware maintenance; 7) education and training. These segments, in turn, can be further segmented into groups of services. However, it should be noted that there is a certain substitutability on the supply side, also considering that IT service providers generally offer a more or less wide range of different services in packages that may involve all or some of the identifiable segments.</w:t>
      </w:r>
    </w:p>
    <w:p>
      <w:r>
        <w:t>Even within the development and marketing of software programs, it is possible to identify a plurality of areas, primarily depending on the end use of the product, whether for consumers for home use (consumer software) or for businesses and institutions for professional use (business software). Business-type software can be further divided into system infrastructure software and application software supporting the main business functions.</w:t>
      </w:r>
    </w:p>
    <w:p>
      <w:r>
        <w:t>For the purposes of evaluating this operation, it is not necessary to proceed with an exact definition of the relevant commodity market, as even in the most restrictive hypothesis, the operation does not appear to be suitable for altering the existing competitive conditions.</w:t>
      </w:r>
    </w:p>
    <w:p>
      <w:r>
        <w:t>The geographic market</w:t>
      </w:r>
    </w:p>
    <w:p>
      <w:r>
        <w:t>Regarding the geographical extent of the markets related to IT services, they appear to have a national dimension, considering the specificity of the demand for this type of services and products, which sees homogeneous competitive conditions in the Italian market, and the absence of significant imports of IT services.</w:t>
      </w:r>
    </w:p>
    <w:p>
      <w:r>
        <w:t>Moreover, as highlighted by the European Commission, these markets tend to internationalize from both the demand and supply sides, given that: a) suppliers offer their services on a supranational basis; b) the nature and quality of services do not differ from one country to another; c) workers in the sector are characterized by high mobility; d) English is used as a common language for all IT applications.</w:t>
      </w:r>
    </w:p>
    <w:p>
      <w:r>
        <w:t>In any case, for the purposes of evaluating this operation, it is not necessary to proceed with an exact definition of the relevant geographic market, as whatever definition of the geographic market is adopted, even in the most restrictive hypothesis, the assessment of the competitive impact of the operation would not change.</w:t>
      </w:r>
    </w:p>
    <w:p>
      <w:r>
        <w:t>Effects of the operation</w:t>
      </w:r>
    </w:p>
    <w:p>
      <w:r>
        <w:t>In the Italian IT services market, both the Lillo group and the company subject to acquisition hold a share of less than 1%.</w:t>
      </w:r>
    </w:p>
    <w:p>
      <w:r>
        <w:t>In light of the above, it is believed that in the reference market the operation will not have adverse effects on competition, not resulting in substantial changes in the competitive structure thereof.</w:t>
      </w:r>
    </w:p>
    <w:p>
      <w:r>
        <w:t>THEREFORE, IT IS CONSIDERED that the operation in question does not result, pursuant to Article 6, paragraph 1, of Law No. 287/90, in the establishment or strengthening of a dominant position in the relevant market, such as to eliminate or substantially and durably reduce competition;</w:t>
      </w:r>
    </w:p>
    <w:p>
      <w:r>
        <w:t>IT IS ALSO CONSIDERED that the non-competition agreements between the parties are ancillary to the present operation only to the limits described above and that the Authority reserves the right to evaluate, where the conditions exist, the aforementioned agreements that extend beyond the time, object, and geographical scope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 and Infrastructure and Transport.</w:t>
      </w:r>
    </w:p>
    <w:p>
      <w:r>
        <w:t>The present provision will be published in the Bulletin of the Antitrust Authority.</w:t>
      </w:r>
    </w:p>
    <w:p>
      <w:r>
        <w:t>THE SECRETARY GENERAL THE PRESIDENT</w:t>
      </w:r>
    </w:p>
    <w:p>
      <w:r>
        <w:t>Roberto Chieppa Giovanni Pitruzzella</w:t>
      </w:r>
    </w:p>
    <w:p>
      <w:r>
        <w:rPr>
          <w:b/>
        </w:rPr>
        <w:t>[Pages 61–63]</w:t>
      </w:r>
    </w:p>
    <w:p>
      <w:r>
        <w:t>BULLETIN NO. 36 OF SEPTEMBER 24, 2012 63</w:t>
      </w:r>
    </w:p>
    <w:p>
      <w:r>
        <w:t>C11761 - SYNERGO/SOFIPA SGR</w:t>
      </w:r>
    </w:p>
    <w:p>
      <w:r>
        <w:t>Decision No. 23879</w:t>
      </w:r>
    </w:p>
    <w:p>
      <w:r>
        <w:t>THE ANTITRUST AUTHORITY;</w:t>
      </w:r>
    </w:p>
    <w:p>
      <w:r>
        <w:t>IN ITS MEETING of September 6, 2012;</w:t>
      </w:r>
    </w:p>
    <w:p>
      <w:r>
        <w:t>HEARD the Rapporteur Professor Piero Barucci;</w:t>
      </w:r>
    </w:p>
    <w:p>
      <w:r>
        <w:t>HAVING REGARD to Law No. 287 of October 10, 1990;</w:t>
      </w:r>
    </w:p>
    <w:p>
      <w:r>
        <w:t>HAVING REGARD to the communication from Ing. Paolo Zapparoli and Cuneo e Associati S.p.A., received on August 16, 2012;</w:t>
      </w:r>
    </w:p>
    <w:p>
      <w:r>
        <w:t>CONSIDERING the following:</w:t>
      </w:r>
    </w:p>
    <w:p>
      <w:r>
        <w:t>I. THE PARTIES</w:t>
      </w:r>
    </w:p>
    <w:p>
      <w:r>
        <w:t>Ing. Paolo Zapparoli (hereinafter, Zapparoli) is a natural person who holds joint control, together with Cuneo e Associati S.p.A., of the private equity company Synergo SGR S.p.A. (hereinafter, Synergo), of which he also serves as CEO. Through the funds managed by it, Synergo holds controlling stakes in numerous companies operating in various sectors. In 2011, the revenue generated in Italy by Zapparoli, calculated as 50% of the revenue generated in Italy by Synergo, amounted to approximately [100-468] million euros.</w:t>
      </w:r>
    </w:p>
    <w:p>
      <w:r>
        <w:t>Cuneo e Associati S.p.A. (hereinafter, Cuneo) is a business consulting company controlled by Dr. Gianfilippo Cuneo, active in providing services for organization, reorganization, strategy, finance, management, administration of companies, personnel selection, training, marketing, and economic and business studies. Cuneo jointly controls Synergo with Zapparoli. The revenue generated in Italy in 2011 by Cuneo was approximately [100-468] million euros.</w:t>
      </w:r>
    </w:p>
    <w:p>
      <w:r>
        <w:t>Sofipa SGR S.p.A. (hereinafter, Sofipa) is a company belonging to the UniCredit banking group, specialized in managing mid-cap private equity funds. Sofipa primarily operates in Italy, acquiring stakes in companies that mainly operate in the machinery and equipment, gadgets, automotive, clothing and accessories sectors, providing the necessary support to achieve their growth. The revenue generated in Italy in 2011 by Sofipa was approximately [100-468] million euros.</w:t>
      </w:r>
    </w:p>
    <w:p>
      <w:r>
        <w:t>II. DESCRIPTION OF THE OPERATION</w:t>
      </w:r>
    </w:p>
    <w:p>
      <w:r>
        <w:t>The operation in question consists of the purchase, by Zapparoli and Cuneo, of the entire capital of Sofipa through the vehicle Synergo 2, a company jointly controlled by the same parties. As a result of the operation, Sofipa will be subject to the joint control of Zapparoli and Cuneo. The operation is preparatory to the merger of Sofipa with Synergo, aimed at developing synergies between the two companies, considering that both offer the same type of services (management of private equity investments); however, this merger does not represent a condition for the realization of the described operation.</w:t>
      </w:r>
    </w:p>
    <w:p>
      <w:r>
        <w:t>1 In this version, some data are omitted, as there were deemed to be elements of confidentiality or secrecy of the information.</w:t>
      </w:r>
    </w:p>
    <w:p>
      <w:r>
        <w:t>64 BULLETIN NO. 36 OF SEPTEMBER 24, 2012</w:t>
      </w:r>
    </w:p>
    <w:p>
      <w:r>
        <w:t>III. QUALIFICATION OF THE OPERATION</w:t>
      </w:r>
    </w:p>
    <w:p>
      <w:r>
        <w:t>The notified operation, as it involves the acquisition of joint control of a business, constitutes a concentration pursuant to Article 5, paragraph 1, letter b), of Law No. 287 of 1990. It falls within the scope of application of Law No. 287/90, as the conditions of Article 1 of Regulation (EC) No. 139/2004 do not apply, and it is subject to the obligation of prior notification provided for by Article 16 of Law No. 287/90, as the revenue generated in Italy by the group of companies involved in 2011 exceeds the threshold of 468 million euros.</w:t>
      </w:r>
    </w:p>
    <w:p>
      <w:r>
        <w:t>IV. ASSESSMENT OF THE CONCENTRATION</w:t>
      </w:r>
    </w:p>
    <w:p>
      <w:r>
        <w:t>The operation in question primarily concerns the private equity market, namely the activity of acquiring, managing, enhancing, and subsequently selling stakes. This sector sees the operation of numerous entities, including banks, insurance companies, closed-end mutual funds, and financial companies. The geographical dimension of the private equity market is to be considered national, given the homogeneity of the characteristics of demand and supply across the entire Italian territory.</w:t>
      </w:r>
    </w:p>
    <w:p>
      <w:r>
        <w:t>According to the data communicated by the parties, at the national level, Synergo and Sofipa will hold, as a result of this concentration operation, a combined market share of less than 5%. Considering the not high level of the post-merger market share and taking into account the presence of numerous and qualified competing operators such as MPSVenture, IMI Fondi Chiusi, DeA Capital, 21 Partners, Investitori Associati, Clessidra, as well as a number of international operators active in the Italian market, the operation in question does not appear to be suitable to significantly alter the competitive structure in this market.</w:t>
      </w:r>
    </w:p>
    <w:p>
      <w:r>
        <w:t>Even in the markets where the companies controlled by Synergo and Sofipa operate through the investment funds managed by them, the operation in question will not result in significant competitive effects, as the companies belonging to the investment "portfolio" of Synergo's funds do not operate in the same markets as the companies in the "portfolio" of Sofipa's funds, nor in upstream or downstream markets. The only exception is represented by IP Cleaning S.p.A., a company active in the production and marketing of cleaning machines and equipment, currently under the joint control of Synergo and Sofipa. Even in this case, however, the operation does not appear to be suitable to alter the existing competitive situation, as the concentration will merely reduce the number of operators exercising control over IP Cleaning S.p.A., which, as a result of the operation, will be entirely under the joint control of Zapparoli and Cuneo.</w:t>
      </w:r>
    </w:p>
    <w:p>
      <w: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2 See, among others, Decision No. 21777 of November 3, 2010, C10777 - DeA Capital/IDeA Alternative Investments, in Bulletin No. 43/10 and Decision No. 17949 of January 31, 2008, C9108 - Intek/I2 Capital, in Bulletin No. 4/08.</w:t>
      </w:r>
    </w:p>
    <w:p>
      <w:r>
        <w:t>BULLETIN NO. 36 OF SEPTEMBER 24, 2012 65</w:t>
      </w:r>
    </w:p>
    <w:p>
      <w:r>
        <w:t>The above conclusions will be communicated, pursuant to Article 16, paragraph 4, of Law No. 287/90, to the interested companies and to the Ministry of Economic Development and Infrastructure and Transport.</w:t>
      </w:r>
    </w:p>
    <w:p>
      <w:r>
        <w:t>The present decision will be published in the Bulletin of the Antitrust Authority.</w:t>
      </w:r>
    </w:p>
    <w:p>
      <w:r>
        <w:t>THE SECRETARY GENERAL THE PRESIDENT</w:t>
      </w:r>
    </w:p>
    <w:p>
      <w:r>
        <w:t>Roberto Chieppa Giovanni Pitruzzella</w:t>
      </w:r>
    </w:p>
    <w:p>
      <w:r>
        <w:rPr>
          <w:b/>
        </w:rPr>
        <w:t>[Pages 64–66]</w:t>
      </w:r>
    </w:p>
    <w:p>
      <w:r>
        <w:t>66 BULLETIN NO. 36 OF SEPTEMBER 24, 2012</w:t>
      </w:r>
    </w:p>
    <w:p>
      <w:r>
        <w:t>C11762 - ROBERT BOSCH/AMMANN GROUP</w:t>
      </w:r>
    </w:p>
    <w:p>
      <w:r>
        <w:t>Decision No. 23880</w:t>
      </w:r>
    </w:p>
    <w:p>
      <w:r>
        <w:t>THE ANTITRUST AUTHORITY</w:t>
      </w:r>
    </w:p>
    <w:p>
      <w:r>
        <w:t>IN ITS MEETING of September 6, 2012;</w:t>
      </w:r>
    </w:p>
    <w:p>
      <w:r>
        <w:t>HEARD the Rapporteur Professor Carla Bedogni Rabitti;</w:t>
      </w:r>
    </w:p>
    <w:p>
      <w:r>
        <w:t>HAVING REGARD to Law No. 287 of October 10, 1990;</w:t>
      </w:r>
    </w:p>
    <w:p>
      <w:r>
        <w:t>HAVING REGARD to the communication from Robert Bosch GmbH, received on August 16, 2012;</w:t>
      </w:r>
    </w:p>
    <w:p>
      <w:r>
        <w:t>CONSIDERED the following:</w:t>
      </w:r>
    </w:p>
    <w:p>
      <w:r>
        <w:t>I. THE PARTIES</w:t>
      </w:r>
    </w:p>
    <w:p>
      <w:r>
        <w:t>Robert Bosch GmbH (hereinafter, Bosch), a German company, is the parent company of the eponymous group active worldwide in the production of components and machinery for the automotive sector as well as in the production and distribution of household appliances, industrial automation systems, power tools, security systems, and packaging systems.</w:t>
      </w:r>
    </w:p>
    <w:p>
      <w:r>
        <w:t>A large part of Bosch's share capital (92%) is held by a foundation (Robert Bosch Stiftung GmbH), with the remaining fraction divided among members of the eponymous family and the company Robert Bosch Industrietreuhand KG.</w:t>
      </w:r>
    </w:p>
    <w:p>
      <w:r>
        <w:t>The revenue achieved by the Bosch group in the 2011 financial year amounted to a total of 51.5 billion euros, of which 2.1 billion euros were from sales made in Italy.</w:t>
      </w:r>
    </w:p>
    <w:p>
      <w:r>
        <w:t>The companies Ampack GmbH &amp; Co KG, Ammann Beteiligungsgesellschaft mbH, Ingenieurburo Ammann GmbH &amp; Co KG, and Ingenieurburo Ammann Beteiligungs GmbH, under German law, make up the Ammann Group, which is active in the production and marketing of machinery for filling and packaging paste and liquid food products (such as dairy products, baby food, and hospital food).</w:t>
      </w:r>
    </w:p>
    <w:p>
      <w:r>
        <w:t>The companies that make up the Ammann Group are controlled by individuals, members of the Ammann family.</w:t>
      </w:r>
    </w:p>
    <w:p>
      <w:r>
        <w:t>In 2011, the Ammann Group achieved a worldwide revenue of approximately 22.9 million euros, of which 83,000 euros were from sales in Italy.</w:t>
      </w:r>
    </w:p>
    <w:p>
      <w:r>
        <w:t>II. DESCRIPTION OF THE OPERATION</w:t>
      </w:r>
    </w:p>
    <w:p>
      <w:r>
        <w:t>The operation in question concerns the acquisition by Bosch of the entire share capital of the four companies that make up the Ammann Group.</w:t>
      </w:r>
    </w:p>
    <w:p>
      <w:r>
        <w:t>The operation also includes certain non-competition clauses. In particular, the sellers commit, for a period of three years and without geographical specifications, not to engage - directly or indirectly - in any activity that competes with the activities carried out by the Ammann Group.</w:t>
      </w:r>
    </w:p>
    <w:p>
      <w:r>
        <w:t>III. QUALIFICATION OF THE OPERATION</w:t>
      </w:r>
    </w:p>
    <w:p>
      <w:r>
        <w:t>It should be noted that the notified acquisitions, characterized by functional interdependence, constitute a single operation.</w:t>
      </w:r>
    </w:p>
    <w:p>
      <w:r>
        <w:t>The notified operation, as it involves the acquisition of control over part of a company, constitutes a concentration pursuant to Article 5, paragraph 1, letter b), of Law No. 287/90.</w:t>
      </w:r>
    </w:p>
    <w:p>
      <w:r>
        <w:t>It falls within the scope of application of Law No. 287/90 as the conditions set out in Article 1 of EC Regulation 139/04 do not apply, and it is subject to the obligation of prior notification provided for by Article 16, paragraph 1, of the same law as the total revenue achieved, in the last financial year at the national level, by the group of companies involved exceeded 468 million euros.</w:t>
      </w:r>
    </w:p>
    <w:p>
      <w:r>
        <w:t>The non-competition agreements described above can be qualified as ancillary to the notified concentration to the extent that they contain restrictions directly related to the realization of the operation and necessary for it. In particular, in this case, the commitments made by the sellers benefit the buyer and respond to the need to ensure the transfer of the actual value of the acquisition to the latter. However, in order not to exceed the limits of what is reasonably required for this purpose, it is necessary that the geographical scope does not exceed the current territorial scope of operation of the company being acquired.</w:t>
      </w:r>
    </w:p>
    <w:p>
      <w:r>
        <w:t>IV. ASSESSMENT OF THE CONCENTRATION</w:t>
      </w:r>
    </w:p>
    <w:p>
      <w:r>
        <w:t>The sector concerned by the operation in question is that of the design, production, and sale of machines for packaging food and non-food products. In this sector, there coexist machines that can be used exclusively for certain applications, such as machines used in the beverage bottling industry, and machines designed for filling specific materials, such as, for example, cardboard, traditionally distinct from glass/PET and cans. In this case, however, the exact definition of the product market may remain open.</w:t>
      </w:r>
    </w:p>
    <w:p>
      <w:r>
        <w:t>The economic activity in question is carried out by numerous large companies that are active internationally, having widespread sales networks in different countries. The export propensity of companies active in the sector is also high.</w:t>
      </w:r>
    </w:p>
    <w:p>
      <w:r>
        <w:t>On the demand side, the major buyers are represented by multinational companies, predominantly active in the food and beverage sector, which are able to select suppliers of the machinery used for packaging their products at the international level.</w:t>
      </w:r>
    </w:p>
    <w:p>
      <w:r>
        <w:t>Due to the characteristics of the demand and supply in the sector of design, production, and sale of machines for packaging food and non-food products, it is believed that the geographical dimension of the relevant markets is supranational, at least European. However, in this case, it does not seem necessary to further explore the issue of geographical delimitation.</w:t>
      </w:r>
    </w:p>
    <w:p>
      <w:r>
        <w:t>In fact, the only segment in which the activities of the parties overlap is that of the production of aseptic filling machines for liquid foods, in which the joint share of the parties will be below 5% both at the global and community levels.</w:t>
      </w:r>
    </w:p>
    <w:p>
      <w:r>
        <w:t>In light of the above considerations, the concentration in question does not appear to be capable of significantly altering competitive dynamics in the relevant market.</w:t>
      </w:r>
    </w:p>
    <w:p>
      <w:r>
        <w:t>THEREFORE, it is deemed that the operation in question does not entail, pursuant to Article 6, paragraph 1, of Law No. 287/90, the establishment or strengthening of a dominant position in the relevant market, such as to eliminate or substantially and durably reduce competition;</w:t>
      </w:r>
    </w:p>
    <w:p>
      <w:r>
        <w:t>IT IS ALSO DEEMED that the agreed non-competition clauses are ancillary to this operation only to the limits specified above, and that the Authority reserves the right to assess, where the conditions exist, such clauses to the extent that they are realized beyond the geographical scope indicated therein;</w:t>
      </w:r>
    </w:p>
    <w:p>
      <w:r>
        <w:t>RESOLVES</w:t>
      </w:r>
    </w:p>
    <w:p>
      <w:r>
        <w:t>not to initiate the investigation referred to in Article 16, paragraph 4, of Law No. 287/90.</w:t>
      </w:r>
    </w:p>
    <w:p>
      <w:r>
        <w:t>The conclusions above will be communicated, pursuant to Article 16, paragraph 4, of Law No. 287/90, to the companies involved and to the Minister of Economic Development and Infrastructure and Transport.</w:t>
      </w:r>
    </w:p>
    <w:p>
      <w:r>
        <w:t>This decision will be published in the Bulletin of the Antitrust Authority.</w:t>
      </w:r>
    </w:p>
    <w:p>
      <w:r>
        <w:t>THE SECRETARY GENERAL THE PRESIDENT</w:t>
      </w:r>
    </w:p>
    <w:p>
      <w:r>
        <w:t>Roberto Chieppa Giovanni Pitruzzella</w:t>
      </w:r>
    </w:p>
    <w:p>
      <w:r>
        <w:rPr>
          <w:b/>
        </w:rPr>
        <w:t>[Pages 67–69]</w:t>
      </w:r>
    </w:p>
    <w:p>
      <w:r>
        <w:t>BULLETIN NO. 36 OF SEPTEMBER 24, 2012 69</w:t>
      </w:r>
    </w:p>
    <w:p>
      <w:r>
        <w:t>REPORTING AND CONSULTATIVE ACTIVITIES</w:t>
      </w:r>
    </w:p>
    <w:p>
      <w:r>
        <w:t>AS984 – MUNICIPALITY OF PIACENZA - SIGNING OF AGREEMENT WITH FUNERAL SERVICE COMPANIES</w:t>
      </w:r>
    </w:p>
    <w:p>
      <w:r>
        <w:t>Rome, May 15, 2012</w:t>
      </w:r>
    </w:p>
    <w:p>
      <w:r>
        <w:t xml:space="preserve">Municipality of Piacenza  </w:t>
        <w:br/>
        <w:t xml:space="preserve">D.O. Services to the Person and the Citizen  </w:t>
        <w:br/>
        <w:t>Citizen Services and Equal Opportunities</w:t>
      </w:r>
    </w:p>
    <w:p>
      <w:r>
        <w:t>With reference to the request for an opinion concerning the possibility for the Municipality of Piacenza to enter into an agreement with funeral service companies for the provision of "standard" funeral services at affordable prices, received on March 23, 2012, the Antitrust Authority, pursuant to Article 22 of Law No. 287/90, in its meeting of May 3, 2012, has formulated the following considerations.</w:t>
      </w:r>
    </w:p>
    <w:p>
      <w:r>
        <w:t>In particular, the Authority believes that the initiative, as presented (also following your communication of April 16, 2012), does not appear to raise particular competitive concerns insofar as, on the one hand, it is presented as an initiative open to all companies meeting certain minimum requirements to operate in the funeral sector and, on the other hand, the agreed price should be understood as a maximum ceiling that can be lowered, thus leaving open the possibility for competitive dynamics to develop among the various market operators. Moreover, it should be appreciated that the determination of prices will be based on a market analysis that takes into account the competitive dynamics present at the local level in the funeral services market.</w:t>
      </w:r>
    </w:p>
    <w:p>
      <w:r>
        <w:t xml:space="preserve">p. THE PRESIDENT  </w:t>
        <w:br/>
        <w:t>Piero Barucci</w:t>
      </w:r>
    </w:p>
    <w:p>
      <w:r>
        <w:t>70 BULLETIN NO. 36 OF SEPTEMBER 24, 2012</w:t>
      </w:r>
    </w:p>
    <w:p>
      <w:r>
        <w:t>AS985 - AUTONOMOUS PROVINCE OF TRENTO - DEVELOPMENT PROJECT OF THE NEXT GENERATION BROADBAND NETWORK IN PARTNERSHIP WITH TELECOM ITALIA</w:t>
      </w:r>
    </w:p>
    <w:p>
      <w:r>
        <w:t>Rome, September 14, 2012</w:t>
      </w:r>
    </w:p>
    <w:p>
      <w:r>
        <w:t xml:space="preserve">Autonomous Province of Trento  </w:t>
        <w:br/>
        <w:t>Provincial Council</w:t>
      </w:r>
    </w:p>
    <w:p>
      <w:r>
        <w:t>The Antitrust Authority, in its meeting of September 6, 2012, has formulated, pursuant to Article 22 of Law No. 287/90, certain considerations regarding the development project of the next generation broadband network in partnership with Telecom Italia S.p.A.</w:t>
      </w:r>
    </w:p>
    <w:p>
      <w:r>
        <w:t>Based on the information transmitted by the Autonomous Province of Trento on June 26, 20121, it appears that following the investigation carried out in 2010 to verify the consistency of the existing network, define the areas subject to intervention, and outline a related cost model for evaluating the investments necessary for the realization of a fiber optic network, the Autonomous Province of Trento has initiated a phase of "consultation" with network operators and financial investors to verify potential interest in entering the shareholding of the company Trentino NGN S.r.l.2. The intervention of the Province of Trento would follow the principle of the Market Economy Investor (M.E.I.P.) with a return on capital in line with market expectations based on a budget allocation of a total of 50 million euros.</w:t>
      </w:r>
    </w:p>
    <w:p>
      <w:r>
        <w:t>During the consultations with the interested operators, Telecom Italia's willingness to share the proposed coverage objectives and to consider contributing its infrastructure (ducts and copper) to the company emerged. The business model proposed by Telecom Italia's main competitors (Vodafone, Wind, and Fastweb), on the other hand, was assessed as not fully aligned with the objectives of the Autonomous Province of Trento.</w:t>
      </w:r>
    </w:p>
    <w:p>
      <w:r>
        <w:t>With resolution No. 2774 of December 14, 2011, the Provincial Council approved the outcome of the consultation procedure and the draft shareholders' agreement to be signed between the Autonomous Province of Trento, Telecom Italia, and the other partners (MC Link and La Finanziaria Trentina S.p.A.). The shareholders' agreement was signed on December 16, 2011. In implementation of the previous measures, with Provincial Council resolutions No. 178 of February 2, 2012, and No. 885 of May 11, 2012, the capital increase of the company Trentino NGN was authorized, and the methods of contribution, subscription, and payment of the planned amounts were defined (the total contribution of € 11,750,000, net of the already subscribed and paid share of 3 million, as of the date of the extraordinary assembly; the payment of € 16,450,000 equal to 35% by December 31, 2012, and the remaining € 18,800,000, equal to 40%, by December 31, 2013).</w:t>
      </w:r>
    </w:p>
    <w:p>
      <w:r>
        <w:t>On this point, the Authority believes that the selection of the private partner of a mixed company by an administration must always occur as a result of a competitive public procedure. As noted in its numerous reports on the matter, in fact, any state body is required to apply the rules of public evidence provided by community and national regulations on the selection of contractors, which, as is known, apply whenever there is a relationship (whether contractual or corporate) definable as "for reciprocal performances" or "onerous"3.</w:t>
      </w:r>
    </w:p>
    <w:p>
      <w:r>
        <w:t>This assumption is, moreover, fully shared by the Court of Auditors4 and the Council of State5, which have affirmed the principle of public evidence as a general rule of good administration, concluding that any public entity must, in any case, select the private partner of a mixed company through a public evidence procedure.</w:t>
      </w:r>
    </w:p>
    <w:p>
      <w:r>
        <w:t>Therefore, the discretionary choice of the Entity, consisting in identifying Telecom Italia as the private partner of the company Trentino NGN, is in contrast with the principles protecting competition by granting that operator an undue competitive advantage over competitors.</w:t>
      </w:r>
    </w:p>
    <w:p>
      <w:r>
        <w:t>Nor can the fact that an ad hoc consultation procedure was carried out with potentially interested economic operators be considered sufficient to dispel competitive concerns. By definition, the informal consultation of market operators, not anchored to rigorous criteria of publicity, impartiality, and transparency (postulated by the principles of public evidence established by community law and domestic law), in fact, does not guarantee equal treatment of potential contractors.</w:t>
      </w:r>
    </w:p>
    <w:p>
      <w:r>
        <w:t>In conclusion, the Authority, while drawing the attention of this Administration to the need to avoid that its measures introduce restrictions on competition not strictly justified by imperative reasons of general interest, hopes that the observations made may constitute the basis for a review of the management methods of the next generation broadband network development project.</w:t>
      </w:r>
    </w:p>
    <w:p>
      <w:r>
        <w:t>This opinion will be published in the Bulletin of the Authority pursuant to Article 26 of Law No. 287/90.</w:t>
      </w:r>
    </w:p>
    <w:p>
      <w:r>
        <w:t xml:space="preserve">THE PRESIDENT  </w:t>
        <w:br/>
        <w:t xml:space="preserve">Giovanni Pitruzzella  </w:t>
        <w:br/>
        <w:t xml:space="preserve">1 Following a request for information from the Offices sent on June 11, 2012.  </w:t>
        <w:br/>
        <w:t xml:space="preserve">2 On December 10, 2010, with resolution No. 2811/2011, the company Trentino NGN S.r.l. was established, in a single-member form, open to the participation of other partners with a majority stake held by the Province (at least in the first phase of infrastructure development). The subject is the design, realization, maintenance, and provision of access fiber optic network (passive network) to operators.  </w:t>
        <w:br/>
        <w:t xml:space="preserve">3 See, in particular, the reports (AS861 - Report concerning the activities of awarding the Poligrafico and (AS285 - Selection of companies interested in the production cycle of self-adhesive labels for pharmaceutical products as well as, more recently, AS604 - Municipality of Carsoli (Aq) - Urban Waste Collection, Treatment, and Disposal Services.  </w:t>
        <w:br/>
        <w:t xml:space="preserve">4 In the numerous interventions of the Control Section of the Lombardy Region on the investment regime in swaps of local authorities – ex multis, Del. No. 214 of May 14, 2009 SRCLOM/214/2009/VSG available at https://servizi.corteconti.it/bdcaccessibile/ricercaInternet/doGestioneRicerca  </w:t>
        <w:br/>
        <w:t>5 Council of State, Section V, March 4, 2008, No. 889.</w:t>
      </w:r>
    </w:p>
    <w:p>
      <w:r>
        <w:rPr>
          <w:b/>
        </w:rPr>
        <w:t>[Pages 70–72]</w:t>
      </w:r>
    </w:p>
    <w:p>
      <w:r>
        <w:t>72 BULLETIN NO. 36 OF SEPTEMBER 24, 2012</w:t>
      </w:r>
    </w:p>
    <w:p>
      <w:r>
        <w:t>UNFAIR TRADE PRACTICES</w:t>
      </w:r>
    </w:p>
    <w:p>
      <w:r>
        <w:t>PS8149 - TRENITALIA - TRAVEL IN ITALY STARTING FROM 9</w:t>
      </w:r>
    </w:p>
    <w:p>
      <w:r>
        <w:t>Provision No. 23867</w:t>
      </w:r>
    </w:p>
    <w:p>
      <w:r>
        <w:t>THE ANTITRUST AUTHORITY</w:t>
      </w:r>
    </w:p>
    <w:p>
      <w:r>
        <w:t>IN ITS MEETING of September 6, 2012;</w:t>
      </w:r>
    </w:p>
    <w:p>
      <w:r>
        <w:t>HEARD the Rapporteur Professor Piero Barucci;</w:t>
      </w:r>
    </w:p>
    <w:p>
      <w:r>
        <w:t>HAVING REGARD TO Part II, Title III, of Legislative Decree No. 206 of September 6, 2005, containing the "Consumer Code" and subsequent amendments (hereinafter, Consumer Code);</w:t>
      </w:r>
    </w:p>
    <w:p>
      <w:r>
        <w:t>HAVING REGARD TO the "Regulation on investigative procedures regarding unfair trade practices" (hereinafter, Regulation), adopted by the Authority with resolution of November 15, 2007;</w:t>
      </w:r>
    </w:p>
    <w:p>
      <w:r>
        <w:t>HAVING REGARD TO its provision of April 26, 2012, whereby the non-adoption of the precautionary measure was resolved, pursuant to Article 27, paragraph 3, of the Consumer Code and Article 9, paragraph 1, of the Regulation;</w:t>
      </w:r>
    </w:p>
    <w:p>
      <w:r>
        <w:t>HAVING REGARD TO its provision of July 18, 2012, whereby, pursuant to Article 7, paragraph 3, of the Regulation, the deadline for concluding the procedure was extended, for the evaluation of the commitments proposed by the professional on June 7, 2012, pursuant to Article 27, paragraph 7, of the Consumer Code and Article 8 of the Regulation;</w:t>
      </w:r>
    </w:p>
    <w:p>
      <w:r>
        <w:t>HAVING REGARD TO the documents of the procedure;</w:t>
      </w:r>
    </w:p>
    <w:p>
      <w:r>
        <w:t>I. THE PARTIES</w:t>
      </w:r>
    </w:p>
    <w:p>
      <w:r>
        <w:t>1. Trenitalia S.p.A. (hereinafter also "Trenitalia") as the professional, pursuant to Article 18, letter b), of the Consumer Code. The company is the main national railway company, active in the medium and long-distance passenger transport sector, in metropolitan and regional transport, and in freight transport. The company's financial statements for the year ending December 31, 2012, show revenues of approximately 5.4 billion euros.</w:t>
      </w:r>
    </w:p>
    <w:p>
      <w:r>
        <w:t>2. Altroconsumo – Independent Consumers' Association (hereinafter also "Altroconsumo"), as the notifier, active in consumer information and protection.</w:t>
      </w:r>
    </w:p>
    <w:p>
      <w:r>
        <w:t>3. Nuovo Trasporto Viaggiatori S.p.A. (hereinafter also "N.T.V."), as the notifier. The company is active in rail passenger transport and is the first private Italian operator on the high-speed network.</w:t>
      </w:r>
    </w:p>
    <w:p>
      <w:r>
        <w:t>II. THE TRADE PRACTICE</w:t>
      </w:r>
    </w:p>
    <w:p>
      <w:r>
        <w:t>4. The procedure concerns the behavior carried out by the professional, consisting of the dissemination of a promotional campaign regarding the commercial offer called "travel in Italy starting from 9 euros," aimed at promoting the sale of railway transport services throughout the national territory at very advantageous prices. In particular, the messages on various media, including the company website www.trenitalia.com, highlight – giving particular chromatic and dimensional emphasis to the price of 9 euros – the possibility of availing oneself of this fare, indicating six specific high-speed routes (such as Rome-Milan, Turin-Naples, Rome-Bari, Florence-Rome, Rome-Venice, Rome-Reggio Calabria). However, the same messages do not specify the validity period of the offer, nor the actual number of seats - total and for each individual route/type of train - available under these conditions.</w:t>
      </w:r>
    </w:p>
    <w:p>
      <w:r>
        <w:t>5. In the television spot, while the speaker emphatically states: "With Trenitalia, from today you choose the price! Travel in Italy starting from 9 euros! Discover the best price for you! Depart with Trenitalia! Trenitalia: the most convenient choice there is!", images of trains in motion, the silhouette of the Italian peninsula, and the figure "9 euros" are shown, followed by the indication of some of the routes on promotion (Rome-Milan, Rome-Venice, Naples-Milan). The promotion is described in similar terms in the print message and on the company website, starting from the homepage, of which images are provided.</w:t>
      </w:r>
    </w:p>
    <w:p>
      <w:r>
        <w:t>6. However, according to some surveys conducted on the professional's website, during certain periods the availability of seats at the price of 9 euros was found to be extremely limited both in relation to the total volume of seats offered and in terms of the routes involved.</w:t>
      </w:r>
    </w:p>
    <w:p>
      <w:r>
        <w:t>III. THE OUTCOMES OF THE PROCEDURE: THE PRESENTATION OF COMMITMENTS</w:t>
      </w:r>
    </w:p>
    <w:p>
      <w:r>
        <w:t>1) The course of the procedure</w:t>
      </w:r>
    </w:p>
    <w:p>
      <w:r>
        <w:t>7. In relation to the conduct described above, on March 29, 2012, a communication of the initiation of the investigative procedure No. PS/8149 was sent to the professional. The communication hypothesized that Trenitalia's conduct could constitute a violation of Articles 20, 21, paragraph 1, letter b), 22, and 23, letter e), of the Consumer Code, as it was contrary to professional diligence and capable, through indications that were not truthful, inaccurate, or incomplete, or information lacking adequate graphic evidence, of misleading the average consumer regarding the actual substance of the professional's promotional offer and specifically regarding the substantial availability of tickets at 9 euros. In the same initiation communication, the Party was invited, pursuant to Article 9, paragraph 2, of the Regulation, to submit written statements and documents within 5 days of receipt, for the purpose of evaluating the prerequisites for the provisional suspension of the practice, pursuant to Article 27, paragraph 3, of the Consumer Code.</w:t>
      </w:r>
    </w:p>
    <w:p>
      <w:r>
        <w:t>8. On April 3, 2012, the requested information from Trenitalia regarding the promotional campaign, the quantity of seats made available, accompanied by defensive observations on the subject of the initiation communication, was received.</w:t>
      </w:r>
    </w:p>
    <w:p>
      <w:r>
        <w:rPr>
          <w:b/>
        </w:rPr>
        <w:t>[Pages 73–75]</w:t>
      </w:r>
    </w:p>
    <w:p>
      <w:r>
        <w:t>BULLETIN NO. 36 OF SEPTEMBER 24, 2012 75</w:t>
      </w:r>
    </w:p>
    <w:p>
      <w:r>
        <w:t>9. On the same date, April 3, 2012, a request for intervention from Altroconsumo was received, illustrating the results of online simulations conducted on the website www.trenitalia.com, regarding the availability of seats at promotional prices on trains operating from April 1 to June 9, 2012, on the Rome-Milan/Milan-Rome routes.</w:t>
      </w:r>
    </w:p>
    <w:p>
      <w:r>
        <w:t>On April 5, 2012, an additional complaint was received from the competing railway company N.T.V. S.p.A. requesting a provisional suspension of the practice.</w:t>
      </w:r>
    </w:p>
    <w:p>
      <w:r>
        <w:t>10. In two subsequent communications received on April 12 and April 23, 2012, Trenitalia communicated some initiatives related to the advertising campaign in question, specifically regarding the cessation and/or suspension of its dissemination – in the version subject to initiation – concerning certain media, as well as, with respect to others, the substantial modifications introduced aimed at reducing the emphasis on the price of 9 euros and clarifying that this was only one of the six price levels (from 9 euros to 99 euros) offered in the promotion under examination.</w:t>
      </w:r>
    </w:p>
    <w:p>
      <w:r>
        <w:t>11. In particular, the company illustrated that, as of April 24, 2012:</w:t>
        <w:br/>
        <w:t>- the advertising campaign in question via spots had ceased;</w:t>
        <w:br/>
        <w:t>- the mail marketing activity towards loyal CartaFreccia members had been exhausted;</w:t>
        <w:br/>
        <w:t>- the sound announcements broadcast on board the trains had been suspended;</w:t>
        <w:br/>
        <w:t>- the dissemination of messages via print media – already scheduled for the period from April 16 to April 30, 2012 – had been suspended, warning that if there were a future resumption of the campaign in print, they would no longer be disseminated in the original version but with a different graphic version aimed at emphasizing the progression of discounted prices available “starting from 9 euros”;</w:t>
        <w:br/>
        <w:t>- the presentation of the offer in question on the company’s website had been modified, both regarding the homepage (within the pre-existing green box, above the links referring to the same routes involved in the offer, the wording “Mini from € 9,19, 29, 39…” is inserted, and the box next to each of the same links indicates: “MINI prices”; on the right side of the same webpage, the claim “Travel in Italy. Mini prices from 9 €, 19 €, 29 €, 39 €…”) and the webpage presenting the offer, which highlights, in addition to the claim “Travel throughout Italy at Mini prices from 9 €, 19 €, 29 €, 39 €…”, also a table showing some “examples of routes with the Frecce” in which next to the respective base price (for 2nd class) the various levels of Mini prices are indicated.</w:t>
      </w:r>
    </w:p>
    <w:p>
      <w:r>
        <w:t>N.T.V. particularly emphasized that the advertising in question had been disseminated precisely in temporal coincidence with the company’s entry into the now-liberalized market and complained, among various profiles of unfairness, about the misleading nature arising from the fact that this commercial campaign was substantially centered on the offer of tickets at 9 euros when this, in reality, constituted the rarest of the discounted fares available. N.T.V. supplemented the complaint with subsequent communications received on April 18 and May 8, 2012.</w:t>
      </w:r>
    </w:p>
    <w:p>
      <w:r>
        <w:t>76 BULLETIN NO. 36 OF SEPTEMBER 24, 2012</w:t>
      </w:r>
    </w:p>
    <w:p>
      <w:r>
        <w:t>- the presentation of the offer had been modified within the scrolling banners disseminated on other websites – inserting in them the indication “prices starting from 9 €, 19 €, 29 €…”.</w:t>
      </w:r>
    </w:p>
    <w:p>
      <w:r>
        <w:t>12. In the meeting of April 26, 2012, the Authority decided not to proceed with the temporary suspension of the promotion subject to initiation, considering that the multiple initiatives to cease and suspend the campaign on most of the communication media used and the modifications presented by the professional – as implemented on the company’s website – were suitable to exclude the periculum in mora; as a result of these initiatives, the further dissemination of potentially misleading messages regarding the actual availability of the 9 euro fare was indeed eliminated, particularly for the six specifically indicated routes, and it was clarified at the same time that the promotional initiative is framed within the “mini fare”, concerns a broader series of discounted prices above 9 euros, and is not referred to any specific route of the transport services offered.</w:t>
      </w:r>
    </w:p>
    <w:p>
      <w:r>
        <w:t>13. On June 7, 2012, the professional formalized a proposal for commitments pursuant to Article 27, paragraph 7, of the Consumer Code and Article 8 of the Regulation.</w:t>
      </w:r>
    </w:p>
    <w:p>
      <w:r>
        <w:t>14. On July 27, 2012, the Parties were informed of the definitive date for the conclusion of the investigative phase pursuant to Article 16, paragraph 1, of the Regulation.</w:t>
      </w:r>
    </w:p>
    <w:p>
      <w:r>
        <w:t>15. On August 2, 2012, final observations were received from N.T.V. S.p.A.</w:t>
      </w:r>
    </w:p>
    <w:p>
      <w:r>
        <w:t>16. On August 3, 2012, a request for opinion was made to the Authority for Guarantees in Communications, pursuant to Article 27, paragraph 6, of the Consumer Code. The Authority did not communicate its opinion within the thirty-day period from the receipt of the request and did not represent any further investigative needs.</w:t>
      </w:r>
    </w:p>
    <w:p>
      <w:r>
        <w:t>2) The commitments presented by the professional</w:t>
      </w:r>
    </w:p>
    <w:p>
      <w:r>
        <w:t>17. In a note received on June 7, 2012, the professional presented a proposal for commitments, pursuant to Article 27, paragraph 7, of the Consumer Code and Article 8 of the Regulation.</w:t>
      </w:r>
    </w:p>
    <w:p>
      <w:r>
        <w:t>18. In particular, these commitments – which in their definitive version are attached to this provision and constitute an integral part thereof – provide for:</w:t>
        <w:br/>
        <w:t>a) regarding the availability of seats in promotion, Trenitalia commits to significantly increase – starting from [omissis] and until the end of the month of [omissis], for a total duration of four months – the number of seats available at the discounted price of 9 euros as well as to modify the distribution of discounted seats favoring the price ranges most appealing to consumers. In particular, while maintaining the total number of seats available at discounted prices on medium/long-distance trains (equal to [omissis] per month), they would be increased – on a monthly basis in the following manner:</w:t>
        <w:br/>
        <w:t>- in nearly doubled quantity – going from [omissis] to [omissis] – the number of tickets at 9 euros (level 6 of discount);</w:t>
        <w:br/>
        <w:t>- from [omissis] to [omissis] (with an increase of about 65%), the total number of tickets at 29 and 39 euros (fifth and fourth discount levels). According to Trenitalia, this increase entails an additional increase in seats available at the price of 9 euros (in addition to those mentioned in the previous point) as this price corresponds to multiple discount ranges for shorter routes; as well as a growth of nearly 77% – from [omissis] to [omissis] – of the number of seats available at the price of the fifth discount level (up to 29 euros) and an increase from [omissis] to [omissis] (with a</w:t>
      </w:r>
    </w:p>
    <w:p>
      <w:r>
        <w:t>7 In this version, some data are omitted or reported with approximate values, as elements of confidentiality or secrecy of the information were deemed to exist.</w:t>
        <w:br/>
        <w:t>8 The commencement of this commitment, originally conditioned on the communication of the acceptance provision of the commitments, was confirmed by the professional during the proceedings after the extension of its original term.</w:t>
        <w:br/>
        <w:t>9 As specified during the hearing, the increase in seats is part of the new denominations and tariff offers: the “base” fare corresponds to that called “Flexi”, the “Economy” (with two price levels: 59 and 69 euros) and the “SuperEconomy”, articulated in 4 distinct price levels, from the lowest (equal to 9 euros) up to 49 euros. Trenitalia has assured that on the company’s website, extensive and detailed communication will be provided to consumers regarding the aforementioned tariff dynamics (which, concerning the lowest prices, will have more favorable and less rigid usage conditions compared to the past), as well as on the new 5 levels of service offered on board the train (standard, premium, business, lounge, executive).</w:t>
      </w:r>
    </w:p>
    <w:p>
      <w:r>
        <w:rPr>
          <w:b/>
        </w:rPr>
        <w:t>[Pages 76–78]</w:t>
      </w:r>
    </w:p>
    <w:p>
      <w:r>
        <w:t>78 BULLETIN NO. 36 OF SEPTEMBER 24, 2012</w:t>
      </w:r>
    </w:p>
    <w:p>
      <w:r>
        <w:t xml:space="preserve">increase of over 58%) of seats available at the price of the fourth discount level (up to 39 euros)10;  </w:t>
        <w:br/>
        <w:t xml:space="preserve">b) with reference to the offering methods on its website, Trenitalia commits:  </w:t>
        <w:br/>
        <w:t xml:space="preserve">- to carry out, within 30 days from the acceptance of the commitments, a comprehensive reorganization/review of the graphic content of the corporate website www.trenitalia.com in order to make information regarding the use of the services offered more accessible to customers. Furthermore, in the case of online ticket purchase, the term “sold out” will be inserted into the booking system corresponding to any offer that is no longer available: this term will be visible from the first phase of the purchasing process, at the time of selecting the chosen route and date.  </w:t>
        <w:br/>
        <w:t xml:space="preserve">c) with reference to the promotional campaign “starting from 9 euros,” Trenitalia reiterates its commitment to the definitive cessation of the campaign in question specifying, in particular, that:  </w:t>
        <w:br/>
        <w:t xml:space="preserve">- the promotional campaign as disseminated through daily press (in any case, already suspended at the time of the presentation of the commitments), as well as through advertisements, will no longer be repeated;  </w:t>
        <w:br/>
        <w:t xml:space="preserve">- within 7 working days from the date of acceptance of the commitments, the company is bound to remove the signage still present in various stations related to the offer subject to the proceedings; in a communication dated June 14, 2012, it informed that it had already anticipated the removal activity of the signage posted at the stations;  </w:t>
        <w:br/>
        <w:t>- within a maximum period of 15 working days from the date of possible acceptance of the commitments, the dissemination of the same campaign through other supports already in use, such as monitors on board trains, brochures, and posters distributed in stations and travel agencies, the leaflet “Good News” as well as the monthly magazine “La Freccia” will be interrupted.</w:t>
      </w:r>
    </w:p>
    <w:p>
      <w:r>
        <w:t xml:space="preserve">IV. ARGUMENTS OF THE PARTIES ON THE COMMITMENTS  </w:t>
        <w:br/>
        <w:t xml:space="preserve">The observations of Trenitalia S.p.A.  </w:t>
        <w:br/>
        <w:t>19. In the note dated June 7, Trenitalia specified that, only after careful analysis of the provision issued by the Authority on April 26, 2012, it assessed the opportunity to present commitments that “not only concern the entire promotional campaign... but also foresee the adoption of incisive and additional measures... aimed at guaranteeing the consumer a real and substantial benefit.” They represent the outcome of a significant effort also in terms of “substantial economic burdens” related to the programming and implementation of the proposed initiatives. These commitments are directed towards its clientele, both in terms of “tangible economic benefit” (resulting from the significant increase in discounted price seats and the modified “distribution of the same in order to favor the price ranges most appealing to consumers”), as well as relating to “greater informational transparency,” particularly regarding the contents of the corporate website and the accessibility and enjoyment of the search and booking system for discounted tickets.</w:t>
      </w:r>
    </w:p>
    <w:p>
      <w:r>
        <w:t xml:space="preserve">The observations of N.T.V. S.p.A.  </w:t>
        <w:br/>
        <w:t xml:space="preserve">20. In the notes filed on August 2, 2012, the company emphasized, first of all, the failure of Trenitalia to comply with the term – allegedly peremptory – of thirty days from the date of commencement of the proceedings, set by Article 8, paragraph 1, of the Regulation on investigative procedures of November 15, 2007, for the presentation of commitments: which would therefore be inadmissible.  </w:t>
        <w:br/>
        <w:t>10 As an example of the particular incisiveness of the proposed measures, Trenitalia specifies that the consumer who wants to travel on the Rome-Milan route can enjoy (considering the increased possibility of discounted tickets at 19 and 29 euros) a discount of 78% and 66% of the Base price, respectively.</w:t>
      </w:r>
    </w:p>
    <w:p>
      <w:r>
        <w:t>BULLETIN NO. 36 OF SEPTEMBER 24, 2012 79</w:t>
      </w:r>
    </w:p>
    <w:p>
      <w:r>
        <w:t xml:space="preserve">21. Furthermore, the commercial practice subject to the proceedings is, according to the Party, manifestly serious and unfair because: a) it has affected a very large audience of consumers due to a widespread and massive dissemination of the advertising campaign; b) it was implemented “in a recently liberalized market with the specific aim of countering the entry of the new competitor”; c) already at the time of the communication of the commencement of the proceedings, it was hypothesized as a case in violation of Article 23, paragraph 1, letter e) of the Consumer Code, according to which it is “in any case misleading... to invite the purchase of products at a certain price without revealing the existence of reasonable grounds that the professional may have for believing that he will not be able to provide or have provided by another professional those products or equivalent products at that price within a reasonable period and in reasonable quantities in relation to the product, the extent of the advertising made of the product and the price offered.”  </w:t>
        <w:br/>
        <w:t>According to N.T.V., the proposals contained in the commitments, on one hand, would not eliminate the existing illegitimacy profiles11 and, on the other hand, would not have reparative effects on the previous conduct towards consumers, who would only be reserved a merely economic advantage consisting of access to further discounted tickets12.</w:t>
      </w:r>
    </w:p>
    <w:p>
      <w:r>
        <w:t xml:space="preserve">V. EVALUATION OF THE COMMITMENTS  </w:t>
        <w:br/>
        <w:t xml:space="preserve">22. The Authority believes that the commitments proposed by the professional are admissible and suitable to remedy the possible illegitimacy profiles of the contested commercial practice in the communication of commencement of March 29, 2012.  </w:t>
        <w:br/>
        <w:t xml:space="preserve">23. With reference to the content of the commitments, it should be noted, first of all, the complete cessation of the advertising campaign in the modalities contested in the communication of commencement of the proceedings. In addition to the commitment not to repeat it in the future, Trenitalia has proactively acted to remove all supports already used for dissemination (including those of more costly and complex removal) with a promptness that has had the effect of containing the duration of the original campaign within a very short time frame.  </w:t>
        <w:br/>
        <w:t xml:space="preserve">24. The proposed measures also present additional elements, worthy of evaluation in this context, such as: i) the increase in discounted price seats – for each month – over a four-month period, in a percentage that, particularly in the case of tickets at 9 euros, is nearly doubled, and undoubtedly represents an appreciable growth even for the other types of available discounted prices; ii) the accessibility to promotional fares through an adequate ticket search and booking system, also due to the notification to the potential buyer – already during the selection procedure – of the possible unavailability of the sought seat through the appearance of the term “sold out.”  </w:t>
        <w:br/>
        <w:t xml:space="preserve">These are undoubtedly additional aspects beyond the mere cessation of the contested practice, a quid pluris, to the undeniable advantage of consumers and capable of compensating for the distorting effect of the contested practice (also in light of the permanent nature of some of the proposed innovations).  </w:t>
        <w:br/>
        <w:t xml:space="preserve">25. It should also be noted that in the specific market sector – already monopolistic – the promotional emphasis on offer prices is a novelty and is consequent precisely to the entry of a new competing company in the segments of greater traffic and profitability, such as that of High Speed and for the Milan-Rome route. Within a correct competition on the prices of passenger rail transport services, promotional offers must adhere to criteria of transparency and diligence as already developed in other transport sectors where, indeed, the actual availability of discounts as well as the informational clarity on conditions/limitations/duration of the offer are essential elements to ensure consumers a free and informed commercial choice.  </w:t>
        <w:br/>
        <w:t xml:space="preserve">26. In conclusion, considering the full overcoming of the previous promotional campaign and the adoption of incisive and additional initiatives aimed at guaranteeing the consumer a concrete benefit (and, in some respects, permanent), the interventions to which the professional is bound are certainly relevant to the subject of the proceedings, adequately calibrated on the contested illegalities as well as functional not only to the definitive elimination – from the moment of their acceptance – of the profiles of misleadingness subject to ascertainment, but also to ensure advantages for consumers that would not otherwise directly result from the mere cessation of the commercial practice.  </w:t>
        <w:br/>
        <w:t xml:space="preserve">10. In light of the above considerations, it is believed that the commitments presented meet the requirements set forth in Article 27, paragraph 7, of the Consumer Code.  </w:t>
        <w:br/>
        <w:t xml:space="preserve">CONSIDERING, therefore, that the commitments presented by the company Trenitalia S.p.A., in the terms outlined above, are suitable to eliminate the possible profiles of unfairness of the commercial practice subject to investigation;  </w:t>
        <w:br/>
        <w:t xml:space="preserve">CONSIDERING, to order the obligation of the aforementioned commitments towards the company Trenitalia S.p.A.;  </w:t>
        <w:br/>
        <w:t xml:space="preserve">CONSIDERING, therefore, to be able to close the proceedings without ascertaining the infringement;  </w:t>
        <w:br/>
        <w:t xml:space="preserve">RESOLVES  </w:t>
        <w:br/>
        <w:t xml:space="preserve">a) to make mandatory, towards the company Trenitalia S.p.A., pursuant to Article 27, paragraph 7, of the Consumer Code and Article 8, paragraph 2, letter a), of the Regulation, the commitments proposed by the company on June 7, 2012, as described in the declaration attached to this provision;  </w:t>
        <w:br/>
        <w:t xml:space="preserve">b) to close the proceedings without ascertaining the infringement, pursuant to Article 27, paragraph 7, of the Consumer Code and Article 8, paragraph 2, letter a), of the Regulation;  </w:t>
        <w:br/>
        <w:t xml:space="preserve">c) that the company Trenitalia S.p.A., within sixty days from the date of notification of this resolution, informs the Authority of the methods of implementation of the commitments.  </w:t>
        <w:br/>
        <w:t xml:space="preserve">Pursuant to Article 8, paragraph 3, of the Regulation, the proceedings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Parties that is incomplete, inaccurate, or misleading.  </w:t>
        <w:br/>
        <w:t>Pursuant to the combined provisions of Article 27, paragraph 12, of the Consumer Code and Article 23, paragraph 12-quinquiesdecies, of Decree Law July 6, 2012, No. 95, converted with amendments with the more convenient choice there is.”</w:t>
      </w:r>
    </w:p>
    <w:p>
      <w:r>
        <w:rPr>
          <w:b/>
        </w:rPr>
        <w:t>[Pages 79–81]</w:t>
      </w:r>
    </w:p>
    <w:p>
      <w:r>
        <w:t>BULLETIN NO. 36 OF SEPTEMBER 24, 2012 81</w:t>
      </w:r>
    </w:p>
    <w:p>
      <w:r>
        <w:t>law of August 7, 2012, no. 135 (Official Gazette no. 173/L of August 14, 2012), in case of non-compliance with this resolution, the Authority applies an administrative monetary penalty from 10,000 to 5,000,000 euros.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br/>
        <w:t>Roberto Chieppa Giovanni Pitruzzella</w:t>
      </w:r>
    </w:p>
    <w:p>
      <w:r>
        <w:t>82 BULLETIN NO. 36 OF SEPTEMBER 24, 2012</w:t>
      </w:r>
    </w:p>
    <w:p>
      <w:r>
        <w:t>PS8149 - TRENITALIA-TRAVEL IN ITALY STARTING FROM 9</w:t>
      </w:r>
    </w:p>
    <w:p>
      <w:r>
        <w:t>Annex to provision no. 23867</w:t>
      </w:r>
    </w:p>
    <w:p>
      <w:r>
        <w:t>ANNEX 1</w:t>
      </w:r>
    </w:p>
    <w:p>
      <w:r>
        <w:t>STATEMENT OF COMMITMENTS</w:t>
      </w:r>
    </w:p>
    <w:p>
      <w:r>
        <w:t>In the context of proceeding no. PS/8149 initiated by the Competition and Market Authority (hereinafter also referred to as "the Authority") on March 29, 2012, concerning the commercial practices of Trenitalia S.p.A., regarding the availability of tickets at promotional prices for passenger transport services and related advertising communication, the aforementioned Company, pursuant to and for the purposes of Article 27, paragraph 7, of the Consumer Code (Legislative Decree of September 6, 2005, no. 206 and subsequent amendments), commits, starting from the date of communication of the Authority's provision, to implement the following measures in the manner and within the timeframes indicated below:</w:t>
      </w:r>
    </w:p>
    <w:p>
      <w:r>
        <w:t>1. Significant increase in the number of seats available at discounted prices</w:t>
        <w:br/>
        <w:t>(...) while maintaining the overall number of seats available at discounted prices (1,000,000 per month on medium and long-distance trains), Trenitalia commits to substantially increasing the number of tickets at particularly discounted prices (that is, in addition to those at 9 euros, also those at 19 euros, 29 euros, etc.). More precisely, on a monthly basis, within all medium and long-distance services offered by Trenitalia:</w:t>
        <w:br/>
        <w:t>- the number of tickets at 9 euros – a price that corresponds to the most significant discount level (sixth) available across the entire offer – increases (almost doubles) from [omitted] to [omitted];</w:t>
        <w:br/>
        <w:t>- the total number of tickets at the prices corresponding to the next two discount levels (fifth and fourth level – prices up to 29 and 39 euros, respectively), more appealing to consumers compared to the Base price, increases from [omitted] to [omitted], with an increase of about 65%. It should also be noted that this increase entails an additional increase in seats available at the price of 9 euros (compared to those mentioned in the previous point), as this price corresponds to multiple discount bands for shorter routes (...);</w:t>
        <w:br/>
        <w:t>- the aforementioned increase (from [omitted] to [omitted]) results in an increase in the number of seats available at the price corresponding to the fifth discount level (up to the price of 29 euros), from [omitted] to [omitted] (an increase of almost 77%) and at the price corresponding to the fourth discount level (up to the price of 39 euros) from [omitted] to [omitted] (an increase of over 58%).</w:t>
      </w:r>
    </w:p>
    <w:p>
      <w:r>
        <w:t>(...) The significant increase described above in the number of seats available at discounted prices (...) will take place following the formal acceptance of the commitments, starting from the next [omitted] and will conclude in the following month of [omitted] (for a total duration of four months).</w:t>
      </w:r>
    </w:p>
    <w:p>
      <w:r>
        <w:t>2. Signage present in stations</w:t>
        <w:br/>
        <w:t>Trenitalia commits, within 7 working days from the date of acceptance of the commitments, to remove the signage still present in the stations dedicated to the offer and to replace it, if necessary, with a different subject.</w:t>
      </w:r>
    </w:p>
    <w:p>
      <w:r>
        <w:t>3. Press campaign</w:t>
        <w:br/>
        <w:t>Regarding the further dissemination of messages related to the Offer in the daily press, Trenitalia commits that the campaign, currently suspended, will no longer be carried out.</w:t>
      </w:r>
    </w:p>
    <w:p>
      <w:r>
        <w:t>BULLETIN NO. 36 OF SEPTEMBER 24, 2012 83</w:t>
      </w:r>
    </w:p>
    <w:p>
      <w:r>
        <w:t>4. Advertisements</w:t>
        <w:br/>
        <w:t>It is Trenitalia's intention not to disseminate or use differently the advertisement created as part of the promotional campaign "starting from 9 euros."</w:t>
      </w:r>
    </w:p>
    <w:p>
      <w:r>
        <w:t>5. Regarding the further and different means of dissemination of the promotional campaign such as, in particular, the monitors on board trains, brochures, and posters distributed at stations and travel agencies, the leaflet "Good News" and the magazine "La Freccia," Trenitalia commits, within a maximum period of 15 working days from the date of acceptance of the commitments, not to further disseminate the message related to the Offer.</w:t>
      </w:r>
    </w:p>
    <w:p>
      <w:r>
        <w:t>6. Website www.trenitalia.com</w:t>
        <w:br/>
        <w:t>Trenitalia commits to carrying out a comprehensive reorganization/review of the graphic content of the website www.trenitalia.com, with the aim of making information regarding the use of the services offered more accessible to the customer, within 30 days from the date of acceptance of the commitments.</w:t>
      </w:r>
    </w:p>
    <w:p>
      <w:r>
        <w:t>Furthermore, in order to provide greater informational transparency for customers wishing to purchase their ticket through the website www.trenitalia.com, the wording "sold out" will be inserted in the booking system corresponding to the offer no longer available: this means that, from the first phase of the purchasing process, that is, at the time of identifying the relevant route and travel date, the wording "sold out" will be displayed if seats are no longer available in relation to the chosen travel solution.</w:t>
      </w:r>
    </w:p>
    <w:p>
      <w:r>
        <w:t>This solution will be adopted within 30 days from the date of acceptance of the commitments.</w:t>
      </w:r>
    </w:p>
    <w:p>
      <w:r>
        <w:rPr>
          <w:b/>
        </w:rPr>
        <w:t>[Pages 82–84]</w:t>
      </w:r>
    </w:p>
    <w:p>
      <w:r>
        <w:t>84 BULLETIN NO. 36 OF SEPTEMBER 24, 2012</w:t>
      </w:r>
    </w:p>
    <w:p>
      <w:r>
        <w:t>PS8285 - DAVID2-SPOT SUPERQUIZ PREMIUM SERVICES</w:t>
      </w:r>
    </w:p>
    <w:p>
      <w:r>
        <w:t>Measure No. 23870</w:t>
      </w:r>
    </w:p>
    <w:p>
      <w:r>
        <w:t>THE ANTITRUST AUTHORITY</w:t>
      </w:r>
    </w:p>
    <w:p>
      <w:r>
        <w:t>IN ITS MEETING of September 6, 2012</w:t>
      </w:r>
    </w:p>
    <w:p>
      <w:r>
        <w:t>HEARD the Rapporteur Professor Piero Barucci;</w:t>
      </w:r>
    </w:p>
    <w:p>
      <w:r>
        <w:t>HAVING REGARD to Part II, Title III, of Legislative Decree No. 206 of September 6, 2005 and subsequent amendments (hereinafter, Consumer Code);</w:t>
      </w:r>
    </w:p>
    <w:p>
      <w:r>
        <w:t>HAVING REGARD to the "Regulation on investigative procedures regarding unfair commercial practices" (hereinafter, Regulation), adopted by the Authority with resolution of November 15, 2007;</w:t>
      </w:r>
    </w:p>
    <w:p>
      <w:r>
        <w:t>HAVING REGARD to the documents of the proceeding;</w:t>
      </w:r>
    </w:p>
    <w:p>
      <w:r>
        <w:t>HAVING REGARD to the communication initiating proceeding PS8285 of September 6, 2012 aimed at verifying the existence of unfair commercial practices in violation of Articles 20, 21, and 22 of the Consumer Code, by the company David2 S.p.A.;</w:t>
      </w:r>
    </w:p>
    <w:p>
      <w:r>
        <w:t>CONSIDERING the following:</w:t>
      </w:r>
    </w:p>
    <w:p>
      <w:r>
        <w:t>I. FACT</w:t>
      </w:r>
    </w:p>
    <w:p>
      <w:r>
        <w:t>1. According to information acquired for the application of the Consumer Code, the report from the consumer association Codacons, an online petition signed by over 11,000 signatories, noted on September 4, 2012 on the website www.change.org, and requests for intervention from numerous consumers received during the period May - August 2012, the company David2 allegedly disseminated, through various advertisements aired on Rete4, Canale5, Italia1, and Iris, advertising messages apparently aimed at primarily promoting a prize competition called "SuperQuiz," to which, in reality, consumers can only participate as an accessory element subordinate to subscribing to a premium service called "allyoucan" (related to the offer of digital content, such as ringtones, logos, etc.). In particular, reference is made to the advertisement aired on the Canale5 channel on July 29, 2012, at 8:35 PM, and acquired in the records on September 4, 2012.</w:t>
      </w:r>
    </w:p>
    <w:p>
      <w:r>
        <w:t>2. Based on the information in the records, on September 6, 2012, the investigative proceeding PS8285 was initiated, pursuant to Article 27, paragraph 3, of the Consumer Code, as well as pursuant to Article 6 of the Regulation, in order to verify the existence of unfair commercial practices in violation of Articles 20, 21, and 22 of the Consumer Code.</w:t>
      </w:r>
    </w:p>
    <w:p>
      <w:r>
        <w:t>3. The parties to the proceeding, in their professional capacity, are: David2 S.p.A., Vodafone Omnitel N.V., Telecom Italia S.p.A., Wind Telecomunicazioni S.p.A., H3G S.p.A., and PosteMobile S.p.A. The reporting party is the consumer association Codacons.</w:t>
      </w:r>
    </w:p>
    <w:p>
      <w:r>
        <w:t>4. In the first scene of the contested advertisement, a voiceover briefly states: "Subscribe for twenty-four euros and twenty a month and download music and games," while colorful and stylized flowers progressively appear from below along with the text "allyoucan.it."</w:t>
      </w:r>
    </w:p>
    <w:p>
      <w:r>
        <w:t>5. Immediately after, in the broader and more articulated subsequent scene, which is the focus of the advertisement, a presenter announces: "With Superquiz you can win an iPhone 4S or an iPad," the text "SUPERQUIZ" appears in very large letters, and below it the quiz question "Who is man's best friend?" with the two answer options "Dog - Cat." At the moment when the text "SUPERQUIZ" is replaced by the text "SEND AN SMS TO 4.81.82 By Subscription," the speaker adds: "Send an SMS to four eighty-one eighty-two. Here’s the question: who is man's best friend, the dog or the cat? Send dog or cat to four eighty-one eighty-two and you can win five hundred euros of credit, a vacuum cleaner, an iPhone, or an iPad. Don’t wait, send Dog or Cat to four eighty-one eighty-two right away." It is also highlighted that on the right, in extremely small characters and characterized by a background that makes them practically unreadable, the following information is listed in a column: "AYCIT. Cost 24.2 euros/month VAT included to play Superquiz and to download up to 100 ringtones, 200 wallpapers, 10 games, 4 categories of news, and 50 text messages to send." In larger characters, it is then indicated: "SUBSCRIPTION SERVICE RESERVED FOR ADULTS." The super continues subsequently always in extremely reduced characters: "Info, compatibility, and privacy on allyoucan.it or call 0116910081 from 9 AM to 9 PM," "To deactivate send an SMS with AYCIT STOP to 48182," and "Competition valid from 04/28/2012 to 01/31/2013 total prize pool 500 Euros VAT included. Complete regulations on www.allyoucan.it." Finally, at the bottom, with characters still extremely small, the following super scrolls quickly: "Service not available for fixed-line users. SMS request cost TIM and WIND 12.4 cents, Vodafone and 3 as per tariff plan. Poste Mobile free. WAP cost according to tariff plan. Ringtones reinterpreted by D2 (COVER) Lic. SIAE n58RT/03-19. Gift for enabled mobile phones excluding WAP traffic and subject to acceptance of service conditions. Maximum daily charge 2 SMS of 5 Euros. Powered by D2 S.p.A. Via Lombroso 4 Torino."</w:t>
      </w:r>
    </w:p>
    <w:p>
      <w:r>
        <w:t>II. EVALUATIONS</w:t>
      </w:r>
    </w:p>
    <w:p>
      <w:r>
        <w:t>6. The conduct in question appears unfair, pursuant to Articles 20, 21, and 22 of the Consumer Code, to the extent that the content and presentation methods of the aforementioned advertising messages may mislead the average consumer, as well as more vulnerable consumer categories (pursuant to Article 20, paragraph 3, of the Consumer Code), into believing, contrary to the truth, that the object of the commercial initiative is primarily participation in a prize competition called "SuperQuiz." On the contrary, by sending an SMS to the number 48182 indicated in the television advertisement, the consumer subscribes to the premium service called "allyoucan," consisting of the purchase of multimedia products at a cost of 24.20 euros per month, through particularly pervasive payment methods based on the automatic deduction of the consumer's own phone credit. The meaning of the indication "Maximum daily charge 2 SMS of 5 Euros" is also ambiguous concerning the economic burdens that may be imposed on users.</w:t>
      </w:r>
    </w:p>
    <w:p>
      <w:r>
        <w:t>7. Moreover, even regarding the same "SuperQuiz," the message appears ambiguous and lacking regarding potential prizes, the timing of the draw (deferred to 2013), the prize pool (extremely limited), and the actual participation methods (also concerning the mechanism of responding to a series of continuous questions of increasing difficulty).</w:t>
      </w:r>
    </w:p>
    <w:p>
      <w:r>
        <w:t>8. From the perspective of fumus boni iuris, the elements in the records lead prima facie to believe that the commercial practice may constitute a violation of Articles 20, 21, and 22 of the Consumer Code. In particular, the apparent possibility of participating in the "SuperQuiz" competition, which appears to be the focus of the advertisement, and the ease of activating a subscription, at the cost of 24.20 euros per month, of which, moreover, the consumer could only be fully aware by checking ex post the available traffic credit on their mobile phone.</w:t>
      </w:r>
    </w:p>
    <w:p>
      <w:r>
        <w:t>9. From the perspective of periculum in mora, from the elements in the records and pending further confirmations on the contested advertising campaigns, it appears that the prize competition ends on January 31, 2013, and therefore, the practice in question could be repeated during the course of the proceeding. Furthermore, due to the significant subscription fees provided and the means of communication used to disseminate the message (primary national television broadcasters of wide dissemination and prime time slots), the contested commercial practice could cause significant economic harm to a large and growing number of consumers. Finally, the professional David2 is already the recipient of measures from the Authority that have established the existence of both misleading and aggressive profiles.</w:t>
      </w:r>
    </w:p>
    <w:p>
      <w:r>
        <w:t>CONSIDERING, in light of the above considerations, that there are needs of extreme seriousness, urgency, and indifference for the precautionary measure of the Authority pursuant to Article 27, paragraph 3, of the Consumer Code and Article 9, paragraph 3, of the Regulation, consisting of the dissemination of particularly misleading, ambiguous, omissive, and deceptive advertising messages capable of causing significant economic harm to a large number of consumers;</w:t>
      </w:r>
    </w:p>
    <w:p>
      <w:r>
        <w:t>ORDERS</w:t>
      </w:r>
    </w:p>
    <w:p>
      <w:r>
        <w:t>pursuant to Article 27, paragraph 3, of the Consumer Code and Article 9, paragraph 3, of the Regulation, that the company David2 S.p.A.:</w:t>
      </w:r>
    </w:p>
    <w:p>
      <w:r>
        <w:t>a) suspend any activity aimed at promoting, in the aforementioned manner, the subscription service called "Allyoucan" and the related prize competition;</w:t>
      </w:r>
    </w:p>
    <w:p>
      <w:r>
        <w:t>b) within seven days from the communication of this measure, submit written statements and documents for the confirmation of the aforementioned measure;</w:t>
      </w:r>
    </w:p>
    <w:p>
      <w:r>
        <w:t>c) within five days from the communication of this measure, inform the Authority of the execution of this suspension measure and the related methods, sending a detailed report in which the measures adopted are illustrated.</w:t>
      </w:r>
    </w:p>
    <w:p>
      <w:r>
        <w:t>Pursuant to Article 9, paragraph 3, of the Regulation, the Board, having assessed the defensive arguments of the Parties, may confirm the provisional suspension of the commercial practice.</w:t>
      </w:r>
    </w:p>
    <w:p>
      <w:r>
        <w:t>Pursuant to the combined provisions of Article 27, paragraph 12, of the Consumer Code and Article 23, paragraph 12-quinquiesdecies, of Decree-Law No. 95 of July 6, 2012, converted with amendments by Law No. 135 of August 7, 2012 (Official Gazette No. 173/L of August 14, 2012),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communicated to the interested parties and published in the Bulletin of the Antitrust Authority.</w:t>
      </w:r>
    </w:p>
    <w:p>
      <w:r>
        <w:t>Against this measure, an appeal may be filed with the TAR of Lazio, pursuant to Article 135, paragraph 1, letter b), of the Code of Administrative Procedure (Legislative Decree No. 104 of July 2, 2010), within sixty days from the date of communication of the</w:t>
      </w:r>
    </w:p>
    <w:p>
      <w:r>
        <w:rPr>
          <w:b/>
        </w:rPr>
        <w:t>[Pages 85–87]</w:t>
      </w:r>
    </w:p>
    <w:p>
      <w:r>
        <w:t>BULLETIN NO. 36 OF SEPTEMBER 24, 2012 87</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THE SECRETARY GENERAL THE PRESIDENT</w:t>
        <w:br/>
        <w:t>Roberto Chieppa Giovanni Pitruzzella</w:t>
      </w:r>
    </w:p>
    <w:p>
      <w:r>
        <w:t>88 BULLETIN NO. 36 OF SEPTEMBER 24, 2012</w:t>
      </w:r>
    </w:p>
    <w:p>
      <w:r>
        <w:t>VARIOUS</w:t>
      </w:r>
    </w:p>
    <w:p>
      <w:r>
        <w:t>FRAMEWORK PROTOCOL OF UNDERSTANDING BETWEEN THE AUTHORITY FOR ELECTRICITY AND GAS AND THE ANTITRUST AUTHORITY</w:t>
      </w:r>
    </w:p>
    <w:p>
      <w:r>
        <w:t>The Authority for Electricity and Gas (hereinafter AEEG) and the Antitrust Authority (hereinafter AGCM)</w:t>
      </w:r>
    </w:p>
    <w:p>
      <w:r>
        <w:t>Whereas:</w:t>
      </w:r>
    </w:p>
    <w:p>
      <w:r>
        <w:t>• pursuant to their respective founding laws, the AEEG is responsible for promoting competition and efficiency through the regulation of the electricity, gas, and water services sectors, and the AGCM is responsible for the protection of competition and the market;</w:t>
        <w:br/>
        <w:t>• the AEEG and the AGCM perform complementary functions, pursuing converging interests, namely the development and maintenance of adequate levels of competition in the markets and the protection of consumer interests;</w:t>
        <w:br/>
        <w:t>• this convergence of interests entails, while respecting the autonomy and independence of their respective functions, the necessity to establish cooperative relationships to coordinate and make the execution of their respective institutional mandates more effective;</w:t>
        <w:br/>
        <w:t>• such cooperation is part of the more general principle of loyal collaboration among public institutions, which is reflected, for the AEEG, in Article 2, paragraph 22, of Law November 14, 1995 no. 481, according to which “public administrations are required to provide, in addition to news and information, cooperation for the fulfillment of its functions,” and, for the AGCM, in Article 10, paragraph 4, of Law October 10, 1990, no. 287, according to which “the Authority has the right to correspond with all public administrations and with public law entities, and to request from them, in addition to news and information, cooperation for the fulfillment of its functions”;</w:t>
        <w:br/>
        <w:t>• such cooperation makes it necessary to share the information and data acquired in the exercise of their respective functions, in accordance with the principles of impartiality and good performance of administrative action as per Article 97 of the Constitution and within the limits of their respective legal systems;</w:t>
      </w:r>
    </w:p>
    <w:p>
      <w:r>
        <w:t>Seen:</w:t>
      </w:r>
    </w:p>
    <w:p>
      <w:r>
        <w:t>• Article 46 of Legislative Decree June 1, 2011, no. 93, which provides that:</w:t>
        <w:br/>
        <w:t>“1. In observance of their respective competencies, the Authority for Electricity and Gas and the Antitrust Authority cooperate with each other and provide mutual assistance, also in order to ensure the most effective regulation of the electricity and natural gas markets in terms of their competitiveness and the protection of users.</w:t>
        <w:br/>
        <w:t>2. The relationships between the Authority for Electricity and Gas and the Antitrust Authority are informed by the principle of loyal cooperation and take place, in particular, through joint investigations, reports, and exchanges of information. In the conduct of such mutual collaboration relationships, official secrecy cannot be opposed.</w:t>
        <w:br/>
        <w:t>3. For the effective and coordinated conduct of the activities and functions referred to in paragraphs 1 and 2, the Authority for Electricity and Gas and the Antitrust Authority shall enter into specific protocols of understanding”;</w:t>
        <w:br/>
        <w:t>• Legislative Decree September 6, 2005, no. 206.</w:t>
      </w:r>
    </w:p>
    <w:p>
      <w:r>
        <w:t>All of the above having been stated, the AEEG and the AGCM agree as follows.</w:t>
      </w:r>
    </w:p>
    <w:p>
      <w:r>
        <w:t>The preambles constitute an integral and substantial part of this act.</w:t>
      </w:r>
    </w:p>
    <w:p>
      <w:r>
        <w:t>Article 1</w:t>
        <w:br/>
        <w:t>Cooperation Activities</w:t>
      </w:r>
    </w:p>
    <w:p>
      <w:r>
        <w:t>1. The AEEG and the AGCM cooperate in the following forms:</w:t>
        <w:br/>
        <w:t>a) coordination of institutional interventions in sectors of common interest;</w:t>
        <w:br/>
        <w:t>b) reports from the AEEG to the AGCM of cases in which, within the scope of proceedings under the AEEG's competence, hypotheses of potential violations by operators of Law no. 287/90, of community provisions on competition, of Legislative Decree no. 206/2005, and of Legislative Decree no. 145/07 emerge;</w:t>
        <w:br/>
        <w:t>c) reports from the AGCM to the AEEG of cases in which, within the scope of proceedings under the AGCM's competence, hypotheses of potential violations by operators of the provisions contained in the so-called “Third Energy Package” (Regulations no. 713/2009, 714/2009, and 715/2009; Directives 2009/72/EC and 2009/73/EC), as well as national legislation and regulatory provisions relating to the electricity, gas, and water services sectors emerge;</w:t>
        <w:br/>
        <w:t>d) mutual exchange of opinions and notices on matters of common interest;</w:t>
        <w:br/>
        <w:t>e) mutual cooperation in the context of inquiries into matters of common interest;</w:t>
        <w:br/>
        <w:t>f) mutual cooperation for sending reports to Parliament or the Government on matters of common interest;</w:t>
        <w:br/>
        <w:t>g) joint initiatives in the field of enforcement, oversight, and market control;</w:t>
        <w:br/>
        <w:t>h) scientific collaboration, training, and personnel exchange;</w:t>
        <w:br/>
        <w:t>i) mutual cooperation in international initiatives;</w:t>
        <w:br/>
        <w:t>j) mutual cooperation in initiatives for consumer protection.</w:t>
      </w:r>
    </w:p>
    <w:p>
      <w:r>
        <w:t>2. In particular, the AEEG and the AGCM cooperate in the performance of their respective institutional functions through the following instruments:</w:t>
        <w:br/>
        <w:t>a) establishment of working groups, also in order to reach a shared interpretation regarding their respective areas of competence in consumer protection;</w:t>
        <w:br/>
        <w:t>b) mutual exchange, in agreed modalities, of documents, data, and information useful for the performance of their respective functions;</w:t>
        <w:br/>
        <w:t>c) holding of periodic meetings and gatherings between the Offices;</w:t>
        <w:br/>
        <w:t>d) consultation on initiatives, procedural and otherwise, of common interest;</w:t>
        <w:br/>
        <w:t>e) any other collaborative activity, even informal, useful for achieving the objectives of this agreement.</w:t>
      </w:r>
    </w:p>
    <w:p>
      <w:r>
        <w:rPr>
          <w:b/>
        </w:rPr>
        <w:t>[Pages 88–90]</w:t>
      </w:r>
    </w:p>
    <w:p>
      <w:r>
        <w:t>90 BULLETIN NO. 36 OF SEPTEMBER 24, 2012</w:t>
      </w:r>
    </w:p>
    <w:p>
      <w:r>
        <w:t xml:space="preserve">Article 2  </w:t>
        <w:br/>
        <w:t xml:space="preserve">Mutual Information Activities  </w:t>
        <w:br/>
        <w:t>The AEEG and the AGCM exchange information periodically and mutually on the general lines of intervention, on the proceedings initiated and their outcomes, both in the field of competition and in the field of unfair commercial practices, with particular regard to the procedures for the acceptance of commitments in the sectors of electricity, gas, and water services.</w:t>
      </w:r>
    </w:p>
    <w:p>
      <w:r>
        <w:t xml:space="preserve">Article 3  </w:t>
        <w:br/>
        <w:t xml:space="preserve">Joint Inspections  </w:t>
        <w:br/>
        <w:t>The AEEG and the AGCM may, within the limits of the law, carry out joint inspections on matters of common interest, possibly also utilizing the Guardia di Finanza.</w:t>
      </w:r>
    </w:p>
    <w:p>
      <w:r>
        <w:t xml:space="preserve">Article 4  </w:t>
        <w:br/>
        <w:t xml:space="preserve">Scientific Collaboration, Staff Training, Staff Exchanges  </w:t>
        <w:br/>
        <w:t xml:space="preserve">1. The AEEG and the AGCM commit to collaborating on the following activities:  </w:t>
        <w:br/>
        <w:t xml:space="preserve">a) organization of conferences, seminars, study groups, and coordination for the development of shared solutions in matters of common interest;  </w:t>
        <w:br/>
        <w:t xml:space="preserve">b) creation of observatories on regulation and competition in the sectors of electricity, gas, and water services;  </w:t>
        <w:br/>
        <w:t xml:space="preserve">c) organization of training initiatives or internships for staff.  </w:t>
        <w:br/>
        <w:t>2. The AEEG and the AGCM promote the mutual exchange of their staff within the limits and according to the methods provided by their respective regulations.</w:t>
      </w:r>
    </w:p>
    <w:p>
      <w:r>
        <w:t xml:space="preserve">Article 5  </w:t>
        <w:br/>
        <w:t xml:space="preserve">Official Secrecy and Confidentiality towards Third Parties  </w:t>
        <w:br/>
        <w:t>The disclosure to third parties of documents, information, and data acquired under this Protocol is subject to the protection regime of official secrecy and confidentiality in force for the Authority where the acquisition took place.</w:t>
      </w:r>
    </w:p>
    <w:p>
      <w:r>
        <w:t xml:space="preserve">Article 6  </w:t>
        <w:br/>
        <w:t xml:space="preserve">Memoranda of Understanding on Specific Activities  </w:t>
        <w:br/>
        <w:t>The AEEG and the AGCM, with subsequent memoranda of understanding, may define the methods for mutual collaboration in carrying out specific functions and activities, possibly also with reference to individual procedural types.</w:t>
      </w:r>
    </w:p>
    <w:p>
      <w:r>
        <w:t>BULLETIN NO. 36 OF SEPTEMBER 24, 2012</w:t>
      </w:r>
    </w:p>
    <w:p>
      <w:r>
        <w:t xml:space="preserve">Article 7  </w:t>
        <w:br/>
        <w:t xml:space="preserve">Publication and Entry into Force  </w:t>
        <w:br/>
        <w:t>This agreement enters into force from the date of its signing and is published on the websites of the AEEG and the AGCM according to the methods provided in their respective regulations.</w:t>
      </w:r>
    </w:p>
    <w:p>
      <w:r>
        <w:t xml:space="preserve">THE PRESIDENT OF THE AUTHORITY FOR THE PRESIDENT OF THE AUTHORITY GUARANTEE  </w:t>
        <w:br/>
        <w:t xml:space="preserve">ELECTRICITY AND GAS OF COMPETITION AND THE MARKET  </w:t>
        <w:br/>
        <w:t xml:space="preserve">Guido Bordoni Giovanni Pitruzzella  </w:t>
        <w:br/>
        <w:t>Rome, September 13, 2012</w:t>
      </w:r>
    </w:p>
    <w:p>
      <w:r>
        <w:t xml:space="preserve">Antitrust Authority Weekly Bulletin  </w:t>
        <w:br/>
        <w:t xml:space="preserve">of Competition and the Market Year XXII- No. 36 - 2012  </w:t>
        <w:br/>
        <w:t xml:space="preserve">Editorial Coordination Giulia Antenucci  </w:t>
        <w:br/>
        <w:t xml:space="preserve">Editorial Staff Elisabetta Allegra, Sandro Cini, Valerio Ruocco,  </w:t>
        <w:br/>
        <w:t xml:space="preserve">Simonetta Schettini  </w:t>
        <w:br/>
        <w:t xml:space="preserve">Antitrust Authority  </w:t>
        <w:br/>
        <w:t xml:space="preserve">Statistical Office and IT Inspections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