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https://www.agcm.it/dotcmsDOC/bollettini/36-17.pdf</w:t>
      </w:r>
    </w:p>
    <w:p>
      <w:r>
        <w:t>Pages translated : 19</w:t>
      </w:r>
    </w:p>
    <w:p/>
    <w:p>
      <w:r>
        <w:rPr>
          <w:b/>
        </w:rPr>
        <w:t>[Pages 1–3]</w:t>
      </w:r>
    </w:p>
    <w:p>
      <w:r>
        <w:t>Bulletin</w:t>
        <w:br/>
        <w:t>Weekly</w:t>
        <w:br/>
        <w:t>Year XXVII - No. 36</w:t>
        <w:br/>
        <w:t>Published on the website www.agcm.it</w:t>
        <w:br/>
        <w:t>25 September 2017</w:t>
      </w:r>
    </w:p>
    <w:p>
      <w:r>
        <w:t>SUMMARY</w:t>
        <w:br/>
        <w:t>CONCENTRATION OPERATIONS 5</w:t>
        <w:br/>
        <w:t>C12108 - CHEQUERS PARTENAIRES-NB RENAISSANCE PARTNERS HOLDING/BIOLCHIM</w:t>
        <w:br/>
        <w:t>Measure no. 26737 5</w:t>
        <w:br/>
        <w:t>C12110 - ERPE BIDCO/BETAFENCE HOLDING</w:t>
        <w:br/>
        <w:t>Measure no. 26738 8</w:t>
        <w:br/>
        <w:t>UNFAIR COMMERCIAL PRACTICES 11</w:t>
        <w:br/>
        <w:t>PS9961 - MERCEDES-AUTOMATIC AIRBAG DEACTIVATION</w:t>
        <w:br/>
        <w:t>Measure no. 26739 11</w:t>
      </w:r>
    </w:p>
    <w:p>
      <w:r>
        <w:t>BULLETIN NO. 36 OF 25 SEPTEMBER 2017 5</w:t>
        <w:br/>
        <w:t>CONCENTRATION OPERATIONS</w:t>
        <w:br/>
        <w:t>C12108 - CHEQUERS PARTENAIRES-NB RENAISSANCE PARTNERS</w:t>
        <w:br/>
        <w:t>HOLDING/BIOLCHIM</w:t>
        <w:br/>
        <w:t>Measure no. 26737</w:t>
        <w:br/>
        <w:t>THE COMPETITION AND MARKET AUTHORITY</w:t>
        <w:br/>
        <w:t>IN ITS MEETING of 6 September 2017;</w:t>
        <w:br/>
        <w:t>HEARD the Rapporteur Professor Michele Ainis;</w:t>
        <w:br/>
        <w:t>HAVING REGARD to the law of 10 October 1990, no. 287;</w:t>
        <w:br/>
        <w:t>HAVING REGARD to the communication from the companies Chequers Partenaires S.A. and NB Renaissance Partners Holdings S.à.r.l., received on 7 August 2017;</w:t>
        <w:br/>
        <w:t>CONSIDERING the following:</w:t>
        <w:br/>
        <w:t>I. THE PARTIES</w:t>
        <w:br/>
        <w:t>1. Chequers Partenaires S.A. (hereinafter Chequers) is a private equity fund management company under French law, with its registered office in Paris, indirectly controlled by natural persons. Chequers primarily invests in the acquisition of stakes in so-called middle-market companies (i.e. those valued between 50 and 500 million euros); its portfolio consists of companies active in various sectors, including: private equity, gardening services, construction materials, construction waste storage, chemicals for the textile and construction industries, distribution of medical materials, hotel management, and media graphic distribution. The total revenue generated by Chequers and the companies in its portfolio was approximately [1-2]1 billion euros worldwide in 2016, of which approximately [1-2] billion euros were generated in the European Union and approximately [50-100] million euros in Italy2.</w:t>
        <w:br/>
        <w:t>2. NB Renaissance Partners Holding S.à.r.l. (hereinafter NB) is a holding company under Luxembourg law, subject to the control of NBSH Acquisition LLC, a company under U.S. law. NB holds controlling stakes in companies active in the fields of naval classification and certification, industrial services, software and IT services provision, as well as wine production and marketing. The revenue generated by NB was approximately [2-3] billion euros worldwide in 2016, of which approximately [700-1000] million euros were generated in the European Union and approximately [492-700] million euros in Italy.</w:t>
        <w:br/>
        <w:t>3. Biolchim S.p.A. (hereinafter Biolchim) is a company under Italian law controlled by WISE Venture SGR S.p.A., a savings management company in turn controlled by natural persons.</w:t>
        <w:br/>
        <w:t>1 In this version, some data are omitted, as elements of confidentiality or secrecy of the information were deemed to exist.</w:t>
        <w:br/>
        <w:t>2 The total revenue generated in Italy includes the revenue of a company acquired by Chequers in 2017.</w:t>
      </w:r>
    </w:p>
    <w:p>
      <w:r>
        <w:rPr>
          <w:b/>
        </w:rPr>
        <w:t>[Pages 4–6]</w:t>
      </w:r>
    </w:p>
    <w:p>
      <w:r>
        <w:t>6 BULLETIN NO. 36 OF 25 SEPTEMBER 2017</w:t>
        <w:br/>
        <w:t>Biolchim is active directly and through its subsidiaries in the production, marketing, and distribution of chemical fertilizers, primarily biostimulants. The consolidated revenue generated by Biolchim in Italy in 2016 was approximately [50-100] million euros.</w:t>
      </w:r>
    </w:p>
    <w:p>
      <w:r>
        <w:t>II. DESCRIPTION OF THE TRANSACTION</w:t>
        <w:br/>
        <w:t>4. The notified transaction consists of the acquisition by Chequers – as the management company of the private equity fund Chequers Capital XVII FPCI – and by NB, of joint control of the company Biolchim. In particular, at the end of the transaction, over 90% of the share capital of Biolchim will be indirectly held by a vehicle company equally controlled by Chequers and NB.</w:t>
        <w:br/>
        <w:t>5. The acquiring Parties have concluded an agreement with the Sellers under which, for three years following the closing of the Transaction, the latter undertake not to engage – directly or indirectly – in economic activities in competition with those of Biolchim in the European Union, the United States, and Brazil.</w:t>
      </w:r>
    </w:p>
    <w:p>
      <w:r>
        <w:t>III. QUALIFICATION OF THE TRANSACTION</w:t>
        <w:br/>
        <w:t>6. The notified transaction, as it involves a change in the control of a company, constitutes a concentration pursuant to Article 5, paragraph 1, letter b), of law no. 287/90.</w:t>
        <w:br/>
        <w:t xml:space="preserve">7. It falls within the scope of application of law no. 287/90, as the conditions set out in Article 1 of EC Regulation no. 139/04 do not apply, and is subject to the obligation of prior notification provided for by Article 16, paragraph 1, of the same law, as amended by Article 1, paragraph 177, of law no. 124 of 4 August 2017, since the total revenue generated in the last financial year at the national level by the group of companies involved exceeded 492 million euros and the revenue generated individually at the national level by at least two of the companies involved exceeded 30 million euros. </w:t>
        <w:br/>
        <w:t>In this case, the new rules on revenue thresholds introduced by the aforementioned Article 1, paragraph 177, of law no. 124/2017, which came into force on 29 August 2017, apply, as the conclusion of the definitive contract is subsequent to that date.</w:t>
        <w:br/>
        <w:t>8. The non-competition agreement described above can be qualified, with reference to the Italian territory, as ancillary to the notified concentration to the extent that it contains restrictions directly related to the realization of the transaction and necessary for it. In particular, in this case, the commitments undertaken by the sellers benefit the acquirers and respond to the need to ensure the transfer of the actual value of the acquisition to them. Since the acquirers are not present in the market affected by the transaction, the transfer of the business also includes the transfer of goodwill and know-how, thus justifying the three-year duration of the non-competition agreement.</w:t>
      </w:r>
    </w:p>
    <w:p>
      <w:r>
        <w:t>BULLETIN NO. 36 OF 25 SEPTEMBER 2017 7</w:t>
        <w:br/>
        <w:t>IV. ASSESSMENT OF THE TRANSACTION</w:t>
        <w:br/>
        <w:t>9. The transaction concerns the market for the production and marketing of chemical fertilizers, in which Biolchim, the target company, operates with a share that the Parties estimate to be, at the national level, below 5%. Since the acquiring companies are not present in this market, either directly or indirectly, the transaction does not result in any horizontal overlap. It therefore results in the mere substitution of one operator for another and is not capable of altering the competitive structure of the affected market in any way.</w:t>
        <w:br/>
        <w:t>CONSIDERING, therefore, that the transaction in question does not result, pursuant to Article 6, paragraph 1, of law no. 287/90, in the establishment or strengthening of a dominant position in the affected markets such as to eliminate or substantially and durably reduce competition;</w:t>
        <w:br/>
        <w:t>CONSIDERING, furthermore, that the non-competition obligations between the parties are ancillary to this transaction only to the extent described above and that the Authority reserves the right to assess, where the conditions exist, the aforementioned agreements that are realized beyond the limits indicated therein;</w:t>
        <w:br/>
        <w:t>RESOLVES</w:t>
        <w:br/>
        <w:t>not to initiate the investigation referred to in Article 16, paragraph 4, of law no. 287/90.</w:t>
        <w:br/>
        <w:t>The above conclusions will be communicated, pursuant to Article 16, paragraph 4, of law no. 287/90, to the companies involved and to the Minister of Economic Development.</w:t>
        <w:br/>
        <w:t>This provision will be published in the Bulletin of the Competition and Market Authority.</w:t>
        <w:br/>
        <w:t>THE SECRETARY GENERAL THE PRESIDENT</w:t>
        <w:br/>
        <w:t>Roberto Chieppa Giovanni Pitruzzella</w:t>
      </w:r>
    </w:p>
    <w:p>
      <w:r>
        <w:t>8 BULLETIN NO. 36 OF 25 SEPTEMBER 2017</w:t>
        <w:br/>
        <w:t>C12110 - ERPE BIDCO/BETAFENCE HOLDING</w:t>
        <w:br/>
        <w:t>Measure no. 26738</w:t>
        <w:br/>
        <w:t>THE COMPETITION AND MARKET AUTHORITY</w:t>
        <w:br/>
        <w:t>IN ITS MEETING of 6 September 2017;</w:t>
        <w:br/>
        <w:t>HEARD the Rapporteur Dr. Gabriella Muscolo;</w:t>
        <w:br/>
        <w:t>HAVING REGARD to the law of 10 October 1990, no. 287;</w:t>
        <w:br/>
        <w:t>HAVING REGARD to the act of the company Erpe Bidco Limited, received on 14 August 2017;</w:t>
        <w:br/>
        <w:t>CONSIDERING the following:</w:t>
        <w:br/>
        <w:t>I. THE PARTIES</w:t>
        <w:br/>
        <w:t xml:space="preserve">1. Erpe Bidco Limited (hereinafter, Erpe Bidco) is a vehicle company under English law controlled by Carlyle Europe Partners IV, L.P., CEP IV Coinvestment, L.P. and CEP IV-C Limited Partner, L.P. (hereinafter, collectively, the CEP IV Funds), investment funds managed by affiliated companies of The Carlyle Group (hereinafter, Carlyle). </w:t>
        <w:br/>
        <w:t xml:space="preserve">Carlyle is a global alternative asset manager, managing funds that invest globally in four areas: (i) Corporate Private Equity (buyouts and growth capital); (ii) real estate (real estate, infrastructure, energy, and renewable resources); (iii) global market strategies (structured credit, mezzanine, distressed, hedge funds, and middle market debt); and (iv) solutions (private equity fund programs, related co-investments, and ancillary activities). </w:t>
        <w:br/>
        <w:t xml:space="preserve">Carlyle is not controlled by any company or natural person. </w:t>
        <w:br/>
        <w:t>In 2016, Carlyle generated worldwide revenue of approximately [60-70] billion euros, of which approximately [10-30] billion euros from sales in the European Union and approximately [700-1,000] million euros from sales in Italy.</w:t>
        <w:br/>
        <w:t xml:space="preserve">2. Betafence Holding NV (hereinafter, Praesidiad) is a company under Belgian law active in the provision of so-called force protection systems (protection of individuals engaged in dangerous or conflict situations or from flooding), industrial fencing, metal cable products, and fencing products. </w:t>
        <w:br/>
        <w:t xml:space="preserve">The entire share capital of Praesidiad is currently held by Secura Investments, a company owned by the investment fund CVC Fund VI. CVC Fund VI is an investment fund constituted by five limited partnerships and another limited partnership, namely CVC Capital Partners VI (A) L.P., CVC Capital Partners VI (B) L.P., CVC Capital Partners VI (C) L.P., CVC Capital Partners VI (D) S.L.P., CVC Capital Partners VI Associates L.P. and CVC Capital Partners Investment Europe VI L.P. </w:t>
        <w:br/>
        <w:t>In 2016, Praesidiad generated worldwide revenue of approximately [100-492] million euros, of which approximately [100-492] million euros from sales in the European Union and approximately [30-100] million euros from sales in Italy.</w:t>
      </w:r>
    </w:p>
    <w:p>
      <w:r>
        <w:rPr>
          <w:b/>
        </w:rPr>
        <w:t>[Pages 7–9]</w:t>
      </w:r>
    </w:p>
    <w:p>
      <w:r>
        <w:t>BULLETIN NO. 36 OF 25 SEPTEMBER 2017 9</w:t>
      </w:r>
    </w:p>
    <w:p>
      <w:r>
        <w:t>II. DESCRIPTION OF THE TRANSACTION</w:t>
      </w:r>
    </w:p>
    <w:p>
      <w:r>
        <w:t>3. The transaction involves the acquisition by Erpe Bidco of all shares of Praesidiad from Secura Investments.</w:t>
      </w:r>
    </w:p>
    <w:p>
      <w:r>
        <w:t>Upon completion of the Transaction, which will occur after the notification date, the voting rights within Praesidiad will be held as follows: approximately 85% by the CEP IV Funds and approximately 15% by the management of Praesidiad. The management will not have any veto rights on matters relevant to Praesidiad's strategic business decisions.</w:t>
      </w:r>
    </w:p>
    <w:p>
      <w:r>
        <w:t>According to the Parties, the transaction does not include ancillary restrictions.</w:t>
      </w:r>
    </w:p>
    <w:p>
      <w:r>
        <w:t>III. QUALIFICATION OF THE TRANSACTION</w:t>
      </w:r>
    </w:p>
    <w:p>
      <w:r>
        <w:t>4. The notified transaction, as it involves the acquisition of exclusive control of a company, constitutes a concentration pursuant to Article 5, paragraph 1, letter b), of law no. 287/90.</w:t>
      </w:r>
    </w:p>
    <w:p>
      <w:r>
        <w:t>5. It falls within the scope of application of law no. 287/90, as the conditions of Article 1 of EC Regulation no. 139/04 are not met, and is subject to the obligation of prior notification provided for by Article 16, paragraph 1, of the same law, as amended by Article 1, paragraph 177, of law 4 August 2017, no. 124, since the total turnover achieved in the last financial year at the national level by the group of companies involved was over 492 million euros and the turnover achieved individually at the national level by at least two of the companies involved was over 30 million euros.</w:t>
      </w:r>
    </w:p>
    <w:p>
      <w:r>
        <w:t>6. In this case, the new rules on turnover thresholds introduced by the aforementioned Article 1, paragraph 177, of law no. 124/2017, which came into force on 29 August 2017, apply, as the conclusion of the definitive contract is subsequent to that date.</w:t>
      </w:r>
    </w:p>
    <w:p>
      <w:r>
        <w:t>IV. ASSESSMENT OF THE CONCENTRATION</w:t>
      </w:r>
    </w:p>
    <w:p>
      <w:r>
        <w:t>Relevant markets</w:t>
      </w:r>
    </w:p>
    <w:p>
      <w:r>
        <w:t>7. Considering the activity of the company subject to acquisition, the transaction concerns the following three sectors: (i) fencing systems, gates and security, (ii) network, cables and industrial wires, and (iii) gabions. In any case, for the purposes of assessing this transaction, it is not necessary to proceed with an exact definition of the relevant product and geographic markets, as, regardless of the definition of the product and geographic markets adopted, even in the most restrictive scenario, the assessment of the competitive impact of the transaction would not change.</w:t>
      </w:r>
    </w:p>
    <w:p>
      <w:r>
        <w:t>Effects of the transaction</w:t>
      </w:r>
    </w:p>
    <w:p>
      <w:r>
        <w:t>8. In the markets sub i), sub ii) and sub iii), at the level of the EEA, Praesidiad holds shares of approximately [10-15%], [5-10%] and [10-15%], respectively. None of the companies controlled by Carlyle is active in the same markets in which Praesidiad operates, nor in markets having vertical relationships with them. Numerous and qualified competitors are present in these markets.</w:t>
      </w:r>
    </w:p>
    <w:p>
      <w:r>
        <w:t>It is expected that before the closing a co-investor may acquire a minority stake of up to 24.99% of Praesidiad. The co-investor will be a financial investor.</w:t>
      </w:r>
    </w:p>
    <w:p>
      <w:r>
        <w:t>9. In light of the above considerations, it is believed that in the relevant markets the transaction will not have adverse effects on competition, not resulting in substantial changes in the competitive structure of the same.</w:t>
      </w:r>
    </w:p>
    <w:p>
      <w:r>
        <w:t>IT IS THEREFORE CONSIDERED that the transaction in question does not result, pursuant to Article 6, paragraph 1, of law no. 287/90, in the establishment or strengthening of a dominant position in the relevant markets, such as to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companies involved and to the Minister of Economic Development.</w:t>
      </w:r>
    </w:p>
    <w:p>
      <w:r>
        <w:t>This provision will be published in the Bulletin of the Competition and Market Authority.</w:t>
      </w:r>
    </w:p>
    <w:p>
      <w:r>
        <w:t>THE SECRETARY GENERAL THE PRESIDENT</w:t>
      </w:r>
    </w:p>
    <w:p>
      <w:r>
        <w:t>Roberto Chieppa Giovanni Pitruzzella</w:t>
      </w:r>
    </w:p>
    <w:p>
      <w:r>
        <w:t>BULLETIN NO. 36 OF 25 SEPTEMBER 2017 11</w:t>
      </w:r>
    </w:p>
    <w:p>
      <w:r>
        <w:t>UNFAIR TRADE PRACTICES</w:t>
      </w:r>
    </w:p>
    <w:p>
      <w:r>
        <w:t>PS9961 - MERCEDES-AIRBAG AUTOMATIC DEACTIVATION</w:t>
      </w:r>
    </w:p>
    <w:p>
      <w:r>
        <w:t>Measure no. 26739</w:t>
      </w:r>
    </w:p>
    <w:p>
      <w:r>
        <w:t>THE COMPETITION AND MARKET AUTHORITY</w:t>
      </w:r>
    </w:p>
    <w:p>
      <w:r>
        <w:t>IN ITS MEETING of 6 September 2017;</w:t>
      </w:r>
    </w:p>
    <w:p>
      <w:r>
        <w:t>HEARD the Rapporteur Dr. Gabriella Muscolo;</w:t>
      </w:r>
    </w:p>
    <w:p>
      <w:r>
        <w:t>HAVING REGARD to Part II, Title III, of Legislative Decree 6 September 2005, no. 206, containing the "Consumer Code" and subsequent amendments (hereinafter, Consumer Code);</w:t>
      </w:r>
    </w:p>
    <w:p>
      <w:r>
        <w:t>HAVING REGARD to the "Regulation on investigative procedures regarding misleading and comparative advertising, unfair trade practices, violation of consumer rights in contracts, violation of the prohibition of discrimination and unfair clauses" (hereinafter, Regulation), adopted by the Authority with resolution of 1 April 2015;</w:t>
      </w:r>
    </w:p>
    <w:p>
      <w:r>
        <w:t>HAVING REGARD to the communication, received on 26 May 2017, as supplemented on 22 June 2017, whereby the company Mercedes-Benz Italia S.p.A. submitted commitments pursuant to Article 27, paragraph 7, of the Consumer Code and Article 9 of the Regulation;</w:t>
      </w:r>
    </w:p>
    <w:p>
      <w:r>
        <w:t>HAVING REGARD to the documents of the proceeding;</w:t>
      </w:r>
    </w:p>
    <w:p>
      <w:r>
        <w:t>I. THE PARTY</w:t>
      </w:r>
    </w:p>
    <w:p>
      <w:r>
        <w:t>1. Mercedes-Benz Italia S.p.A. (hereinafter, MB Italia), as a professional, pursuant to Article 18, letter b), of the Consumer Code. The company operates in the distribution in Italy of motor vehicles and commercial vehicles of the Mercedes Group.</w:t>
      </w:r>
    </w:p>
    <w:p>
      <w:r>
        <w:t>II. THE TRADE PRACTICE</w:t>
      </w:r>
    </w:p>
    <w:p>
      <w:r>
        <w:t>2. The matter originates from a report by a consumer, owner of a Mercedes Class B car, who complained that he could not use a "baby seat" on the front seat because it is not possible to manually deactivate the front passenger airbag.</w:t>
      </w:r>
    </w:p>
    <w:p>
      <w:r>
        <w:t>3. At the start of the proceeding, MB Italia was accused of the alleged misleading nature and the presumably omissive character of the information provided to consumers purchasing Mercedes vehicles who wish to install a child restraint system on the front passenger seat. Consumers may not be adequately informed of the fact that, since it is not possible to manually deactivate the front passenger airbag, in order to install a child restraint system on the front seat, it is necessary to request a specific optional feature at the time of ordering the vehicle and that the seat used must be among those compatible with Mercedes, the list of which is contained in the user and maintenance manual.</w:t>
      </w:r>
    </w:p>
    <w:p>
      <w:r>
        <w:rPr>
          <w:b/>
        </w:rPr>
        <w:t>[Pages 10–12]</w:t>
      </w:r>
    </w:p>
    <w:p>
      <w:r>
        <w:t>12 BULLETIN NO. 36 OF 25 SEPTEMBER 2017</w:t>
      </w:r>
    </w:p>
    <w:p>
      <w:r>
        <w:t>III. THE OUTCOMES OF THE PROCEEDING: THE PRESENTATION OF COMMITMENTS</w:t>
      </w:r>
    </w:p>
    <w:p>
      <w:r>
        <w:t>1) The procedure process</w:t>
      </w:r>
    </w:p>
    <w:p>
      <w:r>
        <w:t>1.a) Preliminary activities and initiation of the proceeding</w:t>
      </w:r>
    </w:p>
    <w:p>
      <w:r>
        <w:t>4. Based on the report from a consumer, the information transmitted by MB Italia on 24 December 2015 and 25 January 2017, in response to two subsequent requests for preliminary information sent by the Authority, as well as the documents acquired on 14 September 2016 and 15 February 2017, on 14 April 2017, the professional was notified of the initiation of the investigative proceeding no. PS/9961.</w:t>
      </w:r>
    </w:p>
    <w:p>
      <w:r>
        <w:t>5. In the initiation communication to MB Italia, it was hypothesized that the commercial practice described in point II of this provision could constitute a violation of Articles 20, 21, paragraph 1, letter b), and 22 of the Consumer Code, as such practice appears, prima facie, contrary to professional diligence and potentially capable of appreciably distorting the economic behavior of the consumer.</w:t>
      </w:r>
    </w:p>
    <w:p>
      <w:r>
        <w:t>2.a) The proceeding</w:t>
      </w:r>
    </w:p>
    <w:p>
      <w:r>
        <w:t>6. On 17 May 2017, MB Italia responded to the request for information made in the initiation communication of the proceeding.</w:t>
      </w:r>
    </w:p>
    <w:p>
      <w:r>
        <w:t>7. MB Italia had access to the documents of the proceeding and extracted copies of the documents acquired in the file on 24 May 2017.</w:t>
      </w:r>
    </w:p>
    <w:p>
      <w:r>
        <w:t>8. On 26 May 2017, the professional submitted a proposal of commitments, pursuant to Article 27, paragraph 7, of the Consumer Code and Article 9 of the Regulation.</w:t>
      </w:r>
    </w:p>
    <w:p>
      <w:r>
        <w:t>9. On 12 June 2017, the professional was heard in a hearing.</w:t>
      </w:r>
    </w:p>
    <w:p>
      <w:r>
        <w:t>10. On 22 June 2017, MB Italia proposed an integration to the commitments presented by providing a consolidated version of them.</w:t>
      </w:r>
    </w:p>
    <w:p>
      <w:r>
        <w:t>11. On 10 July 2017, the Party was notified of the conclusion date of the investigative phase pursuant to Article 16, paragraph 1, of the Regulation.</w:t>
      </w:r>
    </w:p>
    <w:p>
      <w:r>
        <w:t>12. On 20 July 2017, the final defense memorandum of MB Italia was received.</w:t>
      </w:r>
    </w:p>
    <w:p>
      <w:r>
        <w:t>2) The elements acquired and the commitments of the professional</w:t>
      </w:r>
    </w:p>
    <w:p>
      <w:r>
        <w:t>13. In the defense note of 17 May 2017, as subsequently integrated, the professional described the operation of the front passenger seat retention system and the methods for deactivating the airbag. MB Italia, in particular, emphasized that, starting from 2014, all child seats on the market are compatible with the current U10 automatic airbag deactivation system for the passenger side, which has progressively replaced the previous U18 system. The latter system was based on the recognition of the child restraint device equipped with a transponder, that is, a device directly present on the child's seat, capable of connecting and communicating with the vehicle's automatic deactivation system. The transition from the U18 system to the U106 system, in the professional's judgment, can only lead to a different assessment of the scope of the commercial practice compared to the initiation communication of the proceeding.</w:t>
      </w:r>
    </w:p>
    <w:p>
      <w:r>
        <w:t>14. As indicated above, on 26 May 2017, with subsequent integration and presentation of a consolidated version on 22 June 2017, MB Italia submitted a proposal of commitments, pursuant to Article 27, paragraph 7, of the Consumer Code and Article 9 of the Regulation.</w:t>
      </w:r>
    </w:p>
    <w:p>
      <w:r>
        <w:t>15. In particular, the proposed commitments, which in their final version are attached to this provision and form an integral part of it, provide for the adoption of measures aimed at modifying the modus operandi of MB Italia in order to ensure to its potential customers the greatest clarity and transparency possible in the information provided to them regarding:</w:t>
        <w:br/>
        <w:t>a) the availability and accessibility conditions of the automatic airbag deactivation system across all ranges and related models under the Mercedes-Benz brand;</w:t>
        <w:br/>
        <w:t>b) the operation of the automatic airbag deactivation system across all ranges and related models.</w:t>
      </w:r>
    </w:p>
    <w:p>
      <w:r>
        <w:t>16. MB Italia proposes to provide such information through the following new methods:</w:t>
        <w:br/>
        <w:t>1) modification and integration of the "product information" currently present on the official website www.mercedes-benz.it and available for each range and model in the section "standard and optional equipment." Additional information will be provided on the operation, accessibility conditions, and availability of the automatic airbag deactivation system and related recognition of the child seat (SA-U10), particularly regarding the case where such a system is configured as an optional "upon request" of the customer. All information that has already been conveyed to the sales network through dedicated information systems will be made available to the public by integrating it. The complete text of the communication that will be conveyed will have the following content: “Passenger side airbag automatic deactivation system - Description: if the passenger side seat is unoccupied or if the system recognizes the presence of a child seat, the passenger side airbag is automatically deactivated. The recognition occurs reliably through a mat integrated into the padded passenger side seat made of silicone and connected to a pressure sensor via a pressure hose. This innovative system can register pressure changes and, upon reaching a certain threshold, recognizes that the seat is 'occupied by a passenger or - depending on the size, shape, and weight of the object on the passenger side seat - by a child seat. Based on this information, the passenger side airbag is activated or deactivated. This system protects small children - in the event that a child restraint system (child seat) is placed on the passenger side seat facing backward - from injuries that the activation of the airbag could cause them. The automatic deactivation of the passenger side airbag allows for the recognition of all common child seats positioned facing backward and models positioned forward in classes 0 and 1 with small children weighing up to 15 kg,” “Availability: the system is available “as standard”/“upon request” with surcharge/without surcharge.” In relation to all car models for which the system is available “upon request,” the text of the above communication will be supplemented as follows: “for safety reasons, the system can only be installed at the time of production of each individual vehicle. Therefore, installation must be requested at the time of ordering the vehicle and cannot occur after the delivery of the purchased vehicle.”</w:t>
      </w:r>
    </w:p>
    <w:p>
      <w:r>
        <w:t>2) modification and integration of the information currently present on the website www.mercedes-benz.it and available for each range and model in the section “configurator,” “optional.” The text of the communication that will be displayed on the website once the box related to the automatic deactivation system (SA-U10 - Passenger side airbag automatic deactivation) is checked will have content entirely similar to that reported in the previous point 1;</w:t>
      </w:r>
    </w:p>
    <w:p>
      <w:r>
        <w:t>3) modification and integration of the information currently present on the website www.mercedes-benz.it and available for each range and model in the section “product info” – “comfort and safety” – “safety” – “Phase 3: in case of impact.” The text of the communication that will be conveyed regarding the passenger side airbag automatic deactivation system (SA-U10) will have content entirely similar to that reported in the previous point 1;</w:t>
      </w:r>
    </w:p>
    <w:p>
      <w:r>
        <w:t>4) adjustment of the current information contained in brochures both printed and online related to accessories for each range and model of vehicle. The text of the communication regarding original “interior” accessories, including the child seat, that will be conveyed will have the following content:</w:t>
        <w:br/>
        <w:t>“If your car is equipped with the passenger side airbag automatic deactivation system [SA-U10], the passenger side airbag is activated or deactivated depending on whether the seat is occupied by a passenger or by a child seat. This system protects small children - in the event of injuries that the activation of the airbag could cause them. The automatic deactivation of the passenger side airbag allows for the recognition of all common child seats positioned facing backward and models positioned forward in classes 0 and 1 with small children weighing up to 15 kg. For safety reasons, the system can only be installed at the time of production of each individual vehicle. It is noted that for some vehicles, the passenger side airbag automatic deactivation system [SA-U10] is “standard” while for other vehicles it is an optional “upon request.” In the latter case, installation must be requested at the time of ordering the vehicle and cannot occur after the delivery of the purchased vehicle. It is therefore advisable to always check at the time of purchase with your dealer.”</w:t>
      </w:r>
    </w:p>
    <w:p>
      <w:r>
        <w:t>17. MB Italia finally represented that the estimated time for the website adjustment is 15 days from the date of notification of the acceptance of the commitments. For the update and printing of the new paper brochures and the update of those online to support the marketing of the affected vehicle range, the estimated time is about 2 months from the approval of the commitments. However, pending the complete finalization of the proposed informative measures, MB Italia will issue an alert communication to the entire sales network inviting the dealers to convey to potential customers at the time of contact for the possible sale of vehicles all the information already in their possession regarding the availability and operation of the automatic airbag deactivation system with the related recognition system for the child restraint device; particularly warning if the automatic deactivation system is an optional “upon request,” that in this latter case it can only be requested during the production phase of the car and not subsequently.</w:t>
      </w:r>
    </w:p>
    <w:p>
      <w:r>
        <w:rPr>
          <w:b/>
        </w:rPr>
        <w:t>[Pages 13–15]</w:t>
      </w:r>
    </w:p>
    <w:p>
      <w:r>
        <w:t>BULLETIN NO. 36 OF 25 SEPTEMBER 2017 15</w:t>
        <w:br/>
        <w:t>to the delivery of the car itself. The text of the alert that will be sent to the sales network will have the content reported in Annex 1 to this provision. Regarding the duration of the commitments, MB Italia emphasized that the proposed informational measures aimed at improving the content of the information provided will be permanent, subject to any changes determined by variations in the communication and/or commercial strategies of the professional. In any case, any change in the modus operandi of MB Italia will be submitted to the Authority in advance.</w:t>
      </w:r>
    </w:p>
    <w:p>
      <w:r>
        <w:t>IV. OPINION OF THE AUTHORITY FOR GUARANTEES IN COMMUNICATIONS</w:t>
      </w:r>
    </w:p>
    <w:p>
      <w:r>
        <w:t>18. Since the commercial practice subject to this provision has been disseminated via the internet, on July 25, 2017, the opinion was requested from the Authority for Guarantees in Communications, pursuant to Article 27, paragraph 6, of the Consumer Code.</w:t>
      </w:r>
    </w:p>
    <w:p>
      <w:r>
        <w:t>19. In a communication received on August 8, 2017, the aforementioned Authority expressed its opinion that, in this case, the internet is a suitable tool to significantly influence the realization of the commercial practice in question, considering that this medium can quickly offer the user a wide range of potential information capable of conditioning consumer behavior.</w:t>
      </w:r>
    </w:p>
    <w:p>
      <w:r>
        <w:t>V. EVALUATION OF THE COMMITMENTS</w:t>
      </w:r>
    </w:p>
    <w:p>
      <w:r>
        <w:t>20. The Authority believes that the commitments proposed by the professional are suitable to remedy the possible illegitimacy profiles of the commercial practice contested in the initiation communication of April 14, 2017.</w:t>
      </w:r>
    </w:p>
    <w:p>
      <w:r>
        <w:t>21. It is necessary to keep in mind that MB Italia has progressively implemented since 2014 on its vehicles the automatic deactivation system of the passenger airbag U10, on which it is possible to install, unlike the previous U18 system based on transponder and present in the reporting vehicle, any child seat on the front passenger seat. With the currently implemented system, based on a mat with sensors that detect the weight of objects placed on the seat, it is now possible to install any restraint system.</w:t>
      </w:r>
    </w:p>
    <w:p>
      <w:r>
        <w:t>22. Specifically regarding the proposed measures, the informational improvements presented with the proposal of commitments appear to be aimed at providing, in addition to those already present, the necessary information to consciously determine consumers' consumption choices, clarifying in detail the characteristics and accessibility of the automatic deactivation system of the passenger airbag. In particular, the information presented with the proposal of commitments will be included in all sections of the website www.mercedes-benz.it where the automatic deactivation system of the passenger airbag is described ("product information", "configurator" - "optional", "comfort and safety" - "safety" - "Phase 3: in case of impact"). Furthermore, for all car models for which the system is not standard but is available only as an optional "on request", it will be clearly stated that the system for safety reasons can only be installed at the time of production of each individual vehicle and that, therefore, installation must be requested at the time of ordering the vehicle and cannot occur after the delivery of the purchased vehicle.</w:t>
      </w:r>
    </w:p>
    <w:p>
      <w:r>
        <w:t>16 BULLETIN NO. 36 OF 25 SEPTEMBER 2017</w:t>
      </w:r>
    </w:p>
    <w:p>
      <w:r>
        <w:t>23. MB Italia also commits to updating the information contained in both printed and online brochures regarding the accessories of the different car models. The text of the communication that will be conveyed regarding the original "interior" accessories with reference to child seats will have content that is entirely similar and consistent with what is indicated on the website.</w:t>
      </w:r>
    </w:p>
    <w:p>
      <w:r>
        <w:t>24. Finally, particularly commendable is the commitment, pending the complete finalization of the proposed informational measures concerning the updating and printing of the new printed brochures and the updating of those online, to disseminate to its sales network an alert communication inviting the dealers to provide potential customers at the time of contact for the possible sale of vehicles with all the information already in their possession regarding the availability and functioning of the automatic deactivation system of the airbag, particularly warning that if the automatic deactivation system is an optional "on request", it can only be requested at the time of production of the car and not after the delivery of the car itself (see Annex 1 to this provision).</w:t>
      </w:r>
    </w:p>
    <w:p>
      <w:r>
        <w:t>25. In light of the above considerations, it is believed that the commitments presented meet the requirements set forth in Article 27, paragraph 7, of the Consumer Code.</w:t>
      </w:r>
    </w:p>
    <w:p>
      <w:r>
        <w:t>THEREFORE, it is deemed that the commitments presented by the company Mercedes-Benz Italia S.p.A., in the terms outlined above, are suitable to eliminate the possible profiles of unfairness of the commercial practice subject to investigation;</w:t>
      </w:r>
    </w:p>
    <w:p>
      <w:r>
        <w:t>IT IS DEEMED to impose the obligation of the aforementioned commitments on the company Mercedes-Benz Italia S.p.A.;</w:t>
      </w:r>
    </w:p>
    <w:p>
      <w:r>
        <w:t>IT IS DEEMED, therefore, to be able to close the proceeding without establishing the infringement;</w:t>
      </w:r>
    </w:p>
    <w:p>
      <w:r>
        <w:t>RESOLVES</w:t>
      </w:r>
    </w:p>
    <w:p>
      <w:r>
        <w:t>a) to make mandatory, towards the company Mercedes-Benz Italia S.p.A., pursuant to Article 27, paragraph 7, of the Consumer Code and Article 9, paragraph 2, letter a), of the Regulation, the commitments proposed by the company on June 22, 2017, as described in the statement attached to this provision;</w:t>
      </w:r>
    </w:p>
    <w:p>
      <w:r>
        <w:t>b) to close the proceeding without establishing the infringement, pursuant to Article 27, paragraph 7, of the Consumer Code and Article 9, paragraph 2, letter a), of the Regulation;</w:t>
      </w:r>
    </w:p>
    <w:p>
      <w:r>
        <w:t>c) that the company Mercedes-Benz Italia S.p.A., within sixty days from the date of notification of this resolution, informs the Authority of the implementation of the commitments.</w:t>
      </w:r>
    </w:p>
    <w:p>
      <w:r>
        <w:t>Pursuant to Article 9, paragraph 3, of the Regulation, the proceeding may be reopened ex officio, where:</w:t>
      </w:r>
    </w:p>
    <w:p>
      <w:r>
        <w:t>a) the professional does not implement the commitments;</w:t>
      </w:r>
    </w:p>
    <w:p>
      <w:r>
        <w:t>b) the factual situation changes regarding one or more elements on which the decision is based;</w:t>
      </w:r>
    </w:p>
    <w:p>
      <w:r>
        <w:t>BULLETIN NO. 36 OF 25 SEPTEMBER 2017 17</w:t>
      </w:r>
    </w:p>
    <w:p>
      <w:r>
        <w:t>c) the decision to accept commitments is based on information transmitted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provision will be notified to the interested parties and published in the Bulletin of the Competition and Market Authority.</w:t>
      </w:r>
    </w:p>
    <w:p>
      <w:r>
        <w:t>THE SECRETARY GENERAL THE PRESIDENT</w:t>
        <w:br/>
        <w:t>Roberto Chieppa Giovanni Pitruzzella</w:t>
      </w:r>
    </w:p>
    <w:p>
      <w:r>
        <w:rPr>
          <w:b/>
        </w:rPr>
        <w:t>[Pages 16–18]</w:t>
      </w:r>
    </w:p>
    <w:p>
      <w:r>
        <w:t>18 BULLETIN NO. 36 OF 25 SEPTEMBER 2017</w:t>
        <w:br/>
        <w:t>ANNEX 1</w:t>
        <w:br/>
        <w:t>COMMITMENT STATEMENT</w:t>
        <w:br/>
        <w:t>In the context of proceeding no. PS9961 initiated by the Competition and Market Authority on April 14, 2017, concerning the commercial conduct of the company Mercedes-Benz Italia S.p.A. regarding the information provided to consumers purchasing Mercedes vehicles who wish to install a child restraint system on the front passenger seat, Mercedes-Benz Italia S.p.A., pursuant to and for the effects of Article 27, paragraph 7, of the "Consumer Code" (Legislative Decree of September 6, 2005, no. 206 and subsequent amendments), commits, starting from the date of communication of the Authority's measure, to implement the following measures in the manner and within the timeframes indicated below:</w:t>
        <w:br/>
        <w:t>TEXT OF THE COMMITMENTS</w:t>
        <w:br/>
        <w:t>Informational Measures</w:t>
        <w:br/>
        <w:t>The proposed commitments involve the adoption of measures aimed at modifying the modus operandi of MB Italia in order to ensure its potential customers the greatest clarity and transparency possible in the information provided to them regarding:</w:t>
        <w:br/>
        <w:t>a) the availability and accessibility conditions of the automatic airbag deactivation system across all ranges and related models under the Mercedes-Benz brand;</w:t>
        <w:br/>
        <w:t>b) the operation of the automatic airbag deactivation system across all ranges and related models.</w:t>
        <w:br/>
        <w:t>In particular, with reference to the aforementioned points, MB Italia, in order to eliminate any potential communication uncertainty, proposes to provide such information through the following new methods:</w:t>
        <w:br/>
        <w:t>1. modification and integration of the "product information" currently available on the official website www.mercedes-benz.it and accessible for each range and model in the section "standard and optional equipment." Additional information will be provided in summary form regarding the operation, accessibility conditions, and availability of the automatic airbag deactivation system and the related recognition of the child seat (SA-U10), particularly regarding the case where such a system is configured as an optional "upon request" by the customer. In particular, all information that has already been conveyed to the sales network through dedicated information systems will be made available to the public by integrating it. The complete text of the communication that will be conveyed will have the following content:</w:t>
        <w:br/>
        <w:t>“Passenger side airbag automatic deactivation system - Description: if the passenger side seat is unoccupied or if the system recognizes the presence of a child seat, the passenger side airbag is automatically deactivated. The recognition occurs reliably through a mat integrated into the padded passenger side seat and connected to a pressure sensor via a pressure hose. This innovative system can register pressure changes and, upon reaching a certain threshold, recognizes that the seat is occupied by a passenger or - depending on the size, shape, and weight of the object on the passenger side seat - by a child seat. Based on this information, the passenger side airbag is activated or deactivated. This system protects small children - in the event that a child restraint system (child seat) is placed on the passenger side seat facing backward - from injuries that the activation of the airbag could cause them. The automatic deactivation of the passenger side airbag allows for the recognition of all common child seats positioned facing backward and models positioned forward in classes 0 and 1 with small children weighing a maximum of 15 kg.”</w:t>
        <w:br/>
        <w:t>Availability</w:t>
        <w:br/>
        <w:t>(Class […] [model])</w:t>
        <w:br/>
        <w:t>“the system is available “as standard”/“upon request” with surcharge/without surcharge.”</w:t>
        <w:br/>
        <w:t>In relation to all car models for which the system is available “upon request,” the text of the above communication will be supplemented as follows:</w:t>
        <w:br/>
        <w:t>“for safety reasons, the system can only be installed at the time of production of each individual vehicle. Therefore, the installation must be requested at the time of ordering the vehicle and cannot occur after the delivery of the purchased vehicle.”</w:t>
        <w:br/>
        <w:t>2. modification and integration of the information currently available on the website www.mercedes-benz.it and accessible for each range and model in the section “configurator,” “optional.” The text of the communication that will be displayed on the website once the box related to the automatic deactivation system (SA-U10 - Passenger side airbag automatic deactivation) is checked will have content entirely similar to that reported in the previous paragraph 1;</w:t>
        <w:br/>
        <w:t>3. modification and integration of the information currently available on the website www.mercedes-benz.it and accessible for each range and model in the section “product info” – “comfort and safety” – “safety” – “Phase 3: in case of impact.” The text of the communication that will be conveyed regarding the passenger side airbag automatic deactivation system (SA-U10) will have content entirely similar to that reported in the previous paragraph 1;</w:t>
        <w:br/>
        <w:t>4. adjustment of the current information contained in both printed and online brochures related to accessories for each range and model of vehicle. The text of the communication regarding original accessories “for interiors,” including the child seat, that will be conveyed will have the following content:</w:t>
        <w:br/>
        <w:t>“If your car is equipped with the passenger side airbag automatic deactivation system [SA-U10], the passenger side airbag is activated or deactivated depending on whether the seat is occupied by a passenger or by a child seat. This system protects small children - in the event from injuries that the activation of the airbag could cause them. The automatic deactivation of the passenger side airbag allows for the recognition of all common child seats positioned facing backward and models positioned forward in classes 0 and 1 with small children weighing a maximum of 15 kg.</w:t>
        <w:br/>
        <w:t>For safety reasons, the system can only be installed at the time of production of each individual vehicle. It is noted that for some vehicles, the passenger side airbag automatic deactivation system [SA-U10] is “as standard” while for other vehicles it is an optional “upon request.” In the latter case, the installation must be requested at the time of ordering the vehicle and cannot occur after the delivery of the purchased vehicle. It is therefore advisable to always verify at the time of purchase with your dealer.”</w:t>
        <w:br/>
        <w:t>For the adjustment of the website, the estimated timeframe is 15 days from the acceptance of the commitments. For the updating and printing of the new printed brochures and the updating of those online to support the marketing of the affected vehicle range, the estimated timeframe is approximately 2 months from the approval of the commitments. Pending the complete finalization of the proposed informational measures, MB Italia will issue an alert communication to the entire sales network inviting the dealers to convey to potential customers at the time of contact for the possible sale of vehicles all the information already in their possession regarding the availability and operation of the automatic airbag deactivation system with the related recognition system for child restraint devices; particularly warning that if the automatic deactivation system is an optional “upon request,” in this latter case it can only be requested during the production phase of the car and not after the delivery of the car itself. The text of the alert that will be sent to the sales network will essentially have the content reported in Annex 1 to this form (Annex 1).</w:t>
        <w:br/>
        <w:t>Validity Period of the Commitments</w:t>
        <w:br/>
        <w:t>The proposed informational measures aimed at improving the content of the information provided will have a permanent nature, subject to any changes resulting from variations in the communication/commercial strategies of MB Italia. In any case, any change in the modus operandi of the professional will be submitted in advance to the Authority.</w:t>
      </w:r>
    </w:p>
    <w:p>
      <w:r>
        <w:rPr>
          <w:b/>
        </w:rPr>
        <w:t>[Pages 19–19]</w:t>
      </w:r>
    </w:p>
    <w:p>
      <w:r>
        <w:t xml:space="preserve">Competition and Market Authority Weekly Bulletin  </w:t>
        <w:br/>
        <w:t xml:space="preserve">Year XXVII - No. 36 - 2017  </w:t>
        <w:br/>
        <w:t xml:space="preserve">Editorial Coordination Giulia Antenucci  </w:t>
        <w:br/>
        <w:t xml:space="preserve">Editorial Staff Sandro Cini, Valerio Ruocco, Simonetta Schettini,  </w:t>
        <w:br/>
        <w:t xml:space="preserve">Manuela Villani  </w:t>
        <w:br/>
        <w:t xml:space="preserve">Competition and Market Authority  </w:t>
        <w:br/>
        <w:t xml:space="preserve">Statistics and IT Applications Office  </w:t>
        <w:br/>
        <w:t xml:space="preserve">Piazza Giuseppe Verdi, 6/a - 00198 Rome  </w:t>
        <w:br/>
        <w:t xml:space="preserve">Tel.: 06-858211 Fax: 06-85821256  </w:t>
        <w:br/>
        <w:t xml:space="preserve">Web: http://www.agcm.it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