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https://agcm.it/dotcmsdoc/bollettini/2019/36-19.pdf</w:t>
      </w:r>
    </w:p>
    <w:p>
      <w:r>
        <w:t>Pages translated : 38</w:t>
      </w:r>
    </w:p>
    <w:p/>
    <w:p>
      <w:r>
        <w:rPr>
          <w:b/>
        </w:rPr>
        <w:t>[Pages 1–3]</w:t>
      </w:r>
    </w:p>
    <w:p>
      <w:r>
        <w:t xml:space="preserve">Bulletin  </w:t>
        <w:br/>
        <w:t xml:space="preserve">Weekly  </w:t>
        <w:br/>
        <w:t xml:space="preserve">Year XXIX - No. 36  </w:t>
        <w:br/>
        <w:t xml:space="preserve">Published on the website www.agcm.it  </w:t>
        <w:br/>
        <w:t>September 9, 2019</w:t>
      </w:r>
    </w:p>
    <w:p>
      <w:r>
        <w:t xml:space="preserve">SUMMARY  </w:t>
        <w:br/>
        <w:t xml:space="preserve">CONCENTRATION OPERATIONS 5  </w:t>
        <w:br/>
        <w:t xml:space="preserve">C12245 - F2I S.G.R./PERSIDERA  </w:t>
        <w:br/>
        <w:t xml:space="preserve">Decision No. 27885 5  </w:t>
        <w:br/>
        <w:t xml:space="preserve">REPORTING AND CONSULTATIVE ACTIVITIES 19  </w:t>
        <w:br/>
        <w:t xml:space="preserve">AS1612 – CONSIP - TENDER FOR THE SUPPLY OF DEVICES FOR SELF-MONITORING OF BLOOD GLUCOSE AND RELATED SERVICES 19  </w:t>
        <w:br/>
        <w:t xml:space="preserve">AS1613 - RESTRICTIVE COMPETITION EFFECTS DERIVING FROM CURRENT REGULATIONS ON DISPOSAL OF MINERAL OILS IN PORT AREAS 21  </w:t>
        <w:br/>
        <w:t xml:space="preserve">AS1614 - GOVERNANCE REGULATIONS OF COMPANIES CONTROLLED BY ACI AND PROVINCIAL ACs 24  </w:t>
        <w:br/>
        <w:t xml:space="preserve">UNFAIR COMMERCIAL PRACTICES 32  </w:t>
        <w:br/>
        <w:t xml:space="preserve">PS11484 - REGINA HOME.IT-ADB INTERIOR.IT/ONLINE SALES OF DESIGN PRODUCTS  </w:t>
        <w:br/>
        <w:t xml:space="preserve">Decision No. 27886 32  </w:t>
        <w:br/>
        <w:t xml:space="preserve">PS11457 - OKVISURE-CENTRAL RISK CONSULTATION  </w:t>
        <w:br/>
        <w:t>Notice of communication of the conclusion of the investigation phase 37</w:t>
      </w:r>
    </w:p>
    <w:p>
      <w:r>
        <w:t xml:space="preserve">BULLETIN NO. 36 OF SEPTEMBER 9, 2019 5  </w:t>
        <w:br/>
        <w:t xml:space="preserve">CONCENTRATION OPERATIONS  </w:t>
        <w:br/>
        <w:t xml:space="preserve">C12245 - F2I S.G.R./PERSIDERA  </w:t>
        <w:br/>
        <w:t xml:space="preserve">Decision No. 27885  </w:t>
        <w:br/>
        <w:t xml:space="preserve">THE ANTITRUST AUTHORITY  </w:t>
        <w:br/>
        <w:t xml:space="preserve">IN ITS MEETING of September 4, 2019;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from F2i SGR S.p.A. received on July 1, 2019;  </w:t>
        <w:br/>
        <w:t xml:space="preserve">HAVING REGARD to the request for information sent on July 30, 2019, with consequent interruption of the deadlines pursuant to Article 5, paragraph 3, of Presidential Decree No. 217 of April 30, 1998;  </w:t>
        <w:br/>
        <w:t xml:space="preserve">HAVING REGARD to the additional information sent by F2i SGR S.p.A. received on August 12, 2019, subsequently supplemented on August 26, 2019;  </w:t>
        <w:br/>
        <w:t xml:space="preserve">HAVING REGARD to the documentation on file;  </w:t>
        <w:br/>
        <w:t xml:space="preserve">CONSIDERING the following:  </w:t>
        <w:br/>
        <w:t xml:space="preserve">I. THE PARTIES  </w:t>
        <w:br/>
        <w:t xml:space="preserve">1. F2i S.G.R. S.p.A. (hereinafter, “F2i”) is a savings management company, active in the management of two mutual investment funds (F2i-Second Italian Fund for Infrastructures; F2i-Third Fund for Infrastructures), specialized in the infrastructure sector. In the last fiscal year ending in 2018, the F2i Group achieved a consolidated turnover at the global level of approximately [2-3]* billion euros, of which [2-3] billion euros were generated in Italy.  </w:t>
        <w:br/>
        <w:t xml:space="preserve">2. EI Towers S.p.A. (hereinafter, “EI Towers”) is a company operating in the network infrastructure sector and integrated services for electronic communications offered to operators in the radio, television, and mobile telecommunications sectors. The company was formed from the merger of the business branch of Elettronica Industriale, which included the activities of building and managing towers and masts for hosting television facilities, and Digital Multimedia Technologies, an entity active in providing the same services, which took place in December 20111 and is subject to compliance with Measures imposed by the Authority as a result of this concentration.  </w:t>
        <w:br/>
        <w:t xml:space="preserve">* In this version, some data are omitted, as elements of confidentiality or secrecy of the information were deemed to exist.  </w:t>
        <w:br/>
        <w:t>1 See AGCM Decision No. 23117 of December 14, 2011, case C11205 – Elettronica Industriale/Digital Multimedia Technologies.</w:t>
      </w:r>
    </w:p>
    <w:p>
      <w:r>
        <w:rPr>
          <w:b/>
        </w:rPr>
        <w:t>[Pages 4–6]</w:t>
      </w:r>
    </w:p>
    <w:p>
      <w:r>
        <w:t>BULLETIN NO. 36 OF SEPTEMBER 9, 2019</w:t>
      </w:r>
    </w:p>
    <w:p>
      <w:r>
        <w:t>3. In 2018, F2i acquired control of EI Towers2, previously held indirectly by Mediaset S.p.A. (hereinafter, “Mediaset”). The latter retained a 40% stake in EI Towers and certain powers recognized as a minority shareholder – by virtue of the shareholders' agreements – which allow it to express some veto prerogatives, particularly on transactions involving related parties. Mediaset indirectly controls Elettronica Industriale S.p.A. (hereinafter “EI” or “Elettronica Industriale”), which holds the rights to use 5 terrestrial television frequencies in DVB-T3 transmission technology and manages an additional 2 television frequencies of the operators Elettronica Industriale S.p.A. (Wind Tre S.p.A.) and Prima TV S.p.A.</w:t>
      </w:r>
    </w:p>
    <w:p>
      <w:r>
        <w:t>4. Persidera S.p.A. (“Persidera”) is an operator active in the construction, maintenance, and management of television frequency networks (so-called “multiplexes”) that currently holds the rights to use 5 terrestrial television frequencies in DVB-T transmission technology. In 2018, Persidera generated a revenue of 76.1 million euros, entirely in Italy.</w:t>
      </w:r>
    </w:p>
    <w:p>
      <w:r>
        <w:t>II. DESCRIPTION OF THE OPERATION</w:t>
      </w:r>
    </w:p>
    <w:p>
      <w:r>
        <w:t>5. The notified operation consists of the acquisition by F2i of exclusive control of the company Persidera S.p.A. and its subsidiary TIMB2 S.r.l., which hold the rights to use and the related network of 4 and 1 multiplexes, respectively. The capital of Persidera is currently held 70% by Telecom Italia S.p.A. (“TIM”) and 30% by GEDI Gruppo Editoriale S.p.A. (“GEDI”). The business complex of Persidera and TIMB2 will therefore be divided between two newly established companies: NetCo, which will be assigned the business complex of the network; and MuxCo, which will be assigned the intangible assets (rights of use) and marginal tangible assets. NetCo will be acquired by EI Towers, while MuxCo will be acquired by F2i SGR (Figure 1 below). MuxCo will also enter into a service contract with NetCo and EI Towers for the use of the physical network of Persidera transferred to NetCo.</w:t>
      </w:r>
    </w:p>
    <w:p>
      <w:r>
        <w:t>2 See AGCM Decision No. 27315 of September 13, 2018, case C12179 – F2i S.G.R./EI Towers.</w:t>
      </w:r>
    </w:p>
    <w:p>
      <w:r>
        <w:t>3 Digital Video Broadcasting – Terrestrial (DVB-T). It is the standard of the European DVB consortium for digital terrestrial television transmission approved and published by ETSI (European Telecommunications Standards Institute). DVB-T2 refers to the second generation of the transmission standard that is expected to increase efficiency in the use of frequency spectrum by 30-50%. See AGCM Decision No. 26258 of November 30, 2016, case IC41 – Inquiry into the audiovisual sector.</w:t>
      </w:r>
    </w:p>
    <w:p>
      <w:r>
        <w:t>BULLETIN NO. 36 OF SEPTEMBER 9, 2019</w:t>
      </w:r>
    </w:p>
    <w:p>
      <w:r>
        <w:t>Figure 1 – Diagram of the operation represented by the notifying party</w:t>
      </w:r>
    </w:p>
    <w:p>
      <w:r>
        <w:t>III. QUALIFICATION OF THE OPERATION</w:t>
      </w:r>
    </w:p>
    <w:p>
      <w:r>
        <w:t>6. The notified operation, as it involves the acquisition of control of a company, constitutes a concentration pursuant to Article 5, paragraph 1, letter b), of Law No. 287/90. It falls within the scope of application of Law No. 287/90, as the conditions set out in Article 1 of EC Regulation 139/2004 do not apply, and it is subject to the obligation of prior notification provided for by Article 16, paragraph 1, of the same law, as the total revenue generated, in the last financial year at the national level, by the group of companies involved exceeded 495 million euros and the total revenue generated, in the last financial year at the national level, by at least two of the companies involved exceeded 30 million euros.</w:t>
      </w:r>
    </w:p>
    <w:p>
      <w:r>
        <w:t>IV. RELEVANT MARKETS</w:t>
      </w:r>
    </w:p>
    <w:p>
      <w:r>
        <w:t>7. Due to the activities carried out by EIT and Persidera, the concentration in question affects the television supply chain, with particular reference to the services that allow the transmission of content on terrestrial frequencies in digital technique (DTT, see Figure below).</w:t>
      </w:r>
    </w:p>
    <w:p>
      <w:r>
        <w:t>BULLETIN NO. 36 OF SEPTEMBER 9, 2019</w:t>
      </w:r>
    </w:p>
    <w:p>
      <w:r>
        <w:t>Figure 2 – Diagram related to the television market chain with particular reference to the distribution of the digital terrestrial television signal</w:t>
      </w:r>
    </w:p>
    <w:p>
      <w:r>
        <w:t>8. The first level of the chain can be identified as that related to the infrastructures dedicated to hosting television signal broadcasting facilities (“tower business”), consisting of vertical infrastructures (towers, poles, masts) suitable for hosting the antennas and the transmission and broadcasting equipment of network operators, and buildings equipped to host the transmitting apparatus.</w:t>
      </w:r>
    </w:p>
    <w:p>
      <w:r>
        <w:t>9. The services offered by tower companies consist of providing the infrastructures to accommodate the transmission4 and broadcasting5 equipment and the systems for irradiating the signal (antennas) as well as auxiliary systems (power supply systems, electrical protection, air conditioning). In addition to these services, tower companies usually offer installation and preventive and corrective maintenance services for the systems and equipment and other related services such as electrical connections, powering of the apparatus, powering of services (such as ventilation), maintenance of electrical systems, and any other activities related to them.</w:t>
      </w:r>
    </w:p>
    <w:p>
      <w:r>
        <w:t>10. According to the Authority's guidelines6, it is believed that, from a commodity perspective, the services in question identify three distinct relevant markets: (i) infrastructure for television broadcasting; (ii) infrastructure for sound broadcasting; (iii) infrastructure for mobile telecommunications.</w:t>
      </w:r>
    </w:p>
    <w:p>
      <w:r>
        <w:t>11. In this case, due to the activities of EI Towers and Persidera, the operation affects the market for television broadcasting infrastructure. The following table shows the shares</w:t>
      </w:r>
    </w:p>
    <w:p>
      <w:r>
        <w:t>4 Transmission (or contribution) equipment is functional to the provision of contribution services, understood as unidirectional transport between predetermined sites or between sites and satellites of audio, video, voice, and data signals.</w:t>
      </w:r>
    </w:p>
    <w:p>
      <w:r>
        <w:t>5 Broadcasting equipment are devices intended to perform broadcasting services, that is, services that consist of (i) encoding and composition (multiplexing) of television, radio, etc. signals; (ii) transporting the set of signals (bouquet) to broadcasting stations (towers, satellites); (iii) transporting the signal to the end user. The various phases of broadcasting differ in the technologies used to perform these functions depending on the chosen transmission medium (digital terrestrial, analog, satellite).</w:t>
      </w:r>
    </w:p>
    <w:p>
      <w:r>
        <w:t>6 See AGCM Decision No. 23117 of December 14, 2011, case C11205 – Elettronica Industriale/Digital Multimedia Technologies; AGCM Decision No. 27315 of September 13, 2018, case C12179 – F2i S.G.R./EI Towers.</w:t>
      </w:r>
    </w:p>
    <w:p>
      <w:r>
        <w:rPr>
          <w:b/>
        </w:rPr>
        <w:t>[Pages 7–9]</w:t>
      </w:r>
    </w:p>
    <w:p>
      <w:r>
        <w:t>BULLETIN NO. 36 OF SEPTEMBER 9, 2019 9</w:t>
      </w:r>
    </w:p>
    <w:p>
      <w:r>
        <w:t>of the market in volume, considering the number of transmission sites (towers) and in value, considering the revenue generated in 2018 by national operators.</w:t>
      </w:r>
    </w:p>
    <w:p>
      <w:r>
        <w:t>Table 1 – Market for broadcasting infrastructure</w:t>
      </w:r>
    </w:p>
    <w:p>
      <w:r>
        <w:t>Revenue 2018</w:t>
        <w:br/>
        <w:t>Operator Revenue 2018 (excluding</w:t>
        <w:br/>
        <w:t>No. Towers % %* %*</w:t>
        <w:br/>
        <w:t>network (mln. Euro) intra-group,</w:t>
        <w:br/>
        <w:t>mln. Euro)</w:t>
        <w:br/>
        <w:t>EI Towers [2,000-2,500] [35-40%] [100-495] [50-55%] [10-30] [80-85%]</w:t>
        <w:br/>
        <w:t>Rai Way 1,995 [35-40%] [100-495] [45-50%] [1-10] [15-20%]</w:t>
        <w:br/>
        <w:t>Local</w:t>
        <w:br/>
        <w:t>Operators [1,000-1,500] [25-30%] n.d.</w:t>
        <w:br/>
        <w:t>Total [5,500-6,000] [100-495] [10-30]</w:t>
      </w:r>
    </w:p>
    <w:p>
      <w:r>
        <w:t>*The value shares consider exclusively national operators</w:t>
      </w:r>
    </w:p>
    <w:p>
      <w:r>
        <w:t>12. On this point, it should be noted that – in light of the almost identical number of towers owned by EI Towers and Rai Way, as well as the presence of various local operators – excluding the captive component (i.e., intra-group), the market shares of EI Towers appear to be extremely higher due to the lower presence of Rai Way, compared to EI Towers, in providing services to third-party digital broadcasters.</w:t>
      </w:r>
    </w:p>
    <w:p>
      <w:r>
        <w:t>13. Furthermore, local operators provide national operators exclusively with hosting services and not full management services (so-called full-service). In fact, it is not believed that they are capable of offering full-service as such services require the presence of stations throughout the national territory, a circumstance that is incompatible with the local nature of tower companies.</w:t>
      </w:r>
    </w:p>
    <w:p>
      <w:r>
        <w:t>14. Moving to the second level of the chain, according to a now consolidated definition7 by the Authority, the market for television broadcasting services on terrestrial networks in digital technology (DTT), so-called digital broadcasting, concerns the transmission capacity (facilities and frequencies) intended for the transmission of the terrestrial television signal via digital networks. From a geographical perspective, it should be noted that there is a distinction between national digital terrestrial television networks and local (regional) digital terrestrial television networks, considering the specific national regulatory regimes and the geographical extent of the signal. Network operators hold the rights to use the frequencies and their activity consists of setting up transmission capacity to sell to content providers, transmitting the signal, and ancillary activities for this purpose (installing radiating systems, transmitting the signal, maintaining equipment, controlling signal quality, etc.)8.</w:t>
      </w:r>
    </w:p>
    <w:p>
      <w:r>
        <w:t>15. Network operators are the entities holding the right to install, operate, and provide an electronic communication network on terrestrial frequencies and broadcasting, multiplexing, distribution, and dissemination of frequency resources (multiplexes) that allow the transmission of programs to users9. These entities operate downstream from the previously identified market. The regulations allow the network operator to rent the necessary infrastructures also from third-party companies, referred to as tower companies. Furthermore, the Electronic Communications Code10 identifies as a network operator, subject to the issuance of the relevant authorization, also the provider of a resource related to the public communication network, such as the physical transmission infrastructures11.</w:t>
      </w:r>
    </w:p>
    <w:p>
      <w:r>
        <w:t>Table 2 – National market for television broadcasting services on terrestrial networks in digital technology (so-called digital broadcasting)</w:t>
      </w:r>
    </w:p>
    <w:p>
      <w:r>
        <w:t>Int.</w:t>
        <w:br/>
        <w:t>Network Operator Multiplex</w:t>
        <w:br/>
        <w:t>Vert.</w:t>
        <w:br/>
        <w:t>Elettronica Industriale* (Mediaset) 5 25% yes</w:t>
        <w:br/>
        <w:t>Persidera 5 25% no</w:t>
        <w:br/>
        <w:t>Rai-Rai Way 5 25% yes</w:t>
        <w:br/>
        <w:t>Premiata Ditta Borghini e Stocchetti Torino (PDBST) 1 5% yes</w:t>
        <w:br/>
        <w:t>Prima TV** 1 5% no</w:t>
        <w:br/>
        <w:t>Europa Way 1 5% yes</w:t>
        <w:br/>
        <w:t>3lettronica Industriale (Wind Tre S.p.A.)** 1 5% no</w:t>
        <w:br/>
        <w:t>Cairo Network* 1 5% yes</w:t>
      </w:r>
    </w:p>
    <w:p>
      <w:r>
        <w:t>* managed in full-service mode by EI Towers ** managed in full-service mode by EI Towers through Elettronica Industriale</w:t>
      </w:r>
    </w:p>
    <w:p>
      <w:r>
        <w:t>9 Cfr. art. 2, D.Lgs. 31 luglio 2005, n. 177, Testo unico dei servizi di media audiovisivi e radiofonici (TUSMAR).</w:t>
      </w:r>
    </w:p>
    <w:p>
      <w:r>
        <w:t>10 D.Lgs. 1° agosto 2003, n. 259.</w:t>
      </w:r>
    </w:p>
    <w:p>
      <w:r>
        <w:t>11 The D.Lgs. 28 maggio 2012, n. 70, which implemented Directive 2009/140/EC and amended the Electronic Communications Code, clarified that "related resource" refers to "related services, physical infrastructures, and other resources or elements related to an electronic communication network or an electronic communication service that enable or support the provision of services through such network or service, or are potentially capable of doing so, including among other things buildings or access to buildings, building cabling, antennas, towers, and other support structures, conduits, poles, manholes, and distribution cabinets."</w:t>
      </w:r>
    </w:p>
    <w:p>
      <w:r>
        <w:t>BULLETIN NO. 36 OF SEPTEMBER 9, 2019 11</w:t>
      </w:r>
    </w:p>
    <w:p>
      <w:r>
        <w:t>Table 3 – National market for television broadcasting services on terrestrial networks in digital technology (DTT), market shares in value</w:t>
      </w:r>
    </w:p>
    <w:p>
      <w:r>
        <w:t>Market shares including Market shares excluding</w:t>
        <w:br/>
        <w:t>intra-group intra-group (non-captive market)</w:t>
        <w:br/>
        <w:t>2016 2017 2018 2016 2017 2018</w:t>
        <w:br/>
        <w:t>Persidera [15-20%] [15-20%] [15-20%] [50-55%] [50-55%] [45-50%]</w:t>
        <w:br/>
        <w:t>Elettronica Industriale [35-40%] [35-40%] [35-40%] [20-25%] [20-25%] [25-30%]</w:t>
        <w:br/>
        <w:t>3lettronica Industriale [1-5%] [1-5%] [1-5%] [5-10%] [5-10%] [5-10%]</w:t>
        <w:br/>
        <w:t>Prima TV [5-10%] [5-10%] [5-10%] [15-20%] [15-20%] [15-20%]</w:t>
        <w:br/>
        <w:t>Cairo Network [&lt;1%] [1-5%] [1-5%] [&lt;1%] [&lt;1%] [&lt;1%]</w:t>
        <w:br/>
        <w:t>Rai/Rai Way [30-35%] [30-35%] [30-35%] [&lt;1%] [&lt;1%] [&lt;1%]</w:t>
        <w:br/>
        <w:t>Europa Way [&lt;1%] [&lt;1%] [&lt;1%] [&lt;1%] [&lt;1%] [&lt;1%]</w:t>
        <w:br/>
        <w:t>Premiata Ditta Borghini e Stocchetti Torino (PDBST) [&lt;1%] [&lt;1%] [&lt;1%] [&lt;1%] [&lt;1%] [&lt;1%]</w:t>
      </w:r>
    </w:p>
    <w:p>
      <w:r>
        <w:t>100% 100% 100% 100% 100% 100%</w:t>
      </w:r>
    </w:p>
    <w:p>
      <w:r>
        <w:t>16. At the conclusion of the Inquiry into the audiovisual sector12, the Authority observed that the degree of vertical integration of network operators active in digital broadcasting concerning activities in downstream markets (free television, advertising collection on television media, and pay-TV) is high. In fact, only 7 out of 20 multiplexes belong to entities not present in downstream markets. Furthermore, in light of a level of integration that concerns 65% of frequency resources, it was observed that some multiplexes are managed in full-service mode by vertically integrated operators.</w:t>
      </w:r>
    </w:p>
    <w:p>
      <w:r>
        <w:t>17. The same reality emerges from the reading of F2i's internal documents, as Persidera is considered de facto the only non-captive operator that meets the demand of those vertically non-integrated audiovisual media service providers (see Figure below). Furthermore, Persidera appears to represent one of the main non-captive clients of services from tower companies, with a high percentage share of requested services.</w:t>
      </w:r>
    </w:p>
    <w:p>
      <w:r>
        <w:t>12 Cfr. Provvedimento AGCM n. 26258 del 30 novembre 2016, caso IC41 – Indagine conoscitiva sul settore audiovisivo.</w:t>
      </w:r>
    </w:p>
    <w:p>
      <w:r>
        <w:rPr>
          <w:b/>
        </w:rPr>
        <w:t>[Pages 10–12]</w:t>
      </w:r>
    </w:p>
    <w:p>
      <w:r>
        <w:t>BULLETIN NO. 36 OF SEPTEMBER 9, 2019</w:t>
      </w:r>
    </w:p>
    <w:p>
      <w:r>
        <w:t>Figure 3 – Internal presentation of F2i</w:t>
      </w:r>
    </w:p>
    <w:p>
      <w:r>
        <w:t>[omitted]</w:t>
      </w:r>
    </w:p>
    <w:p>
      <w:r>
        <w:t>18. The digital broadcasting market is undergoing an evolution due to the innovations introduced by Article 1, paragraph 1026 et seq. of Law No. 205/2017 ("Budget Law 2018") and subsequently amended by Law No. 145/2018 ("Budget Law 2019") – in implementation of Decision (EU) 2017/899 – which regulates the process of freeing the frequency band 694-790MHz (the so-called refarming of the 700MHz band) intended for mobile telephony services for the development of 5G technology by 2022. According to these regulations and subsequent implementing regulatory provisions, it is expected that:</w:t>
        <w:br/>
        <w:t>a) the frequencies (multiplexes) available for national digital terrestrial television networks will be reduced from the current 20 to 12, of which 10 are intended for reassignment to current network operators and 2 are subject to new assignment on a fee-paying basis;</w:t>
        <w:br/>
        <w:t>b) the current rights to use the frequencies will be converted into rights to use transmission capacity with a conversion factor of 2 to 1 (the right to use a multiplex corresponds to the right to use transmission capacity of half a multiplex);</w:t>
        <w:br/>
        <w:t>c) to obtain the new right to use for 10 years a frequency, it is necessary to hold (individually or through agreements for operators who individually hold the right to use transmission capacity equal to half a multiplex) the rights to use transmission capacity equal to one multiplex;</w:t>
        <w:br/>
        <w:t>d) an additional two multiplexes will be assigned, divided into 4 lots of transmission capacity equal to 50% of a frequency;</w:t>
      </w:r>
    </w:p>
    <w:p>
      <w:r>
        <w:t>19. Based on these provisions, the assignment of the right to use the new frequencies of the PNAF 2019 will proceed if a subject holds individually or through an agreement with another operator rights to use equal to the transmission capacity of an entire multiplex and, therefore, subjects with 5 multiplexes (Persidera, Rai, and Elettronica Industriale) will be able to immediately obtain the right to use 2 multiplexes of the PNAP 2019. If at the time of assignment there are subjects that have a transmission capacity equal to half a multiplex, not completed through an agreement with another network operator, they will be able to complete by participating in the future assignment or by entering into a subsequent agreement. The process, therefore, determines the assignment in different phases of the rights to use the frequencies based on the presence of operators who possess the right to use transmission capacity equal to half a multiplex.</w:t>
      </w:r>
    </w:p>
    <w:p>
      <w:r>
        <w:t>20. Furthermore, considering the link that EI Towers has with the Mediaset group, due to Mediaset's qualified participation in the former (equal to 40%) and the recognition granted to it of specific rights as a minority shareholder (such as veto rights on transactions with related parties), the following markets are also affected by the concentration operation under examination: i) the free television market; ii) the advertising collection market on television; iii) the pay-TV market.</w:t>
      </w:r>
    </w:p>
    <w:p>
      <w:r>
        <w:t>21. In national and European practice, the pay-TV market is traditionally considered distinct from the free-to-air television market and, more specifically, from the advertising collection market on television, although there are connections between them arising from horizontal relationships. The retail market for pay television services (pay-TV market), of national geographical size, is defined in commodity terms as the overall market for pay television services, which can be provided through different transmission means. The free television market consists of the editorial television activity of free channels. A national market and several local markets can be identified based on regulatory regimes and the presence of local television networks.</w:t>
      </w:r>
    </w:p>
    <w:p>
      <w:r>
        <w:t>22. The advertising collection market on television is defined in commodity terms as the sale to advertisers of advertising space on television. The geographical size of this market is national, considering the regulatory regime, language barriers, as well as cultural factors. It is also possible to distinguish a local scope from the national one, based on the characteristics of the demand for advertisements.</w:t>
      </w:r>
    </w:p>
    <w:p>
      <w:r>
        <w:t>V. EVALUATIONS</w:t>
      </w:r>
    </w:p>
    <w:p>
      <w:r>
        <w:t>23. The concentration operation under examination consists of the acquisition of control of Persidera by F2i. Persidera is a network operator that provides digital broadcasting services to media service providers (television publishers) of digital terrestrial television. These services consist of the transport and dissemination of television signals on digital terrestrial television through the Persidera network, which consists of 5 frequencies (multiplexes) and the related facilities that allow the signal to be broadcast.</w:t>
      </w:r>
    </w:p>
    <w:p>
      <w:r>
        <w:t>24. F2i also holds control of EI Towers, which, for what is most relevant in the evaluation of this operation, is active in providing hospitality services for television facilities and ancillary services to hospitality. EI Towers is the entity born from the merger of the business branch of Elettronica Industriale, consisting of the construction and management of hospitality infrastructures for facilities/antennas, and Digital Multimedia Technologies, an entity active in providing the same services, which took place in December 2011. EI Towers manages in full-service mode the 5 multiplexes held by Elettronica Industriale (and another 2 multiplexes of Wind Tre S.p.A. and Prima TV S.p.A. managed by the same Elettronica Industriale), as well as 1 multiplex held by Cairo Network S.r.l.</w:t>
      </w:r>
    </w:p>
    <w:p>
      <w:r>
        <w:t>25. EI Towers is positioned upstream (infrastructure market for television broadcasting) compared to the market in which Persidera operates (digital broadcasting market). However, EI Towers and Persidera directly compete in providing full-service network management services to other network operators.</w:t>
      </w:r>
    </w:p>
    <w:p>
      <w:r>
        <w:t>26. The infrastructure market for television broadcasting has undergone an evolution in recent years regarding the services provided to network operators. In particular, it has been observed that there has been a transition from hospitality services (consisting of renting spaces to place the facilities and antennas of network operators) and maintenance (maintenance of the facilities) to more complex services that consist of the complete management of the network frequency of the network operator (full-service model). It should be noted that the full-service model can be provided both by tower companies (EI Towers and Rai Way) and by network operators (including Elettronica Industriale and Persidera). In particular, these complete network management services have initially been provided by Elettronica Industriale to the operators 3lettronica Industriale (Wind Tre) and Prima TV. At the same time, Rai Way provides this service to Rai, while EI Towers provides full-service services to Elettronica Industriale and Cairo Network. The full-service model was initially used in the presence of vertical ties (Rai-Rai Way and EI Towers-EI/Mediaset) or strong commercial ties. Recently, the incoming operator Cairo Network has used this mode to build and manage a new frequency network. On this occasion, for the first time in the market, a model has emerged that sees the ownership of the facilities belonging to the tower company rather than the network operator.</w:t>
      </w:r>
    </w:p>
    <w:p>
      <w:r>
        <w:t>27. With the concentration operation, Persidera – which currently technically manages the entire physical network – would be divided into two newly established companies: MuxCo – to which the intangible assets (the frequencies) and some physical assets are mainly destined – and NetCo, which will include almost all of the network apparatus functional to the transmission of the signal. In turn, F2i will directly hold the entire capital of MuxCo, while EI Towers will acquire the entire capital of NetCo.</w:t>
      </w:r>
    </w:p>
    <w:p>
      <w:r>
        <w:t>28. The concentration operation, therefore, presents several critical issues, both due to the integration of Persidera into F2i (which holds control of EI Towers) and in relation to: (i) the methods of implementing the operation (spin-off of Persidera and contracts that will be established between EI Towers, MuxCo, and NetCo); (ii) the presence of Mediaset's participation in EI Towers and the veto powers over the decisions of the Board of Directors regarding all transactions with related parties (i.e., those between EI Towers, MuxCo, and NetCo).</w:t>
      </w:r>
    </w:p>
    <w:p>
      <w:r>
        <w:t>V.1 The unilateral effects of a horizontal nature</w:t>
      </w:r>
    </w:p>
    <w:p>
      <w:r>
        <w:t>29. A first aspect of competitive criticality, of a horizontal nature, is represented by the fact that EI Towers and Persidera are direct competitors in providing full-service. Cairo Network, for example, has turned to these subjects during the construction of the network. The acquisition of control of Persidera by F2i would therefore eliminate a significant competitive constraint for EI Towers. This would occur, moreover, at a time of structural change.</w:t>
      </w:r>
    </w:p>
    <w:p>
      <w:r>
        <w:rPr>
          <w:b/>
        </w:rPr>
        <w:t>[Pages 13–15]</w:t>
      </w:r>
    </w:p>
    <w:p>
      <w:r>
        <w:t>BULLETIN NO. 36 OF SEPTEMBER 9, 2019 15</w:t>
      </w:r>
    </w:p>
    <w:p>
      <w:r>
        <w:t>of the digital broadcasting market, which will experience the reallocation of television frequencies in the 700MHz band, the transition to DVB-T2, and the assignment of an additional 2 national multiplexes, as well as the assignment of local frequencies19 and thus an increase in the demand for such services. Moreover, these assessments seem to be preliminarily confirmed by the examination of EI Towers' corporate documents, especially with reference to local operators20.</w:t>
      </w:r>
    </w:p>
    <w:p>
      <w:r>
        <w:t>V.2 The unilateral effects of a vertical nature</w:t>
      </w:r>
    </w:p>
    <w:p>
      <w:r>
        <w:t>The possible exclusionary effects towards competing network operators of Persidera</w:t>
      </w:r>
    </w:p>
    <w:p>
      <w:r>
        <w:t>30. A second critical aspect concerns the exclusionary vertical effects towards the competing network operators of Persidera (correctly: MuxCo). EI Towers could indeed deny access to the towers or impose discriminatory rates on the competitors of Persidera (MuxCo) in order to hinder them or increase their costs, with effects also in the downstream markets of free television, pay television, and television advertising collection. Such criticalities are evident also due to the greater spread of full-service offerings, which appear to be significantly more complex and customizable compared to hospitality (space rental) and maintenance services. Furthermore, these exclusionary effects are more easily realizable also by virtue of the existing contract between NetCo, MuxCo, and EI Towers, which presents compensation mechanisms.</w:t>
      </w:r>
    </w:p>
    <w:p>
      <w:r>
        <w:t>31. The operation could also increase the exclusionary anticompetitive effects towards network operators wishing to offer full-service through a margin compression strategy. The possibility of this occurring also emerges from the considerations of F2i itself, which, in evaluating Persidera's offer to Cairo Network, believes that Persidera's competitive capacity in providing full-service is limited by the need to acquire hospitality from EI Towers21. Therefore, the competitive capacity of a network operator would be limited when EI Towers (or the new entity) adopted internal-external discrimination behaviors that would make the provision of the full-service offered by EI Towers unprofitable for a non-vertically integrated network operator. It follows that there are concrete risks that the new entity EI Towers-NetCo may adopt exclusionary behaviors towards other entities wishing to offer full-service, particularly through margin compression practices.</w:t>
      </w:r>
    </w:p>
    <w:p>
      <w:r>
        <w:t>The possible exclusionary effects towards the competing tower companies of EI Towers</w:t>
      </w:r>
    </w:p>
    <w:p>
      <w:r>
        <w:t>32. A third aspect of competitive criticality concerns the exclusionary vertical effects towards the competing tower companies of EI Towers. In fact, Persidera is the main non-vertically integrated network operator and represents a predominant part of the demand for hospitality services from tower companies. The vertical integration between Persidera and EI Towers, considering also the long-term contracts in place between EI Towers and other network operators, would remove a significant share of non-captive demand from tower companies represented by the services requested by Persidera from entities other than EI Towers (equal to about [70-80%] of the hospitality services requested by Persidera). This circumstance appears to irreparably compromise competition in the market for television broadcasting infrastructures, as indicated by some operators who have expressed their assessments22, and seems to configure – as emerges from the reading of F2i's internal documentation23 – a catalyst factor in the process of creating a single monopolistic operator managing the towers and television transmission and broadcasting facilities.</w:t>
      </w:r>
    </w:p>
    <w:p>
      <w:r>
        <w:t>V.3 The effects of a coordinated nature</w:t>
      </w:r>
    </w:p>
    <w:p>
      <w:r>
        <w:t>33. Furthermore, it should be noted that the concentration operation presents risks of a coordinated nature due to the presence of the 40% minority stake of the Mediaset group in EI Towers and the presence of veto powers affecting all operations between EI Towers, NetCo, and MuxCo, as related parties. Firstly, as emerges from the documentation of F2i24, the 40% stake of Mediaset in EI Towers aims to align the interests between F2i and the Mediaset group. In fact, MuxCo will become a virtual network operator, whose physical network is held by EI Towers; this will mean that EI Towers will influence the management of all technical aspects of Persidera's network and could generate coordination on such aspects of the network.</w:t>
      </w:r>
    </w:p>
    <w:p>
      <w:r>
        <w:t>34. Moreover, the contract between EI Towers, MuxCo, and NetCo, with the compensation mechanism, could entail the risk of coordination on the prices charged to publisher clients, as well as the risk of sharing strategic information – necessary for the implementation of the compensation mechanism, such as, for example, MuxCo's budget targets – with Mediaset, through the reports to the board of directors of EI Towers. In particular, from the acquired documentation, it has emerged that the Mediaset directors in EI Towers had access to a presentation regarding Persidera in which [omitted]25 was described. The sharing of such information can facilitate coordination in the digital broadcasting market where Persidera and Mediaset currently operate (through Elettronica Industriale).</w:t>
      </w:r>
    </w:p>
    <w:p>
      <w:r>
        <w:t>35. The previously described coordinated effects may be more easily achieved by virtue of the contract between EI Towers, MuxCo, and NetCo, under which MuxCo will receive compensation from EI Towers-NetCo if it does not reach certain budget targets and must compensate EI Towers-NetCo once the same budget targets are exceeded. This appears to create an incentive for MuxCo not to cede transmission capacity below certain price levels, as they may prove unprofitable due to transfers to or from EI Towers depending on the budget level achieved. Thus, a contractual and participatory link is created that could condition MuxCo's commercial policies due to the risk-sharing participation, through this contractual mechanism, of EI Towers (and thus to the extent of 40% from Mediaset, which through Elettronica Industriale is a competitor of Persidera-MuxCo). This mechanism, moreover, does not appear to have efficiency effects such as the incentive for investments, as would be the case if it were applied to a new entrant operator. This is because Persidera is a consolidated operator and does not face the same uncertainties as a new entrant operator regarding the technical and economic conditions of the digital broadcasting market.</w:t>
      </w:r>
    </w:p>
    <w:p>
      <w:r>
        <w:t>36. Furthermore, the coordinated competitive risks may be exacerbated by the fact that the owners of rights to use the transmission capacity equal to half a multiplex will have to reach agreements with other operators for the assignment of the right to use the frequencies of a new multiplex, as provided by the National Frequency Allocation Plan (PNAF 2019).</w:t>
      </w:r>
    </w:p>
    <w:p>
      <w:r>
        <w:t>V.4 The absence of benefits for customers and consumers</w:t>
      </w:r>
    </w:p>
    <w:p>
      <w:r>
        <w:t>37. From an investment perspective, the allocation of the business complex of NetCo's network to EI Towers will result in any efficiency benefits not benefiting MuxCo, but exclusively EI Towers, and therefore will not lead to a reduction in prices for television publisher clients. In fact, the price of the full-service provided by EI Towers-NetCo to MuxCo will not be modified in the event of efficiency in the management of the physical network, which is attributed to NetCo, nor can any efficiency be found on the intangible assets of MuxCo, which effectively becomes a mere virtual network operator (MuxCo).</w:t>
      </w:r>
    </w:p>
    <w:p>
      <w:r>
        <w:t>VI. CONCLUSIONS</w:t>
      </w:r>
    </w:p>
    <w:p>
      <w:r>
        <w:t>38. In conclusion, the operation under examination consists of the acquisition of Persidera, the main non-vertically integrated operator in the digital broadcasting market, by F2i, active in the same chain with the company EI Towers, the latter also being 40% owned by the Mediaset group. Persidera is in fact the only non-vertically integrated digital broadcasting operator, which represents the provider of television broadcasting services for almost all non-vertically integrated and independent television publishers present in the market. The concentration operation, therefore, results in a significant structural change in the markets for television broadcasting infrastructures and for television broadcasting services over terrestrial networks in digital technique (so-called digital broadcasting), as well as in the downstream markets of these.</w:t>
      </w:r>
    </w:p>
    <w:p>
      <w:r>
        <w:t>39. This concentration operation appears likely to lead to the establishment or strengthening of a dominant position in the markets i) for television broadcasting infrastructures and ii) for television broadcasting services over terrestrial networks in digital technique (so-called digital broadcasting), such as to eliminate or substantially and durably reduce competition in these markets and in the downstream markets, both due to unilateral effects of a horizontal and vertical nature, and due to coordinated effects. On this point, it is noted that these anticompetitive effects due to the vertical integration between Persidera and EI Towers do not appear to be resolved by the manner in which the concentration operation has been structured and, in particular, by the splitting of Persidera into NetCo and MuxCo and by the inclusion of MuxCo within the perimeter of F2i.</w:t>
      </w:r>
    </w:p>
    <w:p>
      <w:r>
        <w:t>THEREFORE, IT IS CONSIDERED that the operation under examination is likely to lead, pursuant to Article 6, paragraph 1, of Law No. 287/90, to the establishment or strengthening of a dominant position in the markets i) for television broadcasting infrastructures and ii) for television broadcasting services over terrestrial networks in digital technique (so-called digital broadcasting), such as to eliminate or substantially and durably reduce competition in such markets and in the markets downstream of them.</w:t>
      </w:r>
    </w:p>
    <w:p>
      <w:r>
        <w:rPr>
          <w:b/>
        </w:rPr>
        <w:t>[Pages 16–18]</w:t>
      </w:r>
    </w:p>
    <w:p>
      <w:r>
        <w:t>BULLETIN NO. 36 OF SEPTEMBER 9, 2019</w:t>
      </w:r>
    </w:p>
    <w:p>
      <w:r>
        <w:t>RESOLUTION</w:t>
      </w:r>
    </w:p>
    <w:p>
      <w:r>
        <w:t>a) the initiation of the investigation, pursuant to Article 16, paragraph 4, of Law No. 287/90, against the companies F2i S.G.R. S.p.A., EI Towers S.p.A., Persidera S.p.A. and Mediaset S.p.A.;</w:t>
      </w:r>
    </w:p>
    <w:p>
      <w:r>
        <w:t>b) the setting of a deadline of seven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aforementioned deadline;</w:t>
      </w:r>
    </w:p>
    <w:p>
      <w:r>
        <w:t>c) that the person responsible for the procedure is Dr. Luigi Di Gaetano;</w:t>
      </w:r>
    </w:p>
    <w:p>
      <w:r>
        <w:t>d) that the acts of the procedure can be viewed at the Communications Directorate of the Directorate General for Competition of this Authority by the legal representatives of the Parties, as well as by persons with a legally relevant interest or by persons delegated by them;</w:t>
      </w:r>
    </w:p>
    <w:p>
      <w:r>
        <w:t>e) that the procedure must be concluded within forty-five days from the date of resolution of this provision, without prejudice to the time necessary for obtaining the opinion of the Authority for Communications Guarantees pursuant to Article 1, paragraph 6, letter c), no. 11, of Law No. 249 of July 31, 1997.</w:t>
      </w:r>
    </w:p>
    <w:p>
      <w:r>
        <w:t>This provision will be notified to the interested parties and published in the Bulletin of the Competition and Market Authority.</w:t>
      </w:r>
    </w:p>
    <w:p>
      <w:r>
        <w:t>THE SECRETARY GENERAL THE PRESIDENT</w:t>
        <w:br/>
        <w:t>Filippo Arena Roberto Rustichelli</w:t>
      </w:r>
    </w:p>
    <w:p>
      <w:r>
        <w:t>BULLETIN NO. 36 OF SEPTEMBER 9, 2019</w:t>
      </w:r>
    </w:p>
    <w:p>
      <w:r>
        <w:t>ACTIVITY OF REPORTING AND CONSULTATION</w:t>
      </w:r>
    </w:p>
    <w:p>
      <w:r>
        <w:t>AS1612 – CONSIP - CALL FOR TENDER FOR THE SUPPLY OF DEVICES FOR GLYCEMIC SELF-CONTROL AND RELATED SERVICES</w:t>
      </w:r>
    </w:p>
    <w:p>
      <w:r>
        <w:t>Rome, July 23, 2019</w:t>
      </w:r>
    </w:p>
    <w:p>
      <w:r>
        <w:t>Ministry of Economy and Finance</w:t>
        <w:br/>
        <w:t>Department of General Administration of Personnel and Services</w:t>
        <w:br/>
        <w:t>Directorate for the rationalization of properties, purchases, logistics and general affairs - Office for the rationalization of purchases in Public Administration</w:t>
      </w:r>
    </w:p>
    <w:p>
      <w:r>
        <w:t>With reference to the request for an opinion formulated pursuant to Article 22 of Law No. 287 of October 10, 1990, by the Ministry of Economy and Finance, concerning the drafts of the acts prepared by Concessionaria Servizi Informatici Pubblici - Consip S.p.A. regarding the tender regulation for the conclusion of a framework agreement with multiple operators for the supply to Public Administrations of devices for glycemic self-control and related services (ID SIGeF 2065), it is communicated that the Competition and Market Authority (hereinafter, the Authority), in its meeting of July 17, 2019, examined the request.</w:t>
      </w:r>
    </w:p>
    <w:p>
      <w:r>
        <w:t>Based on the documentation submitted to the Authority, it is generally observed that the design of the tender strategy and its object, as well as the participation requirements and award criteria defined by the special law of the procedure, appear at first glance to be in compliance with the applicable regulatory framework and suitable to ensure the correct conduct of the competitive comparison for the conclusion of the framework agreement in question with multiple operators under predetermined conditions. With specific reference to the sector under analysis, the Authority notes that the solution of the framework agreement seems capable of combining the desired greater competitive efficiency in the awarding of supplies of devices for glycemic self-control with the freedom of choice of the same by the treating physicians.</w:t>
      </w:r>
    </w:p>
    <w:p>
      <w:r>
        <w:t>With reference to the relevance of previous assessments by the Authority for the purpose of exclusion by Consip, the special law refers to what is established in this regard by Article 80, paragraph 5, of Legislative Decree No. 50/2016, and by Guideline No. 6 of the National Anti-Corruption Authority. In relation to what is indicated in the tender documentation, it is noted that it would be appropriate to integrate the regulation by requiring the operator to declare, in addition to the executive sanctioning measures of the Authority for antitrust violations, also their finality or confirmation, in line with the orientation indicated also by ANAC in the proposed amendment of the aforementioned Guidelines that has already obtained the favorable opinion of the Council of State.</w:t>
      </w:r>
    </w:p>
    <w:p>
      <w:r>
        <w:t>As for the indications regarding the relevance of a previous provision on unfair commercial practices, for the possible exclusion of an operator, reference is made here to what has already been observed by the Authority in the report sent to ANAC regarding Guideline No. 62. Specifically, the Authority noted that it does not seem in line with what is provided in the primary norm, relating to professional offenses that may be grounds for exclusion from participation in tenders, the choice to include in this scope also the condemnation measures "for unfair commercial practices." This type of violation does not appear to configure a professional offense referable to public contracting, as the conduct carried out during the participation phase of the economic operator in the tender does not fall within the scope of a consumer relationship.</w:t>
      </w:r>
    </w:p>
    <w:p>
      <w:r>
        <w:t>The Authority reserves the right to evaluate the outcomes of the tender, should elements capable of configuring anticompetitive violations emerge during its conduct.</w:t>
      </w:r>
    </w:p>
    <w:p>
      <w:r>
        <w:t>This opinion will be published in the bulletin referred to in Article 26 of Law No. 287/1990, following the publication of the call for tender.</w:t>
      </w:r>
    </w:p>
    <w:p>
      <w:r>
        <w:t>THE PRESIDENT</w:t>
        <w:br/>
        <w:t>Roberto Rustichelli</w:t>
      </w:r>
    </w:p>
    <w:p>
      <w:r>
        <w:rPr>
          <w:b/>
        </w:rPr>
        <w:t>[Pages 19–21]</w:t>
      </w:r>
    </w:p>
    <w:p>
      <w:r>
        <w:t>BULLETIN NO. 36 OF SEPTEMBER 9, 2019 21</w:t>
      </w:r>
    </w:p>
    <w:p>
      <w:r>
        <w:t>AS1613 - RESTRICTIVE COMPETITION EFFECTS DERIVING FROM THE CURRENT REGULATIONS ON DISCHARGE OF MINERAL OILS IN PORT AREAS</w:t>
      </w:r>
    </w:p>
    <w:p>
      <w:r>
        <w:t>Rome, July 29, 2019</w:t>
      </w:r>
    </w:p>
    <w:p>
      <w:r>
        <w:t xml:space="preserve">Ministry of Infrastructure and Transport  </w:t>
        <w:br/>
        <w:t xml:space="preserve">Ministry of the Interior  </w:t>
        <w:br/>
        <w:t xml:space="preserve">Ministry of Economic Development  </w:t>
        <w:br/>
        <w:t>Ministry of the Environment and Protection of Land and Sea</w:t>
      </w:r>
    </w:p>
    <w:p>
      <w:r>
        <w:t>The Antitrust Authority, in its meeting of July 24, 2019, intended to formulate some observations, in the exercise of the reporting power referred to in Article 21 of Law No. 287 of October 10, 1990, regarding the restrictive competition effects arising from the current regulations on the discharge of mineral oils in port areas.</w:t>
      </w:r>
    </w:p>
    <w:p>
      <w:r>
        <w:t>It is recalled that the matter is generally regulated by the Ministerial Decree of July 31, 1934, entitled "Approval of safety standards for the processing, storage, use or sale of mineral oils, and for the transport of the oils themselves." Article 16 of said decree, in particular, refers to the location of port facilities for loading and unloading mineral oils and provides, among other things, that the "maritime authority, in general traffic ports, lacking special basins for the docking of ships engaged in the traffic of mineral oils, will assign, for the unloading of tankers, one or more berths in the less frequented part of the port... Direct unloading from tanker to vehicles and drums is prohibited. However, in the case of justified exceptional circumstances, a derogation may be granted for direct unloading from small or medium-sized tankers to railway tank cars and tank trucks... The authorization is provisional in nature. [emphasis added]"</w:t>
      </w:r>
    </w:p>
    <w:p>
      <w:r>
        <w:t>The regulations governing the unloading activities of mineral oils at port terminals, dating back to 1934, therefore impose a general prohibition on direct unloading from ships to tank trucks or drums, evidently in light of the need to ensure safety in the transshipment of easily flammable and highly polluting substances. However, the same regulation allows for a derogation from this prohibition "in case of justified exceptional circumstances," upon specific authorization from the Ministry of Transport, after consulting the competent offices regarding fire prevention, or the competent port authorities. Such authorization, however, is provisional in nature.</w:t>
      </w:r>
    </w:p>
    <w:p>
      <w:r>
        <w:t>22 BULLETIN NO. 36 OF SEPTEMBER 9, 2019</w:t>
      </w:r>
    </w:p>
    <w:p>
      <w:r>
        <w:t>Based on the in-depth analyses carried out, also in light of some reports received on the subject, the Authority considers it appropriate to emphasize the possible restrictive competition effects of the aforementioned regulatory provision referred to in Article 16 of the Ministerial Decree of July 31, 1934, and the consequent necessity, also in light of the technological evolution that allows for the unloading of oils from ship to tank truck in full safety even through mobile systems, for its revision in a pro-competitive sense.</w:t>
      </w:r>
    </w:p>
    <w:p>
      <w:r>
        <w:t>In particular, the existing regulatory constraint imposes - even in cases of verified compliance with the safety conditions required by the maritime authorities - the ongoing necessity for companies operating with mobile unloading systems, which present themselves as alternative and competitive systems to the more traditional methods based on transshipment through pipelines in coastal depots, to obtain from time to time an authorization that is provisional in nature, as a derogation from a general prohibition, resulting in unjustified restrictive effects on competition.</w:t>
      </w:r>
    </w:p>
    <w:p>
      <w:r>
        <w:t>Regarding the absence of justification for the constraint, it should be highlighted that the technological innovation that has occurred in unloading devices appears capable of fundamentally overcoming the very safety rationale underlying the absolute prohibition established more than eighty years ago. In this sense, obtaining certification of the existence of safety parameters for the unloading method used evidently renders the provisional nature of the authorization granted unjustified and redundant.</w:t>
      </w:r>
    </w:p>
    <w:p>
      <w:r>
        <w:t>In relation to its anti-competitive repercussions, it is noted that the aforementioned provisional nature of the authorization title does not allow for adequate planning of economic activity, neither from the supply side – which is unable to plan the necessary investments – nor from the demand side – which cannot rely on guaranteed supply flows. In particular, this does not allow for adequate competitive capacity of companies operating under derogation compared to those that, on the other hand, benefit from a permanent authorization, preventing the necessary competitive pressure on the markets downstream of the storage and marketing of mineral oils, particularly necessary in some situations of supply bottlenecks arising from the strong market power of the few holders of mineral oil storage capacity, as occurs in some parts of the national territory.</w:t>
      </w:r>
    </w:p>
    <w:p>
      <w:r>
        <w:t>In this context, the Authority considers it appropriate to amend Article 16 of the Ministerial Decree of July 31, 1934, which, as the currently applicable regulation on the transshipment of mineral oils in port areas, prohibits the use of mobile systems for the unloading of such products from tankers to vehicles or coastal depots on a regular basis. This amendment aims to expand the range of methods for transshipping mineral oils, including the most modern techniques available, in compliance with safety and environmental protection constraints and under the supervision of the competent port authority. In particular, it is necessary to emphasize the opportunity to equate for authorization purposes the two unloading methods, through fixed and mobile systems, in cases where the competent authority has certified equivalent safety conditions in both systems.</w:t>
      </w:r>
    </w:p>
    <w:p>
      <w:r>
        <w:t>1 In particular, the Authority received a report from the company MG S.r.l.s., which, during the period 2015 – 2017, carried out the unloading of bitumen at the Porto Torres terminal, based on specific temporary authorizations issued by the competent territorial authorities. However, these activities were interrupted in 2017 following a complaint filed by the company IVI Petrolifera S.p.A. regarding the application of Article 16 of the Ministerial Decree of July 31, 1934, in the sense that the lack of a fixed facility within a port (as in the case of Porto Torres) could not be understood as an "exceptional surrounding justification" and, therefore, a sufficient element for the issuance of a derogation authorization pursuant to the aforementioned Article 16.</w:t>
      </w:r>
    </w:p>
    <w:p>
      <w:r>
        <w:t>BULLETIN NO. 36 OF SEPTEMBER 9, 2019 23</w:t>
      </w:r>
    </w:p>
    <w:p>
      <w:r>
        <w:t>The Authority trusts that the aforementioned observations will be duly considered, for the purpose of a full development of competition in the markets for the storage and marketing of mineral oils.</w:t>
      </w:r>
    </w:p>
    <w:p>
      <w:r>
        <w:t>This opinion will be published in the Authority's Bulletin pursuant to Article 26 of Law No. 287/1990.</w:t>
      </w:r>
    </w:p>
    <w:p>
      <w:r>
        <w:t xml:space="preserve">THE PRESIDENT  </w:t>
        <w:br/>
        <w:t>Roberto Rustichelli</w:t>
      </w:r>
    </w:p>
    <w:p>
      <w:r>
        <w:rPr>
          <w:b/>
        </w:rPr>
        <w:t>[Pages 22–24]</w:t>
      </w:r>
    </w:p>
    <w:p>
      <w:r>
        <w:t>BULLETIN NO. 36 OF SEPTEMBER 9, 2019</w:t>
      </w:r>
    </w:p>
    <w:p>
      <w:r>
        <w:t>AS1614 - GOVERNANCE REGULATIONS OF COMPANIES CONTROLLED BY ACI AND PROVINCIAL ACs</w:t>
      </w:r>
    </w:p>
    <w:p>
      <w:r>
        <w:t>Rome, May 31, 2019</w:t>
      </w:r>
    </w:p>
    <w:p>
      <w:r>
        <w:t>Automobile Club d’Italia</w:t>
      </w:r>
    </w:p>
    <w:p>
      <w:r>
        <w:t>The Italian Competition Authority, in its meeting of May 29, 2019, resolved to express an opinion pursuant to Article 21-bis of Law No. 287 of October 10, 1990, regarding the Resolution of the General Council of the Automobile Club d’Italia (ACI) of October 30, 2018, containing the Model Regulation for the Governance of companies controlled by provincial ACs, and the Resolution of the ACI General Council of December 19, 2018, containing the Governance Regulation of companies controlled by ACI, both transmitted on April 5, 2019.</w:t>
      </w:r>
    </w:p>
    <w:p>
      <w:r>
        <w:t>For the reasons illustrated below, the Authority believes that the aforementioned regulations are not compliant with the general principles derivable from the Consolidated Law on public participation as per Legislative Decree No. 175 of August 19, 2016 and are, for this reason, contrary to norms established to protect competition and the market.</w:t>
      </w:r>
    </w:p>
    <w:p>
      <w:r>
        <w:t>The Consolidated Law on public participation (also “TUSPP”) has brought together into a single regulatory framework the discipline of public participations, providing, on the one hand, for their rationalization through a stringent identification of the statutory purposes that public participation companies can pursue and the areas of activity in which it is permitted to establish companies or maintain public participations, and on the other hand, for the strengthening of the motivational obligations that Public Administrations are required to follow for the establishment or maintenance of participations.</w:t>
      </w:r>
    </w:p>
    <w:p>
      <w:r>
        <w:t>The provisions contained in the decree in question, pursuant to Article 1, paragraph 2, “are applied with regard to the efficient management of public participations, the protection and promotion of competition and the market, as well as the rationalization and reduction of public expenditure.” The application criterion is derived from the enabling law of August 7, 2015, No. 124, which explicitly sets forth the “priority aim of ensuring clarity of regulation, regulatory simplification, and the protection and promotion of competition” (Article 18) among the principles and directive criteria of delegated legislation, with the further specification that, with reference to companies managing public services of general economic interest, criteria and management tools must be defined to ensure the pursuit of public interest and to avoid distorting effects on competition. Therefore, it can be assumed that the protection and promotion of competition are among the cornerstone principles on which the individual provisions of the TUSPP more specifically revolve, or are fundamental hermeneutic criteria on which to measure its interpretation.</w:t>
      </w:r>
    </w:p>
    <w:p>
      <w:r>
        <w:t>Preliminarily, ACI, established by Royal Decree No. 2481 of November 14, 1926, is a “moral entity, with legal personality” (Article 1) and its Statute, approved by Presidential Decree No. 881 of September 8, 1950, configures it as a “public economic entity without profit purpose” (Article 1), which “represents and protects the general interests of motoring” and associates provincial and local Automobile Clubs (AC).</w:t>
      </w:r>
    </w:p>
    <w:p>
      <w:r>
        <w:t>Article 10, paragraph 1-bis, of Decree Law No. 91/2018, converted with amendments by Law No. 108/2018 (so-called milleproroghe 2018), provided that ACI and provincial ACs adapt “with their own regulations to the general principles derivable from the consolidated text” of Legislative Decree No. 175/2016 “based on their respective specificities and according to criteria of rationalization and containment of public expenditure” by December 31, 2018.</w:t>
      </w:r>
    </w:p>
    <w:p>
      <w:r>
        <w:t>In implementation of this provision, ACI has therefore adopted and transmitted to the Authority, at its request, the Governance Regulation of companies controlled by ACI (also “ACI Regulation”) and the Model Governance Regulation of companies controlled by provincial ACs (also “Provincial AC Regulation Model”), adopted respectively by the Resolution of the ACI General Council of December 19, 2018, and by the Resolution of the ACI General Council of October 30, 2018 (also jointly “Regulations”).</w:t>
      </w:r>
    </w:p>
    <w:p>
      <w:r>
        <w:t>From the comparison between the aforementioned Regulations and the general principles derivable from the TUSPP, clear discrepancies emerge, particularly with reference to: (a) the subjective and objective scope of application of the TUSPP; (b) the identification of purpose and activity constraints for the establishment of public companies and/or for the acquisition or maintenance of participations in already existing companies (Article 4); (c) the motivational burdens in the case of establishment or maintenance of corporate participations and the related formal profiles (Articles 5 and 7); (d) the principle of separate accounting (Article 6); (e) the periodic rationalization of public companies (Article 20).</w:t>
      </w:r>
    </w:p>
    <w:p>
      <w:r>
        <w:t>a) Subjective and objective scope of application</w:t>
      </w:r>
    </w:p>
    <w:p>
      <w:r>
        <w:t>Both Regulations appear applicable only to companies controlled, directly or indirectly, by ACI or local ACs, as well as to in-house companies (cf. Article 1.12 and Article 1.33). The reference to “controlled companies,” and not also to companies in which ACI or provincial ACs have participations (but do not control), does not seem in line with the broad applicability of the principles expressed by the TUSPP, which, instead, is applicable not only to controlling or majority participations but also to minority participations, as is evident both from the entire regulatory framework and textually from individual provisions (for example, Article 1, paragraph 1, Article 2, paragraph 1, letter n), Article 4, paragraph 1).</w:t>
      </w:r>
    </w:p>
    <w:p>
      <w:r>
        <w:t>In the texts under examination, moreover, there is no explicit reference to the TUSPP regarding merely participated companies. The risk is therefore that minority participations, simply because they are not expressly indicated, remain outside the scope of application of the Regulations and the TUSPP itself. This issue could be overcome if the Regulations expressly referred to the TUSPP for the regulation of participated companies.</w:t>
      </w:r>
    </w:p>
    <w:p>
      <w:r>
        <w:t>Finally, the Regulations do not contain any provision regarding the possible participation of private partners in the establishment of companies, in contrast to what is provided by Article 17 of the TUSPP. It is not indicated that the eventual choice of the private partner must occur through a double-object tender procedure (related both to the participation of the private partner and to the awarding of the contract), nor that their share of participation cannot be less than 30%.</w:t>
      </w:r>
    </w:p>
    <w:p>
      <w:r>
        <w:t>b) Purpose and activity constraints</w:t>
      </w:r>
    </w:p>
    <w:p>
      <w:r>
        <w:t>In order to streamline the plethora of existing public companies and to curb potential ones, as well as to promote the development of markets, the TUSPP identifies a restricted type of areas in which new companies can be established and/or participations in existing ones can be acquired/maintained, providing stringent purpose and activity constraints (Article 4).</w:t>
      </w:r>
    </w:p>
    <w:p>
      <w:r>
        <w:t>Particularly relevant is the principle of “strict necessity” in relation to institutional purposes - which should be taken as a cornerstone principle of the entire TUSPP framework - according to which “Public administrations cannot, directly or indirectly, establish companies whose object is the production of goods and services not strictly necessary for the pursuit of their institutional purposes, nor acquire or maintain participations, even minority ones, in such companies” (Article 4, paragraph 1, so-called purpose constraint). The provision is complemented by the stipulation that participated companies can carry out “exclusively” certain activities expressly identified or to be identified by a regulatory act (Article 4, paragraph 2, so-called activity constraint).</w:t>
      </w:r>
    </w:p>
    <w:p>
      <w:r>
        <w:t>In this regard, it is necessary to recall the particularly rigorous line of interpretation of the Court of Auditors, which, for example, has held that the eventual provision of a service of general interest “cannot disregard the strict necessity of the same for the pursuit of institutional purposes (Article 4, paragraph 1, of the consolidated text). Therefore, the maintenance of the participation must be correlated to a concrete prospect of development of the activity carried out, such as to achieve the effective satisfaction of a general interest” (Court of Auditors Emilia-Romagna, Section of Control, Resolution of January 16, 2018, No. 3 and Resolution of December 12, 2017, No. 180).</w:t>
      </w:r>
    </w:p>
    <w:p>
      <w:r>
        <w:t>That said, Article 2.3 of both Regulations, in regulating the corporate purpose of the controlled companies, does not provide for the requirement of strict necessity of the activities carried out by the participated company for the pursuit of the institutional purposes of the entity that controls them, as instead established by Article 4, paragraph 1, of the TUSPP.</w:t>
      </w:r>
    </w:p>
    <w:p>
      <w:r>
        <w:rPr>
          <w:b/>
        </w:rPr>
        <w:t>[Pages 25–27]</w:t>
      </w:r>
    </w:p>
    <w:p>
      <w:r>
        <w:t>BULLETIN NO. 36 OF SEPTEMBER 9, 2019 27</w:t>
      </w:r>
    </w:p>
    <w:p>
      <w:r>
        <w:t>In particular, the ACI Regulation identifies the corporate purpose with reference to "the production and supply of goods or services of general economic interest or instrumental to the performance of ACI" and establishes that, in any case, "the corporate purpose may exclusively provide for the exercise of activities necessary for the pursuit of the purposes" of the entity, purposes for which the Regulation refers to the broad provisions of Article 4 of the ACI Statute.</w:t>
      </w:r>
    </w:p>
    <w:p>
      <w:r>
        <w:t>In the Draft Regulation of local ACs, the corporate purpose is identified with reference to the "production and supply of goods or services of general economic interest, self-production of goods and services instrumental to the AC or to other participating public entities or to the performance of their functions" and it is clarified that, in any case, "the corporate purpose may exclusively provide for the exercise of activities necessary for the pursuit of the purposes referred to in Articles 4 and 36 of the ACI Statute."</w:t>
      </w:r>
    </w:p>
    <w:p>
      <w:r>
        <w:t>The corporate purpose of ACI and of the provincial ACs, as provided respectively in Articles 4 and 36 of the ACI Statute, is very broad, encompassing every activity somehow related to the automotive world, both sporting and non-sporting, including technical, roadside, economic, legal, tax, insurance assistance services, as well as mediation or tourism-recreational services.</w:t>
      </w:r>
    </w:p>
    <w:p>
      <w:r>
        <w:t>The provision contained in the Regulations, by virtue of which the corporate purpose of the companies controlled by ACI and the provincial ACs must be identified in the merely "necessary" activities for the pursuit of the - undoubtedly broad - institutional purposes of such entities, exceeds the limits set by the aforementioned Article 4, paragraph 1, of the TUSPP, which instead refers to strict necessity. In order not to excessively and unjustifiably broaden the activities permitted to the companies controlled by such entities, the corporate purpose of the same must therefore be confined to what is strictly necessary for the performance of the activities legislatively recognized to ACI and the provincial ACs.</w:t>
      </w:r>
    </w:p>
    <w:p>
      <w:r>
        <w:t>It could therefore not be considered consistent with the general principles derivable from the TUSPP to maintain holdings in companies that provide services only somewhat related to the activities of ACI and the provincial ACs, but not strictly necessary to achieve the effective satisfaction of the institutional purposes of the entities.</w:t>
      </w:r>
    </w:p>
    <w:p>
      <w:r>
        <w:t>Among these activities, the services provided by some companies directly or indirectly participated by ACI can already be counted, in particular and by way of mere example: the sale of tourist services, including the offering of hotel services and individual vacations, which seem to widely exceed the activities of promoting and developing tourism for motorists identified among the institutional purposes of ACI; information services on mobility to private and public clients, offered in a free market regime, which appear to exceed the achievement of ACI's institutional purposes of overseeing road mobility and collaborating with the entities responsible for safety and road mobility; car sharing services, which do not fall within the institutional purposes of ACI, nor are they qualified as strictly necessary for achieving these latter purposes.</w:t>
      </w:r>
    </w:p>
    <w:p>
      <w:r>
        <w:t>The absence of the requirement of strict necessity is also found in Article 4.1 of the Regulations, titled "Adjustment of corporate statutes." The provision establishes that the statutes of the controlled companies ensure homogeneity with, among others, the criterion of "consistency" of the activity that constitutes the corporate purpose with the institutional purposes of ACI and the local AC.</w:t>
      </w:r>
    </w:p>
    <w:p>
      <w:r>
        <w:t>The provision thus merely establishes that the corporate purpose of the controlled company, as provided by its statute, must be consistent with the institutional purposes of ACI or the controlling AC, and not "strictly necessary."</w:t>
      </w:r>
    </w:p>
    <w:p>
      <w:r>
        <w:t>Furthermore, Title 7 of the ACI Regulation and the analogous Title 8 of the Draft Regulation of the provincial ACs, in regulating the approval process for so-called relevant corporate transactions (respectively in Articles 7.3 and 8.3), establish that they are subject to prior examination by the Executive Committee of ACI/the Board of Directors of the local AC to assess their consistency with the institutional purposes, strategic lines, and planning activities of ACI and the local AC, and must subsequently be approved by the Company, in accordance with any observations made by the Executive Committee of ACI/Board of Directors of the local AC.</w:t>
      </w:r>
    </w:p>
    <w:p>
      <w:r>
        <w:t>The "relevant" corporate transactions – including "changes to the corporate purpose that involve a significant change in the activity of the company" – therefore require, due to their extraordinary nature, a specific investigative, evaluative, and approval process. However, even in this case, the prior examination by the Executive Committee of ACI or the Board of Directors of the local AC is limited to verifying mere consistency (and not "strict necessity") of the transactions with the institutional purposes, strategic lines, and planning activities of ACI or the local AC.</w:t>
      </w:r>
    </w:p>
    <w:p>
      <w:r>
        <w:t>c) Motivational burdens and formal requirements for deliberating a public participation</w:t>
      </w:r>
    </w:p>
    <w:p>
      <w:r>
        <w:t>In close connection with the purpose and activity constraints, the TUSPP imposes strict motivational burdens during the establishment and acquisition of public participations. Specific forms are provided for the deliberative act of a public administration's participation in the establishment of a company (Article 7, paragraph 1), which must be motivated pursuant to Article 5, paragraph 1 (Article 7, paragraph 2), and must contain the indication of the essential elements of the founding act, as provided by the common discipline (Article 7, paragraph 3). The same forms referred to in Article 7, paragraphs 1 and 2, must also be used for modifying events in the life of the company, including statutory amendments concerning the corporate purpose that determine a significant change in the activity of the company (Article 7, paragraph 7).</w:t>
      </w:r>
    </w:p>
    <w:p>
      <w:r>
        <w:t>In this regard, the Regulations establish (Article 2.1) that the establishment and acquisition of companies - even indirectly or through capital increases - must be analytically motivated with reference to the necessity of ensuring the full pursuit, even through a direct or indirect participation, of the institutional purposes of ACI and the AC. The Regulations also specify that the deliberative act must highlight the reasons and purposes underlying the establishment or acquisition of participations, also in terms of economic convenience and financial sustainability, as well as the principles of efficiency, effectiveness, and economy.</w:t>
      </w:r>
    </w:p>
    <w:p>
      <w:r>
        <w:t>As for the formal requirements, it is provided that the resolution for the establishment of the company must contain "the indication of the essential elements of the founding act," in accordance with what is established by Article 7, paragraph 3, of the TUSPP, and the reasons and purposes "that justify the operation" must be highlighted.</w:t>
      </w:r>
    </w:p>
    <w:p>
      <w:r>
        <w:t>It is not indicated, however, whether the same deliberative act, including adequate motivation, must also be adopted in the case of significant changes to the corporate purpose or in other cases provided for by Article 7, paragraph 7, of the TUSPP. A particular approval process is regulated for the "relevant" corporate transactions, already mentioned above, for which, however, the procedure is limited to a prior examination by the Executive Committee of ACI or the Board of Directors of the local AC and does not provide for particular formal requirements for the deliberative act.</w:t>
      </w:r>
    </w:p>
    <w:p>
      <w:r>
        <w:t>Finally, in paragraph 3 of Article 2.1 of the ACI Regulation, it is established that the deliberative act must be sent, for informational purposes, to the Court of Auditors and the Antitrust Authority for the exercise of their respective powers, in accordance with what is established by Article 5, paragraph 3, of the TUSPP, although with the caveat "where provided by applicable law." In the analogous Draft Regulation of the provincial ACs, Article 2.1 does not unjustifiably contain the same provision.</w:t>
      </w:r>
    </w:p>
    <w:p>
      <w:r>
        <w:t>d) The principle of separate accounting</w:t>
      </w:r>
    </w:p>
    <w:p>
      <w:r>
        <w:t>Article 6 of the TUSPP, with reference to companies under public control "that carry out economic activities protected by special or exclusive rights, together with other activities carried out in a market economy," establishes the principle of separate accounting, "in derogation of the obligation of corporate separation provided for by paragraph 2-bis of Article 8 of Law No. 287 of October 10, 1990."</w:t>
      </w:r>
    </w:p>
    <w:p>
      <w:r>
        <w:t>It is noted that the Regulations do not contain any reference to the preparation of separate accounting systems in the case of companies that carry out economic activities protected by special or exclusive rights together with other activities in a free market regime.</w:t>
      </w:r>
    </w:p>
    <w:p>
      <w:r>
        <w:t>e) Periodic rationalization of participations</w:t>
      </w:r>
    </w:p>
    <w:p>
      <w:r>
        <w:t>The TUSPP has established a series of predefined steps for the rationalization of public participations. These are to be understood not only as procedural profiles but, playing an essential role in the realization of the reorganization system of the sector envisioned by the TUSPP, they appear to assume the dignity of general principles.</w:t>
      </w:r>
    </w:p>
    <w:p>
      <w:r>
        <w:t>In particular, the provision contained in Article 20, which establishes a periodic (annual) review of the participations held by December 31 of each year and possibly the subsequent alienation or adoption of rationalization measures concerning participations that do not comply with the required criteria, is noteworthy.</w:t>
      </w:r>
    </w:p>
    <w:p>
      <w:r>
        <w:t>In light of this provision, Title 11 of the ACI Regulation and Title 12 of the Draft Regulation of the provincial ACs, titled "Rationalization of participations," provide for the preparation of rationalization plans for participations only "where necessary."</w:t>
      </w:r>
    </w:p>
    <w:p>
      <w:r>
        <w:t>In particular, the ACI Regulation provides that the monitoring activity carried out by its Executive Committee, aimed at adopting, where necessary, rationalization plans, takes into account</w:t>
      </w:r>
    </w:p>
    <w:p>
      <w:r>
        <w:rPr>
          <w:b/>
        </w:rPr>
        <w:t>[Pages 28–30]</w:t>
      </w:r>
    </w:p>
    <w:p>
      <w:r>
        <w:t>30 BULLETIN NO. 36 OF SEPTEMBER 9, 2019</w:t>
      </w:r>
    </w:p>
    <w:p>
      <w:r>
        <w:t>exclusively on the economic performance and the financial and asset situation of the controlled companies and not also on the compliance with the purpose and activity constraints by these latter.</w:t>
      </w:r>
    </w:p>
    <w:p>
      <w:r>
        <w:t>Also, the Draft Regulation of local ACs, although containing a more detailed discipline than that of the ACI Regulation, provides for the preparation of rationalization plans only where necessary and based on the economic performance and the financial and asset situation of the controlled companies, as well as the organizational and dimensional structure of the companies, but not also based on compliance with the purpose and activity constraints by these latter.</w:t>
      </w:r>
    </w:p>
    <w:p>
      <w:r>
        <w:t>* * * * *</w:t>
      </w:r>
    </w:p>
    <w:p>
      <w:r>
        <w:t>The Authority therefore believes, for the reasons stated above, that the Resolution of the ACI General Council of October 30, 2018, containing the Model Regulation for the Governance of companies controlled by provincial ACs, and the Resolution of the ACI General Council of December 19, 2018, containing the Governance Regulation of companies controlled by ACI, are in contrast with art. 10, paragraph 1-bis, of Legislative Decree 91/2018 and with the general principles derivable from the TUSPP, in particular from articles 1, paragraph 1, 2, paragraph 1, letter n), and 17 (scope of application); from article 4, paragraphs 1 and 2 (purpose and activity constraints); from articles 5 and 7 (motivational burdens and formal requirements); from article 6 (accounting separation) and from article 20 (periodic review).</w:t>
      </w:r>
    </w:p>
    <w:p>
      <w:r>
        <w:t>All of the above having been stated, pursuant to article 21-bis, paragraph 2, of law no. 287/90, the Automobile Club Italia must communicate to the Authority, within sixty days from the receipt of this opinion, the initiatives taken to remove the violations outlined above.</w:t>
      </w:r>
    </w:p>
    <w:p>
      <w:r>
        <w:t>If within the aforementioned term such initiatives do not prove to be compliant with the principles expressed above, the Authority may appeal against the aforementioned resolutions, both transmitted on April 5, 2019, and any further presupposed, connected, and consequent acts, within the following thirty days.</w:t>
      </w:r>
    </w:p>
    <w:p>
      <w:r>
        <w:t>This opinion will be published in the Authority's Bulletin pursuant to article 26 of law no. 287/90.</w:t>
      </w:r>
    </w:p>
    <w:p>
      <w:r>
        <w:t>THE PRESIDENT</w:t>
      </w:r>
    </w:p>
    <w:p>
      <w:r>
        <w:t>Roberto Rustichelli</w:t>
      </w:r>
    </w:p>
    <w:p>
      <w:r>
        <w:t>________________________________________________________________</w:t>
      </w:r>
    </w:p>
    <w:p>
      <w:r>
        <w:t>Communication regarding the Authority's decision not to appeal pursuant to art. 21-bis of law no. 287/1990 against the Resolution of the General Council of the Automobile Club d’Italia of October 30, 2018, containing the “Model Regulation for the Governance of companies controlled by provincial ACs,” and the Resolution of the General Council of the Automobile Club d’Italia of December 19, 2018, containing the “Governance Regulation of companies controlled by ACI.”</w:t>
      </w:r>
    </w:p>
    <w:p>
      <w:r>
        <w:t>The Antitrust Authority, in its meeting of September 4, 2019, decided not to challenge before the competent TAR the Resolutions of the General Council of the Automobile Club d’Italia (“ACI”) of October 30, 2018, and December 19, 2018, respectively containing the “Model Regulation for the Governance of companies controlled by provincial ACs” and the “Governance Regulation of companies controlled by ACI.”</w:t>
      </w:r>
    </w:p>
    <w:p>
      <w:r>
        <w:t>BULLETIN NO. 36 OF SEPTEMBER 9, 2019 31</w:t>
      </w:r>
    </w:p>
    <w:p>
      <w:r>
        <w:t>On May 29, 2019, the Authority had resolved to send ACI a reasoned opinion pursuant to article 21-bis of law no. 287/1990, in which it noted the inconsistency of the aforementioned Resolutions with art. 10, paragraph 1-bis, of Legislative Decree 91/2018 and with the general principles derivable from the Consolidated Law on public participation companies as per Legislative Decree August 19, 2016, no. 175 (“TUSPP”), deeming them therefore in contrast with the rules established to protect competition and the market.</w:t>
      </w:r>
    </w:p>
    <w:p>
      <w:r>
        <w:t xml:space="preserve">Specifically, the Authority found non-compliance with the following principles derivable from the TUSPP: </w:t>
        <w:br/>
        <w:t xml:space="preserve">a) subjective and objective scope of application (art. 1, paragraph 1, art. 2, paragraph 1, letter n) and art. 17); </w:t>
        <w:br/>
        <w:t xml:space="preserve">b) purpose and activity constraints (art. 4, paragraphs 1 and 2); </w:t>
        <w:br/>
        <w:t xml:space="preserve">c) motivational burdens and formal requirements (arts. 5 and 7); </w:t>
        <w:br/>
        <w:t xml:space="preserve">d) accounting separation (art. 6); </w:t>
        <w:br/>
        <w:t>e) periodic review of participations (art. 20).</w:t>
      </w:r>
    </w:p>
    <w:p>
      <w:r>
        <w:t>Following the receipt of the reasoned opinion, on July 25, 2019, ACI communicated that it had modified and integrated the Resolutions subject to the opinion, substantially adhering to what was indicated by the Authority. Acknowledging what was stated by ACI, the Authority ordered the archiving of the procedure, considering that the initiatives taken are suitable to remove the competitive violations identified in the opinion sent pursuant to article 21-bis of law no. 287/1990.</w:t>
      </w:r>
    </w:p>
    <w:p>
      <w:r>
        <w:t>32 BULLETIN NO. 36 OF SEPTEMBER 9, 2019</w:t>
      </w:r>
    </w:p>
    <w:p>
      <w:r>
        <w:t>UNFAIR TRADE PRACTICES</w:t>
      </w:r>
    </w:p>
    <w:p>
      <w:r>
        <w:t>PS11484 - REGINA HOME.IT-ADB INTERIOR.IT/ONLINE SALES OF DESIGN PRODUCTS</w:t>
      </w:r>
    </w:p>
    <w:p>
      <w:r>
        <w:t>Provision no. 27886</w:t>
      </w:r>
    </w:p>
    <w:p>
      <w:r>
        <w:t>THE ANTITRUST AUTHORITY</w:t>
      </w:r>
    </w:p>
    <w:p>
      <w:r>
        <w:t>IN ITS MEETING of September 4, 2019;</w:t>
      </w:r>
    </w:p>
    <w:p>
      <w:r>
        <w:t>HEARD the Rapporteur Dr. Gabriella Muscolo;</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procedure;</w:t>
      </w:r>
    </w:p>
    <w:p>
      <w:r>
        <w:t>VIEWED the communication initiating procedure PS11484 of July 24, 2019, aimed at verifying the existence of unfair commercial practices in violation of articles 20, 21, 22, 24, 25, 49, paragraph 1, letter h) and 56 of the Consumer Code, carried out by the companies DB WEB HOLDING SRLs and ADB INTERIOR SRLs;</w:t>
      </w:r>
    </w:p>
    <w:p>
      <w:r>
        <w:t>VIEWED the resolutions of the Authority of July 24, 2019, which authorized inspections, pursuant to art. 27, paragraphs 2 and 3, of the Consumer Code, at the premises of the companies DB WEB HOLDING SRLs and ADB INTERIOR SRLs;</w:t>
      </w:r>
    </w:p>
    <w:p>
      <w:r>
        <w:t>VIEWED the statements submitted by the companies DB WEB HOLDING SRLs and ADB INTERIOR SRLs received on August 8 and August 5, 2019, respectively;</w:t>
      </w:r>
    </w:p>
    <w:p>
      <w:r>
        <w:t>CONSIDERED the following:</w:t>
      </w:r>
    </w:p>
    <w:p>
      <w:r>
        <w:t>I. FACT</w:t>
      </w:r>
    </w:p>
    <w:p>
      <w:r>
        <w:t>1. Based on the information acquired in the acts, on July 24, 2019, the investigative procedure PS11484 was initiated, pursuant to art. 27, paragraph 3, of the Consumer Code, as well as pursuant to art. 6 of the Regulation, in order to verify the existence of unfair commercial practices in violation of articles 20, 21, 22, 24, 25, 49, paragraph 1, letter h) and 56 of the Consumer Code.</w:t>
      </w:r>
    </w:p>
    <w:p>
      <w:r>
        <w:t>2. The parties to the procedure, in their capacity as professionals, are: DB WEB HOLDING SRLs and ADB INTERIOR SRLs.</w:t>
      </w:r>
    </w:p>
    <w:p>
      <w:r>
        <w:t xml:space="preserve">3. In particular, the company DB WEB HOLDING SRLs through its website www.reginahome.it, would have engaged in two unfair commercial practices represented by: </w:t>
        <w:br/>
        <w:t>a) the failure to deliver products regularly purchased and paid for by consumers, on its website, as well as the failure to refund the amount paid;</w:t>
      </w:r>
    </w:p>
    <w:p>
      <w:r>
        <w:rPr>
          <w:b/>
        </w:rPr>
        <w:t>[Pages 31–33]</w:t>
      </w:r>
    </w:p>
    <w:p>
      <w:r>
        <w:t>BULLETIN NO. 36 OF SEPTEMBER 9, 2019 33</w:t>
      </w:r>
    </w:p>
    <w:p>
      <w:r>
        <w:t>b) from the fact that the related site generates for consumers the false belief of the existence of distribution relationships between the company and a major producer of furniture items, suggesting a availability and delivery times for the products that cannot correspond to the truth.</w:t>
      </w:r>
    </w:p>
    <w:p>
      <w:r>
        <w:t>4. Regarding practice a), the professional would have offered for sale various furniture products at prices and discounts apparently advantageous compared to market prices, only to then fail to deliver the products ordered and paid for by consumers, even months after the purchase and despite receiving several reminders, and therefore would not have refunded the amount paid by consumers following their cancellation of the order.</w:t>
      </w:r>
    </w:p>
    <w:p>
      <w:r>
        <w:t>5. Regarding practice b), on the other hand, a producer of furniture items, following the receipt of several reports from consumers, stated: i) that its products are distributed through a network of specialized retailers, to which the professional does not belong; ii) that the availability of the products and the delivery times indicated cannot correspond to the truth; iii) that it has never received orders from the professional and that the related site - both for the use of images taken from the producer's promotional material and for certain statements made therein - generates the false belief of the existence of distribution relationships between the companies and the producer.</w:t>
      </w:r>
    </w:p>
    <w:p>
      <w:r>
        <w:t>6. The same conduct would have also been carried out by the company ADB INTERIOR SRLs, which operates through the site www.adbinterior.it owned by the same owner of DB WEB HOLDING SRLs.</w:t>
      </w:r>
    </w:p>
    <w:p>
      <w:r>
        <w:t>7. On this latter site, some omissions have also been noted regarding the right of withdrawal and the pre-contractual information obligations imposed in relation to distance negotiated contracts and burdening the professional, pursuant to Articles 49 and 56 of the Consumer Code.</w:t>
      </w:r>
    </w:p>
    <w:p>
      <w:r>
        <w:t>8. By virtue of the combined provisions of Article 27, paragraph 3, of the Consumer Code and Article 8, paragraph 2, of the Regulation, simultaneously with the communication of the initiation of the procedure, the Parties were invited to submit written statements and documents within 5 days of receipt, in order to allow for the evaluation of the prerequisites for the provisional suspension of the practices.</w:t>
      </w:r>
    </w:p>
    <w:p>
      <w:r>
        <w:t>II. INSPECTION FINDINGS</w:t>
      </w:r>
    </w:p>
    <w:p>
      <w:r>
        <w:t>9. On July 30, inspections were carried out at the premises of the companies DB WEB HOLDING SRLs and ADB INTERIOR SRLs, two inspections decided by the Authority on July 24, 2019, pursuant to Article 27, paragraphs 2 and 3, of the Consumer Code.</w:t>
      </w:r>
    </w:p>
    <w:p>
      <w:r>
        <w:t>10. In particular, from the inspections carried out, it emerged that:</w:t>
        <w:br/>
        <w:t>the company DB WEB HOLDING SRLS:</w:t>
        <w:br/>
        <w:t>- operated through the site www.reginahome.it from June 2017 to February 2019, from which date the site is no longer operational and accessible;</w:t>
        <w:br/>
        <w:t>- during 2018, received 4812 orders, making 1949 deliveries and canceling 1430 orders for non-payment;</w:t>
        <w:br/>
        <w:t>- during 2019, received 160 orders, making 103 deliveries and canceling 33 orders for non-payment.</w:t>
      </w:r>
    </w:p>
    <w:p>
      <w:r>
        <w:t>The company ADB INTERIOR SRLS:</w:t>
        <w:br/>
        <w:t>- operates through the site www.adbinterior.it since June 2018;</w:t>
      </w:r>
    </w:p>
    <w:p>
      <w:r>
        <w:t>34 BULLETIN NO. 36 OF SEPTEMBER 9, 2019</w:t>
        <w:br/>
        <w:t>- during 2018, received 4373 orders, making 2703 deliveries and canceling 1197 orders for non-payment;</w:t>
        <w:br/>
        <w:t>- during 2019, received 4358 orders, making 1423 deliveries and canceling 1180 orders for non-payment;</w:t>
        <w:br/>
        <w:t>- receives, daily and especially since May 2019, numerous complaints from purchasing consumers, aimed at reporting the non-delivery of purchased goods and the non-refund of the amount paid following the related request.</w:t>
      </w:r>
    </w:p>
    <w:p>
      <w:r>
        <w:t>11. With reference to the company DB, it is noted that it has left 1457 orders unfulfilled. However, the related website is no longer operational and accessible.</w:t>
      </w:r>
    </w:p>
    <w:p>
      <w:r>
        <w:t>12. Similarly, it is noted that the company ADB has left 2228 orders unfulfilled. The related website is, however, currently operational and accessible and receives daily, mainly since May 2019, numerous complaints aimed at reporting the non-delivery of purchased goods and the non-refund of the amount paid following the cancellation of the order and the related request for refund by consumers.</w:t>
      </w:r>
    </w:p>
    <w:p>
      <w:r>
        <w:t>III. MEMORIES OF THE PARTIES</w:t>
      </w:r>
    </w:p>
    <w:p>
      <w:r>
        <w:t>13. The companies ADB and DB sent, regarding the precautionary procedure, two defensive statements received, respectively, on August 5 and 8, 2019.</w:t>
      </w:r>
    </w:p>
    <w:p>
      <w:r>
        <w:t>14. The professionals represented that they regularly place orders and purchases by contacting suppliers and acting as intermediaries between the buyer's intention and the delivery by the aforementioned suppliers, who may encounter unpredictable problems that alter the expected delivery times of the goods.</w:t>
      </w:r>
    </w:p>
    <w:p>
      <w:r>
        <w:t>15. The company DB also represented - without, however, providing any documentary evidence on the point - that it received 1728 refund requests and finalized 94% of them, making refunds (or receiving chargeback requests) or converting the due amount into credit usable on the online platform for the selection of additional items; consequently, refunds were made even though, in some cases, the expected times were not respected.</w:t>
      </w:r>
    </w:p>
    <w:p>
      <w:r>
        <w:t>16. The company ADB represented - but also in this case without providing any documentary evidence - that it received 1479 refund requests, of which, to date, 772 have been finalized, thus 52% of the requests - and that, for the remaining part, 48%, the company would have shown full availability in finalizing them through refunds, albeit not promptly and not respecting the 14 days provided by law, or the shipment of the ordered items received at its warehouses or the conversion of the amount into purchase vouchers (also exceeding the amount due in light of the inconvenience suffered) usable on the online platform for the selection of additional items. Consequently, it notes that refunds are made, but it is understandably difficult to fulfill all requests at the same time or quickly.</w:t>
      </w:r>
    </w:p>
    <w:p>
      <w:r>
        <w:t>17. The company also represented that it had accumulated delays in the shipment of ordered goods for a period - due, among other things, to the prolongation of the timing of receipt of deliveries commissioned to some suppliers and a series of defamatory and slanderous online reviews suffered - and that it has suffered an economic decline due to the significant multiplication of withdrawal requests and a decrease in new orders, consequently finding itself unable to finalize all requests within the expected times, but demonstrating, at the same time, total availability in</w:t>
      </w:r>
    </w:p>
    <w:p>
      <w:r>
        <w:t>BULLETIN NO. 36 OF SEPTEMBER 9, 2019 35</w:t>
        <w:br/>
        <w:t>completing the sales by processing the necessary refunds, albeit not in a timely manner for the reasons outlined above, shipping the ordered items or issuing purchase vouchers exceeding the due amount.</w:t>
      </w:r>
    </w:p>
    <w:p>
      <w:r>
        <w:t>IV. EVALUATIONS</w:t>
      </w:r>
    </w:p>
    <w:p>
      <w:r>
        <w:t>18. From the perspective of fumus boni iuris, the elements described above lead to the belief that prima facie the unfair practice related to the non-delivery and regular delivery of products ordered and paid for by consumers on the sites www.reginahome.it and www.adbinterior.it translates into the non-refund of what was paid when, following a series of reminders and complaints, consumers proceed to cancel the order requesting a refund of the amounts paid. This constitutes a non-contractual obstacle to the exercise of rights provided in favor of consumers by law and by sales contracts, in violation of Articles 24 and 25 of the Consumer Code.</w:t>
      </w:r>
    </w:p>
    <w:p>
      <w:r>
        <w:t>19. The behavior of the professionals is characterized by particular seriousness and unfairness given the fact that they immediately receive, that is, from the moment the consumer places the order, the amount to be paid (mainly via bank transfer) even before shipping the product and, consequently, even in cases where the product is subsequently unavailable or its availability takes a long time, placing the risk of unavailability of the good on the consumer.</w:t>
      </w:r>
    </w:p>
    <w:p>
      <w:r>
        <w:t>20. From the perspective of periculum in mora, it appears, however, necessary to make different evaluations with reference to the two companies. In particular, regarding the company DB, it should be noted that the practice described above is no longer in place, since the site www.reginahome.it is no longer operational and accessible and consumers cannot, therefore, complete any purchase. Conversely, with reference to the company ADB, it is worth noting that the practice described above is still ongoing, considering that the site www.adbinterior.it is operational and accessible and consumers can continue to make purchases and, therefore, continue to mislead a large number of consumers who could purchase the products, pay the price, not receive the goods, and not be able to have the amounts paid refunded.</w:t>
      </w:r>
    </w:p>
    <w:p>
      <w:r>
        <w:t>THEREFORE, IT IS CONSIDERED that, from the examination of the acts of the procedure, with reference to the practice carried out by the company DB WEB HOLDING SRLs through the site www.reginahome.it, elements emerge that exclude the existence of the requirement of particular urgency as the site is no longer accessible;</w:t>
      </w:r>
    </w:p>
    <w:p>
      <w:r>
        <w:t>IT IS ALSO CONSIDERED that, from the examination of the acts of the procedure, elements emerge that support the need to act with particular urgency in order to prevent the above-described commercial practice, carried out by the company ADB INTERIOR SRLs, through the site www.adbinterior.it, from continuing to be carried out during the course of the substantive procedure;</w:t>
      </w:r>
    </w:p>
    <w:p>
      <w:r>
        <w:rPr>
          <w:b/>
        </w:rPr>
        <w:t>[Pages 34–36]</w:t>
      </w:r>
    </w:p>
    <w:p>
      <w:r>
        <w:t>36 BULLETIN NO. 36 OF SEPTEMBER 9, 2019</w:t>
      </w:r>
    </w:p>
    <w:p>
      <w:r>
        <w:t>ORDERS</w:t>
      </w:r>
    </w:p>
    <w:p>
      <w:r>
        <w:t>pursuant to Article 27, paragraph 3, of the Consumer Code and Article 8, paragraph 1, of the Regulation, that the company ADB INTERIOR SRLs:</w:t>
      </w:r>
    </w:p>
    <w:p>
      <w:r>
        <w:t>a) temporarily suspend any activity aimed at the marketing and sale of products that are not available or otherwise not actually ready for delivery;</w:t>
      </w:r>
    </w:p>
    <w:p>
      <w:r>
        <w:t>b) notify the Authority of the execution of this suspension order and the related methods within 10 days from the receipt of this order, sending a detailed report in which the measures adopted are illustrated.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Competition and Market Authority.</w:t>
      </w:r>
    </w:p>
    <w:p>
      <w:r>
        <w:t>Against this order, an appeal may be submitted to the TAR of Lazio, pursuant to Article 135, paragraph 1, letter b), of the Administrative Process Code (Legislative Decree of July 2, 2010, no. 104), within sixty days from the date of communication of the order itself, without prejudice to the longer terms provided for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communication of the order itself.</w:t>
      </w:r>
    </w:p>
    <w:p>
      <w:r>
        <w:t>It is reminded that, pursuant to Article 8, paragraph 4, of the Regulation, this suspension decision must be immediately executed by the professional and that the appeal against the Authority's suspension order does not suspend its execution.</w:t>
      </w:r>
    </w:p>
    <w:p>
      <w:r>
        <w:t>THE SECRETARY GENERAL THE PRESIDENT</w:t>
      </w:r>
    </w:p>
    <w:p>
      <w:r>
        <w:t>Filippo Arena Roberto Rustichelli</w:t>
      </w:r>
    </w:p>
    <w:p>
      <w:r>
        <w:t>BULLETIN NO. 36 OF SEPTEMBER 9, 2019 37</w:t>
      </w:r>
    </w:p>
    <w:p>
      <w:r>
        <w:t>PS11457 - OKVISURE-CENTRAL RISK CONSULTATION</w:t>
      </w:r>
    </w:p>
    <w:p>
      <w:r>
        <w:t>Notice of communication of the conclusion of the investigation phase</w:t>
      </w:r>
    </w:p>
    <w:p>
      <w:r>
        <w:t>COMPETITION AND MARKET AUTHORITY</w:t>
      </w:r>
    </w:p>
    <w:p>
      <w:r>
        <w:t>Notice of communication of the conclusion of the investigation phase,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PS11457 OKVISURE – CENTRAL RISK CONSULTATION</w:t>
      </w:r>
    </w:p>
    <w:p>
      <w:r>
        <w:t>NOTICE</w:t>
      </w:r>
    </w:p>
    <w:p>
      <w:r>
        <w:t>The publication of this notice in the weekly Bulletin of the Competition and Market Authority is made pursuant to and for the effects of Article 19, paragraph 2 of the Regulation, given the lack of receipt of responses to the attempt to transmit the communication of the initiation of the procedure against World Adv.Com of Ragusa Andrea, carried out on June 6, 2019, prot. no. 41139.</w:t>
      </w:r>
    </w:p>
    <w:p>
      <w:r>
        <w:t>For any communication addressed to the Authority regarding the case in question, please refer to Direction B of the General Directorate for Consumer Protection and the reference PS11457.</w:t>
      </w:r>
    </w:p>
    <w:p>
      <w:r>
        <w:t>***</w:t>
      </w:r>
    </w:p>
    <w:p>
      <w:r>
        <w:t>Subject: communication of the conclusion of the investigation phase pursuant to Article 16, paragraph 1,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the procedure PS11457 OKVISURE – CENTRAL RISK CONSULTATION.</w:t>
      </w:r>
    </w:p>
    <w:p>
      <w:r>
        <w:t>I. Premise</w:t>
      </w:r>
    </w:p>
    <w:p>
      <w:r>
        <w:t>1. With act of June 6, 2019, prot. no. 0041139, the initiation of the investigation procedure PS/11457 was communicated to World Adv.Com of Ragusa Andrea to verify the existence of two alleged unfair commercial practices in violation of Articles 20, 21, paragraph 1, letters b) and d), of Legislative Decree of September 6, 2005, no. 206, containing the “Consumer Code” (hereinafter, Consumer Code).</w:t>
      </w:r>
    </w:p>
    <w:p>
      <w:r>
        <w:t>A notice of initiation of the investigation, to which the aforementioned communication of initiation was attached, was published in the Authority's Bulletin of July 22, 2019, due to the lack of response to the attempt to send the communication to the address of the professional resulting from the chamber databases.</w:t>
      </w:r>
    </w:p>
    <w:p>
      <w:r>
        <w:t>Regarding the investigative activity carried out, it is noted that the Party did not participate in the procedure. The investigations carried out, therefore, are based essentially on the facts reported by the Bank of Italy and on the official verifications, given the absence of documents and/or defense memoranda from the involved professional.</w:t>
      </w:r>
    </w:p>
    <w:p>
      <w:r>
        <w:t>II. Conducts contested</w:t>
      </w:r>
    </w:p>
    <w:p>
      <w:r>
        <w:t>3. In light of the elements currently acquired in the context of the procedure in question, this confirms and specifies the allegations already subject to the initiation communication regarding the alleged illegality of the conduct carried out by World Adv.Com of Ragusa Andrea, consisting of (a) implying that in order to obtain a report from the Central Risks of the Bank of Italy, it is necessary to go personally to the Bank's offices, while, by using the service offered by the company, the request can be submitted from home and the report will be delivered to the indicated address when, in reality, the request to the Bank of Italy can be made by sending it to one of the Bank's branches by mail, PEC, email, or fax; (b) advertising as free a telephone number that customers can call for assistance, while, in reality, it is a geographical number with standard charges.</w:t>
      </w:r>
    </w:p>
    <w:p>
      <w:r>
        <w:t>4. Specifically, the requester, to verify the information and reports made on his name or his company regarding his debt situation, can request online from World Adv. Com of Ragusa Andrea a report from the Central Risks, for which he must fill out a form with his data present on the website and make the payment; the report is sent to the address specified during the request phase within five working days. The cost of the service is indicated as €29.89.</w:t>
      </w:r>
    </w:p>
    <w:p>
      <w:r>
        <w:t>Below the form to be filled out, there is a box titled “How to request the Central Risks report from the Bank of Italy” clicking on which opens a detailed page where it reads: “It is possible to request the Central Risks Report from the Bank of Italy by going to the counter of the same, or to one of the nearest branches. If you are not available to move, you can make the request directly from this page using the service offered by our portal. The request can be made entirely online; you just need to enter the correct data of the name or the company for which you want the report. Subsequently, you will receive a response by registered mail to the address provided during the procedure.”</w:t>
      </w:r>
    </w:p>
    <w:p>
      <w:r>
        <w:t>Regarding this Central Risks report service, it is noteworthy that the Bank of Italy's website, at the page https://www.bancaditalia.it/servizi-cittadino/servizi/accesso-cr/, describes the access methods to the Central Risks in the following terms: “The request form can be downloaded from this page or collected at the branches of the Bank of Italy… The request can be sent to one of the branches of the Bank of Italy by mail, PEC, email, or fax, or delivered in person or through a delegate.”</w:t>
      </w:r>
    </w:p>
    <w:p>
      <w:r>
        <w:t>5. As for telephone assistance, a green telephone receiver accompanied by the text also in green “Customer Assistance” frames on the professional's website the number 081 8857355 under which the hours Monday-Friday 9.00/18.30 appear along with the phrase “Our operator is always at your disposal.” As the configuration of the number reveals, it is not a free service but a geographical number with standard charges.</w:t>
      </w:r>
    </w:p>
    <w:p>
      <w:r>
        <w:t>III. Possible profiles of illegality of the conducts</w:t>
      </w:r>
    </w:p>
    <w:p>
      <w:r>
        <w:t>6. The conduct under a) would constitute a violation of Articles 20, paragraph 2, and 21, paragraph 1, letter b) of the Consumer Code, as it is likely to mislead the consumer about the advantages obtainable by adhering to the proposed service, leading him to make a decision of a nature</w:t>
      </w:r>
    </w:p>
    <w:p>
      <w:r>
        <w:rPr>
          <w:b/>
        </w:rPr>
        <w:t>[Pages 37–38]</w:t>
      </w:r>
    </w:p>
    <w:p>
      <w:r>
        <w:t>BULLETIN NO. 36 OF SEPTEMBER 9, 2019 39</w:t>
      </w:r>
    </w:p>
    <w:p>
      <w:r>
        <w:t>commercial decision that he would not have otherwise made. The consumer might indeed believe that the professional's service has specific features, such as the advantage of being able to request from home the report from the Central Risks of the Bank of Italy, which the latter would not allow, as indicated by the professional who states that to contact the Bank it would be necessary to go to one of its branches; in reality, access to the service remotely is also possible through a direct request to the Bank of Italy.</w:t>
      </w:r>
    </w:p>
    <w:p>
      <w:r>
        <w:t>7. The conduct referred to in b) would constitute a violation of Articles 20 and 21, paragraph 1, letters b) and d) of the Consumer Code, as the qualification as free, through the symbol of the green handset, of a number with ordinary charges is likely to mislead the average consumer regarding the characteristics of the assistance service and the economic burdens to be incurred to contact the professional.</w:t>
      </w:r>
    </w:p>
    <w:p>
      <w:r>
        <w:t>8. It would also appear that the practice referred to in a) has been carried out at least since June 14, 2017, and is still ongoing, and that the practice referred to in b) has been carried out at least since October 27, 2017, and is still ongoing.</w:t>
      </w:r>
    </w:p>
    <w:p>
      <w:r>
        <w:t>***</w:t>
      </w:r>
    </w:p>
    <w:p>
      <w:r>
        <w:t>Therefore, it is hereby communicated that the deadline for concluding the investigative phase is set for September 29, 2019.</w:t>
      </w:r>
    </w:p>
    <w:p>
      <w:r>
        <w:t>It is also communicated, pursuant to the same article of the Regulation in question, that the Party may submit, by the same deadline, final briefs or documents that will be submitted to the Board along with the other investigative acts for the adoption of the final measure.</w:t>
      </w:r>
    </w:p>
    <w:p>
      <w:r>
        <w:t>It is also reminded that the Party may request access to the documents of the proceeding, as previously highlighted in the communication initiating the proceeding itself. Access may be made directly by the Party or by a person delegated in writing.</w:t>
      </w:r>
    </w:p>
    <w:p>
      <w:r>
        <w:t>For the purposes of quantifying any monetary sanction provided for by Article 27, paragraph 9, of the aforementioned Consumer Code, World Adv.Com of Ragusa Andrea is requested to provide a copy of the latest financial statements or suitable accounting documentation certifying the economic conditions in the last year.</w:t>
      </w:r>
    </w:p>
    <w:p>
      <w:r>
        <w:t>For any communication addressed to the Authority regarding the case in question, please cite Direction B of the Directorate General for Consumer Protection and reference PS11457. For any clarifications and information, you may contact Dr. Giovanna Ragno at the number 06/85821410, email giovanna.ragno@agcm.it.</w:t>
      </w:r>
    </w:p>
    <w:p>
      <w:r>
        <w:t>THE RESPONSIBLE OFFICER OF THE PROCEEDING</w:t>
      </w:r>
    </w:p>
    <w:p>
      <w:r>
        <w:t>Antitrust Authority Weekly Bulletin</w:t>
        <w:br/>
        <w:t>of Competition and Market Year XXIX - No. 36 - 2019</w:t>
        <w:br/>
        <w:t>Editorial Coordination Giulia Antenucci</w:t>
        <w:br/>
        <w:t>Editorial Staff Sandro Cini, Valerio Ruocco, Simonetta Schettini,</w:t>
        <w:br/>
        <w:t>Manuela Villani</w:t>
        <w:br/>
        <w:t>Antitrust Authority for Competition and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