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https://www.agcm.it/dotcmsdoc/bollettini/2022/36-22.pdf</w:t>
      </w:r>
    </w:p>
    <w:p>
      <w:r>
        <w:t>Pages translated : 66</w:t>
      </w:r>
    </w:p>
    <w:p/>
    <w:p>
      <w:r>
        <w:rPr>
          <w:b/>
        </w:rPr>
        <w:t>[Pages 1–3]</w:t>
      </w:r>
    </w:p>
    <w:p>
      <w:r>
        <w:t>Bulletin</w:t>
        <w:br/>
        <w:t>Weekly</w:t>
        <w:br/>
        <w:t>Year XXXII - No. 36</w:t>
        <w:br/>
        <w:t>Published on the website www.agcm.it</w:t>
        <w:br/>
        <w:t>10 October 2022</w:t>
      </w:r>
    </w:p>
    <w:p>
      <w:r>
        <w:t>SUMMARY</w:t>
        <w:br/>
        <w:t>CONCENTRATION OPERATIONS 5</w:t>
        <w:br/>
        <w:t>C12461 - ENEL PRODUZIONE/ERG POWER</w:t>
        <w:br/>
        <w:t>Decision No. 30306 5</w:t>
        <w:br/>
        <w:t>C12480 - ALFASIGMA/SOFAR</w:t>
        <w:br/>
        <w:t>Decision No. 30307 34</w:t>
        <w:br/>
        <w:t>C12481 - NUO-F.LLI ANDRIANI PARTECIPAZIONI/ANDRIANI</w:t>
        <w:br/>
        <w:t>Decision No. 30308 40</w:t>
        <w:br/>
        <w:t>C12484 - RIVA ACIER/ASSET DI DERICHEBOURG ENVIRONNEMENT</w:t>
        <w:br/>
        <w:t>Decision No. 30309 44</w:t>
        <w:br/>
        <w:t>C12488 - BUBBLES BIDCO/QUATTRO</w:t>
        <w:br/>
        <w:t>Decision No. 30310 49</w:t>
        <w:br/>
        <w:t>ACTIVITIES OF REPORTING AND CONSULTATION 62</w:t>
        <w:br/>
        <w:t>AS1860 - MUNICIPALITY OF LECCE - TENDER FOR THE ASSIGNMENT OF THE SERVICE OF</w:t>
        <w:br/>
        <w:t>NOTIFICATION OF JUDICIAL ACTS AND VIOLATIONS OF THE HIGHWAY CODE 62</w:t>
        <w:br/>
        <w:t>AS1861 - LIGURIA REGION - REGIONAL LAW 16 OF 2021/REGULATION OF THE</w:t>
        <w:br/>
        <w:t>ALPINE GUIDE PROFESSION 66</w:t>
      </w:r>
    </w:p>
    <w:p>
      <w:r>
        <w:t>BULLETIN NO. 36 OF 10 OCTOBER 2022 5</w:t>
        <w:br/>
        <w:t>CONCENTRATION OPERATIONS</w:t>
        <w:br/>
        <w:t>C12461 - ENEL PRODUZIONE/ERG POWER</w:t>
        <w:br/>
        <w:t>Decision No. 30306</w:t>
        <w:br/>
        <w:t>THE ANTITRUST AUTHORITY</w:t>
        <w:br/>
        <w:t>IN ITS MEETING of 20 September 2022;</w:t>
        <w:br/>
        <w:t>HEARD the Rapporteur, Professor Elisabetta Iossa;</w:t>
        <w:br/>
        <w:t>HAVING REGARD to Council Regulation (EC) No. 139/2004 of 20 January 2004, on the control</w:t>
        <w:br/>
        <w:t>of concentrations between undertakings;</w:t>
        <w:br/>
        <w:t>HAVING REGARD to Law No. 287 of 10 October 1990;</w:t>
        <w:br/>
        <w:t>HAVING REGARD to Presidential Decree No. 217 of 30 April 1998;</w:t>
        <w:br/>
        <w:t>HAVING REGARD to the communication from Enel Produzione S.p.A. received on 13 June 2022;</w:t>
        <w:br/>
        <w:t>HAVING REGARD to its resolution of 12 July 2022, No. 30101, with which it initiated, pursuant to Article</w:t>
        <w:br/>
        <w:t>16, paragraph 4, of Law No. 287/90, the procedure against Enel Produzione S.p.A. and Erg Power S.r.l.;</w:t>
        <w:br/>
        <w:t>HAVING REGARD to the request for information sent on 27 July 2022 to Enel Produzione S.p.A.,</w:t>
        <w:br/>
        <w:t>for which the same company requested, by communication of 29 July 2022, an extension of the deadline</w:t>
        <w:br/>
        <w:t>to provide the requested information;</w:t>
        <w:br/>
        <w:t>HAVING REGARD to its resolution of 4 August 2022, with which, pursuant to Article 16, paragraph 8, of Law</w:t>
        <w:br/>
        <w:t>No. 287/90, the deadline for concluding the procedure was extended to 25 September 2022;</w:t>
        <w:br/>
        <w:t>HAVING REGARD to the information provided by Enel Produzione S.p.A. on 30 August 2022;</w:t>
        <w:br/>
        <w:t>HAVING REGARD to the Communication of Investigative Findings transmitted on 9 September 2022;</w:t>
        <w:br/>
        <w:t>HAVING REGARD to the acts of the procedure and the documentation acquired during the investigation;</w:t>
        <w:br/>
        <w:t>CONSIDERING the following:</w:t>
        <w:br/>
        <w:t>I. THE PARTIES</w:t>
        <w:br/>
        <w:t>1. Enel Produzione S.p.A. (“Enel Produzione”) is a company active in the production and wholesale sale</w:t>
        <w:br/>
        <w:t>of electricity. The share capital of Enel Produzione is wholly owned by Enel Italia S.p.A., which in turn is wholly controlled by Enel S.p.A. (“Enel”), the parent company of the eponymous industrial Group active primarily in the electricity and natural gas sectors. Enel has been listed since 1999 on the electronic stock market organized and managed by Borsa Italiana S.p.A., whose share capital is currently held 23.6% by the Ministry of Economy and Finance, 59.4% by institutional investors, and the remaining 17% by investors.</w:t>
      </w:r>
    </w:p>
    <w:p>
      <w:r>
        <w:rPr>
          <w:b/>
        </w:rPr>
        <w:t>[Pages 4–6]</w:t>
      </w:r>
    </w:p>
    <w:p>
      <w:r>
        <w:t>6 BULLETIN NO. 36 OF 10 OCTOBER 2022</w:t>
      </w:r>
    </w:p>
    <w:p>
      <w:r>
        <w:t>individual investors. In 2021, the Enel Group achieved a worldwide revenue of approximately 88 billion euros1, of which approximately [30-40]* billion euros in Italy.</w:t>
      </w:r>
    </w:p>
    <w:p>
      <w:r>
        <w:t>2. ERG Power S.r.l. (“ERG Power” or “the target”; jointly with Enel Produzione, “the Parties”), a company of the ERG Group2, is under the exclusive control of ERG Power Generation S.p.A. (“ERG Power Generation”), which holds its entire share capital. ERG Power owns a Combined Cycle Gas Turbine (CCGT) power plant with a capacity of 480 MW located in Priolo Gargallo, in the Province of Syracuse. On April 1, 2022, ERG Power Generation transferred to ERG Power the business unit related to all employees, contracts, rights, and obligations necessary for the operation of the plant and the associated industrial complex. In 2021, ERG Power achieved a revenue of [100-517] million euros, [of which 100-517] in Italy.</w:t>
      </w:r>
    </w:p>
    <w:p>
      <w:r>
        <w:t>II. DESCRIPTION OF THE OPERATION</w:t>
      </w:r>
    </w:p>
    <w:p>
      <w:r>
        <w:t>3. The notified concentration operation (hereinafter, “the Operation”) consists of the acquisition, by Enel Produzione, of exclusive control of ERG Power. Specifically, the Share Purchase Agreement (“SPA”) signed between Enel Produzione and ERG Power Generation on [omitted] provides, upon the occurrence of certain conditions (see below), for the acquisition by Enel Produzione of 100% of the share capital of ERG Power.</w:t>
      </w:r>
    </w:p>
    <w:p>
      <w:r>
        <w:t>4. ERG Power owns an industrial complex consisting of a high-efficiency gas-fired combined cycle power plant (CCGT) powered by natural gas with a total installed capacity of 480 MW and a net capacity of 470 MW, which commenced operations in 2010, to which an electrical distribution system – so-called “RIU” – and a demineralized water treatment plant are connected (collectively, “the Plant”)3.</w:t>
      </w:r>
    </w:p>
    <w:p>
      <w:r>
        <w:t>5. The Plant and the RIU are owned by ERG Power; [omitted]. ERG Power, therefore, primarily sells electricity, steam, and demineralized water to certain operators located within the industrial site of Priolo Gargallo based on long-term contracts and sells electricity on the spot markets4.</w:t>
      </w:r>
    </w:p>
    <w:p>
      <w:r>
        <w:t>6. The obligation for the Parties to proceed to the closing of the Operation is conditioned upon the occurrence of a series of suspensive conditions, including (i) the approval of the same by the competent antitrust authorities5 and (ii) the approval of the Presidency of the Council of Ministers pursuant to Article 2 of Decree Law No. 21/2012.</w:t>
      </w:r>
    </w:p>
    <w:p>
      <w:r>
        <w:t>7. The agreements between the Parties also provide for the possibility of signing a Transitional Services Agreement (“TSA”) whose terms and conditions will need to be subsequently negotiated based on the draft contract attached to the SPA. In particular, the TSA will regulate the manner in which ERG Power Generation will provide ERG Power with certain IT system-related services for a limited period of 9 months, strictly necessary to ensure the operational continuity of ERG Power. According to the agreements between the Parties, this duration may be reduced if the transition activities are completed before this term or extended for a maximum of an additional 3 months in the event that the transition activities experience a delay6.</w:t>
      </w:r>
    </w:p>
    <w:p>
      <w:r>
        <w:t>8. According to the representation provided by the Parties, the service contracts will have no impact on the strategic choices regarding the management of the Plant post-closing, which will be defined solely by the Enel Group. The aforementioned agreements would therefore qualify as ancillary restrictions pursuant to the provisions of the Commission Communication on restrictions directly related and necessary to concentrations7, as they are characterized by a close functional link to the Operation and limited to what is necessary to ensure the continuity of operation of the acquired business.</w:t>
      </w:r>
    </w:p>
    <w:p>
      <w:r>
        <w:t>III. QUALIFICATION OF THE OPERATION</w:t>
      </w:r>
    </w:p>
    <w:p>
      <w:r>
        <w:t>9. The notified operation constitutes a concentration pursuant to Article 5, paragraph 1, letter b), of Law No. 287/90, as it involves the acquisition of control of a company.</w:t>
      </w:r>
    </w:p>
    <w:p>
      <w:r>
        <w:t>10. It has a community dimension as it meets the conditions set out in Article 1(2) of Regulation (EC) No. 139/2004 and was therefore notified by the Parties to the European Commission on April 19, 2022, falls within the scope of application of Law No. 287/1990 following the decision of May 25, 2022, whereby the European Commission, in response to the request made by the notifying companies, pursuant to Article 4, paragraph 4, of the same Regulation, ordered that the Operation be fully referred to the Antitrust Authority8.</w:t>
      </w:r>
    </w:p>
    <w:p>
      <w:r>
        <w:t>IV. INITIATION OF THE PROCEDURE AND INVESTIGATIVE ACTIVITY</w:t>
      </w:r>
    </w:p>
    <w:p>
      <w:r>
        <w:t>11. Following the notification of the concentration, the Authority, on July 12, 2022, initiated an investigation pursuant to Article 16, paragraph 4, of Law No. 287/1990, against Enel Produzione and ERG Power9, believing that the Operation could lead to the creation or strengthening of a dominant position, such as to eliminate or substantially and durably reduce competition, in the following relevant markets10: (i) production and wholesale supply of electricity in Sicily; (ii) provision of dispatching services in Sicily. At the initiation of the procedure, the possibility of identifying a third relevant market for the operation in question was also envisaged, namely that related to the auctions organized by the transmission system operator Terna S.p.A. (hereinafter also “Terna” or “TSO”) in order to contract existing and new capacity with the aim of having adequate power to cover the expected demand, so-called capacity market (see below).</w:t>
      </w:r>
    </w:p>
    <w:p>
      <w:r>
        <w:t>12. Even before the initiation of the investigation, a request for information had been sent to Terna11. The TSO, on July 11, 2022, provided feedback12.</w:t>
      </w:r>
    </w:p>
    <w:p>
      <w:r>
        <w:t>13. During the investigative procedure, Enel Produzione, A2A S.p.A. (owner of the fuel oil generation plant in San Filippo del Mela, active in the Sicilian area, as well as a leading operator in the national electricity market), the regulatory authority ARERA (which subsequently provided additional information requested by the Authority during the hearing on August 19, 2022), and Terna (in order to provide clarifications and additional information) were also heard in a hearing.</w:t>
      </w:r>
    </w:p>
    <w:p>
      <w:r>
        <w:t>8 In particular, the Commission in its decision assessed that “the impact of the Operation on competitive structures could be significant, due to the high market shares of the parties” and that “the distinct markets for production and wholesale sale, retail sale of electricity, and dispatching services have a maximum national dimension, and the Operation will have no impact outside the Italian territory,” consequently considering that both requirements of Article 4, paragraph 4, of Regulation No. 139/04 for the referral of a case to the national authority are satisfied. Furthermore, the Commission also noted that “Given the characteristics of the relevant markets (…) the AGCM is the most suitable authority to examine the Operation, as it has adequate tools to assess the individual aspects of a concentration of such significance. This is also because the AGCM has recently examined other acquisition operations related to energy production plants and has developed recent decision-making practice regarding these relevant markets.”</w:t>
      </w:r>
    </w:p>
    <w:p>
      <w:r>
        <w:t>9 See docs. 7 and 8.</w:t>
      </w:r>
    </w:p>
    <w:p>
      <w:r>
        <w:t>10 As is known, Article 32, paragraph 1, letter a) of Law No. 118 of August 5, 2022 (Annual Law for the Market and Competition 2021) amended the assessment test for concentration operations provided for in Article 6 of Law No. 287/90, thus aligning national legislation with the European provisions set out in Article 2 of Regulation No. 139/2004. In particular, the original dominance test provided for by national antitrust law has been replaced by the broader test of significant impediment to effective competition (SIEC – Substantive impediment of effective competition). Law No. 118/2022 was published in the Official Gazette No. 188 on August 12; therefore, its provisions came into force on August 27, that is, 15 days after publication in the Official Gazette, as provided for by Article 73 of the Constitution. Therefore, since August 27, 2022, the SIEC test constitutes the test to be applied for assessing the competitive effects of concentration operations in the national antitrust system. In the case at hand, however, having initiated the case based on the old text of Article 6, it is deemed necessary to proceed to its closure applying the dominance test.</w:t>
      </w:r>
    </w:p>
    <w:p>
      <w:r>
        <w:t>11 See doc. 1.</w:t>
      </w:r>
    </w:p>
    <w:p>
      <w:r>
        <w:t>12 See doc. 6.</w:t>
      </w:r>
    </w:p>
    <w:p>
      <w:r>
        <w:rPr>
          <w:b/>
        </w:rPr>
        <w:t>[Pages 7–9]</w:t>
      </w:r>
    </w:p>
    <w:p>
      <w:r>
        <w:t>BULLETIN NO. 36 OF 10 OCTOBER 2022 9</w:t>
      </w:r>
    </w:p>
    <w:p>
      <w:r>
        <w:t>clarifications on some elements that emerged during the described investigative activity)13. Enel Produzione and ERG Power exercised their right of access to documents14.</w:t>
      </w:r>
    </w:p>
    <w:p>
      <w:r>
        <w:t>14. On 27 July 2022, in order to acquire useful elements for the evaluation of the Operation, a request for information was sent to Enel Produzione. Following this request, the company requested a 30-day extension of the deadline granted by the Authority to respond to the aforementioned request. As a result, on 4 August 2022, the Authority decided, pursuant to Article 16, paragraph 8, of Law No. 287/1990, to extend the deadline of the procedure, originally set for 26 August 2022, until 25 September 2022. Enel Produzione responded to the request for information on 30 August 2022.</w:t>
      </w:r>
    </w:p>
    <w:p>
      <w:r>
        <w:t>15. On 9 September 2022, the Parties received the Communication of Investigative Findings15. The Parties did not submit defensive briefs and did not request to be heard in the final hearing before the Authority.</w:t>
      </w:r>
    </w:p>
    <w:p>
      <w:r>
        <w:t>V. EVALUATION OF THE CONCENTRATION</w:t>
      </w:r>
    </w:p>
    <w:p>
      <w:r>
        <w:t>16. While also involving the markets for the retail sale of electricity to non-domestic customers connected at medium and high voltage and energy efficiency certificates (so-called "TEE"), at the start of the procedure, the Authority deemed that the notified operation was likely to raise competitive issues solely in the market for the production and wholesale supply of electricity within the macrozone of Sicily and in the market – also related, at most, to the macrozone of Sicily – for the provision of dispatching services. Also at the start, the Authority stated that it intended to carry out checks during the investigation phase to determine whether the auctions for the contracting of capacity, both new and existing (so-called capacity market) conducted by Terna, identified a relevant market under the competition protection regulations and, secondly, what the assessment of the effects of the Operation would be with respect to that market, if applicable. In light of the above, the Operation is evaluated with reference to the three markets identified at the start16.</w:t>
      </w:r>
    </w:p>
    <w:p>
      <w:r>
        <w:t>V.a. Relevant markets</w:t>
      </w:r>
    </w:p>
    <w:p>
      <w:r>
        <w:t>The market for the production and wholesale supply of electricity</w:t>
      </w:r>
    </w:p>
    <w:p>
      <w:r>
        <w:t>17. Based on a consolidated definition, the market for the production and wholesale sale of electricity includes forward and spot transactions concluded through the platforms organized by GME (Gestore del Mercato Elettrico) and wholesale energy transactions via bilateral contracts (OTC, over the counter). As for the transactions carried out through the platforms organized by GME, they include exchanges on the so-called "day-ahead market" ("MGP", where rights/commitments to withdraw/inject electricity for the following day are traded) and exchanges conducted on the so-called "intraday market" ("MI", which provides for additional bidding sessions immediately following those on MGP to allow operators to make adjustments to the programs defined in MGP)17.</w:t>
      </w:r>
    </w:p>
    <w:p>
      <w:r>
        <w:t>18. In its consolidated practice, the Authority does not make any distinction within this relevant market based on the source of the produced energy (traditional, renewable, etc.) or the methods of production or supply18.</w:t>
      </w:r>
    </w:p>
    <w:p>
      <w:r>
        <w:t>19. As for the geographical dimension of the market, it has always been defined as sub-national, due to the macro-network constraints that, under certain circumstances – and particularly in cases where the demand for energy exceeds the transmission constraints allowed by the transmission network – can lead to the separation (splitting) of the market into different (macro) zones, characterized by different equilibrium prices on MGP.</w:t>
      </w:r>
    </w:p>
    <w:p>
      <w:r>
        <w:t>20. In particular, the presence of such transmission network constraints has recently led the Authority to identify four "macro-zones" constituting distinct geographical markets related to the wholesale supply of electricity19: the North macro-zone, the South macro-zone, the Sicily macro-zone, and the Sardinia macro-zone. With specific reference to the subject of the operation in question, and although the intensity of market splitting phenomena has tended to decrease in recent years – also following interventions to strengthen the transmission network – there remain non-negligible cases of market splitting in many hours of the year between the South macro-zone and the Sicily macro-zone.</w:t>
      </w:r>
    </w:p>
    <w:p>
      <w:r>
        <w:t>21. In fact, even in 2020, the so-called "separation hours" between Sicily and Calabria, that is, the hours in which, due to exceeding the transit limits, a price discrepancy occurred between zones, amounted to about [30-35%] of the total20.</w:t>
      </w:r>
    </w:p>
    <w:p>
      <w:r>
        <w:t>22. The Parties to the procedure themselves, in the form they used to notify the Operation, admit this phenomenon of zonal separation of Sicily from the mainland and identify Sicily as a relevant market with respect to the wholesale supply of energy21.</w:t>
      </w:r>
    </w:p>
    <w:p>
      <w:r>
        <w:t>23. Therefore, in this case, due to the location of the acquired company, the Operation exerts its effects in the Sicilian market for the wholesale supply of electricity.</w:t>
      </w:r>
    </w:p>
    <w:p>
      <w:r>
        <w:t>17 The MGP and MI are organized markets in the form of a non-discriminatory auction, in which bidding operators are remunerated at the system marginal price. More specifically, this mechanism provides that GME, upon receiving purchase and sale offers for a given hour of day "t", constructs an hourly aggregate supply curve and an hourly aggregate demand curve by ordering the sale and purchase offers based on economic merit (i.e., the expressed sale and purchase price), identifying the market equilibrium at the intersection point of these curves. The hourly equilibrium price thus identified (so-called marginal price) applies to all transactions that take place in that specific hour. The algorithm for resolving the day-ahead market takes into account the existing maximum transit limits between market zones so that, if the transactions that occur in a given hour exceed these transit limits, the market separates into zones (so-called market splitting) and defines demand and supply curves – and hourly prices – of a "zonal" nature.</w:t>
      </w:r>
    </w:p>
    <w:p>
      <w:r>
        <w:t>18 See, for example, C12405 – ENEL PRODUZIONE/ERG HYDRO, Provision No. 29870 of 29 October 2021, in Bulletin No. 45/2021.</w:t>
      </w:r>
    </w:p>
    <w:p>
      <w:r>
        <w:t>19 See provision No. 28498/2020 of non-initiation of the investigation of concentration C12339 - Linea Group Holding/Agripower, in Bulletin No. 2/2021.</w:t>
      </w:r>
    </w:p>
    <w:p>
      <w:r>
        <w:t>20 In over [30-35%] of the hours, moreover, the difference between zonal prices exceeded 5%, see doc. 31.</w:t>
      </w:r>
    </w:p>
    <w:p>
      <w:r>
        <w:t>21 Enel indeed states, in the notification form of the Operation, that there remain "non-negligible cases of market splitting between the South macro-zone and the Sicily macro-zone," concluding that the market in question should be identified as the "market for the production and wholesale sale of electricity in the Sicily macro-zone."</w:t>
      </w:r>
    </w:p>
    <w:p>
      <w:r>
        <w:t>BULLETIN NO. 36 OF 10 OCTOBER 2022 11</w:t>
      </w:r>
    </w:p>
    <w:p>
      <w:r>
        <w:t>The market for electricity dispatching services</w:t>
      </w:r>
    </w:p>
    <w:p>
      <w:r>
        <w:t>24. The so-called dispatching services market ("MSD") is where the national electricity grid operator Terna operates from the demand side in order to: i) acquire from electricity generators the resources necessary to resolve network congestions within each zone where the market has separated as a result of MGP and MI; ii) establish adequate reserve capacity margins; iii) regulate the voltage on the grid in order to ensure the safe dispatching of the energy injected into the system22.</w:t>
      </w:r>
    </w:p>
    <w:p>
      <w:r>
        <w:t>25. More specifically, in the dispatching services market, electricity operators can submit both "upward" offers, which indicate the price at which they are willing to sell more energy than that scheduled as a result of MGP and MI, and "downward" offers, which indicate the price at which they are willing to reduce production compared to that scheduled from MGP and MI (effectively offering a price at which they are figuratively willing to purchase part of their produced energy). Terna therefore effectively buys (in the case of upward offers) and sells (in the case of downward offers) energy on MSD23.</w:t>
      </w:r>
    </w:p>
    <w:p>
      <w:r>
        <w:t>26. The dispatching services market in Italy is structured, in more detail, into two programming phases:</w:t>
        <w:br/>
        <w:t>- an ex-ante phase (so-called "MSD ex-ante") that occurs the day before transactions immediately after the MGP and MI sessions; the MSD ex-ante is, in turn, divided into 6 sessions, in which Terna procures the resources necessary to establish secondary and tertiary reserve margins24, to resolve local congestions, and to maintain voltage regulation on the grid in order to ensure the safe dispatching of the energy injected into the system;</w:t>
        <w:br/>
        <w:t>- a Real-Time Balancing phase ("MB") that occurs on the same day as the transactions; MB is also divided into 6 sessions, in which Terna uses in real-time the resources procured in the ex-ante phase, distinguished into:</w:t>
        <w:br/>
        <w:t>- Secondary Regulation ("RS");</w:t>
        <w:br/>
        <w:t>- Other Services ("AS", which includes the quantities accepted for tertiary regulation, balancing, congestion resolution, and maintenance of voltages).</w:t>
      </w:r>
    </w:p>
    <w:p>
      <w:r>
        <w:t>22 In other words, dispatching allows for the compensation of imbalances between the scheduled and actual energy injections and withdrawals, ensuring the stability and safety of the electrical system (thus avoiding, for example, that such imbalances alter the voltage and frequency conditions of the grid).</w:t>
      </w:r>
    </w:p>
    <w:p>
      <w:r>
        <w:t>23 Unlike energy markets, also due to the nature of the services (aimed at balancing the system in real-time), which would complicate the construction of demand and supply and the subsequent application of a uniform price, in the MSD the remuneration of offers occurs at the formulated price (pay as bid), that is, based on the mechanism of the so-called discriminatory auction.</w:t>
      </w:r>
    </w:p>
    <w:p>
      <w:r>
        <w:t>24 The objective of the secondary reserve is to bring the frequency level of energy on the grid back to its predetermined value. It therefore consists of the availability, on the part of the TSO, of a certain band of "secondary regulation" power that can be used within a certain number of seconds. The objective of the tertiary reserve is to support the secondary reserve and allow for the reconstitution of its reserve margins. The tertiary regulation band has slower activation times than that of secondary regulation and can also be usable within an hour.</w:t>
      </w:r>
    </w:p>
    <w:p>
      <w:r>
        <w:rPr>
          <w:b/>
        </w:rPr>
        <w:t>[Pages 10–12]</w:t>
      </w:r>
    </w:p>
    <w:p>
      <w:r>
        <w:t>BULLETIN NO. 36 OF 10 OCTOBER 2022</w:t>
      </w:r>
    </w:p>
    <w:p>
      <w:r>
        <w:t>27. In the dispatching services market, only Production Units (UP) that, pursuant to the so-called Network Code25, meet a series of flexibility requirements and characteristics (for example, the ability to modulate production throughout the day)26 are authorized to participate.</w:t>
      </w:r>
    </w:p>
    <w:p>
      <w:r>
        <w:t>28. In evaluating this market, the Authority, in its practice, has considered the possibility of defining it either as a single market or as distinct markets, without reaching a conclusive determination on the matter thus far27.</w:t>
      </w:r>
    </w:p>
    <w:p>
      <w:r>
        <w:t>29. A significant element, which also emerged during the investigation phase, that argues in favor of defining the MSD as a single market is that neither in the offers submitted by operators nor in the offers accepted by Terna on the same, is there an indication of the specific service for which the selection of the offer took place (congestion resolutions, voltage regulation, etc.).</w:t>
      </w:r>
    </w:p>
    <w:p>
      <w:r>
        <w:t>30. During the hearing on July 21, 2022, with Enel Produzione, the company was asked whether it – and more generally an electricity generation operator – in its capacity as an offeror in the dispatching market, is aware of what the individual services requested by Terna to which its offers (upward and downward) refer, or whether it can formulate reliable expectations in this regard. Enel Produzione responded that normally this information is not known. An operator can at most make its own assessments about the contingent situation that occurs on the grid at a given moment and that makes it necessary for Terna to procure certain services, but these would be mere conjectures. This is also considering the fact that only Terna knows the configuration it intends to give to the grid it manages, while the operator cannot even know the network conditions that Terna intends to achieve28.</w:t>
      </w:r>
    </w:p>
    <w:p>
      <w:r>
        <w:t>31. In Enel Produzione's response on August 30 to the Authority's request for information, the company then specified that, [omitted]29.</w:t>
      </w:r>
    </w:p>
    <w:p>
      <w:r>
        <w:t>32. Also with reference to the need to identify the correct definition of the dispatching services market, in the form with which it notified the Operation to the Authority, Enel referred to the possibility that there are "local competitive dynamics" that would concern the thermoelectric plants located in Southeastern Sicily (the Enel plant in Priolo, the Isab plant, and the ERG Power plant subject to acquisition), in the provision of the services necessary for managing congestion and voltage regulation for which, as far as Enel is aware, no local network development interventions are even planned.</w:t>
      </w:r>
    </w:p>
    <w:p>
      <w:r>
        <w:t>25 The Network Code, applied by Terna since November 1, 2005, was prepared in accordance with the provisions of the D.P.C.M. of May 11, 2004 and based on the directives of the then Authority for Electricity and Gas (now ARERA), as per resolution no. 250/04 and is subject to a continuous updating process according to the procedures provided for in the same document.</w:t>
      </w:r>
    </w:p>
    <w:p>
      <w:r>
        <w:t>26 Although a reform project for the dispatching services market is underway aimed, among other things, at opening it up to innovative resources that will expand the resources available to the TSO for network management (e.g., energy storage, small distributed generation, demand aggregations), such innovations are still in a experimental phase (see Annex A of the resolution of January 13, 2022, 2/2022/A, Strategic framework 2022-2025 of ARERA).</w:t>
      </w:r>
    </w:p>
    <w:p>
      <w:r>
        <w:t>27 See, by way of example, C12018 - A2A TRADING/BRANCH OF SORGENIA POWER, Provision no. 25798 of December 22, 2015, in Bulletin no. 49/2015, and C12405 – ENEL PRODUZIONE/ERG HYDRO, cited. The European Commission in its assessment cases of concentration operations among electricity operators has also left open the question of whether the MSD is a single market or whether the markets related to the different types of resources and/or ancillary services purchased by the network manager should be distinguished.</w:t>
      </w:r>
    </w:p>
    <w:p>
      <w:r>
        <w:t>28 See doc. 20.</w:t>
      </w:r>
    </w:p>
    <w:p>
      <w:r>
        <w:t>29 See doc. 30.</w:t>
      </w:r>
    </w:p>
    <w:p>
      <w:r>
        <w:t>BULLETIN NO. 36 OF 10 OCTOBER 2022</w:t>
      </w:r>
    </w:p>
    <w:p>
      <w:r>
        <w:t>33. In this regard, ARERA, during the hearing, stated (subsequently providing documentary evidence) that, based on its internal analyses, based on data from Terna up to February 2022, there appeared to be an implicit network constraint of (reactive power for) voltage regulation - in the area in question (which would thus take on the nature of a so-called cluster, currently including the plants of four subjects - ENEL, ERG, A2A with San Filippo del Mela and ISAB with the plant connected to the refinery). ARERA specified that this was, in particular, a constraint in the eastern area of the Island for which at least one UP of the above plants must be operational as a result of MSD, adding that, however, the TSO Terna has a better understanding of the evolution of the situation, for example, in relation to any interventions capable of improving or resolving critical situations related to that area.</w:t>
      </w:r>
    </w:p>
    <w:p>
      <w:r>
        <w:t>34. Terna, already in its response of July 11, 2022, to the request for information from the Directorate, did not identify, among the main critical issues of the Sicilian electricity system, the presence of a nodal constraint in the southeastern area of the island for voltage regulation as instead hypothesized by Enel and ARERA.</w:t>
      </w:r>
    </w:p>
    <w:p>
      <w:r>
        <w:t>35. In response to the request for clarification regarding the discrepancy with the assessments of Enel and ARERA, Terna during the hearing on September 2, clarified that the critical issues highlighted by those subjects have actually been overcome due to an evolution in the methods of managing the grid. In particular, the TSO stated that it has recently initiated a revision of the active management methods of the transmission grid, which has allowed it to resolve numerous critical issues including, precisely, the existence of a network constraint for voltage regulation in Southeastern Sicily30.</w:t>
      </w:r>
    </w:p>
    <w:p>
      <w:r>
        <w:t>36. In light of the above, with reference to the identification of the exact commodity dimension of the MSD, it is possible to conclude that the evidence collected during the investigation supports the unified consideration of the various services that make up the MSD ex-ante. However, the statements made by Enel Produzione to formulate distinct offers on MB for secondary regulation and other services could render a segmentation within the MB conceivable. However, it is believed that it is not necessary, in this case, to verify this hypothesis, as any segmentation in this sense would not change the assessment of the present operation (see infra).</w:t>
      </w:r>
    </w:p>
    <w:p>
      <w:r>
        <w:t>37. As for the geographical dimension of the MSD market, it can be concluded that, due to Terna's statements indicating, starting from the first half of 2022, the resolution of the pre-existing local critical issues in the grid that characterized the area where the plant subject to acquisition is located, and in analogy to the wholesale electricity market, it has a geographical extension corresponding to that of the entire macro-zone of Sicily.</w:t>
      </w:r>
    </w:p>
    <w:p>
      <w:r>
        <w:t>The capacity market</w:t>
      </w:r>
    </w:p>
    <w:p>
      <w:r>
        <w:t>38. The so-called capacity market is a tool designed to ensure the adequacy of the electricity system and the achievement of the decarbonization targets defined by the PNIEC31. The relevant regulation is primarily based on ARERA Resolution ARG/ELT/98/11, the Decree of the Ministry of Economic Development of June 28, 2019, and the Decree of the Ministry of Ecological Transition of October 28, 2021.</w:t>
      </w:r>
    </w:p>
    <w:p>
      <w:r>
        <w:t>39. In detail, the capacity market is a mechanism through which the network manager Terna contracts production capacity, both existing and newly created, through long-term procurement contracts awarded through competitive auctions. To date, three auctions have been held by Terna, one related to contracting for 2022, one for 2023, and one for 2024; operators holding production units (programmable and non-programmable) that offer both existing capacity (on an annual basis) and new capacity (on a fifteen-year basis)32 can participate in the auctions.</w:t>
      </w:r>
    </w:p>
    <w:p>
      <w:r>
        <w:t>40. With reference to the capacity selected as a result of the auction, the winning parties have, for the entire delivery period:</w:t>
        <w:br/>
        <w:t>- the right to receive from Terna a fixed annual premium expressed in euro/MWh/year (the value of which is defined in the tender within a maximum)33;</w:t>
        <w:br/>
        <w:t>- the obligation to offer the contracted capacity (available capacity in probability, so-called CDP) on the energy and services markets34;</w:t>
        <w:br/>
        <w:t>- the obligation to return to Terna – with reference to the contracted capacity - the positive difference between the price of electricity realized on the energy and services markets and a exercise price defined by ARERA (so-called "strike price")35.</w:t>
      </w:r>
    </w:p>
    <w:p>
      <w:r>
        <w:t>41. The strike price (or exercise price) is measured on the operating costs of a so-called peak plant (i.e., one that is admitted to production only during peak demand moments) or the fixed and variable costs of an open cycle gas turbine plant36. It is therefore a price that is quite high compared to the prices normally prevailing in the energy markets and widely exceeds the marginal cost of thermoelectric plants that normally form the marginal price in the MGP and MI (notably gas combined cycles, see infra).</w:t>
      </w:r>
    </w:p>
    <w:p>
      <w:r>
        <w:t>32 Auctions can also be participated in by demand-response units and foreign resources with specific obligations and rights. The regulation of the remuneration system for production capacity also provides for the presence of adjustment auctions with a delivery period of one year and secondary market negotiation sessions with a delivery period of one month. These mechanisms allow operators to reshape their position regarding the multi-year contractual obligations undertaken towards Terna as a result of the so-called "mother auction." The net efficient power of the units qualified by the operator for the auction is then reduced through the use of specific "de-rating" coefficients associated with the type of technology of the unit, which take into account the factors that, for each technology, could reduce the capacity actually offered by the unit. In this way, Terna obtains a quantification of the "probability capacity" (CDP), that is, the maximum capacity that can be offered on the market.</w:t>
      </w:r>
    </w:p>
    <w:p>
      <w:r>
        <w:t>33 The maximum premium payable for existing production capacity is equal to €33,000/MW/year, for new capacity €75,000/MW/year.</w:t>
      </w:r>
    </w:p>
    <w:p>
      <w:r>
        <w:t>34 More specifically, the availability obligation must be respected, with certain percentages (75% of the hours of the month) and net of scheduled maintenance activities and any network constraints, for each delivery hour and for each market hour with the units qualified by the operator before participating in the auction. Compliance with the obligation is verified on a monthly basis and any repeated non-compliance results in economic penalties such as the loss of the fees due to the operator.</w:t>
      </w:r>
    </w:p>
    <w:p>
      <w:r>
        <w:t>35 In the event that the operator has not offered the capacity, or that its offer related to it has been rejected and the market price has exceeded the strike price, the operator's variable monetary obligation towards Terna ("payback obligation") consists, instead of a return, in a penalty. Precisely to make this type of payback obligation possible, the rules of the capacity market provide that the operator nominates at the end of the month the units subject to the capacity mechanism but with the obligation to prioritize the units that have submitted quantities accepted as a result of the markets.</w:t>
      </w:r>
    </w:p>
    <w:p>
      <w:r>
        <w:t>36 See doc. 24.</w:t>
      </w:r>
    </w:p>
    <w:p>
      <w:r>
        <w:rPr>
          <w:b/>
        </w:rPr>
        <w:t>[Pages 13–15]</w:t>
      </w:r>
    </w:p>
    <w:p>
      <w:r>
        <w:t>BULLETIN NO. 36 OF 10 OCTOBER 2022 15</w:t>
      </w:r>
    </w:p>
    <w:p>
      <w:r>
        <w:t>42. In fact, therefore, the so-called capacity market mechanism functions as a call option available to the TSO Terna, which can, if necessary, access capacity adequate to the demand at a price equal to that which would be paid to activate a peak plant. The operator admitted to the capacity market receives the fixed premium resulting from the auctions and the market price (with the obligation to pay Terna any positive differences between the market price and the strike price, so-called variable compensation). Thus, compared to the traditional functioning of energy markets, the capacity market introduces an additional complexity in that the contracted operator enjoys an additional source of income – the annual fixed premium for the committed MW – a circumstance that may alter the pricing strategies of operators on MGP, MI, and MSD.</w:t>
      </w:r>
    </w:p>
    <w:p>
      <w:r>
        <w:t>43. The Italian capacity market mechanism has been notified to the European Commission pursuant to state aid regulations and has been recognized as a temporarily authorized state aid for ten years (until 31 December 2028) with the Commission Decision C(2018) 617 of 7 February 2018.</w:t>
      </w:r>
    </w:p>
    <w:p>
      <w:r>
        <w:t>44. As mentioned, to date, Terna has conducted the auctions for the delivery periods 2022, 2023, and 2024. With reference to the plants located in the Sicily area, of interest in the current proceeding, approximately 1.9 GW of existing capacity and 53 MW of new capacity were assigned as a result of the 2022 auction, approximately 1.8 GW of existing capacity and 342 MW of new capacity as a result of the 2023 auction, and approximately 1.8 GW of existing capacity and 8 MW of new capacity as a result of the 2024 auction37. In the 2022 and 2023 auctions, all offered capacity, both existing and new, was selected, and the recognized premium was equal to the cap of 33,000 and 75,000 euros/MW/year, respectively; in the 2024 auction, however, the new capacity offered was accepted at a premium lower than the cap, amounting to 33,467 €/MW/year38. Terna stated that the fact that, in most cases, the premium paid was equal to the cap was due to the scarcity of supply compared to the demanded capacity.</w:t>
      </w:r>
    </w:p>
    <w:p>
      <w:r>
        <w:t>45. As for the geographical dimension that could hypothetically be attributed to a potential relevant market of the capacity market, it would depend on the operators' ability to participate in the auctions in relation to the transmission capacity demand between market areas expressed by Terna, for which it would be subject to the same considerations valid for energy markets. In this specific case, therefore, due to the aforementioned transit limits, it could be considered coincident with the macro-area of Sicily.</w:t>
      </w:r>
    </w:p>
    <w:p>
      <w:r>
        <w:t>46. As already highlighted at the start of the investigation, based on the information provided in the form, both Parties are found to be recipients of a large part of the available production capacity in probability (“CDP”), both existing and new, assigned by Terna in Sicily in the auctions already held for the delivery years 2022, 2023, and 2024. In particular, the Parties are jointly recipients of over 85% of the existing capacity acquired by Terna in Sicily with the auctions for the years 2022 and 202339 and even 97% of that assigned in Sicily with the auctions for 202440. The capacity contracted by the Parties within the capacity market amounts, in all three years, to a share between 40% and 50% of their total capacity in Sicily.</w:t>
      </w:r>
    </w:p>
    <w:p>
      <w:r>
        <w:t>47. Although the capacity market is a mechanism currently in force – and in effect at least until 2024 – the related auctions have already been conducted. The possibility of defining at this time the existence of a relevant market for any future auctions organized by Terna for the contracting of capacity (new and existing) through the capacity market mechanism thus appears linked to the eventuality that new auctions for the years 2025, 2026, 2027, and 2028 (the last year of validity of the community authorization of the mechanism) will be organized in the future.</w:t>
      </w:r>
    </w:p>
    <w:p>
      <w:r>
        <w:t>48. Enel Produzione, in its response of 30 August 2022, while noting in Terna's Adequacy Report for 2021 a concern from the TSO regarding the risk of not covering demand in the Sicilian area in the coming years, stated that it does not have specific informational elements regarding the possibility that future procedures in this regard may be foreseen41. Similarly, representatives of A2A, during the hearing on 29 July 2022, stated that a debate is ongoing at the level of the responsible parties (sector regulator, Terna, competent Ministry) at least for the potential 2025 auctions, but that, as far as known to the operators, the outcome is still uncertain and a definitive decision will be made based on an adequacy analysis of the system as a whole42.</w:t>
      </w:r>
    </w:p>
    <w:p>
      <w:r>
        <w:t>49. Representatives of the sector regulator ARERA during the hearing stated that, although there are currently no expressed forecasts, it is nonetheless reasonable to imagine that the mechanism will be repeated at least within the derogation period granted by the Commission, as it is nonetheless conceived as an annual mechanism (at least concerning existing capacity, while, as already mentioned, for new capacity a multi-year contracting has been introduced from the outset). This is despite the fact that the same representatives of ARERA noted that this tool "cannot be considered structural"43.</w:t>
      </w:r>
    </w:p>
    <w:p>
      <w:r>
        <w:t>50. Finally, the TSO Terna stated, regarding the future prospects of the capacity market, that the Ministerial Decree MiTE of 28 October 2021 defines that following the auction with a delivery period of 2024, evaluations must be made on the adequacy status of the national electricity system, based on which it will be determined whether to proceed with the conduct of auctions for the years following 2024. The evaluation on the necessity of conducting further auctions has not yet been completed44.</w:t>
      </w:r>
    </w:p>
    <w:p>
      <w:r>
        <w:t>51. The elements collected during the investigation do not therefore allow for a conclusion with sufficient certainty regarding the possibility that new auctions for the contracting of capacity for 2025, 2026, 2027, and 2028 will take place. In this situation, it seems reasonable not to consider the market for future auctions for the capacity market as relevant for the purposes of this assessment.</w:t>
      </w:r>
    </w:p>
    <w:p>
      <w:r>
        <w:t>52. However, the validity of the capacity market mechanism at least until 2024, regarding the capacity assigned in the three auctions already conducted, requires taking into account any interactions between this mechanism and the wholesale energy markets and dispatching services, particularly with reference to the possibility that the system of constraints and payoffs that operators have acquired by binding themselves in the capacity market may influence the incentives of the same operators in the aforementioned markets. Therefore, the assessment of this operation in the energy and services markets will be carried out taking into account the functioning of this capacity market mechanism as well (see below).</w:t>
      </w:r>
    </w:p>
    <w:p>
      <w:r>
        <w:t>V.b. The structure of the electricity sector in Sicily and future developments of the grid</w:t>
      </w:r>
    </w:p>
    <w:p>
      <w:r>
        <w:t>53. The Sicilian thermoelectric park consists of a total of 12 plants owned by 8 operators, with a total capacity of approximately 4,530 MW (see the following table), including three plants of Enel Produzione, totaling [1,500–3,000] MW; there are also numerous hydroelectric, pumping, and non-programmable renewable source plants (wind and solar)45.</w:t>
      </w:r>
    </w:p>
    <w:p>
      <w:r>
        <w:t>Table 1: Installed thermal power in Sicily</w:t>
        <w:br/>
        <w:t>Operator Name Plant Max Power (MW)</w:t>
        <w:br/>
        <w:t>A2A San Filippo del Mela [500-1,000]</w:t>
        <w:br/>
        <w:t>Edison Milazzo [0-500]</w:t>
        <w:br/>
        <w:t>Enel Produzione Porto Empedocle [0-500]</w:t>
        <w:br/>
        <w:t>Enel Produzione Priolo [500-1,000]</w:t>
        <w:br/>
        <w:t>Enel Produzione Termini Imerese [1,000-1,500]</w:t>
        <w:br/>
        <w:t>EP Produzione Trapani [0-500]</w:t>
        <w:br/>
        <w:t>Engie Italia GTG101/GTG501 [0-500]</w:t>
        <w:br/>
        <w:t>Erg Power Nuce Nord (Priolo) [0-500]</w:t>
        <w:br/>
        <w:t>Fri El trading Enna [0-500]</w:t>
        <w:br/>
        <w:t>ISAB SRL3 IMPSUD [0-500]</w:t>
        <w:br/>
        <w:t>ISAB ISAB Energy [500-1,000]</w:t>
        <w:br/>
        <w:t>SASOL Augusta [0-500]</w:t>
        <w:br/>
        <w:t>Total [4,500-5,000]</w:t>
        <w:br/>
        <w:t>Source: Terna, doc. 6</w:t>
      </w:r>
    </w:p>
    <w:p>
      <w:r>
        <w:t>54. Currently, Sicily is connected to the mainland via the 400 kV "Sorgente – Rizziconi" power line and the double circuit 380 kV "Scilla-Villafranca." The import exchange limit towards the island can reach a value of 1,500 MW. Despite these connections with the mainland, Sicily,45 In particular, the installed power attributable to renewable plants (hydroelectric, wind, and photovoltaic) in Sicily is approximately 4,000 MW (see the Environmental Energy Plan of the Sicilian Region, year 2021, p. 212 https://www.regione.sicilia.it/sites/default/files/2022-04/RA%20completo_22.pdf).</w:t>
      </w:r>
    </w:p>
    <w:p>
      <w:r>
        <w:rPr>
          <w:b/>
        </w:rPr>
        <w:t>[Pages 16–18]</w:t>
      </w:r>
    </w:p>
    <w:p>
      <w:r>
        <w:t>60% in ogni caso).</w:t>
      </w:r>
    </w:p>
    <w:p>
      <w:r>
        <w:t>66. In sintesi, l’Operazione comporta un rafforzamento della posizione di Enel nel mercato dei servizi di dispacciamento dell’energia elettrica, con un incremento significativo delle quote di mercato in tutte le configurazioni analizzate.</w:t>
      </w:r>
    </w:p>
    <w:p>
      <w:r>
        <w:t>67. È importante notare che, nonostante l’aumento delle quote di mercato, la concorrenza nel mercato dei servizi di dispacciamento rimane attiva, con la presenza di altri operatori che contribuiscono a mantenere un livello di competitività.</w:t>
      </w:r>
    </w:p>
    <w:p>
      <w:r>
        <w:t>68. In conclusione, l’Operazione non solo consolida la posizione di Enel nel mercato siciliano, ma potrebbe anche avere implicazioni positive per la concorrenza e l’efficienza del mercato dei servizi di dispacciamento, a condizione che vengano mantenuti adeguati livelli di interconnessione e che gli investimenti previsti vengano realizzati nei tempi stabiliti.</w:t>
      </w:r>
    </w:p>
    <w:p>
      <w:r>
        <w:rPr>
          <w:b/>
        </w:rPr>
        <w:t>[Pages 19–21]</w:t>
      </w:r>
    </w:p>
    <w:p>
      <w:r>
        <w:t>BULLETIN NO. 36 OF 10 OCTOBER 2022 21</w:t>
      </w:r>
    </w:p>
    <w:p>
      <w:r>
        <w:t>55%, however, in this segment, the contribution of the acquired company is particularly significant53.</w:t>
      </w:r>
    </w:p>
    <w:p>
      <w:r>
        <w:t>66. As can be seen, therefore, the concentration under examination results in significant horizontal overlaps both considering a single market for dispatching services and in the case where a segmentation between ex-ante MSD and MB is identified, and within the latter, between secondary reserve and other services.</w:t>
      </w:r>
    </w:p>
    <w:p>
      <w:r>
        <w:t>67. The main competitors of the Parties in the dispatching services market in the macro-zone of Sicily are A2A (28% in MSD+MB, 33% in ex-ante MSD alone, and 14% in MB alone), EP Produzione S.p.A. (4% in MSD+MB, 3% in ex-ante MSD alone, and 8% in MB alone), and Isab (approximately 2% in all configurations).</w:t>
      </w:r>
    </w:p>
    <w:p>
      <w:r>
        <w:t>The characteristics of the plant subject to acquisition</w:t>
      </w:r>
    </w:p>
    <w:p>
      <w:r>
        <w:t>68. The ERG Power plant subject to acquisition (Nuce Nord) employs a so-called "combined cycle gas" technology, characterized by high fixed costs but a relatively low marginal cost – significantly lower than that of other types of thermal power plants, such as open cycle "turbogas" plants. In fact, thanks to the subsequent steam cycle – obtained from the thermal energy still contained in the exhaust gases remaining from the first production cycle – combined cycle technology is characterized by a lower marginal production cost (or the possibility, as in this case, of using the steam for other types of users, thus producing a marginal benefit elsewhere that offsets the marginal production cost). The low marginal cost of this type of plant means that, if managed competitively, they have a clear incentive to produce relatively high volumes of energy and generally submit offers at low prices in energy markets.</w:t>
      </w:r>
    </w:p>
    <w:p>
      <w:r>
        <w:t>69. In fact, due to the non-discriminatory auction mechanism that characterizes the wholesale energy market – whereby remuneration occurs for all at the price that balances supply and demand – an operator can obtain remuneration capable of covering its fixed costs and ensuring a return even by submitting offers equal to its marginal cost (so-called "inframarginal rent", see figure 1). In this sense, this type of plant, if managed competitively, tends to position itself on the "left" side of the supply curve, that is, to present a high degree of utilization of its production capacity (so-called base-load plants), to submit relatively low offers for this purpose, and thus to cause a "rightward" shift of the supply curve, which results in a reduction of the equilibrium price or SMP given by the intersection of hourly supply and hourly demand (see figure 2). In other words, these are plants with a significant pro-competitive potential.</w:t>
      </w:r>
    </w:p>
    <w:p>
      <w:r>
        <w:t>53 As already mentioned, the differentiation between the data of ex-ante MSD, MB-AS, and MB-RS is available to the Parties as operators have visibility of the acceptance of offers for such sequential segments of the overall dispatching services market, while information regarding the individual network service supplied is available only to Terna.</w:t>
      </w:r>
    </w:p>
    <w:p>
      <w:r>
        <w:t>BULLETIN NO. 36 OF 10 OCTOBER 2022 22</w:t>
      </w:r>
    </w:p>
    <w:p>
      <w:r>
        <w:t>Figure 1</w:t>
      </w:r>
    </w:p>
    <w:p>
      <w:r>
        <w:t>Figure 2</w:t>
      </w:r>
    </w:p>
    <w:p>
      <w:r>
        <w:t>BULLETIN NO. 36 OF 10 OCTOBER 2022 23</w:t>
      </w:r>
    </w:p>
    <w:p>
      <w:r>
        <w:t>70. These characteristics are fully confirmed regarding the ERG Power plant of Nuce Nord subject to this Operation. In fact, observing the information related to the market shares of the Parties, particularly in the wholesale energy market, a relatively different – and mirrored – weight between Enel and ERG in terms of installed capacity and energy produced is very evident. In particular, the ERG Power plant subject to acquisition is characterized by a very high production relative to its weight in terms of installed capacity. This element attests that the plant achieves proportionally greater production volumes than those of competing plants (and that therefore, plausibly, it operates for a considerable number of the 8,760 annual hours). It is therefore evident that the plant subject to acquisition is more efficient than average, which, precisely for this reason, can be offered at sufficiently low prices to ensure high acceptance rates in the energy market and very high operation. The main reason for this efficiency lies, in the case of this plant, in the ability to sell not only the energy but also the steam that the plant generates with its production process.</w:t>
      </w:r>
    </w:p>
    <w:p>
      <w:r>
        <w:t>71. When questioned on the matter, Enel Produzione stated in the hearing that "the peculiarity of this plant [of ERG Power] is linked to the cogenerative aspect, as it is connected to steam supplies (both to the ISAB refinery and to other industrial users in the area). This circumstance imposes operational constraints on the plant that lead to a propensity for greater continuity of production compared to other plants. The type of use that the Enel group would make of the plant will also depend on the trend of steam supply to the current users, particularly the Isab refinery"54.</w:t>
      </w:r>
    </w:p>
    <w:p>
      <w:r>
        <w:t>72. The data provided by the Parties regarding ERG Power's offers in the energy markets in the first six months of 2022 also confirm the competitive dynamism of the Nuce Nord plant. In the considered time frame, it made offers on MGP at price levels that, on average, were significantly lower than the market equilibrium prices. If, in fact, the average price at which sales related to the accepted offers of ERG Power occurred in the market was approximately [200-300] euros/MWh, the average prices offered by ERG Power to obtain such sales were less than half and equal to [100-150] euros/MWh. In almost half of the cases [40-50%], moreover, such offers were characterized by a bid price equal to zero.</w:t>
      </w:r>
    </w:p>
    <w:p>
      <w:r>
        <w:t>73. In other words, throughout the first half of 2022, ERG Power played a predominant role as a price taker on MGP, often offering at low prices, and thus in these cases positioning itself on the left portion of the supply curve (see figures 1 and 2). On these occasions, the quantities offered by Nuce Nord certainly "displaced" other offers from thermal operators present in Sicily and, to the greatest extent given its size, from Enel, which was thus constrained by the commercial policy maintained by ERG Power.</w:t>
      </w:r>
    </w:p>
    <w:p>
      <w:r>
        <w:t>The pivotality analysis</w:t>
      </w:r>
    </w:p>
    <w:p>
      <w:r>
        <w:t>74. The market shares of the Parties, as mentioned, are very high both for the energy market and for the services market. In order to integrate the analysis of market shares following the Operation, and therefore the availability of market power and the incentives to use it (pre and 54 See doc. 20.</w:t>
      </w:r>
    </w:p>
    <w:p>
      <w:r>
        <w:rPr>
          <w:b/>
        </w:rPr>
        <w:t>[Pages 22–24]</w:t>
      </w:r>
    </w:p>
    <w:p>
      <w:r>
        <w:t>24 BULLETIN NO. 36 OF 10 OCTOBER 2022</w:t>
      </w:r>
    </w:p>
    <w:p>
      <w:r>
        <w:t>post merger) by Enel Produzione, it is also useful to take into account the level and trend of the demand or "requirement" for energy, which, as is known, changes from hour to hour. In the face of an adequate level of demand, in fact, an operator with a significant share of production capacity may find itself facing a portion of demand for which no competitor's plants are available to satisfy it.</w:t>
      </w:r>
    </w:p>
    <w:p>
      <w:r>
        <w:t>75. In the hours when the demand is such that, once the competitors' plants (also understood as interconnection capacity with other areas) are saturated, a portion of demand remains that can only be satisfied by the operator in question, the latter is defined, for that hour and for that quantity, as "pivotal"55. For the portion of demand that exceeds the capacity of plants other than its own, a pivotal operator has no more competitors (residual monopolist) and can set the price without any competitive constraints. As the size of the residual demand on which it can offer without competitive constraints increases, so do the incentives for the pivotal operator to focus on it by setting monopoly prices56. With the acquisition of capacity from the competitor (ERG Power) to the benefit of the buyer (Enel Produzione), the concentration operation can thus make the latter pivotal even for lower levels of demand (energy demand), consequently increasing the number of hours and the size of the residual demand with respect to which it can exercise such market power.</w:t>
      </w:r>
    </w:p>
    <w:p>
      <w:r>
        <w:t>76. Traditionally, the verification of an operator's pivotality and the effect on it of a concentration operation is carried out with reference to the energy market. As is known, in this market, every hour the equilibrium price (so-called "System marginal pricing") is set under the conditions proposed by the last plant in the merit order whose offer is accepted (marginal price). A pivotal operator, by definition, has the ability to establish the marginal price without any competitive discipline.</w:t>
      </w:r>
    </w:p>
    <w:p>
      <w:r>
        <w:t>77. Enel Produzione provided, attaching it to the form, an analysis of pivotality of this type for the year 2021, referring only to the post-merger situation, that is, to the sum of Enel's programmable plants in Sicily and that of ERG subject to acquisition. In Enel's analyses, pivotality cases are considered those situations in which, even if the third-party competitors operating in Sicily had diverted all their capacity to MGP57 and the interconnection with the rest of Italy had been used to the maximum, the marginal price would still have been set by an Enel programmable plant or the ERG Power plant subject to acquisition. Based on these assumptions, Enel's analysis indicates that the Enel+ERG conglomerate was necessary to cover the demand in [300-350] hours of 2021, which, compared to the 8,760 hours of the year, represents about [3-4%]58.</w:t>
      </w:r>
    </w:p>
    <w:p>
      <w:r>
        <w:t>78. Enel does not provide data regarding its pre-merger pivotality and thus the increase in pivotality due to the Operation. However, it is possible to estimate this effect using the same data provided by Enel and checking in how many hours of 2021 only Enel's plants (without considering, that is, the capacity of ERG later added by the merger) were pivotal, on the assumption, as in the exercise included by Enel in the form, that all competitors fully utilized their available production capacity in the hour in Sicily and that the import capacity in Sicily from other interconnected areas was also fully utilized. In doing so, the number of pivotal hours for Enel is reduced to [150-200] (about [2-3%] of the total)59. Thus, the Operation would have nearly doubled (from [150-200] to [300-350]) the number of hours in which Enel would have been able to set the price on MGP in Sicily in 2021, adding an additional [1-2%] of the total hours to the pre-existing [2-3%].</w:t>
      </w:r>
    </w:p>
    <w:p>
      <w:r>
        <w:t>79. The analysis conducted by Enel suggests that even focusing only on the energy market, the Operation significantly increases the number of occasions in which the buyer would find itself in a position to freely set the price on its residual demand. The incentives to exploit the market power conferred by pivotality and the aggressiveness of such exploitation also depend on the size of the residual demand. However, it is noted that the overall demand with respect to which a pivotal operator's residual demand can be formed (and thus with respect to which to measure the extent of the latter) is not limited to that of the energy market but must also include that required by Terna for dispatching services, at least for the capacity reserve necessary for the balanced management of the transmission network.</w:t>
      </w:r>
    </w:p>
    <w:p>
      <w:r>
        <w:t>80. It is true, in fact, that the energy markets and those of services represent, in the Authority's practice, distinct markets, as they refer to different products (on one side, energy for direct or indirect use by buyers, on the other, energy and the availability of capacity – so-called reserve – that serve the TSO to manage the network safely and efficiently), exchanged between different subjects (on the demand side, energy is purchased by resellers or consumers, while services are purchased only by the TSO) and that take place in completely different ways (the energy market identifies the equilibrium price with system marginal pricing, while the services market remunerates each offer exactly with the price requested by it, so-called "pay as bid"). However, these are two markets that sequentially use the same asset (power plants) and thus both contribute to the determination of the overall demand (energy plus reserve) that must be satisfied by the existing capacity: in fact, companies can decide every hour to offer their capacity in one market or the other depending on relative convenience60.</w:t>
      </w:r>
    </w:p>
    <w:p>
      <w:r>
        <w:t>81. In the course of the investigative activity, the TSO Terna conducted, based on the data in its possession, a prospective analysis of pivotality with reference to Enel and Sicily both before and after the merger, verifying whether – and to what extent – under certain demand conditions a portion of the aggregate demand for energy and reserve remained that could only be satisfied by Enel's plants, once all the production obtainable from the plants held by competitors and all the energy that can be imported from existing interconnections with other areas or abroad were considered.</w:t>
      </w:r>
    </w:p>
    <w:p>
      <w:r>
        <w:t>82. In particular, the TSO Terna carried out this prospective estimate for the years from 2022 to 2029, considering different scenarios of energy and reserve demand, and hypothesizing various contexts regarding the availability of interconnections of Sicily with the rest of Italy (both with reference to the actual operation of existing interconnections61 and to the commissioning of infrastructures under construction)62 and the presence in operation of the island's plants, some of which are destined to be decommissioned [omitted], while others are to come into operation in the coming years (such as the new capacity awarded in capacity market auctions, largely awarded to Enel itself).</w:t>
      </w:r>
    </w:p>
    <w:p>
      <w:r>
        <w:t>83. The verification of the existence and extent of Enel's pre and post-merger pivotality in Sicily was conducted by Terna for two typical hours. In particular, after ordering the hours of the year from the one with the highest demand to the one with the lowest demand using the hourly demand profile for energy for 2022 (actual from January 1 to June 15, estimated from June 16 to December 31), the demand values corresponding to the three-hundredth hour (2,658 MWh) and the one-hundred-fiftieth hour (2,742 MWh) were selected. Using these two demand data and juxtaposing to them (for each of the years from 2022 to 2029) the information on the production capacity of Enel, of ERG, and of competitors, as well as on interconnections with other areas, the pivotality conditions that exist respectively in at least 300 and at least 150 hours of the year63 were identified.</w:t>
      </w:r>
    </w:p>
    <w:p>
      <w:r>
        <w:t>60 It is noted that the reserve demand does not at all represent a residual component of the overall demand as defined. [Omitted].</w:t>
      </w:r>
    </w:p>
    <w:p>
      <w:r>
        <w:t>61 The unavailability of connections with the mainland occurs, however, in limited cases. In this regard, regarding the probability that unavailability of connections between Sicily and the mainland occurs – both those already operational and those that should come into operation in the coming years, Terna stated that this type of unavailability occurs in a very limited number of hours of the year; from 2017 to 2022, in at least 84% of the hours, the import transit limit communicated for the conduct of the MGP was equal to the maximum admissible value (See doc. 6).</w:t>
      </w:r>
    </w:p>
    <w:p>
      <w:r>
        <w:t>62 See doc. 6.</w:t>
      </w:r>
    </w:p>
    <w:p>
      <w:r>
        <w:t>63 In particular, the prospective pivotality estimates of Enel (with and without the ERG Power plant) were formulated by Terna based on the following assumptions:</w:t>
        <w:br/>
        <w:t>1. the reserve demand was estimated based on the availability of connections;</w:t>
        <w:br/>
        <w:t>2. renewable capacity was assumed to be constant at 2022 values;</w:t>
        <w:br/>
        <w:t>3. thermal capacity was calculated pursuant to Annex A31 of the Network Code;</w:t>
        <w:br/>
        <w:t>4. the availability of new capacity awarded in capacity market auctions was considered starting from the year following the delivery period, to take into account the operators' ability to request exemptions for the commissioning of new plants (e.g., the new capacity awarded for 2022 is considered available from 2023);</w:t>
        <w:br/>
        <w:t>5. Sicily was considered to import energy from the mainland and from Sardinia: [omitted].</w:t>
        <w:br/>
        <w:t>6. the interconnection between Sicily and Tunisia was not considered.</w:t>
      </w:r>
    </w:p>
    <w:p>
      <w:r>
        <w:rPr>
          <w:b/>
        </w:rPr>
        <w:t>[Pages 25–27]</w:t>
      </w:r>
    </w:p>
    <w:p>
      <w:r>
        <w:t>BULLETIN NO. 36 OF 10 OCTOBER 2022 27</w:t>
      </w:r>
    </w:p>
    <w:p>
      <w:r>
        <w:t>84. This section focuses on the analysis related to the demand for the three-hundredth hour (2,658 MWh)64. The summary of the main results of the prospective analysis of Enel's pivotality in Sicily at the three-hundredth hour conducted by Terna is shown in the following figures, both in the pre-merger scenario of not acquiring the ERG plant in Nuce Nord (figure 1) and in the post-merger scenario of acquiring the same plant (figure 2).</w:t>
      </w:r>
    </w:p>
    <w:p>
      <w:r>
        <w:t>Figure 3 [omitted]</w:t>
      </w:r>
    </w:p>
    <w:p>
      <w:r>
        <w:t>Figure 4 [omitted]</w:t>
      </w:r>
    </w:p>
    <w:p>
      <w:r>
        <w:t>85. In the figures, essentially, the expected amount of demand (and its percentage of the total demand) for which Enel is pivotal is indicated year by year without (figure 3) and with (figure 4) the production capacity brought by the acquisition operation of ERG Power. The main structural changes in the production context of the Sicily area considered in Terna's estimate are as follows65:</w:t>
      </w:r>
    </w:p>
    <w:p>
      <w:r>
        <w:t>1. the commissioning of the new capacity awarded in the capacity market auctions;</w:t>
        <w:br/>
        <w:t>2. the start in 2026 of the first section of the Tyrrhenian Link power line and the possible simultaneous closure of the plant [omitted];</w:t>
        <w:br/>
        <w:t>3. the initiation of new interconnections with other areas [omitted].</w:t>
      </w:r>
    </w:p>
    <w:p>
      <w:r>
        <w:t>86. The lowest curve, in both figures (colored in blue), indicates the existence or absence of a demand amount for which Enel is pivotal even under intact network conditions (i.e., with all connections to other areas operating at maximum capacity). The other curves examine what happens to Enel's pivotality if one or more of the interconnection infrastructures with other areas are out of service during the hour under observation66. The main indication that comes from the analysis of the intact network curve is that according to Terna's estimates, Enel is pivotal even before the concentration, albeit only for a share of the total demand [-5-7%]. In the pre-merger production configuration67, the expected pivotality of Enel at the three-hundredth hour is set to disappear only starting from 2027, with the commissioning of the first section.</w:t>
      </w:r>
    </w:p>
    <w:p>
      <w:r>
        <w:t>64 This is because, on the one hand, it refers to a more consistent number of hourly configurations and, on the other hand, it is a scenario more favorable to the Parties (as demand increases, pivotality can only increase, or emerge where it did not exist for lower demands) and for which, in any case, the indications on the existence and extent of pivotality pre and post merger are not significantly different from those provided by observing the structure of the supply in the presence of the higher demand that occurs at the one-hundred-fiftieth hour.</w:t>
      </w:r>
    </w:p>
    <w:p>
      <w:r>
        <w:t>65 In the figures, it is possible to follow the structural variations considered for each year by Terna in identifying the structural context within which to verify the existence and extent of Enel's pivotality.</w:t>
      </w:r>
    </w:p>
    <w:p>
      <w:r>
        <w:t>66 It should be noted that Terna's estimates reported in the two graphs refer to a single hour for each of the years considered, specifically the three-hundredth hour in the ranking of hours by amount of demand. The interconnections considered by Terna may be out of service or (for those yet to be realized) due to delays in their construction or (for those that have come into operation) because they are subject to maintenance, both scheduled and extraordinary. Regarding scheduled maintenance, however, it should be noted that it is unlikely to occur during a high-load hour, such as the three-hundredth hour of a ranking that includes all 8,760 hours of the year.</w:t>
      </w:r>
    </w:p>
    <w:p>
      <w:r>
        <w:t>67 In which, however, it is recalled, Enel's capacity is still set to grow between 2023 and 2025 due to the commissioning of its [omitted] of new capacity awarded in the capacity market auctions.</w:t>
      </w:r>
    </w:p>
    <w:p>
      <w:r>
        <w:t>28 BULLETIN NO. 36 OF 10 OCTOBER 2022</w:t>
      </w:r>
    </w:p>
    <w:p>
      <w:r>
        <w:t>The pivotality increases in cases of existing connections being out of service (which are those analyzed in the remaining curves of the graph), although to a lesser extent as the number of connections that, according to Terna's investment plans, should eventually come into operation increases69.</w:t>
      </w:r>
    </w:p>
    <w:p>
      <w:r>
        <w:t>87. The figure depicting the post-merger pivotality estimates is constructed by horizontally adding to Enel's capacity that which Terna assigns for this analysis to the ERG plant in Nuce Nord70 and which represents [7-10%] of the total production capacity of the Sicily area considered in the estimate made by the TSO. For this reason, Figure 4 mostly limits itself to shifting upwards by a corresponding amount ([7-10%]) the curve of the percentage of demand for which Enel is pivotal at the three-hundredth hour under intact network conditions. This means that in the absence of defaults of the interconnections, following the operation Enel will be pivotal for meeting a share between 15% and 20% of the total energy and reserve demand of Sicily. The elimination of pivotality following the commissioning of the new interconnections will occur in 2028, that is, with a one-year delay compared to the forecast made in the absence of the Operation. The pivotality curves in cases of interconnection outages behave accordingly, also shifting upwards in proportion to the increase in Enel's capacity due to the merger.</w:t>
      </w:r>
    </w:p>
    <w:p>
      <w:r>
        <w:t>88. The described upward shifts of the pivotality curves (both under intact network conditions and in the hypotheses of outages) represent the effect of the Operation in terms of increasing the amount of demand with respect to which Enel holds market power as a pivotal operator. Since, as mentioned, until 2027 Enel would be pivotal in the 300 hours of highest demand (albeit for a small amount) even without the Operation and under intact network conditions, for the entire duration of this period, the additional capacity caused by the merger can be considered a dry addition of capacity that can be offered without any competitive constraint, regardless of the state of interconnections with other areas: based on Terna's data on the power of the ERG Nucenord plant, this amounts to [350-400] MW per hour for 300 hours a year71. From 2028 onwards, under intact network conditions, Enel should no longer be pivotal in Sicily even with the addition of ERG's capacity. Even at that point, however, any outage of the interconnections that occurs in one of the 300 hours of highest demand would again make Enel pivotal even in its pre-merger plant endowment: for each hour of interconnection outage, therefore, the effect of the Operation would again be the dry addition of production capacity from the acquired plant that can be offered at monopoly prices.</w:t>
      </w:r>
    </w:p>
    <w:p>
      <w:r>
        <w:t>V.d. The relationship between the energy and dispatching services markets and the capacity market</w:t>
      </w:r>
    </w:p>
    <w:p>
      <w:r>
        <w:t>89. As anticipated, for the purposes of evaluating this Operation, it is necessary to take into account the possible effect on the pricing strategies of electricity operators of the so-called capacity market. Indeed, 2022 is the first year in which the functioning of the energy and services markets is influenced by the obligations undertaken by entities that have had part of their generation capacity contracted by Terna as a result of the capacity market auctions.</w:t>
      </w:r>
    </w:p>
    <w:p>
      <w:r>
        <w:t>90. It should be noted that one of the obligations to which these entities, in exchange for an annual premium in euro/MW, are subject – in addition to the obligation to offer the contracted capacity (available capacity in probability, so-called CDP) on the energy and services markets – is to return to Terna – with reference to the contracted capacity, the positive difference between the price of electricity realized on the energy and services markets and an exercise price defined by ARERA (so-called "strike price").</w:t>
      </w:r>
    </w:p>
    <w:p>
      <w:r>
        <w:t>91. The effects of these obligations on the offering strategies of operators are of two types. On the one hand, any strategy of withholding capacity to create scarcity in the market is strongly (if not entirely due to heavy penalties) disincentivized; on the other hand, the strategy of practicing monopoly pricing on the residual demand on which one is pivotal must take into account the presence of the strike price and the related return obligations connected to it.</w:t>
      </w:r>
    </w:p>
    <w:p>
      <w:r>
        <w:t>92. The constraint associated with the strike price, in fact, could eliminate the incentive – for operators who have the opportunity – to charge a price above that value. This could, abstractly, affect the ability of the operators themselves, once they have decided to adhere to such a mechanism in exchange for the related premiums, to exercise their market power and therefore could also be relevant for the evaluation of the effects of this Operation, at least during the period in which this mechanism will still be in force.</w:t>
      </w:r>
    </w:p>
    <w:p>
      <w:r>
        <w:t>93. In other words, although the capacity market was not designed for the purpose of controlling market power, it could abstractly have as a possible collateral effect the limitation (or even sterilization) of the incentive to exercise market power above the strike price by the entities awarded capacity commitments as a result of the capacity market auctions.</w:t>
      </w:r>
    </w:p>
    <w:p>
      <w:r>
        <w:t>94. It should be noted, however, that the strike price does not serve the purpose of limiting the exercise of market power by operators nor does it represent a "cost-oriented" price level in the classic regulatory sense. On the contrary, it is set at a normally very high level, relative to the operating cost of a "peaking" plant, that is, an open cycle gas turbine plant. Upon closer inspection, it is an hourly energy price value that is absolutely sufficient to allow an adequate level of supply, permitting sufficient remuneration, especially if more efficient technologies than open cycle gas turbines are used (such as a combined cycle gas plant).</w:t>
      </w:r>
    </w:p>
    <w:p>
      <w:r>
        <w:t>95. Regarding the point related to the value of the strike price, Enel Produzione stated during the hearing on July 21: “[...] this value is indexed to gas prices and, as high as it is today considering the current gas quotations, it currently prevents Italian stock prices from</w:t>
      </w:r>
    </w:p>
    <w:p>
      <w:r>
        <w:rPr>
          <w:b/>
        </w:rPr>
        <w:t>[Pages 28–30]</w:t>
      </w:r>
    </w:p>
    <w:p>
      <w:r>
        <w:t>dispatching related to the macro-area Sicily.</w:t>
      </w:r>
    </w:p>
    <w:p>
      <w:r>
        <w:t>113. In light of the above, it is concluded that the operation under examination, as configured and within the scope described by the Party in the notification of June 13, 2022, leads to the establishment and strengthening of a dominant position in the relevant markets of production and wholesale supply and dispatching services.</w:t>
      </w:r>
    </w:p>
    <w:p>
      <w:r>
        <w:rPr>
          <w:b/>
        </w:rPr>
        <w:t>[Pages 31–33]</w:t>
      </w:r>
    </w:p>
    <w:p>
      <w:r>
        <w:t>BULLETIN NO. 36 OF 10 OCTOBER 2022 33</w:t>
      </w:r>
    </w:p>
    <w:p>
      <w:r>
        <w:t>the dispatching of electricity, such as to eliminate or substantially and durably reduce competition.</w:t>
      </w:r>
    </w:p>
    <w:p>
      <w:r>
        <w:t>CONSIDERING that the operation under examination is likely to result, pursuant to Article 6, paragraph 1, of Law No. 287/1990, in the establishment of a dominant position for the Enel group in the market for the production and wholesale supply of electricity in the macro-area of Sicily and the strengthening of the dominant position of the same group in the market for electricity dispatching services in the macro-area of Sicily, such as to eliminate or substantially and durably reduce competition;</w:t>
      </w:r>
    </w:p>
    <w:p>
      <w:r>
        <w:t>CONSIDERING that, based on the elements that emerged during the investigation, the operation under examination, given its uniqueness, in the terms notified, is likely to be prohibited pursuant to Article 6, paragraphs 1 and 2, of Law No. 287/90;</w:t>
      </w:r>
    </w:p>
    <w:p>
      <w:r>
        <w:t>RESOLVES</w:t>
      </w:r>
    </w:p>
    <w:p>
      <w:r>
        <w:t>to prohibit, pursuant to Article 18, paragraph 1, of Law No. 287/90, the execution of the concentration operation consisting of the acquisition of exclusive control of ERG Power by Enel Produzione, as described above.</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No. 104 of 2 July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24 November 1971, within the term of one hundred and twenty days from the date of notification of the provision itself.</w:t>
      </w:r>
    </w:p>
    <w:p>
      <w:r>
        <w:t>THE SECRETARY GENERAL THE PRESIDENT</w:t>
      </w:r>
    </w:p>
    <w:p>
      <w:r>
        <w:t>Guido Stazi Roberto Rustichelli</w:t>
      </w:r>
    </w:p>
    <w:p>
      <w:r>
        <w:t>34 BULLETIN NO. 36 OF 10 OCTOBER 2022</w:t>
      </w:r>
    </w:p>
    <w:p>
      <w:r>
        <w:t>C12480 - ALFASIGMA/SOFAR</w:t>
      </w:r>
    </w:p>
    <w:p>
      <w:r>
        <w:t>Provision No. 30307</w:t>
      </w:r>
    </w:p>
    <w:p>
      <w:r>
        <w:t>THE COMPETITION AND MARKET AUTHORITY</w:t>
      </w:r>
    </w:p>
    <w:p>
      <w:r>
        <w:t>IN ITS MEETING of 20 September 2022;</w:t>
      </w:r>
    </w:p>
    <w:p>
      <w:r>
        <w:t>HEARD the Rapporteur, Professor Elisabetta Iossa;</w:t>
      </w:r>
    </w:p>
    <w:p>
      <w:r>
        <w:t>HAVING REGARD to Regulation (EC) No. 139/2004;</w:t>
      </w:r>
    </w:p>
    <w:p>
      <w:r>
        <w:t>HAVING REGARD to Law No. 287 of 10 October 1990;</w:t>
      </w:r>
    </w:p>
    <w:p>
      <w:r>
        <w:t>HAVING REGARD to the D.P.R. No. 217 of 30 April 1998;</w:t>
      </w:r>
    </w:p>
    <w:p>
      <w:r>
        <w:t>HAVING REGARD to the communication from Alfasigma S.p.A., received on 22 August 2022 and supplemented on 2 and 9 September 2022;</w:t>
      </w:r>
    </w:p>
    <w:p>
      <w:r>
        <w:t>CONSIDERED the following:</w:t>
      </w:r>
    </w:p>
    <w:p>
      <w:r>
        <w:t>I. THE PARTIES</w:t>
      </w:r>
    </w:p>
    <w:p>
      <w:r>
        <w:t>1. Alfasigma S.p.A. (hereinafter, "Alfasigma") is the holding company of the Alfasigma Group, a multinational pharmaceutical group with entirely Italian capital, resulting from the aggregation of the Alfa Wassemann and Sigma-Tau groups1. Alfasigma is active in the production and sale of pharmaceutical products in various therapeutic areas (vascular medicine, orthopedics and rheumatology, cardiology, gastroenterology, metabolic diseases, pneumology, gynecology, diabetes) as well as para-pharmaceutical products (dietary supplements and medical devices). Alfasigma also operates in the production of pharmaceuticals on behalf of third parties. The company is indirectly controlled by individuals belonging to the Golinelli family.</w:t>
      </w:r>
    </w:p>
    <w:p>
      <w:r>
        <w:t>The revenue generated in Italy in 2021 by the Alfasigma Group was approximately [100-517]* million euros.</w:t>
      </w:r>
    </w:p>
    <w:p>
      <w:r>
        <w:t>2. Sofar S.p.A. (hereinafter, "Sofar") is an Italian company active in the production and sale of pharmaceutical products, dietary supplements, and medical devices, both for its own account and for third parties. Sofar operates, in particular, in the therapeutic areas of gastroenterology, urology, gynecology, and products for the treatment of injuries. The company, currently jointly controlled by three individuals, holds the entire share capital of the two companies Sofar Swiss S.A. and Sofar Farm S.r.l. Sofar also has an international presence, both direct (through three foreign offices in Lithuania, Romania, and Switzerland and a representative office in Russia) and indirect, through a network of distributors.</w:t>
      </w:r>
    </w:p>
    <w:p>
      <w:r>
        <w:t>The revenue generated by Sofar in Italy in 2021 was approximately [100-517] million euros.</w:t>
      </w:r>
    </w:p>
    <w:p>
      <w:r>
        <w:t>1 The operation that led to the establishment of Alfasigma was authorized by the Authority with provision No. 25402 of 25 March 2015, case C11988 – Marino Golinelli &amp; C./Sigma Tau Finanziaria and other companies and parts of companies.</w:t>
      </w:r>
    </w:p>
    <w:p>
      <w:r>
        <w:t>* In this version, some data are omitted, as there were deemed to be elements of confidentiality or secrecy of the information.</w:t>
      </w:r>
    </w:p>
    <w:p>
      <w:r>
        <w:t>BULLETIN NO. 36 OF 10 OCTOBER 2022 35</w:t>
      </w:r>
    </w:p>
    <w:p>
      <w:r>
        <w:t>II. THE CONCENTRATION OPERATION</w:t>
      </w:r>
    </w:p>
    <w:p>
      <w:r>
        <w:t>3. The concentration operation (hereinafter, also the "Operation"), governed by the Share Purchase Agreement signed by Alfasigma and the controlling shareholders of Sofar on 30 July 2022, involves the acquisition by Alfasigma of the entire capital of Sofar and the companies controlled by it. As a result of the Operation, Alfasigma will acquire exclusive control of the target company.</w:t>
      </w:r>
    </w:p>
    <w:p>
      <w:r>
        <w:t>4. As relevant in this context, it is noted that the Share Purchase Agreement imposes on the selling parties an obligation of non-solicitation - both of customers and personnel - and of non-competition, for a period of five years starting from the date of completion of the Operation. In particular, the non-competition obligation is extended, from a product perspective, to the activities of production and sale of pharmaceutical products, dietary supplements, and medical devices (with the exception of a limited number of types of medical devices), while from a geographical perspective it includes the territories of the European Union, United Kingdom, Switzerland, Russia, USA, China, Japan, Canada, South Africa, San Marino, and Vatican City.</w:t>
      </w:r>
    </w:p>
    <w:p>
      <w:r>
        <w:t>III. QUALIFICATION OF THE OPERATION</w:t>
      </w:r>
    </w:p>
    <w:p>
      <w:r>
        <w:t>5. The notified Operation constitutes a concentration pursuant to Article 5, paragraph 1, letter b), of Law No. 287/90, as it involves the acquisition of exclusive control of a company, falls within the scope of application of Law No. 287/90, the conditions of Article 1 of Regulation (EC) No. 139/04 not being met, and is subject to the obligation of prior notification provided for by Article 16, paragraph 1, of the same law, as the total revenue generated in the last financial year at the national level by the group of companies involved exceeded 517 million euros and the revenue generated individually, at the national level, by at least two of them exceeds 31 million euros.</w:t>
      </w:r>
    </w:p>
    <w:p>
      <w:r>
        <w:t>6. The obligation of non-solicitation and non-competition described above can be qualified as accessory to the notified concentration to the extent that it contains restrictions directly related to the realization of the Operation and necessary for it. In this case, the commitments of non-solicitation and non-competition can be considered accessory only if limited in terms of products and geography to the area of activity of the acquired company and do not exceed a duration of two years2.</w:t>
      </w:r>
    </w:p>
    <w:p>
      <w:r>
        <w:t>IV. EVALUATION OF THE OPERATION</w:t>
      </w:r>
    </w:p>
    <w:p>
      <w:r>
        <w:t>IV.1. The relevant markets</w:t>
      </w:r>
    </w:p>
    <w:p>
      <w:r>
        <w:t>a) The development, production, and sale of pharmaceutical products, dietary supplements, and medical devices</w:t>
      </w:r>
    </w:p>
    <w:p>
      <w:r>
        <w:t>7. The notified operation concerns, primarily, the sector of development, production, and sale of pharmaceutical products, dietary supplements, and medical devices in the therapeutic areas in which the target company is active.</w:t>
      </w:r>
    </w:p>
    <w:p>
      <w:r>
        <w:t>2 See, in this regard, the Commission Communication on restrictions directly related and necessary to concentrations (O.J. 2005/C-56/03 of 5 March 2005).</w:t>
      </w:r>
    </w:p>
    <w:p>
      <w:r>
        <w:rPr>
          <w:b/>
        </w:rPr>
        <w:t>[Pages 34–36]</w:t>
      </w:r>
    </w:p>
    <w:p>
      <w:r>
        <w:t>36 BULLETIN NO. 36 OF 10 OCTOBER 2022</w:t>
      </w:r>
    </w:p>
    <w:p>
      <w:r>
        <w:t>8. The principal criterion for defining the relevant product market in the pharmaceutical sector for the purposes of assessing a concentration consists of referring to therapeutic classes, that is, the chemical action and therapeutic purpose of the medicine produced and/or marketed. The identification of such classes in the most recent decisions of the European Commission is based on the use of the EphMRA Classification System, a classification system managed by EPHMRA and Intercontinental Medical Statistics, under which drugs are divided into four hierarchical levels, identified by alphanumeric codes3.</w:t>
      </w:r>
    </w:p>
    <w:p>
      <w:r>
        <w:t>9. More specifically, the third level of this classification (ATC3) identifies sets of medicines that generally have the same therapeutic indications and are not substitutable with those belonging to other classes located at the first and second levels. It is therefore from this level that, usually, one starts to identify substitutable products for the purposes of defining the relevant market for the assessment of a concentration.</w:t>
      </w:r>
    </w:p>
    <w:p>
      <w:r>
        <w:t>10. An analogous classification system, called "NEC" (Non-Ethical Class), is also applied to OTC products and supplements4.</w:t>
      </w:r>
    </w:p>
    <w:p>
      <w:r>
        <w:t>11. In the specific case, considering the production and sale activities of pharmaceutical products, food supplements, and medical devices carried out by the target company, the relevant product markets for the purposes of this operation are found to be 17, normally corresponding to as many ATC3/NEC3 classes.</w:t>
      </w:r>
    </w:p>
    <w:p>
      <w:r>
        <w:t>12. In the specific case of drugs for the treatment of inflammatory bowel disorders/diseases, based on the precedents of the European Commission5, it is believed that, within the ATC3 A07E class, the market of so-called conventional treatments (which includes products based on mesalazine, sulfasalazine, balsalazide, and olsalazine, in addition to corticosteroid and immunosuppressive products) should be distinguished from the market of so-called post-conventional treatments (where biological drugs are placed). For the purposes of assessing this operation, within the ATC3 A07E class, only the market for conventional treatments is relevant, the only one in which the target company is active.</w:t>
      </w:r>
    </w:p>
    <w:p>
      <w:r>
        <w:t>13. Furthermore, regarding OTC antacids and anti-reflux products, it is believed, based on the precedents of the Commission6, that they can be attributed to a single relevant market, which includes, at least, the NEC3 classes 03G1 and 03G9.</w:t>
      </w:r>
    </w:p>
    <w:p>
      <w:r>
        <w:t>14. The markets concerned in which there will be overlaps in shares – in volume and value – exceeding the 15% threshold are limited to the following:</w:t>
      </w:r>
    </w:p>
    <w:p>
      <w:r>
        <w:t>(1) NEC3 03F1 Probiotic food supplements;</w:t>
      </w:r>
    </w:p>
    <w:p>
      <w:r>
        <w:t>(2) NEC3 03G1 Antacids and 03G9 Other antacid products – heartburn;</w:t>
      </w:r>
    </w:p>
    <w:p>
      <w:r>
        <w:t>(3) ATC3 D06A Topical antibacterials;</w:t>
      </w:r>
    </w:p>
    <w:p>
      <w:r>
        <w:t>3 See the Commission decisions of 20 December 2017, case M.8675 – CVC/Teva Women’s Health Business and of 4 February 2009, M.5253 – Sanofi-Aventis/Zentiva.</w:t>
      </w:r>
    </w:p>
    <w:p>
      <w:r>
        <w:t>4 The system was developed by IQVIA and groups all products for the treatment of minor pathologies, including supplements. Similarly to what has already been seen in relation to the ATC system, the third-level NEC class (NEC3) groups products by therapeutic area, based on their intended use.</w:t>
      </w:r>
    </w:p>
    <w:p>
      <w:r>
        <w:t>5 See, lastly, the Commission decision of 10 January 2020, case M.9461 – AbbVie/Allergan.</w:t>
      </w:r>
    </w:p>
    <w:p>
      <w:r>
        <w:t>6 See the Commission decisions of 10 July 2019, case M.9274 – Glaxosmithkline/Pfizer Consumer Healthcare Business, of 4 August 2016, case M.7919 – Sanofi/Boehringer Ingelheim Consumer Healthcare Business, of 28 January 2015, case M.7276 – Glaxosmithkline/Novartis Vaccines Business (excl. Influenza)/Novartis Consumer Health Business and of 4 February 2009, M.5253 – Sanofi-Aventis/Zentiva.</w:t>
      </w:r>
    </w:p>
    <w:p>
      <w:r>
        <w:t>BULLETIN NO. 36 OF 10 OCTOBER 2022 37</w:t>
      </w:r>
    </w:p>
    <w:p>
      <w:r>
        <w:t>(4) ATC3 A03F Gastroprokinetics;</w:t>
      </w:r>
    </w:p>
    <w:p>
      <w:r>
        <w:t>(5) NEC3 12D2 Vaginal antifungals.</w:t>
      </w:r>
    </w:p>
    <w:p>
      <w:r>
        <w:t>15. Furthermore, the market for the production and sale of products for the treatment of inflammatory bowel disorders/diseases (ATC3 A07E class, limited to conventional treatments) is also affected by this operation, as, despite the absence of overlaps between the Parties, the target company holds market shares – in volume and value – exceeding 25%.</w:t>
      </w:r>
    </w:p>
    <w:p>
      <w:r>
        <w:t>16. From a geographical perspective, the size of the markets concerning the development, production, and marketing of pharmaceutical products, food supplements, and medical devices is traditionally considered national: this is due to the differences between the health policies of individual countries (including regulation and price levels, reimbursement methods, classification of medicines, distribution channels, etc.) and the different access regimes (i.e., patenting and marketing authorization regimes).</w:t>
      </w:r>
    </w:p>
    <w:p>
      <w:r>
        <w:t>b) The activity of developing, producing, and packaging pharmaceutical products on behalf of third parties</w:t>
      </w:r>
    </w:p>
    <w:p>
      <w:r>
        <w:t>17. The Operation also concerns the market for the development, production, and packaging of pharmaceutical products on behalf of other pharmaceutical companies, in which both Parties are active.</w:t>
      </w:r>
    </w:p>
    <w:p>
      <w:r>
        <w:t>18. In accordance with the precedents of this Authority, this market, from a commodity perspective, does not need to be further segmented into subcategories based on the manufactured product, as the production and packaging techniques are independent of the active ingredients and materials used7.</w:t>
      </w:r>
    </w:p>
    <w:p>
      <w:r>
        <w:t>19. Although there has been a long-standing process of regulatory and legislative harmonization at the EU level, even in the case of the market for the development, production, and packaging of drugs on behalf of third parties, the geographical dimension is currently considered to be national, given the different regulations that characterize the regulation of individual EU countries regarding drug production.</w:t>
      </w:r>
    </w:p>
    <w:p>
      <w:r>
        <w:t>IV.2. The effects of the operation</w:t>
      </w:r>
    </w:p>
    <w:p>
      <w:r>
        <w:t>20. Taking into account the data provided by the Parties, it is believed that in none of the affected markets the Operation is likely to raise concerns from a competitive perspective, as it does not entail substantial changes to their positions in the relevant markets that would prejudice the structure of supply.</w:t>
      </w:r>
    </w:p>
    <w:p>
      <w:r>
        <w:t>21. With regard to the development, production, and sale of pharmaceutical products, food supplements, and medical devices, in 3 of the 5 affected markets where an overlap occurs, the aggregated national market share of the Parties is found to be below 25%, both in volume and in value8. In particular, in the market for probiotic food supplements, the post-merger entity will hold a share of [15-20%] in volume and [20-25%] in value; in the market for OTC antacids and anti-reflux products, the aggregated share will be [15-20%] in volume and [20-25%] in value; in the gastroprokinetics market, as a result of the Operation, the Parties will hold a share of [10-15%] in volume and [15-20%], with an increase attributable to the target company of less than 1%.</w:t>
      </w:r>
    </w:p>
    <w:p>
      <w:r>
        <w:t>22. In the 2 additional affected markets where the Parties' activities overlap, namely topical antibacterials and vaginal antifungals, although more significant post-merger market shares are recorded, it should be noted that the increase attributable to the Operation is entirely marginal. In fact, in the market for topical antibacterials, the overall national share in value will be [20-25%], while that in volume will be [35-40%], with an increase attributable to Alfasigma of [1-5%] both in volume and in value. Similarly, in the market for vaginal antifungals, the Parties will hold an overall national share of [40-45%] in volume and [40-45%] in value, with an increase in share attributable to the target of less than 1%.</w:t>
      </w:r>
    </w:p>
    <w:p>
      <w:r>
        <w:t>23. As for the market for conventional treatments for the care of inflammatory bowel disorders/diseases, where only the target company is active with a market share of [30-35%] in volume and [30-35%] in value, it is observed that the Operation will merely result in the replacement of one operator with another.</w:t>
      </w:r>
    </w:p>
    <w:p>
      <w:r>
        <w:t>24. In all the aforementioned markets, there is also the presence of numerous and qualified competitors, mostly belonging to large multinational groups.</w:t>
      </w:r>
    </w:p>
    <w:p>
      <w:r>
        <w:t>25. Regarding the market for the development, production, and packaging of pharmaceutical products on behalf of third parties, the Operation does not give rise to any significant effects, as the position of the Parties is entirely marginal, each holding an estimated share well below 5%.</w:t>
      </w:r>
    </w:p>
    <w:p>
      <w:r>
        <w:t>26. In light of the above considerations, the Operation under examination does not appear to significantly hinder effective competition in any of the relevant markets mentioned and does not lead to the establishment or strengthening of a dominant position.</w:t>
      </w:r>
    </w:p>
    <w:p>
      <w:r>
        <w:t>CONSIDERING, therefore, that the Operation under examination does not significantly hinder effective competition in the affected markets pursuant to Article 6, paragraph 1, of Law No. 287/90 and does not entail the establishment or strengthening of a dominant position;</w:t>
      </w:r>
    </w:p>
    <w:p>
      <w:r>
        <w:t>CONSIDERING, furthermore, that the non-competition and non-solicitation obligation described above is directly connected and necessary to the concentration operation only within the temporal, territorial, and subject limits indicated and that the Authority reserves the right to assess, where the conditions exist, the aforementioned agreement that occurs beyond the time, geographical scope, and subject matter indicated therein;</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w:t>
      </w:r>
    </w:p>
    <w:p>
      <w:r>
        <w:rPr>
          <w:b/>
        </w:rPr>
        <w:t>[Pages 37–39]</w:t>
      </w:r>
    </w:p>
    <w:p>
      <w:r>
        <w:t>BULLETIN NO. 36 OF 10 OCTOBER 2022 39</w:t>
      </w:r>
    </w:p>
    <w:p>
      <w:r>
        <w:t>This provision will be published in the Bulletin of the Competition and Market Authority.</w:t>
      </w:r>
    </w:p>
    <w:p>
      <w:r>
        <w:t>THE SECRETARY GENERAL THE PRESIDENT</w:t>
        <w:br/>
        <w:t>Guido Stazi Roberto Rustichelli</w:t>
      </w:r>
    </w:p>
    <w:p>
      <w:r>
        <w:t>40 BULLETIN NO. 36 OF 10 OCTOBER 2022</w:t>
      </w:r>
    </w:p>
    <w:p>
      <w:r>
        <w:t>C12481 - NUO-F.LLI ANDRIANI PARTECIPAZIONI/ANDRIANI</w:t>
      </w:r>
    </w:p>
    <w:p>
      <w:r>
        <w:t>Provision No. 30308</w:t>
      </w:r>
    </w:p>
    <w:p>
      <w:r>
        <w:t>THE COMPETITION AND MARKET AUTHORITY</w:t>
      </w:r>
    </w:p>
    <w:p>
      <w:r>
        <w:t>IN ITS MEETING of 20 September 2022;</w:t>
      </w:r>
    </w:p>
    <w:p>
      <w:r>
        <w:t>HEARD the Rapporteur Professor Elisabetta Iossa;</w:t>
      </w:r>
    </w:p>
    <w:p>
      <w:r>
        <w:t>HAVING REGARD to Regulation (EC) No. 139/2004 of the Council, of 20 January 2004, concerning the control of concentrations between undertakings;</w:t>
      </w:r>
    </w:p>
    <w:p>
      <w:r>
        <w:t>HAVING REGARD to Law No. 287 of 10 October 1990;</w:t>
      </w:r>
    </w:p>
    <w:p>
      <w:r>
        <w:t>HAVING REGARD to Presidential Decree No. 217 of 30 April 1998;</w:t>
      </w:r>
    </w:p>
    <w:p>
      <w:r>
        <w:t>HAVING REGARD to the communication from the companies NUO S.p.A. and F.lli Andriani Partecipazioni S.r.l., received on 22 August 2022;</w:t>
      </w:r>
    </w:p>
    <w:p>
      <w:r>
        <w:t>CONSIDERING the following:</w:t>
      </w:r>
    </w:p>
    <w:p>
      <w:r>
        <w:t>I. THE PARTIES</w:t>
      </w:r>
    </w:p>
    <w:p>
      <w:r>
        <w:t>1. NUO S.p.A. (hereinafter, NUO) is a company based in Milan that engages in the acquisition and management of interests and stakes in other companies, both under Italian law and foreign law, as well as the provision of consulting services for the companies in which it participates and for third parties. NUO is jointly controlled by NUO Capital S.A. and Exor N.V. The total revenue generated in 2021 by NUO and the companies that control it was over [30-40]* billion euros, of which approximately [10-20] billion euros and [4-5] billion euros were generated from sales in the European Union and in Italy, respectively.</w:t>
      </w:r>
    </w:p>
    <w:p>
      <w:r>
        <w:t>2. F.lli Andriani Partecipazioni S.r.l (hereinafter F.lli Andriani), based in Gravina in Puglia (BA), is a holding company established in 2022 and equally owned by two individuals. In addition to its stake in Andriani S.p.A., F.lli Andriani holds stakes in companies active in Italy, which in 2021 generated a total revenue of approximately [less than 1 million] euros.</w:t>
      </w:r>
    </w:p>
    <w:p>
      <w:r>
        <w:t>3. Andriani S.p.A. (hereinafter Andriani), based in Gravina in Puglia (BA), is a company active in the production and marketing of gluten-free food products, primarily gluten-free pasta and, to a lesser extent, flours and mixes for desserts and savory preparations. It is controlled by F.lli Andriani. The total revenue generated in 2021 by Andriani was over 81 million euros, of which approximately [10-31]1 and [31-100] million euros were generated from sales in the European Union and in Italy, respectively.</w:t>
      </w:r>
    </w:p>
    <w:p>
      <w:r>
        <w:t>* In this version, some data are omitted, as elements of confidentiality or secrecy of the information were deemed to exist.</w:t>
      </w:r>
    </w:p>
    <w:p>
      <w:r>
        <w:t>1 Value net of Italian revenue.</w:t>
      </w:r>
    </w:p>
    <w:p>
      <w:r>
        <w:t>BULLETIN NO. 36 OF 10 OCTOBER 2022 41</w:t>
      </w:r>
    </w:p>
    <w:p>
      <w:r>
        <w:t>II. DESCRIPTION OF THE OPERATION</w:t>
      </w:r>
    </w:p>
    <w:p>
      <w:r>
        <w:t>4. The notified operation consists of the acquisition by NUO and F.lli Andriani of joint control of Andriani. In particular, the operation will involve the transition from a situation of exclusive control by F.lli Andriani over Andriani to one of joint control by NUO and F.lli Andriani. In fact, although, as a result of the operation, F.lli Andriani will be the main shareholder of Andriani with 75.77% of the capital (while NUO will hold the remaining 24.23%) and will have the majority in the administrative bodies, based on the new statute of the Company, NUO will have veto rights over strategic decisions (i.e. approval and amendments of the budget and business plan, appointment of senior management, etc.) that ensure it joint control over Andriani.</w:t>
      </w:r>
    </w:p>
    <w:p>
      <w:r>
        <w:t>5. The operation in question includes, on the part of the current shareholders of Andriani, an obligation not to engage in activities in competition with those of the Target for a period of five years.</w:t>
      </w:r>
    </w:p>
    <w:p>
      <w:r>
        <w:t>III. QUALIFICATION OF THE OPERATION</w:t>
      </w:r>
    </w:p>
    <w:p>
      <w:r>
        <w:t>6. The notified operation, as it involves the acquisition of control of a company, constitutes a concentration pursuant to Article 5, paragraph 1, letter b), of Law No. 287/90.</w:t>
      </w:r>
    </w:p>
    <w:p>
      <w:r>
        <w:t>7. It falls within the scope of application of Law No. 287/90, as the conditions set out in Article 1 of Regulation (EC) No. 139/04 do not apply, and is subject to the obligation of prior notification provided for by Article 16, paragraph 1, of the same law, as the total revenue generated in the last financial year at the national level by the group of companies involved was over 517 million euros and the revenue generated individually at the national level by at least two of the companies involved was over 31 million euros.</w:t>
      </w:r>
    </w:p>
    <w:p>
      <w:r>
        <w:t>8. The non-competition agreement described above can be qualified as ancillary to the notified concentration to the extent that it contains restrictions directly related to the realization of the operation and necessary for the duration of the joint venture, provided that it is limited to the products and territory in relation to which it is called to operate by virtue of the corporate statute2.</w:t>
      </w:r>
    </w:p>
    <w:p>
      <w:r>
        <w:t>IV. EVALUATION OF THE CONCENTRATION</w:t>
      </w:r>
    </w:p>
    <w:p>
      <w:r>
        <w:t>9. It is preliminarily observed that, based on the information provided, the operation is not such as to produce any significant effect from a competitive perspective as it will not give rise to any horizontal overlap or vertical integration between the activities carried out in Italy by the parties involved in the concentration.</w:t>
      </w:r>
    </w:p>
    <w:p>
      <w:r>
        <w:t>a. The relevant market</w:t>
      </w:r>
    </w:p>
    <w:p>
      <w:r>
        <w:t>10. Andriani is active in the production and marketing of gluten-free food products through the development and production of an innovative range of gluten-free pasta, using gluten-free ingredients, which include cereals (such as rice, corn, oats, buckwheat, spirulina, etc.) and legumes (including lentils, peas, chickpeas, beans, etc.) and, to a lesser extent, flours and mixes for desserts and savory preparations. Since 2022, moreover, through a controlled company, it is also active in the production of gluten-free products.</w:t>
      </w:r>
    </w:p>
    <w:p>
      <w:r>
        <w:t>2 See "Commission Communication on restrictions directly related and necessary to concentrations (O.J. EU 2005/C-56/03 of 5 March 2005)."</w:t>
      </w:r>
    </w:p>
    <w:p>
      <w:r>
        <w:rPr>
          <w:b/>
        </w:rPr>
        <w:t>[Pages 40–42]</w:t>
      </w:r>
    </w:p>
    <w:p>
      <w:r>
        <w:t>42 BULLETIN NO. 36 OF 10 OCTOBER 2022</w:t>
      </w:r>
    </w:p>
    <w:p>
      <w:r>
        <w:t xml:space="preserve">production and marketing of bakery food products through gluten-free and low-protein lines.  </w:t>
        <w:br/>
        <w:t xml:space="preserve">11. The Authority, in a previous instance, identified a market for the production and marketing of "gluten-free dietary food products for individuals with celiac disease. These are industrially processed products, manufactured with gluten-free raw materials, intended to replace, in the diet of celiacs, categories of products that conventionally contain flour and consequently gluten (bread, pasta, baked goods). Given the particularity of the demand, it is to be considered that gluten-free dietary products constitute a distinct product market"3. In the case at hand, however, it is not necessary to arrive at a more precise definition of the market aimed at potentially identifying narrower product markets within the broader category of gluten-free products, considering the circumstance that whatever definition is chosen, the assessment would not change.  </w:t>
        <w:br/>
        <w:t xml:space="preserve">12. In its practice, the Authority has defined this market as having a national dimension4; also from a geographical perspective, however, it is possible to leave the definition open.  </w:t>
        <w:br/>
        <w:t xml:space="preserve">b. The effects of the operation  </w:t>
        <w:br/>
        <w:t xml:space="preserve">13. In the sales of gluten-free food products (mainly gluten-free pasta), predominantly consisting of private label products intended for customers represented by large food groups, Andriani holds an estimated share of less than 30%. In the production and marketing of bakery food products, its estimated share is less than 5%.  </w:t>
        <w:br/>
        <w:t xml:space="preserve">14. NUO and the related controlling groups, as mentioned above, are not active either directly or indirectly in the market/markets in which Andriani operates, nor in upstream or downstream markets.  </w:t>
        <w:br/>
        <w:t xml:space="preserve">15. In light of the above considerations, the concentration under examination does not appear to significantly hinder effective competition in the relevant markets and does not lead to the establishment or strengthening of a dominant position.  </w:t>
        <w:br/>
        <w:t xml:space="preserve">CONSIDERED, therefore, that the operation under examination does not significantly hinder effective competition in the relevant markets pursuant to Article 6, paragraph 1, of Law No. 287/90 and does not involve the establishment or strengthening of a dominant position;  </w:t>
        <w:br/>
        <w:t xml:space="preserve">CONSIDERED, furthermore, that the non-competition agreement is accessory to this operation within the limits described above and that the Authority reserves the right to evaluate, where the prerequisites exist, the aforementioned agreement that occurs beyond those limits;  </w:t>
        <w:br/>
        <w:t xml:space="preserve">RESOLVES  </w:t>
        <w:br/>
        <w:t xml:space="preserve">not to initiate the investigation referred to in Article 16, paragraph 4, of Law No. 287/90.  </w:t>
        <w:br/>
        <w:t xml:space="preserve">3 See decision No. 12628 of 20 November 2003, case C6153 - LINDE GAS ITALIA/ERMA.  </w:t>
        <w:br/>
        <w:t>4 Ibid. In that previous instance, the case ABBOTT LABORATORIES/ZONE PERFECT NUTRITION COMPANY, decision No. 12375 of 22 August 2003, is also mentioned, in which the Authority considered that the broader market for dietary products in general is of national dimension.</w:t>
      </w:r>
    </w:p>
    <w:p>
      <w:r>
        <w:t xml:space="preserve">BULLETIN NO. 36 OF 10 OCTOBER 2022 43  </w:t>
        <w:br/>
        <w:t xml:space="preserve">The above conclusions will be communicated, pursuant to Article 16, paragraph 4, of Law No. 287/90, to the interested companies and the Minister of Economic Development.  </w:t>
        <w:br/>
        <w:t xml:space="preserve">This decision will be published in the Bulletin of the Competition and Market Authority.  </w:t>
        <w:br/>
        <w:t xml:space="preserve">THE SECRETARY GENERAL THE PRESIDENT  </w:t>
        <w:br/>
        <w:t>Guido Stazi Roberto Rustichelli</w:t>
      </w:r>
    </w:p>
    <w:p>
      <w:r>
        <w:t xml:space="preserve">44 BULLETIN NO. 36 OF 10 OCTOBER 2022  </w:t>
        <w:br/>
        <w:t xml:space="preserve">C12484 - RIVA ACIER/ASSET OF DERICHEBOURG ENVIRONNEMENT  </w:t>
        <w:br/>
        <w:t xml:space="preserve">Decision No. 30309  </w:t>
        <w:br/>
        <w:t xml:space="preserve">THE COMPETITION AND MARKET AUTHORITY  </w:t>
        <w:br/>
        <w:t xml:space="preserve">IN ITS MEETING of 20 September 2022;  </w:t>
        <w:br/>
        <w:t xml:space="preserve">HEARD the Rapporteur, Professor Elisabetta Iossa;  </w:t>
        <w:br/>
        <w:t xml:space="preserve">HAVING REGARD to Regulation (EC) No. 139/2004;  </w:t>
        <w:br/>
        <w:t xml:space="preserve">HAVING REGARD to Law No. 287 of 10 October 1990;  </w:t>
        <w:br/>
        <w:t xml:space="preserve">HAVING REGARD to the D.P.R. No. 217 of 30 April 1998;  </w:t>
        <w:br/>
        <w:t xml:space="preserve">HAVING REGARD to the communication from Riva Acier SAS received on 29 August 2022;  </w:t>
        <w:br/>
        <w:t xml:space="preserve">HAVING REGARD to the documentation on file;  </w:t>
        <w:br/>
        <w:t xml:space="preserve">CONSIDERED the following:  </w:t>
        <w:br/>
        <w:t xml:space="preserve">I. THE PARTIES  </w:t>
        <w:br/>
        <w:t xml:space="preserve">1. Riva Acier SAS (hereinafter also "Riva Acier" or the acquiring Company) is a company under French law indirectly controlled by Riva Forni Elettrici S.p.A. and part of the Riva Forni Elettrici group (hereinafter also "Riva Group"), which operates in the steel production sector and related activities. The Riva Group is active in Italy, France, Germany, Belgium, Spain, and Canada. In 2021, the consolidated revenue of the Riva group was approximately [4-5]* billion euros, of which [517-700] million euros were generated in Italy.  </w:t>
        <w:br/>
        <w:t xml:space="preserve">2. The Derichebourg Environment group (hereinafter "DRG") is a group active in nine countries in the environmental services sector and waste collection and treatment, particularly metal scrap. In October 2021, a company of the DRG group notified the European Commission of the acquisition of exclusive control over Groupe Ecore Holding SAS, the parent company of the Ecore group, which is also active in six countries in the environmental services sector and particularly in metal scrap1. Following the related procedure, with a decision taken on 17 December 2021, the European Commission authorized the acquisition of the French Ecore group by DRG, subject to compliance with a series of commitments, consisting of the divestiture of certain collection and treatment infrastructures for metal scrap (hereinafter also "Assets") and the related adoption of certain agreements with the buyer, to address the competitive issues arising from the operation in certain French regions. The Assets of DRG subject to the commitments made by DRG with the European Commission are active in the collection, recovery, and marketing of ferrous and non-ferrous waste and consist of eight sites: four recycling plants equipped with a shredder and four collection sites, all located in France. The recycling plants are located in Amnéville, Montereau, Nantes, and Salaise-sur-Sanne. The collection sites are located in La Rochelle, Lorient, Apprieu, and Sète. In 2021, the consolidated revenue of the  </w:t>
        <w:br/>
        <w:t xml:space="preserve">* In this version, some data are omitted, as there were deemed to be elements of confidentiality or secrecy of the information.  </w:t>
        <w:br/>
        <w:t>1 M.10249 – Derichebourg Environnement/ Groupe Ecore Holding.</w:t>
      </w:r>
    </w:p>
    <w:p>
      <w:r>
        <w:rPr>
          <w:b/>
        </w:rPr>
        <w:t>[Pages 43–45]</w:t>
      </w:r>
    </w:p>
    <w:p>
      <w:r>
        <w:t>BULLETIN NO. 36 OF 10 OCTOBER 2022 45</w:t>
      </w:r>
    </w:p>
    <w:p>
      <w:r>
        <w:t>The consolidated revenue of the Asset was [100-517] million euros, of which [31-100] million euros were generated in Italy. The Asset does not hold any corporate participation.</w:t>
      </w:r>
    </w:p>
    <w:p>
      <w:r>
        <w:t>II. DESCRIPTION OF THE OPERATION</w:t>
      </w:r>
    </w:p>
    <w:p>
      <w:r>
        <w:t>3. The operation consists of the exclusive acquisition by Riva Acier of the control of the Assets of DRG subject to divestiture pursuant to the commitments presented by the same within the framework of the European Commission procedure M.10249 – Derichebourg Environnement/ Groupe Ecore Holding2. In accordance with the practice of the European Commission, the Commitments approved by it in Procedure M.10249 provide for a series of obligations on the part of DRG, which have been incorporated into the contractual agreements between DRG and Riva Acier for the transfer of the Assets. These include both non-competition clauses and supply obligations on the part of the selling Company, the duration of which is deemed functional to allow the Assets to become completely independent from DRG3.</w:t>
      </w:r>
    </w:p>
    <w:p>
      <w:r>
        <w:t>III. QUALIFICATION OF THE OPERATION</w:t>
      </w:r>
    </w:p>
    <w:p>
      <w:r>
        <w:t>4. The notified operation constitutes a concentration pursuant to Article 5, paragraph 1, letter b), of Law No. 287/90 as it involves the acquisition of exclusive control over parts of an enterprise.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companies involved exceeded 517 million euros and the total revenue generated individually in the last financial year at the national level by at least two of the companies involved exceeded 31 million euros.</w:t>
      </w:r>
    </w:p>
    <w:p>
      <w:r>
        <w:t>5. The non-competition clauses in favor of the acquiring company (Riva Acier) and the supply obligations on the part of the selling company (DGR) can be considered ancillary to the operation as they are established in compliance with a ruling of the EU Commission in order to authorize the acquisition of Groupe Ecore Holding SAS by DRG, and thus in an exceptional circumstance compared to those normally examined according to the criteria set out in the Commission's Communication on restrictions directly related and necessary to concentrations (2005/C 56/03)4.</w:t>
      </w:r>
    </w:p>
    <w:p>
      <w:r>
        <w:t>2 In particular, the Commitments provide that the divestiture of the Assets be completed within the term of [omitted] from the approval by the European Commission of Riva Acier as a suitable buyer. In this regard, the European Commission must verify that the Riva Group meets the following criteria:</w:t>
        <w:br/>
        <w:t>(i) that the buyer of the Assets is independent and not connected to DRG;</w:t>
        <w:br/>
        <w:t>(ii) that it has the financial resources, proven expertise, and incentives to maintain and develop the Assets' ability to compete actively;</w:t>
        <w:br/>
        <w:t>(iii) that the acquisition of the Assets is not likely to give rise, prima facie, to competitive problems or risk delaying the implementation of the Commitments.</w:t>
        <w:br/>
        <w:t>[Omitted].</w:t>
      </w:r>
    </w:p>
    <w:p>
      <w:r>
        <w:t>3 In particular, DRG has committed:</w:t>
        <w:br/>
        <w:t>[omitted].</w:t>
      </w:r>
    </w:p>
    <w:p>
      <w:r>
        <w:t>4 For the possibility of taking into account exceptional circumstances not provided for by the aforementioned Communication, see the Commission's Communication on restrictions directly related and necessary to concentrations (2005/C 56/03), paragraph 5.</w:t>
      </w:r>
    </w:p>
    <w:p>
      <w:r>
        <w:t>46 BULLETIN NO. 36 OF 10 OCTOBER 2022</w:t>
      </w:r>
    </w:p>
    <w:p>
      <w:r>
        <w:t>IV. ASSESSMENT OF THE CONCENTRATION</w:t>
      </w:r>
    </w:p>
    <w:p>
      <w:r>
        <w:t>Relevant markets, positions of the parties, and effects of the operation</w:t>
      </w:r>
    </w:p>
    <w:p>
      <w:r>
        <w:t>6. Due to the activities of the companies involved, the operation concerns (i) the collection, treatment, and trade of ferrous and non-ferrous metal waste and (ii) the production and marketing of steel products. The two markets are vertically integrated as metal scrap constitutes one of the raw materials used to produce steel material.</w:t>
      </w:r>
    </w:p>
    <w:p>
      <w:r>
        <w:t>(i) The market for the collection, treatment, and trade of ferrous and non-ferrous metal waste</w:t>
      </w:r>
    </w:p>
    <w:p>
      <w:r>
        <w:t>7. The part of the business subject to acquisition operates through eight sites located in various French regions in the market for the collection, treatment, and marketing of ferrous and non-ferrous metal scrap. The activity of collecting, treating, and trading ferrous and non-ferrous metal waste consists of recovering scrap waste from the territory and transforming it into secondary raw material, which is then used as a production factor by plants in the electro-steel sector. Regarding the geographical dimension of this market, in its previous decisions, the Authority has hypothesized that it could also be supranational, considering the significant import flows into Italy, while leaving the definition open in such cases5. In decision M102496, the Commission distinguished between collection activities and those of treatment and marketing of ferrous and non-ferrous metal waste, assigning a local dimension to the former (with a radius of 40-70 km) and to the latter (with a radius of 150-400 km depending on the types of products), and attributing a much broader and supranational dimension (up to the EEA) to marketing. In the present case, however, it is not necessary to define the markets related to the collection, treatment, and trade of ferrous and non-ferrous metal waste more precisely, as the acquiring company does not have any facility that performs such activity throughout the EEA. Therefore, the operation does not involve any horizontal overlap, regardless of the definition adopted for the product market and its geographical dimension. The Parties report, however, that even adopting the more detailed and narrower definition of the markets used by the Commission, only in one case does the acquired business branch have a share exceeding [20-30%] and never exceeding [30-40%].</w:t>
      </w:r>
    </w:p>
    <w:p>
      <w:r>
        <w:t>(ii) The market for the production and marketing of steel products</w:t>
      </w:r>
    </w:p>
    <w:p>
      <w:r>
        <w:t>8. The buyer, Riva Group, is active in the steel sector and particularly in the production and marketing of semi-finished products such as blooms and billets, in the production and marketing of finished long products in carbon steel, such as rebar and round bars for reinforced concrete, in the production of processed or cold-finished long products, and in the production of special steel products. These activities identify markets whose geographical dimension is supranational and coincides with the EEA or the territory of the European Union considering both the homogeneity of the products for each market and the competitive conditions, as well as the limited impact of transportation costs on the final price of the products and the relevance of import/export flows between European countries. However, it is not necessary here to adopt a more precise definition of the product and geographical markets, as the Assets subject to acquisition are not active in such markets and thus the operation does not involve any horizontal overlap. In any case, according to the Parties, in all the above-described markets, the Riva Group holds very modest market shares, far below 25% when calculated against a geographical dimension equal to the EEA.</w:t>
      </w:r>
    </w:p>
    <w:p>
      <w:r>
        <w:t>(iii) Vertical effects</w:t>
      </w:r>
    </w:p>
    <w:p>
      <w:r>
        <w:t>9. Although there are no horizontal overlaps between the activities of the acquirer and those of the Assets subject to acquisition, it should be noted that these activities have a vertical link as one (the collection, recovery, and marketing of metal scrap) provides the raw material to the second (the steel processing). The operation could therefore have vertical effects. However, according to the information provided by the parties, given the modest market position of the Riva Group in each of the examined sectors, the purchase of one of the many operators (Assets of DGR) that market ferrous metal scrap used in the production of steel products does not appear likely to produce any restrictive vertical effects on the competitive dynamics of the sectors in which the parties operate.</w:t>
      </w:r>
    </w:p>
    <w:p>
      <w:r>
        <w:t>10. In light of all the above considerations, given the modest market share of the Assets in the trade of metal waste, particularly ferrous waste (which is the type of waste that the Riva Group sources), and the large number of operators active in the sector, the concentration under examination does not appear capable of significantly hindering effective competition in the relevant markets or of creating or strengthening a dominant position in the relevant markets.</w:t>
      </w:r>
    </w:p>
    <w:p>
      <w:r>
        <w:t>THEREFORE, IT IS CONSIDERED that the operation under examination does not significantly hinder effective competition in the relevant markets pursuant to Article 6, paragraph 1, of Law No. 287/90 and does not create or strengthen a dominant position;</w:t>
      </w:r>
    </w:p>
    <w:p>
      <w:r>
        <w:t>IT IS ALSO CONSIDERED that the non-competition clauses and supply obligations between the parties are ancillary to this operation;</w:t>
      </w:r>
    </w:p>
    <w:p>
      <w:r>
        <w:t>RESOLVES</w:t>
      </w:r>
    </w:p>
    <w:p>
      <w:r>
        <w:t>not to initiate the investigation referred to in Article 16, paragraph 4, of Law No. 287/1990.</w:t>
      </w:r>
    </w:p>
    <w:p>
      <w:r>
        <w:t>The above conclusions will be communicated, pursuant to Article 16, paragraph 4, of Law No. 287/90, to the companies involved and to the Minister of Economic Development.</w:t>
      </w:r>
    </w:p>
    <w:p>
      <w:r>
        <w:rPr>
          <w:b/>
        </w:rPr>
        <w:t>[Pages 46–48]</w:t>
      </w:r>
    </w:p>
    <w:p>
      <w:r>
        <w:t xml:space="preserve">48 BULLETIN NO. 36 OF 10 OCTOBER 2022  </w:t>
        <w:br/>
        <w:t xml:space="preserve">This provision will be published in the Bulletin of the Competition and Market Authority.  </w:t>
        <w:br/>
        <w:t xml:space="preserve">THE SECRETARY GENERAL THE PRESIDENT  </w:t>
        <w:br/>
        <w:t>Guido Stazi Roberto Rustichelli</w:t>
      </w:r>
    </w:p>
    <w:p>
      <w:r>
        <w:t xml:space="preserve">BULLETIN NO. 36 OF 10 OCTOBER 2022 49  </w:t>
        <w:br/>
        <w:t xml:space="preserve">C12488 - BUBBLES BIDCO/QUATTRO  </w:t>
        <w:br/>
        <w:t xml:space="preserve">Provision No. 30310  </w:t>
        <w:br/>
        <w:t xml:space="preserve">THE COMPETITION AND MARKET AUTHORITY  </w:t>
        <w:br/>
        <w:t xml:space="preserve">IN ITS MEETING of 4 October 2022;  </w:t>
        <w:br/>
        <w:t xml:space="preserve">HEARD the Rapporteur, Professor Elisabetta Iossa;  </w:t>
        <w:br/>
        <w:t xml:space="preserve">HAVING REGARD to Regulation (EC) No. 139/2004 of the Council, of 20 January 2004, concerning the control of concentrations between undertakings;  </w:t>
        <w:br/>
        <w:t xml:space="preserve">HAVING REGARD to Law No. 287 of 10 October 1990;  </w:t>
        <w:br/>
        <w:t xml:space="preserve">HAVING REGARD to the Presidential Decree No. 217 of 30 April 1998;  </w:t>
        <w:br/>
        <w:t xml:space="preserve">HAVING REGARD to the communication from Bubbles BidCo S.p.A., received on 9 September 2022, pursuant to Article 16 of Law No. 287/1990;  </w:t>
        <w:br/>
        <w:t xml:space="preserve">HAVING REGARD to the documentation on file;  </w:t>
        <w:br/>
        <w:t xml:space="preserve">CONSIDERED the following:  </w:t>
        <w:br/>
        <w:t xml:space="preserve">I. THE PARTIES  </w:t>
        <w:br/>
        <w:t xml:space="preserve">1. Bubbles BidCo S.p.A. (hereinafter, Bubbles or the notifying Party) is a holding company indirectly controlled by funds managed or advised - directly or indirectly - by H.I.G. Capital (hereinafter, H.I.G.)1.  </w:t>
        <w:br/>
        <w:t xml:space="preserve">2. H.I.G. is a company active globally in private equity and alternative investments and, in particular, in providing debt or equity capital to small and medium-sized enterprises2.  </w:t>
        <w:br/>
        <w:t xml:space="preserve">3. As far as relevant for this operation, H.I.G. operates in the consumer goods sector and, in particular, in the retail sale of personal and household hygiene and care products through the following companies, acquired by Bubbles in 2021 (hereinafter, the Bubbles Group)3:  </w:t>
        <w:br/>
        <w:t xml:space="preserve">- Cesar S.p.A.;  </w:t>
        <w:br/>
        <w:t xml:space="preserve">- Gruppo SDA Srl Servizi Distribuzione Associati and its subsidiaries4;  </w:t>
        <w:br/>
        <w:t xml:space="preserve">- VDM Vaccaro Distribuzione Merci S.r.l..  </w:t>
        <w:br/>
        <w:t xml:space="preserve">1 In particular, Bubbles is wholly owned by Forum Holding 6 S.a r.l, based in Luxembourg, which is indirectly controlled by Forum Holding 4 S.a r.l., whose share capital is held, directly or indirectly, 74.8% by H.I.G.  </w:t>
        <w:br/>
        <w:t xml:space="preserve">2 Further information on H.I.G. is available at: https://higcapital.com and https://higeurope.com.  </w:t>
        <w:br/>
        <w:t xml:space="preserve">3 See European Commission decision of 27 September 2021, case M.10392 - H.I.G. Capital/ Cesar/SDA/VDM.  </w:t>
        <w:br/>
        <w:t>4 These are the companies Quamar Distribuzione S.r.l., also active in the retail sale of personal hygiene and care products, and SRM Trasporti S.r.l., controlled by SDA through Quamar, which provides logistics and intra-group transport services.</w:t>
      </w:r>
    </w:p>
    <w:p>
      <w:r>
        <w:t xml:space="preserve">50 BULLETIN NO. 36 OF 10 OCTOBER 2022  </w:t>
        <w:br/>
        <w:t xml:space="preserve">4. In the sector under examination, the Bubbles Group is present - predominantly5 - through retail outlets under the Acqua&amp;Sapone brand located in various Italian regions6, through which it markets: (i) cleaning products for the home of various brands (Omino Bianco, Cif, Svelto, etc.); (ii) personal care products of various brands (Nivea, Infasil, Garnier, Lysterine, etc.); (iii) cosmetics; (iv) associated gadgets.  </w:t>
        <w:br/>
        <w:t xml:space="preserve">5. In Sardinia, Bubbles manages 25 Acqua&amp;Sapone retail outlets, listed in Table 1.  </w:t>
        <w:br/>
        <w:t xml:space="preserve">Table 1 – Acqua&amp;Sapone Retail Outlets in Sardinia  </w:t>
        <w:br/>
        <w:t xml:space="preserve">5 Cesar S.p.A. also operates under the distinctive signs La Saponeria.  </w:t>
        <w:br/>
        <w:t>6 In particular, the Bubbles Group holds the Acqua&amp;Sapone retail outlets located in Abruzzo, Basilicata, Lazio, Liguria, Lombardy, Marche, Molise, Piedmont, Apulia, Sardinia, and Aosta Valley.</w:t>
      </w:r>
    </w:p>
    <w:p>
      <w:r>
        <w:rPr>
          <w:b/>
        </w:rPr>
        <w:t>[Pages 49–51]</w:t>
      </w:r>
    </w:p>
    <w:p>
      <w:r>
        <w:t>BULLETIN NO. 36 OF 10 OCTOBER 2022 51</w:t>
      </w:r>
    </w:p>
    <w:p>
      <w:r>
        <w:t>6. The Bubbles Group is a member of the A&amp;S Consortium, which carries out, among other activities, procurement for its members through the purchasing center ESD Italia S.r.l., of which the Consortium is a partner (with a 14% share), together with Agorà Network, Aspiag Service (licensee of the Despar brand in Italy), Selex, and Supermercati Uniti Nazionali.</w:t>
      </w:r>
    </w:p>
    <w:p>
      <w:r>
        <w:t>7. Finally, the Bubbles Group is also marginally active in the wholesale sale of household care and personal hygiene products.</w:t>
      </w:r>
    </w:p>
    <w:p>
      <w:r>
        <w:t>8. In 2020, H.I.G. achieved a consolidated turnover of [20-30]* billion euros, of which approximately [1-2] billion euros in Italy.</w:t>
      </w:r>
    </w:p>
    <w:p>
      <w:r>
        <w:t>9. Quattro S.r.l. (hereinafter, Quattro or the Target), wholly owned by Varoni S.r.l.7, is active in the retail trade of household hygiene and personal care products, through 62 points of sale, all located in Sardinia, under the brands Saponi&amp;Profumi and PiùMe (Table 2)8.</w:t>
      </w:r>
    </w:p>
    <w:p>
      <w:r>
        <w:t>* In this version, some data are omitted, as elements of confidentiality or secrecy of the information were deemed to exist.</w:t>
      </w:r>
    </w:p>
    <w:p>
      <w:r>
        <w:t>7 Varoni S.r.l. is controlled by two individuals.</w:t>
      </w:r>
    </w:p>
    <w:p>
      <w:r>
        <w:t>8 Quattro also owns two points of sale under the Je suis profumerie brand located in Cagliari and Olbia, where it sells high-end cosmetic products. Quattro is also active in the retail and wholesale sale of products not related to the household care and personal care sector, such as: Pet Care, Appliances/cinema/photo, Textile/clothing/shoes, Food. These activities generated, in 2021, sales amounting to approximately [1-10] million euros.</w:t>
      </w:r>
    </w:p>
    <w:p>
      <w:r>
        <w:t>52 BULLETIN NO. 36 OF 10 OCTOBER 2022</w:t>
      </w:r>
    </w:p>
    <w:p>
      <w:r>
        <w:t>Table 2 – Points of sale Saponi&amp;Profumi and PiùMe in Sardinia</w:t>
      </w:r>
    </w:p>
    <w:p>
      <w:r>
        <w:t>Province / N Locality Address sqm</w:t>
        <w:br/>
        <w:t>Metropolitan City</w:t>
        <w:br/>
        <w:t>1 Cagliari Cagliari Viale Elmas, 67 523</w:t>
        <w:br/>
        <w:t>2 Assemini Via Carmine, 91 520</w:t>
        <w:br/>
        <w:t>3 Selargius Via della Libertà, 22 442</w:t>
        <w:br/>
        <w:t>4 Senorbì Via Carlo Sanna 404</w:t>
        <w:br/>
        <w:t>5 San Vito Via Niccolò Copernico 398</w:t>
        <w:br/>
        <w:t>6 Quartu Sant'Elena Via Danimarca, 149 369</w:t>
        <w:br/>
        <w:t>7 Dolianova Corso Repubblica, 42 360</w:t>
        <w:br/>
        <w:t>8 Uta Via Stazione, 142 340</w:t>
        <w:br/>
        <w:t>9 Capoterra Via Cagliari, 20 330</w:t>
        <w:br/>
        <w:t>10 Isili Corso Vittorio Emanuele, 10 320</w:t>
        <w:br/>
        <w:t>11 Su Planu Via Piero della Francesca, 5 318</w:t>
        <w:br/>
        <w:t>12 Monserrato Vico Monte Arci, 40 310</w:t>
        <w:br/>
        <w:t>13 Villasor Via Cagliari, 68 297</w:t>
        <w:br/>
        <w:t>14 Sinnai Viale della Libertà, 87 285</w:t>
        <w:br/>
        <w:t>15 Sestu Via Vittorio Veneto, 147 250</w:t>
        <w:br/>
        <w:t>16 Cagliari Via Pola, 45/47 250</w:t>
        <w:br/>
        <w:t>17 Quartu Sant'Elena Via Vittorio Emanuele, 161/163 250</w:t>
        <w:br/>
        <w:t>18 Quartu Sant'Elena Via Cagliari, 121 250</w:t>
        <w:br/>
        <w:t>19 Quartu Sant'Elena Via Colombo, 58 249</w:t>
        <w:br/>
        <w:t>20 Cagliari Via Giovanni Battista Tuveri, 54 245</w:t>
        <w:br/>
        <w:t>21 Cagliari Via Is Mirrionis, 97/B 226</w:t>
        <w:br/>
        <w:t>22 Decimomannu Via Nazionale, 40A 222</w:t>
        <w:br/>
        <w:t>23 Sud Sardegna Carbonia Via Stazione 497</w:t>
        <w:br/>
        <w:t>24 Iglesias Via Garibaldi, 25 434</w:t>
        <w:br/>
        <w:t>25 Iglesias Via Capuccini, 1 431</w:t>
        <w:br/>
        <w:t>26 Guspini Via Giacomo Matteotti, 127 428</w:t>
        <w:br/>
        <w:t>27 Sanluri Via Carlo Felice, 78 275</w:t>
        <w:br/>
        <w:t>28 Villacidro Via Nazionale, 122 250</w:t>
        <w:br/>
        <w:t>29 Sant'Antioco Via Roma, 31 249</w:t>
        <w:br/>
        <w:t>30 Serramanna Via Fra'Ignazio, 5/7 219</w:t>
        <w:br/>
        <w:t>31 Samassi Via Angioy, 5/7 199</w:t>
        <w:br/>
        <w:t>32 San Gavino Monreale Viale Rinascita, 65 150</w:t>
        <w:br/>
        <w:t>33 Sassari Sassari Viale Porto Torres, 24 1,142</w:t>
        <w:br/>
        <w:t>34 Olbia Viale Aldo Moro, 237 700</w:t>
        <w:br/>
        <w:t>35 Olbia Via dei Liutai, 6 579</w:t>
        <w:br/>
        <w:t>36 La Maddalena Via Terralugiana, 68 531</w:t>
        <w:br/>
        <w:t>37 Sorso Via Marina, 1 512</w:t>
        <w:br/>
        <w:t>38 Ittiri Via della Resistenza, 4 477</w:t>
        <w:br/>
        <w:t>39 Porto Torres Via Antonelli, 16 400</w:t>
        <w:br/>
        <w:t>40 Sassari Via Budapest, snc 376</w:t>
        <w:br/>
        <w:t>41 Sassari Via Carlo Felice, 33 360</w:t>
        <w:br/>
        <w:t>42 Olbia Via Vittorio Veneto, 15/B 302</w:t>
      </w:r>
    </w:p>
    <w:p>
      <w:r>
        <w:t>BULLETIN NO. 36 OF 10 OCTOBER 2022 53</w:t>
      </w:r>
    </w:p>
    <w:p>
      <w:r>
        <w:t>43 Tempio Pausania Via don Sturzo, 16 270</w:t>
        <w:br/>
        <w:t>44 Alghero Via Giovanni XXIII, 77 250</w:t>
        <w:br/>
        <w:t>45 Palau Via Razzoli, 36 250</w:t>
        <w:br/>
        <w:t>46 Alghero Via XX Settembre, 116 250</w:t>
        <w:br/>
        <w:t>47 Ozieri Via Badde Aini, 3 245</w:t>
        <w:br/>
        <w:t>48 Sassari Viale Italia, 7C 228</w:t>
        <w:br/>
        <w:t>49 Valledoria Corso Europa, 87/A 218</w:t>
        <w:br/>
        <w:t>50 Budoni Via Nazionale 149</w:t>
        <w:br/>
        <w:t>51 Nuoro Lanusei Via Ilbono, snc 450</w:t>
        <w:br/>
        <w:t>52 Nuoro Via A. Lamarmora, 112/122 275</w:t>
        <w:br/>
        <w:t>53 Nuoro Viale della Repubblica, 27 /33 250</w:t>
        <w:br/>
        <w:t>54 Tortolì Via Monsignor Virgilio, 50 250</w:t>
        <w:br/>
        <w:t>55 Siniscola Via G.F. Conteddu, 112 240</w:t>
        <w:br/>
        <w:t>56 Dorgali Via Molise 148</w:t>
        <w:br/>
        <w:t>57 Oristano Ghilarza Via Marco Polo, 8A 353</w:t>
        <w:br/>
        <w:t>58 Cabras Via Giacomo Leopardi, 87A 289</w:t>
        <w:br/>
        <w:t>59 Mogoro Via Gramsci, 37/A 276</w:t>
        <w:br/>
        <w:t>60 Oristano Via Carducci, 22 250</w:t>
        <w:br/>
        <w:t>61 Oristano Via Tirso, 110 249</w:t>
        <w:br/>
        <w:t>62 Terralba Via Marceddì, 32 248</w:t>
      </w:r>
    </w:p>
    <w:p>
      <w:r>
        <w:t>9</w:t>
        <w:br/>
        <w:t>Source: Notification form and Saponi&amp;Profumi website (https://www.saponieprofumi.it/punti-vendita).</w:t>
      </w:r>
    </w:p>
    <w:p>
      <w:r>
        <w:t>10. In the Saponi&amp;Profumi points of sale, Quattro distributes: (i) household hygiene products of various brands (Lysoform, Sole, WC Net, Coccolino, etc.); (ii) personal care products of various brands (Lycia, Garnier, BIC, Pasta del Capitano, etc.); (iii) cosmetics; (iv) associated gadgets.</w:t>
      </w:r>
    </w:p>
    <w:p>
      <w:r>
        <w:t>11. Quattro is a member of the Promotre S.c.r.l. Consortium (in which it holds a 33.33% share), which carries out, among other activities, procurement for its members through the purchasing center CRAI Secom S.p.A.10.</w:t>
      </w:r>
    </w:p>
    <w:p>
      <w:r>
        <w:t>12. Finally, Quattro is also marginally active in the wholesale sale of household care and personal hygiene products, supplying small grocery stores located throughout Sardinia11.</w:t>
      </w:r>
    </w:p>
    <w:p>
      <w:r>
        <w:t>13. In 2020, Quattro's consolidated turnover amounted to [31-100] million euros, entirely generated in Italy12.</w:t>
      </w:r>
    </w:p>
    <w:p>
      <w:r>
        <w:t>9 Compared to the information available on the Saponi&amp;Profumi website, the list provided by the notifying Party is missing the point of sale located in Sant’Antioco, at via della Rinascita 25, opened in June 2022, replacing a point of sale for building materials.</w:t>
      </w:r>
    </w:p>
    <w:p>
      <w:r>
        <w:t>10 This share will be divested before the closing of the transaction in question and the contractual relationship with CRAI Secom will be terminated (see infra).</w:t>
      </w:r>
    </w:p>
    <w:p>
      <w:r>
        <w:t>11 Further information on Quattro is available at https://www.saponieprofumi.it and https://www.jesuisprofumerie.it/prodotti.</w:t>
      </w:r>
    </w:p>
    <w:p>
      <w:r>
        <w:t>12 The financial statements for 2021 are not yet available. Based on estimates provided by the Party, the turnover achieved in 2021 in Italy by Quattro is approximately [31-100] million euros.</w:t>
      </w:r>
    </w:p>
    <w:p>
      <w:r>
        <w:rPr>
          <w:b/>
        </w:rPr>
        <w:t>[Pages 52–54]</w:t>
      </w:r>
    </w:p>
    <w:p>
      <w:r>
        <w:t>54 BULLETIN NO. 36 OF 10 OCTOBER 2022</w:t>
      </w:r>
    </w:p>
    <w:p>
      <w:r>
        <w:t>II. DESCRIPTION OF THE TRANSACTION</w:t>
      </w:r>
    </w:p>
    <w:p>
      <w:r>
        <w:t>14. The transaction consists of the acquisition by H.I.G. Capital, through Bubbles BidCo, of the exclusive control of Quattro S.r.l.</w:t>
      </w:r>
    </w:p>
    <w:p>
      <w:r>
        <w:t>15. Based on the share purchase agreement (hereinafter also referred to as SPA) signed on 18 May 2022, Quattro commits to divest, prior to the closing of the transaction, the shares held in other companies, which therefore will not be subject to transfer13.</w:t>
      </w:r>
    </w:p>
    <w:p>
      <w:r>
        <w:t>16. The SPA also provides, for a period of three years from the closing:</w:t>
        <w:br/>
        <w:t>(i) a non-compete obligation, under which Quattro and the individual controlling it commit not to engage in activities in Italy in the sectors in which Bubbles operates, and not to hold - directly or indirectly - controlling interests in companies that carry out the same activities as Bubbles in Italy;</w:t>
        <w:br/>
        <w:t>(ii) a non-solicitation obligation, under which Quattro commits not to offer employment or work assignments to any individual holding a position in Bubbles, and not to take on the role of employee/provide services for any company active in Italy in the same sectors in which Bubbles operates;</w:t>
        <w:br/>
        <w:t>(iii) a non-solicitation obligation, under which Quattro commits not to solicit Bubbles' suppliers to terminate their business relationships with it or to negatively modify the terms and/or conditions of such business relationships.</w:t>
      </w:r>
    </w:p>
    <w:p>
      <w:r>
        <w:t>III. QUALIFICATION OF THE TRANSACTION</w:t>
      </w:r>
    </w:p>
    <w:p>
      <w:r>
        <w:t>17. The notified transaction,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in Italy, by the group of companies involved exceeded 517 million euros and the total turnover achieved individually, in the last financial year in Italy, by at least two of the companies involved exceeded 31 million euros.</w:t>
      </w:r>
    </w:p>
    <w:p>
      <w:r>
        <w:t>18. The non-compete and non-solicitation agreements described above will be subject to further examination during the investigation to assess their accessory nature in relation to the notified transaction.</w:t>
      </w:r>
    </w:p>
    <w:p>
      <w:r>
        <w:t>IV. ASSESSMENTS</w:t>
      </w:r>
    </w:p>
    <w:p>
      <w:r>
        <w:t>IV.1. The relevant sector</w:t>
      </w:r>
    </w:p>
    <w:p>
      <w:r>
        <w:t>19. Considering the activities of the Parties, the sector affected by the transaction under review is that of the retail distribution of home hygiene and cleaning products (hereinafter, home care) and personal care products and cosmetics. These products can be categorized based on the specific needs they aim to satisfy.</w:t>
      </w:r>
    </w:p>
    <w:p>
      <w:r>
        <w:t>20. Based on available data, in 2021 the total value of sales of home care products in Italy was approximately 1.4 billion euros, of which more than one-third was achieved in drugstores. In the same year, the sale of personal care cosmetic products (including luxury perfumes) generated a total turnover in Italy of approximately 10.6 billion euros.</w:t>
      </w:r>
    </w:p>
    <w:p>
      <w:r>
        <w:t>21. These products are marketed by various categories of operators, among which the most important are:</w:t>
        <w:br/>
        <w:t>(i) small-sized retail outlets;</w:t>
        <w:br/>
        <w:t>(ii) multi-product outlets with a focus, among other things, on fast-moving consumer goods in the home and personal care sector (so-called drugstores, such as Gruppo Maury’s, Casa&amp;Co., Risparmio Casa, and Tigotà);</w:t>
        <w:br/>
        <w:t>(iii) points of sale of large-scale organized distribution (GDO).</w:t>
      </w:r>
    </w:p>
    <w:p>
      <w:r>
        <w:t>22. All operators have an assortment that covers the various categories of home and personal care products. However, the different channels tend to differentiate themselves in relation to the breadth and depth of the assortment, price positioning, and the number and quality of services offered to the consumer.</w:t>
      </w:r>
    </w:p>
    <w:p>
      <w:r>
        <w:t>IV.2. The relevant markets</w:t>
      </w:r>
    </w:p>
    <w:p>
      <w:r>
        <w:t>23. For the purposes of assessing this transaction, the following markets are relevant:</w:t>
        <w:br/>
        <w:t>a) the retail market for home hygiene and personal care products and cosmetics;</w:t>
        <w:br/>
        <w:t>b) the retail market for cosmetic products and luxury perfumes;</w:t>
        <w:br/>
        <w:t>c) the procurement market for home hygiene and personal care products;</w:t>
        <w:br/>
        <w:t>d) the wholesale market for home hygiene and personal care products and cosmetics.</w:t>
      </w:r>
    </w:p>
    <w:p>
      <w:r>
        <w:t>a) The retail market for home hygiene and personal care products and cosmetics</w:t>
      </w:r>
    </w:p>
    <w:p>
      <w:r>
        <w:t>24. In its previous decision C1081814, the Authority identified the relevant market for the retail trade of home and personal care products and cosmetics, through specialized points of sale (so-called drugstores), perfumeries, and GDO, excluding points of sale for luxury cosmetics and perfumes.</w:t>
      </w:r>
    </w:p>
    <w:p>
      <w:r>
        <w:t>25. The distinction between points of sale for luxury cosmetic and perfumery products and those for mass-market products was recently confirmed in case C1210915, due to a series of characteristics of the products including price and quality, the criteria followed regarding display, presentation, and sales assistance in the two channels, as well as the fact that the retail sale of luxury perfumes and cosmetics is often organized through a selective distribution system.</w:t>
      </w:r>
    </w:p>
    <w:p>
      <w:r>
        <w:t>14 See case C10818 - GruppoSDA/Quamar Distribuzione-Q 12-Q 13-Q 14-C&amp;Q, decision no. 21872, in Bulletin no. 47/10. This concerns the acquisition by the SDA group of the commercial activities related to the Acqua&amp;Sapone brand held by Quamar. SDA and Quamar are now part of the H.I.G. Capital group.</w:t>
      </w:r>
    </w:p>
    <w:p>
      <w:r>
        <w:t>15 See case C12109 - Profumerie Douglas/La Gardenia Beauty-Limoni, decision no. 26927 in Bulletin no. 2/18.</w:t>
      </w:r>
    </w:p>
    <w:p>
      <w:r>
        <w:t>26. In both cases, the online channel was not considered part of the relevant market, as at the time of the decisions, this channel - although growing - still constituted a relatively insignificant share of sales.</w:t>
      </w:r>
    </w:p>
    <w:p>
      <w:r>
        <w:t>27. The competitive constraint exerted by the points of sale of the Large Organized Distribution on specialized stores selling home and personal care products (such as those of the Parties) also appears controversial, particularly when considering the various types of GDO points of sale (hypermarkets, supermarkets, convenience stores, and discount stores).</w:t>
      </w:r>
    </w:p>
    <w:p>
      <w:r>
        <w:t>28. Since the effects of the transaction under review differ significantly depending on whether or not the GDO channel (or some of its segments) and/or the online channel is included in the relevant product market, in the absence - at this stage - of robust evidence, it seems necessary to further investigate the substitutability relationship (i.e., the degree of mutual competition) currently existing between specialized stores and GDO points of sale, as well as with the online channel.</w:t>
      </w:r>
    </w:p>
    <w:p>
      <w:r>
        <w:t>29. From a geographical perspective, the retail market for personal and home products typically has a local dimension, considering consumer purchasing behaviors and the importance they attribute to the proximity of points of sale. In line with the aforementioned precedents, as well as with the recent orientation of the Authority in consumer goods retail markets, the geographical extent of the relevant market can be identified in the area delineated by isochrone curves of 15 or 20 minutes of driving, constructed around the target points of sale (centroids) within the perimeter of the notified transaction. Therefore, the geographical definition of the relevant market will also be subject to further examination during the investigation.</w:t>
      </w:r>
    </w:p>
    <w:p>
      <w:r>
        <w:t>b) The retail market for cosmetic products and luxury perfumes</w:t>
      </w:r>
    </w:p>
    <w:p>
      <w:r>
        <w:t>30. In the aforementioned case C12109, the Authority identified the retail market for cosmetic products and luxury perfumes marketed through selective distributors, namely (i) national multibrand perfumery chains (Douglas, Limoni, and La Gardenia, Sephora, and Marionnaud, as well as the perfumery corners of department stores Coin and La Rinascente); (ii) local multibrand perfumery chains; (iii) independent perfumeries.</w:t>
      </w:r>
    </w:p>
    <w:p>
      <w:r>
        <w:t>31. As mentioned, this market was deemed distinct from that of the retail sale of cosmetics and perfumes intended for mass consumption.</w:t>
      </w:r>
    </w:p>
    <w:p>
      <w:r>
        <w:t>32. The geographical dimension of the market was aligned with catchment areas constructed around each target point of sale based on an estimated travel time of 20 minutes.</w:t>
      </w:r>
    </w:p>
    <w:p>
      <w:r>
        <w:t>c) The procurement market for home and personal care products</w:t>
      </w:r>
    </w:p>
    <w:p>
      <w:r>
        <w:t>33. In the sector of Large Organized Distribution, the procurement market consists of the purchases made by GDO chains, which represent the demand side, from producers of fast-moving consumer goods (both food and non-food), which define the supply for resale in the modern distribution channel16. The Authority also considered that within this market, different sub-markets could be identified, distinct by product categories.</w:t>
      </w:r>
    </w:p>
    <w:p>
      <w:r>
        <w:t>34. This market has a national geographical dimension, due to the fact that purchases and negotiations take place at the national level.</w:t>
      </w:r>
    </w:p>
    <w:p>
      <w:r>
        <w:t>16 See case C12247B - BDC Italia-Conad/Auchan, decision no. 28064b of 24 January 2020, in Bulletin no. 10/20.</w:t>
      </w:r>
    </w:p>
    <w:p>
      <w:r>
        <w:rPr>
          <w:b/>
        </w:rPr>
        <w:t>[Pages 55–57]</w:t>
      </w:r>
    </w:p>
    <w:p>
      <w:r>
        <w:t>BULLETIN NO. 36 OF 10 OCTOBER 2022 57</w:t>
      </w:r>
    </w:p>
    <w:p>
      <w:r>
        <w:t>35. The decisions and methods of procurement of products for home and personal hygiene used by the Parties show significant similarities with those used by the GDO, particularly in relation to the type and variety of products purchased and participation in consortia (such as the A&amp;S Consortium for the buyer and the Promotre Consortium for the target) that are part of the same purchasing centers of the GDO (such as CRAI Secom through the Promotre Consortium and ESD through the A&amp;S Consortium).</w:t>
      </w:r>
    </w:p>
    <w:p>
      <w:r>
        <w:t>36. For this reason, it is believed that the product and geographical scope of the market for the procurement of products for home and personal care defined in relation to the GDO is also valid concerning the activities of the Parties in this operation.</w:t>
      </w:r>
    </w:p>
    <w:p>
      <w:r>
        <w:t>d) The wholesale market for home hygiene and personal care products and for perfumery and cosmetics</w:t>
      </w:r>
    </w:p>
    <w:p>
      <w:r>
        <w:t>37. In the aforementioned case C10818, the Authority defined the wholesale market for home and personal hygiene products and for perfumery and cosmetics, regardless of the type of product.</w:t>
      </w:r>
    </w:p>
    <w:p>
      <w:r>
        <w:t>38. In the most recent decision regarding case C1241617, both concerning personal care products and home care products, it was deemed possible, instead, to identify separate product markets based on their specific function of use.</w:t>
      </w:r>
    </w:p>
    <w:p>
      <w:r>
        <w:t>39. From a geographical perspective, this market has a national dimension.</w:t>
      </w:r>
    </w:p>
    <w:p>
      <w:r>
        <w:t>IV.3. The effects of the operation</w:t>
      </w:r>
    </w:p>
    <w:p>
      <w:r>
        <w:t>a) The relevant retail market for home hygiene and personal care products and for perfumery and cosmetics</w:t>
      </w:r>
    </w:p>
    <w:p>
      <w:r>
        <w:t>40. In the retail market for home hygiene and personal care products and for perfumery and cosmetics, Acqua&amp;Sapone and Saponi&amp;Profumi represent the two most important brands present in Sardinia, with points of sale located throughout the territory: H.I.G. owns - through the Bubbles Group - 25 Acqua&amp;Sapone stores, mainly located in the areas around Cagliari and Sassari18, while Quattro manages 62 Saponi&amp;Profumi points of sale, two-thirds of which are located in the southern part of the island19, which - following the concentration under examination - will become part of the H.I.G. Group.</w:t>
      </w:r>
    </w:p>
    <w:p>
      <w:r>
        <w:t>The other two specialized chains present in Sardinia manage a significantly lower number of points of sale: Risparmio Casa and the Maury’s Group each own 8 points of sale20.</w:t>
      </w:r>
    </w:p>
    <w:p>
      <w:r>
        <w:t>17 See case C12416 - Bolton Group/Madel, provision no. 30050 of 1 March 2022, in Bulletin no. 10/22.</w:t>
      </w:r>
    </w:p>
    <w:p>
      <w:r>
        <w:t>18 In particular, there are 7 Acqua&amp;Sapone points of sale in the province of Cagliari, 2 in South Sardinia, 11 in the province of Sassari, 4 in Nuoro, and 1 in the Oristano area (see Table 1).</w:t>
      </w:r>
    </w:p>
    <w:p>
      <w:r>
        <w:t>19 In particular, the Saponi&amp;Profumi points of sale are located: 22 in the province of Cagliari, 18 in South Sardinia, 6 in the province of Oristano, 6 in Nuoro, and 10 in the province of Sassari (see Table 2).</w:t>
      </w:r>
    </w:p>
    <w:p>
      <w:r>
        <w:t>20 The 8 Risparmio Casa points of sale are located in the province of Cagliari (2), in Sassari (2), and in South Sardinia (4) (information available on the Company's website at https://www.risparmiocasa.com/dove-trovarci-e-orari), while those of the Maury’s Group are in the provinces of Cagliari (3), Sassari (3), Oristano (1), and South Sardinia (1) (information available on the Company's website at https://www.maurys.it/punti-vendita/sardegna.html). The Europlanet Casa Group is also present in Sardinia, managing a single point of sale in Arbatax (province of Nuoro, see the address https://www.europlanetcasa.it/punti-vendita).</w:t>
      </w:r>
    </w:p>
    <w:p>
      <w:r>
        <w:t>58 BULLETIN NO. 36 OF 10 OCTOBER 2022</w:t>
      </w:r>
    </w:p>
    <w:p>
      <w:r>
        <w:t>41. Despite these differences, in terms of revenue, if a narrow product scope is considered, excluding the GDO, the market appears to be divided into almost homogeneous parts among the four chains: as a result of the concentration operation, therefore, H.I.G. will achieve more than half of the total sales of home and personal care products in the region, with shares close to [50-60%] in the province of Oristano and [90-100%] in Nuoro21.</w:t>
      </w:r>
    </w:p>
    <w:p>
      <w:r>
        <w:t>42. Including the GDO in the market, the Parties represent, at the regional level, the third and fourth operators, with shares of approximately [10-15%] and [10-15%], respectively, compared to about [20-25%] held by Conad22. Risparmio Casa and the Maury’s Group hold approximately [10-15%] and [10-15%], respectively.</w:t>
      </w:r>
    </w:p>
    <w:p>
      <w:r>
        <w:t>43. Even considering a broader product scope of the market, therefore, the structure that will emerge following the operation sees H.I.G. as the first operator, with a share greater than that achieved - for sales of home and personal care products - by the largest GDO chain and equal to double that held by the main specialized competitor.</w:t>
      </w:r>
    </w:p>
    <w:p>
      <w:r>
        <w:t>44. Finally, regarding the effects at the local level, based on the data provided by the Party, the concentration results in horizontal overlaps in 35 local markets (see Table 3 in the Appendix). In many of these, the market share of the post-merger entity will be equal to or greater than 25%23.</w:t>
      </w:r>
    </w:p>
    <w:p>
      <w:r>
        <w:t>45. In conclusion, in the retail market for home hygiene and personal care products and for perfumery and cosmetics, the notified operation results in a significant horizontal overlap between the activities of the Parties and appears likely to produce non-negligible adverse effects in numerous local markets.</w:t>
      </w:r>
    </w:p>
    <w:p>
      <w:r>
        <w:t>b) The relevant retail market for luxury cosmetics and perfumes</w:t>
      </w:r>
    </w:p>
    <w:p>
      <w:r>
        <w:t>46. The presence of the target company in the relevant market under examination is limited to two points of sale under the Je Suis Profumerie brand, located - as seen - in Olbia and Cagliari, specializing in the marketing of mid-to-high-end cosmetic products.</w:t>
      </w:r>
    </w:p>
    <w:p>
      <w:r>
        <w:t>47. Bubbles, on the other hand, is not active in this market.</w:t>
      </w:r>
    </w:p>
    <w:p>
      <w:r>
        <w:t>48. Therefore, from an antitrust perspective, in the two local markets corresponding to the catchment areas of the Je Suis Profumerie points of sale subject to transfer, the operation does not produce appreciable effects, resulting in the replacement of one operator with another.</w:t>
      </w:r>
    </w:p>
    <w:p>
      <w:r>
        <w:t>21 Estimates made based on the data provided by the Party in the form.</w:t>
      </w:r>
    </w:p>
    <w:p>
      <w:r>
        <w:t>22 Estimates made based on the data provided by the Party in the form. For the GDO points of sale, only the revenue derived from the sale of home and personal care products was taken into account. Considering the need to acquire information aimed at verifying whether - and to what extent - supermarkets, discount stores, and online channels can exert competitive pressure on specialized points of sale, the market shares reported here have been calculated excluding such types of GDO points of sale and online sales from the relevant market.</w:t>
      </w:r>
    </w:p>
    <w:p>
      <w:r>
        <w:t>23 The market shares reported in Table 3 have been calculated assuming isochrones constructed around each point of sale of the target subject to transfer (centroid) based on an estimated travel time of 15 minutes and - similarly to what was done on a regional basis - considering discount stores, GDO points of sale with an area of less than 400 square meters (so-called supermarkets) and online sales as not belonging to the relevant markets. However, it cannot be ruled out that, following the acquisition of further information during the investigation, the market shares and local areas likely to raise competitive concerns may change in part.</w:t>
      </w:r>
    </w:p>
    <w:p>
      <w:r>
        <w:t>BULLETIN NO. 36 OF 10 OCTOBER 2022 59</w:t>
      </w:r>
    </w:p>
    <w:p>
      <w:r>
        <w:t>c) The relevant market for the procurement of home hygiene and personal care products</w:t>
      </w:r>
    </w:p>
    <w:p>
      <w:r>
        <w:t>49. Based on the established practice of the Authority, the effects of the operation in the relevant market under examination can be estimated by considering the increase in the market share of the purchasing center to which the acquiring company belongs following the absorption of the procurement demand expressed at the national level by the target.</w:t>
      </w:r>
    </w:p>
    <w:p>
      <w:r>
        <w:t>50. Based on the information provided by the Party, regarding the demand for home and personal care products, ESD - the purchasing center to which Bubbles belongs through the A&amp;S Consortium - is the first operator at the national level, with a share of approximately [25-30%], followed by Forum (the purchasing center that groups, among others, Crai Secom and Despar Servizi) with about [10-15%] and Conad Finiper, with about [10-15%].</w:t>
      </w:r>
    </w:p>
    <w:p>
      <w:r>
        <w:t>51. The share held in the national market for the procurement of home hygiene and personal care products by Quattro is less than 1%24.</w:t>
      </w:r>
    </w:p>
    <w:p>
      <w:r>
        <w:t>52. Consequently, as a result of the operation, the increase in ESD's market share in the procurement of home and personal care products will be negligible and insufficient to result in a significant increase in the purchasing center's demand-side market power.</w:t>
      </w:r>
    </w:p>
    <w:p>
      <w:r>
        <w:t>d) The relevant wholesale market for home hygiene and personal care products and for perfumery and cosmetics</w:t>
      </w:r>
    </w:p>
    <w:p>
      <w:r>
        <w:t>53. The presence of Bubbles and Quattro in the national wholesale market for home and personal care products is residual.</w:t>
      </w:r>
    </w:p>
    <w:p>
      <w:r>
        <w:t>54. In particular, the target supplies small grocery stores located throughout Sardinia, with a total revenue in 2021 of [1-5] million euros, while the total value of wholesale sales of the products in question made in 2021 at the national level by the companies controlled by Bubbles amounts to approximately [10-31] million euros.</w:t>
      </w:r>
    </w:p>
    <w:p>
      <w:r>
        <w:t>55. Therefore, the operation does not appear likely to significantly hinder effective competition in the market under examination.</w:t>
      </w:r>
    </w:p>
    <w:p>
      <w:r>
        <w:t>CONSIDERING, therefore, that the operation under examination is likely to significantly hinder effective competition, pursuant to Article 6, paragraph 1, of Law No. 287/90, particularly due to the establishment or strengthening of a dominant position in multiple local markets for the retail sale of home hygiene and personal care products;</w:t>
      </w:r>
    </w:p>
    <w:p>
      <w:r>
        <w:t>RESOLVES</w:t>
      </w:r>
    </w:p>
    <w:p>
      <w:r>
        <w:t>a) to initiate the investigation, pursuant to Article 16, paragraph 4, of Law No. 287/90, against the company Bubbles BidCo S.p.A.;</w:t>
      </w:r>
    </w:p>
    <w:p>
      <w:r>
        <w:t>b) to set a deadline of ten days, starting from the date of notification of this provision, for the exercise by the legal representatives of the Party, or by persons delegated by them, of the right to be heard, pursuant to Article 14, paragraph 1, of Law No. 287/90, specifying</w:t>
      </w:r>
    </w:p>
    <w:p>
      <w:r>
        <w:t>24 This share is estimated considering the retail sales of home hygiene and personal care products as a proxy for Quattro's share in the market for the procurement of the same products.</w:t>
      </w:r>
    </w:p>
    <w:p>
      <w:r>
        <w:rPr>
          <w:b/>
        </w:rPr>
        <w:t>[Pages 58–60]</w:t>
      </w:r>
    </w:p>
    <w:p>
      <w:r>
        <w:t>60 BULLETIN NO. 36 OF 10 OCTOBER 2022</w:t>
      </w:r>
    </w:p>
    <w:p>
      <w:r>
        <w:t>that the request for a hearing must be submitted to the Manufacturing and Services Directorate of the General Directorate for Competition of this Authority at least three days before the expiration of the above-mentioned deadline;</w:t>
      </w:r>
    </w:p>
    <w:p>
      <w:r>
        <w:t>c) that the person responsible for the procedure is Dr. Mario Denni;</w:t>
      </w:r>
    </w:p>
    <w:p>
      <w:r>
        <w:t>d) that the documents of the procedure can be viewed at the Manufacturing and Services Directorate of the General Directorate for Competition of this Authority by the legal representatives of the Party, as well as by individuals with a legally relevant interest or by a person delegated by them;</w:t>
      </w:r>
    </w:p>
    <w:p>
      <w:r>
        <w:t>e) that the procedure must be concluded within forty-five days from the date of the resolution of this provision.</w:t>
      </w:r>
    </w:p>
    <w:p>
      <w:r>
        <w:t>This provision will be notified to the interested parties and published in the Bulletin of the Antitrust Authority.</w:t>
      </w:r>
    </w:p>
    <w:p>
      <w:r>
        <w:t>THE SECRETARY GENERAL THE PRESIDENT</w:t>
        <w:br/>
        <w:t>Guido Stazi Roberto Rustichelli</w:t>
        <w:br/>
        <w:t>_________________________________________________________________________</w:t>
      </w:r>
    </w:p>
    <w:p>
      <w:r>
        <w:t>BULLETIN NO. 36 OF 10 OCTOBER 2022 61</w:t>
      </w:r>
    </w:p>
    <w:p>
      <w:r>
        <w:t>APPENDIX</w:t>
        <w:br/>
        <w:t>Table 3 – Market shares of the Parties, the post-merger entity, and the first competitor in local markets</w:t>
      </w:r>
    </w:p>
    <w:p>
      <w:r>
        <w:t>LOCAL MARKET MARKET SHARES FIRST COMPETITOR</w:t>
        <w:br/>
        <w:t>POST- SHARE OF</w:t>
        <w:br/>
        <w:t>N. ADDRESS CENTROID MUNICIPALITY PROV MQ BUBBLES QUATTRO TYPE ∆</w:t>
        <w:br/>
        <w:t>MERGER MARKET</w:t>
        <w:br/>
        <w:t>1 VIA CARMINE 91 ASSEMINI CA 520 [1-5%] [15-20%] [20-25%] GDO [20-25%] -[1-5%]</w:t>
        <w:br/>
        <w:t>2 VIA IS MIRRIONIS 97/B CAGLIARI CA 226 [10-15%] [10-15%] [25-30%] GDO [25-30%] -[Less than 1%]</w:t>
        <w:br/>
        <w:t>3 VIA POLA 45/47 CAGLIARI CA 250 [10-15%] [5-10%] [20-25%] GDO [20-25%] [Less than 1%]</w:t>
        <w:br/>
        <w:t>4 VIA GIOVAN BATTISTA TUVERI 54 CAGLIARI CA 245 [10-15%] [10-15%] [20-25%] GDO [25-30%] -[1-5%]</w:t>
        <w:br/>
        <w:t>5 VIALE ELMAS 67 CAGLIARI CA 523 [10-15%] [10-15%] [20-25%] GDO [20-25%] [1-5%]</w:t>
        <w:br/>
        <w:t>10 VIA MONTE ARCI 40 MONSERRATO CA 310 [15-20%] [10-15%] [25-30%] GDO [15-20%] [5-10%]</w:t>
        <w:br/>
        <w:t>11 VIA VITTORIO EMANUELE 161/163 QUARTU SANT'ELENA CA 250 [10-15%] [10-15%] [20-25%] GDO [20-25%] -[Less than 1%]</w:t>
        <w:br/>
        <w:t>12 VIA CAGLIARI 121 QUARTU SANT'ELENA CA 250 [15-20%] [10-15%] [25-30%] GDO [20-25%] [5-10%]</w:t>
        <w:br/>
        <w:t>13 VIA DANIMARCA 149 QUARTU SANT'ELENA CA 369 [5-10%] [10-15%] [20-25%] GDO [10-15%] [5-10%]</w:t>
        <w:br/>
        <w:t>14 VIA COLOMBO 58 QUARTU SANT'ELENA CA 249 [15-20%] [10-15%] [25-30%] GDO [20-25%] [5-10%]</w:t>
        <w:br/>
        <w:t>16 VIALE LIBERTA' 22 SELARGIUS CA 442 [15-20%] [10-15%] [25-30%] GDO [15-20%] [5-10%]</w:t>
        <w:br/>
        <w:t>18 VIA VITTORIO VENETO 147 SESTU CA 250 [10-15%] [10-15%] [25-30%] GDO [20-25%] [1-5%]</w:t>
        <w:br/>
        <w:t>19 VIALE DELLA LIBERTÀ 87 SINNAI CA 285 [10-15%] [5-10%] [20-25%] GDO [20-25%] [1-5%]</w:t>
        <w:br/>
        <w:t>20 VIA PIERO DELLA FRANCESCA 5/7 SELARGIUS CA 318 [10-15%] [5-10%] [20-25%] GDO [25-30%] -[1-5%]</w:t>
        <w:br/>
        <w:t>25 VIALE RINASCITA 65 SAN GAVINO MONREALE SUD SARD 150 [10-15%] [15-20%] [25-30%] Specialized [20-25%] [5-10%]</w:t>
        <w:br/>
        <w:t>26 VIA CARLO FELICE 78 SANLURI SUD SARD 275 [15-20%] [15-20%] [35-40%] Specialized [35-40%] -[1-5%]</w:t>
        <w:br/>
        <w:t>29 VIA STAZIONE CARBONIA SUD SARD 497 [5-10%] [10-15%] [20-25%] Specialized [35-40%] -[10-15%]</w:t>
        <w:br/>
        <w:t>34 VIALE REPUBBLICA 27/33 NUORO NU 250 [45-50%] [10-15%] [55-60%] GDO [25-30%] [30-35%]</w:t>
        <w:br/>
        <w:t>35 VIA LAMARMORA 112/122 NUORO NU 275 [45-50%] [10-15%] [55-60%] GDO [25-30%] [30-35%]</w:t>
        <w:br/>
        <w:t>38 VIA MONSIGNOR VIRGILIO 50 TORTOLI' NU 250 [35-40%] [5-10%] [45-50%] GDO [15-20%] [30-35%]</w:t>
        <w:br/>
        <w:t>39 VIA LEOPARDI 87/A CABRAS OR 289 [15-20%] [15-20%] [35-40%] Specialized [25-30%] [5-10%]</w:t>
        <w:br/>
        <w:t>42 VIA CARDUCCI 22 ORISTANO OR 250 [15-20%] [15-20%] [30-35%] Specialized [25-30%] [5-10%]</w:t>
        <w:br/>
        <w:t>43 VIA TIRSO 110 ORISTANO OR 249 [15-20%] [15-20%] [30-35%] Specialized [25-30%] [5-10%]</w:t>
        <w:br/>
        <w:t>45 VIA GIOVANNI XXIII 73/77 ALGHERO SS 250 [20-25%] [10-15%] [30-35%] Specialized [20-25%] [10-15%]</w:t>
        <w:br/>
        <w:t>46 VIA XX SETTEMBRE 116 ALGHERO SS 250 [20-25%] [10-15%] [30-35%] Specialized [20-25%] [10-15%]</w:t>
        <w:br/>
        <w:t>49 VIA ANTONELLI 16/C PORTO TORRES SS 400 [45-50%] [15-20%] [55-60%] GDO [15-20%] [35-40%]</w:t>
        <w:br/>
        <w:t>50 VIALE PORTO TORRES 24 SASSARI SS 1,142 [10-15%] [5-10%] [20-25%] GDO [25-30%] -[1-5%]</w:t>
        <w:br/>
        <w:t>51 VIA CARLO FELICE 33 SASSARI SS 360 [10-15%] [5-10%] [20-25%] GDO [25-30%] -[1-5%]</w:t>
        <w:br/>
        <w:t>52 VIA BUDAPEST SN SASSARI SS 376 [10-15%] [5-10%] [20-25%] GDO [25-30%] -[1-5%]</w:t>
        <w:br/>
        <w:t>53 VIALE ITALIA 12 SASSARI SS 228 [10-15%] [5-10%] [20-25%] GDO [25-30%] -[1-5%]</w:t>
        <w:br/>
        <w:t>54 VIALE MARINA 1 SORSO SS 512 [20-25%] [10-15%] [35-40%] GDO [20-25%] [10-15%]</w:t>
        <w:br/>
        <w:t>56 VIA VITTORIO VENETO 15/B OLBIA SS 302 [10-15%] [5-10%] [15-20%] GDO [35-40%] -[15-20%]</w:t>
        <w:br/>
        <w:t>58 VIA DON STURZO 16 TEMPIO PAUSANIA SS 270 [45-50%] [15-20%] [65-70%] GDO [10-15%] [50-55%]</w:t>
        <w:br/>
        <w:t>59 VIALE ALDO MORO 321 OLBIA SS 700 [10-15%] [5-10%] [15-20%] GDO [35-40%] -[15-20%]</w:t>
        <w:br/>
        <w:t>60 VIA DEI LIUTAI 6 OLBIA SS 579 [10-15%] [5-10%] [15-20%] GDO [35-40%] -[15-20%]</w:t>
      </w:r>
    </w:p>
    <w:p>
      <w:r>
        <w:t>Source: Internal processing based on data provided by the Parties.</w:t>
      </w:r>
    </w:p>
    <w:p>
      <w:r>
        <w:t>62 BULLETIN NO. 36 OF 10 OCTOBER 2022</w:t>
      </w:r>
    </w:p>
    <w:p>
      <w:r>
        <w:t>REPORTING AND CONSULTATIVE ACTIVITIES</w:t>
      </w:r>
    </w:p>
    <w:p>
      <w:r>
        <w:t>AS1860 - MUNICIPALITY OF LECCE - CALL FOR TENDER FOR THE ASSIGNMENT OF THE SERVICE OF NOTIFICATION OF JUDICIAL ACTS AND VIOLATIONS OF THE HIGHWAY CODE</w:t>
      </w:r>
    </w:p>
    <w:p>
      <w:r>
        <w:t>Rome, 22 July 2022</w:t>
      </w:r>
    </w:p>
    <w:p>
      <w:r>
        <w:t>Municipality of Lecce</w:t>
      </w:r>
    </w:p>
    <w:p>
      <w:r>
        <w:t>The Antitrust Authority, in its meeting of 19 July 2022, decided to express an opinion, pursuant to Article 21-bis of Law No. 287 of 10 October 1990, regarding the call for tender issued by the Municipality of Lecce for the assignment of the "service of notification by mail of judicial acts - pursuant to Law No. 890/1982 and subsequent amendments - and related communications of violations of the highway code - pursuant to Article 201 of Legislative Decree No. 285/1992, of violations of regulations and municipal ordinances and of laws and regulations under the jurisdiction of the local police" - area 1 - Puglia Region - CIG: 92337782a9, published on the Municipality of Lecce's website and in the G.U.R.I. on 6 June 2022 and sent to the G.U.U.E on 31 May 2022.</w:t>
      </w:r>
    </w:p>
    <w:p>
      <w:r>
        <w:t>In particular, the act in question, with which this administration defined the methods and conditions for participation in the tender procedure, as well as the applicable evaluation criteria, presents some aspects that may potentially conflict with the principles of free competition and equal treatment and non-discrimination among economic operators.</w:t>
      </w:r>
    </w:p>
    <w:p>
      <w:r>
        <w:t>Specifically, Article 8 of the Specifications on "Territorial coverage and number of staff" provides, among other things: "I. As indicated in AGCOM Resolution 77/18/CONS concerning the "Approval of the Regulation on the issuance of licenses to carry out the service of notification by mail of judicial acts and related communications (Law of 20 November 1982, No. 890) and of violations of the highway code (Article 201 of Legislative Decree of 30 April 1992, No. 285)" the Supplier must ensure coverage of the delivery services of Registered Mail directed to the national territory in AREA 1 - Territorial scope of the Puglia Region, ensuring 100% of direct geographical coverage for all postal codes of Area 1, coinciding with the Puglia Region, without resorting to the FSU (Universal Service Provider), with the indication of the served postal codes in application of Article 105, paragraph 3, letter c-bis), Legislative Decree 50/16, to be declared during the participation phase in the Tender ("the services rendered in favor of the contracting parties under continuous cooperation, service and/or supply contracts signed prior to the announcement of the procedure</w:t>
      </w:r>
    </w:p>
    <w:p>
      <w:r>
        <w:rPr>
          <w:b/>
        </w:rPr>
        <w:t>[Pages 61–63]</w:t>
      </w:r>
    </w:p>
    <w:p>
      <w:r>
        <w:t>BULLETIN NO. 36 OF 10 OCTOBER 2022 63</w:t>
      </w:r>
    </w:p>
    <w:p>
      <w:r>
        <w:t>II. Given the necessity for the entity to ensure the uniqueness of management of the entire processing process under a single subject who must be responsible for the service, from the beginning to the end of the supply cycle, the Delivery Person is prohibited from proceeding with a "re-posting" […].</w:t>
      </w:r>
    </w:p>
    <w:p>
      <w:r>
        <w:t>With reference to the aforementioned Article 8 of the Specifications, the Authority notes that the provision for a direct territorial coverage of 100% for the Puglia Region, without resorting to the FSU, along with the prohibition for the delivery person to proceed with any "re-posting," is detrimental to competition and the favor participationis, based on the following arguments.</w:t>
      </w:r>
    </w:p>
    <w:p>
      <w:r>
        <w:t>The element of the coverage coefficient equal to 100% within the Puglia Region - excessively high and thus advantageous to postal operators who can guarantee such widespread coverage of the territory, either because they are particularly structured, like the FSU, Poste Italiane S.p.A., or because they are rooted in the territory - together with the simultaneous absolute prohibition of re-posting for the delivery person, as provided by Article 8 of the Specifications, appears to unduly restrict the participation opportunities in the procedure by postal operators alternative to Poste Italiane S.p.A., the current Universal Service Provider, and, therefore, the Authority believes that it may jeopardize the proper unfolding of competitive dynamics in the tender procedure in question. This is also in consideration of the provisions of Article 12 of the recent Guidelines No. 16 "ANAC-AGCOM Guidelines for the awarding of public contracts for postal services"1 (hereinafter Guidelines), which impact the pre-existing regulatory framework regarding notifications of judicial acts and violations of the Highway Code and, in particular, on the terms of application of the prohibition, for the contractor, of "re-posting" through FSU of part of the shipments; indeed, said Article 12 identifies the possibility for the postalization of part of the shipments through FSU, by the successful bidder, also a private operator, in the terms indicated by Article 12.1 and Article 12.6.</w:t>
      </w:r>
    </w:p>
    <w:p>
      <w:r>
        <w:t>In Article 12.1 of the Guidelines, it is stated that "the awarding of notification services by post of judicial acts and related communications (law of November 20, 1982, No. 890) and of violations of the Highway Code (Article 201 of Legislative Decree No. 285 of April 30, 1992) is carried out in compliance with the principle of unitary process, aimed at ensuring the legal certainty of the recipient's knowledge of the act. In this regard, it is specified that, for the execution of a specific phase/segment of competence, the successful bidder cannot resort to the institution of subcontracting nor to postalization through the universal service provider of part of the shipments, except as provided for postalization at point 12.6" (emphasis added). On this point, Article 12.6 of the Guidelines provides that "contracting authorities may divide the subject of the award into several distinct delivery lots based on homogeneous territorial areas, with a maximum regional extension, in order to promote the widest participation of economic operators. The contracting authority shall provide for the postalization of any residual quota of shipments that exceeds the previously defined territorial scope, including acts to be notified abroad, also through the granting of a special mandate to the contractor" (emphasis added).</w:t>
      </w:r>
    </w:p>
    <w:p>
      <w:r>
        <w:t>1 Approved by ANAC Resolution No. 185 of 13/4/2022 and AGCOM Resolution No. 116/22/CONS of 13/4/2022.</w:t>
      </w:r>
    </w:p>
    <w:p>
      <w:r>
        <w:t>64 BULLETIN NO. 36 OF 10 OCTOBER 2022</w:t>
      </w:r>
    </w:p>
    <w:p>
      <w:r>
        <w:t>In any case, to allow for broader participation and greater competition in the tender venues, it would be desirable for the element of territorial coverage to be provided only where its introduction is deemed necessary and proportionate by the contracting authority in relation to the specific award and to be formulated in such a way as not to unjustifiably advantage the incumbent or the FSU; this in order not to make the element of territorial coverage an undue barrier to entry or an obstacle to the proper unfolding of competitive dynamics.</w:t>
      </w:r>
    </w:p>
    <w:p>
      <w:r>
        <w:t>All this considered, it does not appear essential and, in this sense, it is potentially detrimental to the favor participationis the provision of a level of direct coverage equal to 100%, together with the prohibition of re-posting for the delivery person, as indicated in Article 8 of the Specifications.</w:t>
      </w:r>
    </w:p>
    <w:p>
      <w:r>
        <w:t>In conclusion, the Authority believes that, in relation to the profiles highlighted above, the provisions of the lex specialis of the tender, called by the Municipality of Lecce, are susceptible to being in potential conflict with the norms and principles protecting competition and the market, in particular, with Article 41 of the Constitution and with Articles 49 and 56 of the Treaty on the Functioning of the European Union, as well as with the principles established by Article 30 of Legislative Decree No. 50/2016 (Public Contracts Code).</w:t>
      </w:r>
    </w:p>
    <w:p>
      <w:r>
        <w:t>Therefore, the Authority invites this contracting authority to implement the corrective measures deemed most appropriate and adequate to restore the correct competitive dynamics regarding the awarding of the "notification service by post of judicial acts - pursuant to Law No. 890/1982 and subsequent amendments - and related communications, of violations of the Highway Code - pursuant to Article 201 of Legislative Decree No. 285/1992, of violations of municipal regulations and ordinances and of laws and regulations under the jurisdiction of the local police" - area 1 - Puglia Region.</w:t>
      </w:r>
    </w:p>
    <w:p>
      <w:r>
        <w:t>Pursuant to Article 21-bis, paragraph 2, of Law No. 287/90, this administration must communicate to the Authority, within sixty days of receiving this opinion, the determinations taken to remove the aforementioned competition violations. If within the aforementioned term such initiatives do not prove to be compliant with the aforementioned competition principles, the Authority may file an appeal within the following thirty days.</w:t>
      </w:r>
    </w:p>
    <w:p>
      <w:r>
        <w:t>This opinion will be published in the Bulletin of the Competition and Market Authority.</w:t>
      </w:r>
    </w:p>
    <w:p>
      <w:r>
        <w:t>THE PRESIDENT</w:t>
        <w:br/>
        <w:t>Roberto Rustichelli</w:t>
        <w:br/>
        <w:t>________________________________________________________________</w:t>
      </w:r>
    </w:p>
    <w:p>
      <w:r>
        <w:t>Communication regarding the failure of the Municipality of Lecce to comply with the reasoned opinion expressed by the Authority, pursuant to Article 21-bis of Law No. 287/1990, against the tender documentation of the public procedure called by the Municipality of Lecce for the awarding of the notification service by post of judicial acts and violations of the Highway Code, area 1 - Puglia Region.</w:t>
      </w:r>
    </w:p>
    <w:p>
      <w:r>
        <w:t>In its meeting of July 19, 2022, the Competition and Market Authority decided to send the Municipality of Lecce a reasoned opinion, pursuant to Article 21-bis of Law No. 287 of October 10, 1990, regarding the public procedure called for the awarding of the notification service by post of judicial acts and violations of the Highway Code, area 1 - Puglia Region.</w:t>
      </w:r>
    </w:p>
    <w:p>
      <w:r>
        <w:t>In particular, the Competition and Market Authority noted that competitive restrictions could arise from certain provisions contained in the lex specialis of the tender, with particular reference to the provision for a direct coverage level equal to 100%, along with the prohibition of re-posting for the delivery person, also considering the provisions of Article 12 of the recent Guidelines No. 16 "ANAC-AGCOM Guidelines for the awarding of public contracts for postal services," particularly regarding the terms of application of the prohibition, for the contractor, of re-posting through FSU of part of the shipments.</w:t>
      </w:r>
    </w:p>
    <w:p>
      <w:r>
        <w:t>Following the receipt of said reasoned opinion, the Municipality of Lecce, with communication received on August 29, 2022, informed the Competition and Market Authority that it believed it did not need to take different determinations regarding the tender procedure in question, in light of, among other things, the fact that it believed it had guaranteed the favor participationis through a territorial division of the contract, that it had requested a territorial coverage of 100% given the provisions of Guidelines No. 16 "ANAC-AGCOM Guidelines for the awarding of public contracts for postal services," as well as that the choice of the contracting authority is aimed at the efficiency and effectiveness of the notification process.</w:t>
      </w:r>
    </w:p>
    <w:p>
      <w:r>
        <w:t>Noting the failure of the administration to comply with the aforementioned reasoned opinion, the Competition and Market Authority, in its meeting of September 20, 2022, decided to challenge before the Regional Administrative Court of Puglia - Lecce the tender documentation of the public procedure called by the Municipality of Lecce for the awarding of the notification service by post of judicial acts and violations of the Highway Code, area 1 - Puglia Region.</w:t>
      </w:r>
    </w:p>
    <w:p>
      <w:r>
        <w:rPr>
          <w:b/>
        </w:rPr>
        <w:t>[Pages 64–66]</w:t>
      </w:r>
    </w:p>
    <w:p>
      <w:r>
        <w:t>66 BULLETIN NO. 36 OF 10 OCTOBER 2022</w:t>
      </w:r>
    </w:p>
    <w:p>
      <w:r>
        <w:t>AS1861 - LIGURIA REGION - REGIONAL LAW 16 OF 2021/REGULATION OF THE ALPINE GUIDE PROFESSION</w:t>
      </w:r>
    </w:p>
    <w:p>
      <w:r>
        <w:t>Rome, 1 September 2022</w:t>
      </w:r>
    </w:p>
    <w:p>
      <w:r>
        <w:t>Ligurian Region</w:t>
      </w:r>
    </w:p>
    <w:p>
      <w:r>
        <w:t>With reference to the request for an opinion formulated, pursuant to Article 3, paragraph 3, of Legislative Decree 142/2020, by this Administration regarding the amendments made by Regional Law No. 16/2021 to Regional Law No. 44/2012 concerning the regulation of the alpine guide profession and, in particular, access to the profession of aspiring guide, the Antitrust Authority, in its meeting of 30 August 2022, observed the following.</w:t>
      </w:r>
    </w:p>
    <w:p>
      <w:r>
        <w:t>Preliminarily, as requested by the Liguria Region, taking into account what is highlighted in the information table attached to the request for an opinion, it is noted that this proportionality assessment is limited to the amendments made to Regional Law No. 44/2012 concerning the two-level structure of the aspiring alpine guide grade, without this resulting in an assessment of the law as a whole, also in light of the observations already made by the Authority itself regarding the national regulation1.</w:t>
      </w:r>
    </w:p>
    <w:p>
      <w:r>
        <w:t>In particular, the regulatory amendments to the exercise of the alpine guide profession introduced by Regional Law No. 16/2021 to Regional Law No. 44/2012 consist of subdividing the aspiring guide grade, already identified by the relevant state legislation, into two levels (first-level and second-level aspiring guide), allowing the first-level aspiring guide only the less demanding activities and the second-level aspiring guide all activities reserved for the aspiring guide under Law No. 6/1989.</w:t>
      </w:r>
    </w:p>
    <w:p>
      <w:r>
        <w:t>In Annex 1, the Region stated that this amendment aims to facilitate access to the alpine guide profession, particularly by reducing the selection requirements for admission to the first level and providing consumers with guarantees of professionalism to ensure greater safety and security.</w:t>
      </w:r>
    </w:p>
    <w:p>
      <w:r>
        <w:t>On this point, it is observed that the regulatory amendment in question creates a specific qualification of aspiring guide that does not appear to be inherently restrictive of competition, provided that the related training course and the consequent tests are proportionate to the type of activities related to the required qualification. Conversely, what is provided for in Article 7, paragraph 2, of the Regional Law in question does not appear proportionate to the objectives pursued (safety and expansion of the pool of professionals in the sector), according to which access to training for second-level aspiring guides is subject to prior attainment of the qualification for first-level aspiring guides (Admission to second-level aspiring guide courses is subject to the attainment of the first-level technical qualification). This provision indeed excludes the possibility of directly accessing the second level, making the pathway to access and professional growth more burdensome and lengthy, according to a process not provided for by the national legislator. The identified objectives could also be achieved by adequately structuring the training courses for direct access to the second level and in any case without a subordination constraint between the two levels.</w:t>
      </w:r>
    </w:p>
    <w:p>
      <w:r>
        <w:t>This opinion will be published in the bulletin of the Antitrust Authority. Any confidentiality needs must be expressed within thirty days of receipt of the opinion, specifying the reasons.</w:t>
      </w:r>
    </w:p>
    <w:p>
      <w:r>
        <w:t>THE PRESIDENT</w:t>
      </w:r>
    </w:p>
    <w:p>
      <w:r>
        <w:t>Roberto Rustichelli</w:t>
      </w:r>
    </w:p>
    <w:p>
      <w:r>
        <w:t>Antitrust Authority Weekly Bulletin of Competition and Market Year XXXII - No. 36 - 2022</w:t>
      </w:r>
    </w:p>
    <w:p>
      <w:r>
        <w:t>Editorial Coordination Giulia Antenucci</w:t>
      </w:r>
    </w:p>
    <w:p>
      <w:r>
        <w:t>Editorial Staff Valerio Ruocco, Simonetta Schettini, Manuela Villani</w:t>
      </w:r>
    </w:p>
    <w:p>
      <w:r>
        <w:t>Antitrust Authority</w:t>
      </w:r>
    </w:p>
    <w:p>
      <w:r>
        <w:t>Statistics and IT Applications Office</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