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https://www.agcm.it/dotcmsdoc/bollettini/2023/36-23.pdf</w:t>
      </w:r>
    </w:p>
    <w:p>
      <w:r>
        <w:t>Pages translated : 36</w:t>
      </w:r>
    </w:p>
    <w:p/>
    <w:p>
      <w:r>
        <w:rPr>
          <w:b/>
        </w:rPr>
        <w:t>[Pages 1–3]</w:t>
      </w:r>
    </w:p>
    <w:p>
      <w:r>
        <w:t xml:space="preserve">Bulletin  </w:t>
        <w:br/>
        <w:t xml:space="preserve">Weekly  </w:t>
        <w:br/>
        <w:t xml:space="preserve">Year XXXIII - No. 36  </w:t>
        <w:br/>
        <w:t xml:space="preserve">Published on the website www.agcm.it  </w:t>
        <w:br/>
        <w:t>September 25, 2023</w:t>
      </w:r>
    </w:p>
    <w:p>
      <w:r>
        <w:t xml:space="preserve">SUMMARY  </w:t>
        <w:br/>
        <w:t xml:space="preserve">AGREEMENTS AND ABUSE OF DOMINANT POSITION 5  </w:t>
        <w:br/>
        <w:t xml:space="preserve">A568 - TRAVEL AGENCIES/RYANAIR FLIGHT BOOKINGS  </w:t>
        <w:br/>
        <w:t xml:space="preserve">Decision No. 30772 5  </w:t>
        <w:br/>
        <w:t xml:space="preserve">CONCENTRATION OPERATIONS 22  </w:t>
        <w:br/>
        <w:t xml:space="preserve">C12561 - EURIZON CAPITAL REAL ASSET-ERSEL ASSET MANAGEMENT/TECNOFER  </w:t>
        <w:br/>
        <w:t xml:space="preserve">Decision No. 30769 22  </w:t>
        <w:br/>
        <w:t xml:space="preserve">C12562 - VIVIGAS/MILANO GAS E LUCE  </w:t>
        <w:br/>
        <w:t xml:space="preserve">Decision No. 30770 25  </w:t>
        <w:br/>
        <w:t xml:space="preserve">INVESTIGATIVE INQUIRIES 30  </w:t>
        <w:br/>
        <w:t xml:space="preserve">IC55 - MARKETS FOR HEARING AIDS  </w:t>
        <w:br/>
        <w:t xml:space="preserve">Decision No. 30771 30  </w:t>
        <w:br/>
        <w:t xml:space="preserve">REPORTING AND CONSULTATIVE ACTIVITIES 33  </w:t>
        <w:br/>
        <w:t xml:space="preserve">AS1912 - VENICE ENVIRONMENT BASIN - URBAN WASTE MANAGEMENT SERVICE FOR  </w:t>
        <w:br/>
        <w:t xml:space="preserve">33  </w:t>
        <w:br/>
        <w:t xml:space="preserve">NON-DOMESTIC USERS  </w:t>
        <w:br/>
        <w:t xml:space="preserve">CONFLICT OF INTEREST 36  </w:t>
        <w:br/>
        <w:t>SI1273B – RICARDO LEVI - GOVERNMENT COMMISSIONER FOR THE COORDINATION OF ACTIVITIES RELATED TO ITALY'S PARTICIPATION, AS HONORARY COUNTRY, AT THE 2024 FRANKFURT BOOK FAIR - POST CHARGE OPINION</w:t>
      </w:r>
    </w:p>
    <w:p>
      <w:r>
        <w:t xml:space="preserve">BULLETIN NO. 36 OF SEPTEMBER 25, 2023 5  </w:t>
        <w:br/>
        <w:t xml:space="preserve">AGREEMENTS AND ABUSE OF DOMINANT POSITION  </w:t>
        <w:br/>
        <w:t xml:space="preserve">A568 - TRAVEL AGENCIES/RYANAIR FLIGHT BOOKINGS  </w:t>
        <w:br/>
        <w:t xml:space="preserve">Decision No. 30772  </w:t>
        <w:br/>
        <w:t xml:space="preserve">THE ANTITRUST AUTHORITY  </w:t>
        <w:br/>
        <w:t xml:space="preserve">IN ITS MEETING of September 14, 2023;  </w:t>
        <w:br/>
        <w:t xml:space="preserve">HEARD the Rapporteur, Saverio Valentino;  </w:t>
        <w:br/>
        <w:t xml:space="preserve">HAVING REGARD to Article 102 of the Treaty on the Functioning of the European Union (TFEU);  </w:t>
        <w:br/>
        <w:t xml:space="preserve">HAVING REGARD to Council Regulation (EC) No. 1/2003 of December 16, 2002;  </w:t>
        <w:br/>
        <w:t xml:space="preserve">HAVING REGARD to the Commission Communication on cooperation within the network of competition authorities of April 27, 2004;  </w:t>
        <w:br/>
        <w:t xml:space="preserve">HAVING REGARD to Law No. 287 of October 10, 1990;  </w:t>
        <w:br/>
        <w:t xml:space="preserve">HAVING REGARD to the Presidential Decree No. 217 of April 30, 1998;  </w:t>
        <w:br/>
        <w:t xml:space="preserve">HAVING REGARD to the reports from two associations of travel agencies, the Italian Association of Travel Agents and the Federation of Organized Tourism, received on May 10 and June 6, 2023, respectively;  </w:t>
        <w:br/>
        <w:t xml:space="preserve">HAVING REGARD to the report from the consumer association Codici Lombardia, received on June 26, 2023, and supplemented on July 10;  </w:t>
        <w:br/>
        <w:t xml:space="preserve">HAVING REGARD to the documentation on file;  </w:t>
        <w:br/>
        <w:t xml:space="preserve">CONSIDERED the following:  </w:t>
        <w:br/>
        <w:t xml:space="preserve">I. THE PARTIES  </w:t>
        <w:br/>
        <w:t xml:space="preserve">1. RYANAIR DAC (hereinafter also "Ryanair") is a low-cost airline under Irish law engaged in the provision of air transport services on national and international routes and is part of the Ryanair Group, whose parent company is Ryanair Holdings plc. Ryanair currently represents the main airline operating in Italy, with a market share of over 34% of passengers transported on domestic and international routes to/from Italy1.  </w:t>
        <w:br/>
        <w:t xml:space="preserve">2. According to publicly available data2, Ryanair achieved a total revenue of €4.801 billion in the last financial year, which ended in March 2022. This figure derives 45% from the sale of other services, which Ryanair refers to as ancillary (so-called ancillary revenue) and includes a range of heterogeneous services, such as seat reservation, priority boarding, additional baggage, hotel sales, car rentals, insurance, etc. Furthermore, Italy is the main country of operation of  </w:t>
        <w:br/>
        <w:t xml:space="preserve">1 Source: National Civil Aviation Authority (hereinafter, "Enac"), Traffic Data 2022.  </w:t>
        <w:br/>
        <w:t>2 See the Annual Report 2022 of the Ryanair Group, published on its website at the following address https://investor.ryanair.com/wp-content/uploads/2022/07/Ryanair-2022-Annual-Report.pdf, p. 1, doc. 29.</w:t>
      </w:r>
    </w:p>
    <w:p>
      <w:r>
        <w:rPr>
          <w:b/>
        </w:rPr>
        <w:t>[Pages 4–6]</w:t>
      </w:r>
    </w:p>
    <w:p>
      <w:r>
        <w:t>BULLETIN NO. 36 OF SEPTEMBER 25, 2023</w:t>
      </w:r>
    </w:p>
    <w:p>
      <w:r>
        <w:t>Ryanair, in which it develops 25% of its total revenue, compared to 18% generated in Spain, 12% in the United Kingdom, 5% in Ireland, and 40% in the aggregate of other European countries.</w:t>
      </w:r>
    </w:p>
    <w:p>
      <w:r>
        <w:t>Reporting Entities</w:t>
      </w:r>
    </w:p>
    <w:p>
      <w:r>
        <w:t>3. The Italian Association of Travel Agents (hereinafter, "AIAV") is the trade association established in 2002 that, according to the latest available data, counts 1,900 traditional travel agencies located in all regions of Italy, with 8,500 points of sale representing over 35% of travel agencies.</w:t>
      </w:r>
    </w:p>
    <w:p>
      <w:r>
        <w:t>4. The Federation of Organized Tourism (hereinafter, "FTO") brings together 1,900 members and, with about 80 companies active at the national level and others on a territorial basis, associates both large companies with thousands of employees and micro-enterprises, provided they meet the minimum organizational and operational requirements set by the sector regulations. Members include tour operators, distributors (travel agencies or agency networks) that also offer services related to tourism, Online Travel Agencies (hereinafter, "OTAs," such as Lastminute), insurance companies specialized in tourism, companies dealing with business travel (Travel Management Company, hereinafter, "TMC"), event and conference agencies, and service companies. FTO thus represents the entire travel supply chain: outgoing (to foreign countries), incoming (to Italy), the business travel segment (trips for work purposes), educational travel, and travel for special events. The companies associated with FTO can offer and assemble various services within tourist packages or individual tourist services.</w:t>
      </w:r>
    </w:p>
    <w:p>
      <w:r>
        <w:t>5. The Association Codici Lombardia – Center for Citizen Rights (hereinafter, "ACL"), based in Milan, operates as the most representative Association at the regional level for the interests and rights of users and consumers.</w:t>
      </w:r>
    </w:p>
    <w:p>
      <w:r>
        <w:t>II. REPORTS RECEIVED AND EVIDENCE ACQUIRED</w:t>
      </w:r>
    </w:p>
    <w:p>
      <w:r>
        <w:t>6. The associations of the reporting travel agencies have represented that Ryanair would implement certain discriminatory and derogatory policies towards travel agencies aimed at discouraging the final customer from turning to them for the purchase of Ryanair tickets; such behaviors, with some variations, would also extend to OTAs. The conduct would be aimed at hindering and excluding travel agencies, both traditional and online, from selling Ryanair tickets to channel ticket sales and additional tourist services through its direct channels (website and app).</w:t>
      </w:r>
    </w:p>
    <w:p>
      <w:r>
        <w:t>a. Exclusion from purchases on the ryanair.com website</w:t>
      </w:r>
    </w:p>
    <w:p>
      <w:r>
        <w:t>7. First of all, Ryanair would formally and substantially prevent agencies from using the ryanair.com website to purchase airline tickets on behalf of their clients. From a formal standpoint, the "Terms of Use" of the site, which the buyer is required to accept before finalizing the purchase, impose that it be used for non-commercial purposes, thus precluding its use by travel agencies in the exercise of the mandate received from the client. At the same time, the "General Conditions of Carriage," which govern the management, from purchase to post-sale, of the travel title and any related services, dedicate a specific section to "Bookings through travel agencies," structured according to a frequently asked questions (FAQ) model. This section defines "third-party travel agencies" as those "companies that have not entered into commercial agreements with Ryanair to sell our flights and products," foreseeing service disruptions and additional burdens and inviting customers to purchase directly on the Ryanair website. According to the reporting associations, however, there would be no agencies authorized or contracted by Ryanair, also because it is the consumer who grants the agency a mandate with representation that does not require any commercial agreement between the latter and the airline. Consequently, agencies are compensated by clients with a fee for the service rendered (usually fixed) that does not alter the ticket price set by the carrier and do not receive any commission from Ryanair for the sale of the airline ticket.</w:t>
      </w:r>
    </w:p>
    <w:p>
      <w:r>
        <w:t>8. From a substantive standpoint, once the booking is identified as coming from a travel agency, Ryanair would implement a series of behaviors aimed at blocking or making the enjoyment of the purchased service more difficult. In particular, Ryanair requires the direct intervention of the passenger to unlock the booking and conveys to them derogatory and untrue information with the aim of dissuading them from using travel agencies to purchase Ryanair tickets.</w:t>
      </w:r>
    </w:p>
    <w:p>
      <w:r>
        <w:t>9. According to the "Terms of Use of the Ryanair Website" present in the "Terms of Use" of the site, the carrier has established that purchase through its own website represents "the only [online sales channel] authorized for the sale of Ryanair Group flights [where 'Ryanair Group' includes Ryanair DAC, Ryanair Sun, Ryanair UK, and AOC Lauda Europe], whether purchased individually or together with other services [...]". To preserve what Ryanair considers to be the correct use of its website, the airline expressly reserves the right to resort, even without notice, to all necessary measures, including the initiation of legal proceedings and the use of site-blocking technologies, as well as to initiate all investigations deemed necessary (including through the use of technological tools) to prevent unauthorized use of the website.</w:t>
      </w:r>
    </w:p>
    <w:p>
      <w:r>
        <w:t>10. When the purchase of a travel title occurs through an account that Ryanair attributes to a travel agency, the company blocks the booking by sending an email of "Customer Verification Required," preventing anyone (agency or passenger) from managing that booking and, therefore, from making any purchases of additional services or modifications to it, until the passenger personally undergoes the so-called "verification procedure."</w:t>
      </w:r>
    </w:p>
    <w:p>
      <w:r>
        <w:rPr>
          <w:b/>
        </w:rPr>
        <w:t>[Pages 7–9]</w:t>
      </w:r>
    </w:p>
    <w:p>
      <w:r>
        <w:t>BULLETIN NO. 36 OF SEPTEMBER 25, 2023 9</w:t>
      </w:r>
    </w:p>
    <w:p>
      <w:r>
        <w:t>allegedly aimed at verifying his identity. The "quick verification" option (the only one with a certain timing of less than a week) costs €0.59 to the customer. In the event of failure to verify identity, online check-in cannot proceed, and the passenger is required to check in at the airport, paying a surcharge that can reach up to €75.15.</w:t>
      </w:r>
    </w:p>
    <w:p>
      <w:r>
        <w:t>Figure 1 – "Customer verification requested" email</w:t>
      </w:r>
    </w:p>
    <w:p>
      <w:r>
        <w:t>For airport check-in, it is necessary to arrive early and pay a fee for this task, according to a very detailed tariff which can be accessed from the section "What happens if I do not complete online verification" of the General Terms and Conditions of Transport, see https://help.ryanair.com/hc/it/categories/12489248662673-Prenotazioni-tramite-agente-di-viaggio. The tariff ranges from €6 to €55 for the basic service, to which a series of surcharges between €45 and €160 for bicycles, bulky equipment, skiing, golfing, musical instruments, name/date changes, etc. must be added.</w:t>
      </w:r>
    </w:p>
    <w:p>
      <w:r>
        <w:t>10 BULLETIN NO. 36 OF SEPTEMBER 25, 2023</w:t>
      </w:r>
    </w:p>
    <w:p>
      <w:r>
        <w:t>11. This procedure would not allow the agency to independently manage the entire phase following the ticket purchase, requiring it to contact and ask the customer to carry out the identification procedure and any further compliance. In this regard, it is noted that the customer typically turns to the agency precisely to avoid having to personally deal with such tasks. Therefore, this results in a disservice for the customer who purchases through travel agencies, which, according to the reporting associations, does not seem to have any other purpose than to "discredit" these agencies in the eyes of the customer, leading him, for future purchases, to go directly to the ryanair.com website, as clearly stated in the last part of the email ("Make sure to book only Ryanair flights and services directly on Ryanair.com or on the Ryanair app. By booking directly with Ryanair, you will always find the lowest price for Ryanair flights and products and the best service"). Moreover, whenever Ryanair blocks the booking, the agency's account would also be blocked, necessitating the acquisition of new access credentials.</w:t>
      </w:r>
    </w:p>
    <w:p>
      <w:r>
        <w:t>12. According to the reporters, no other airline would foresee such a procedure, nor would the "security requirements" that it aims to guarantee be understandable, considering that it is activated after the purchase has already been completed and paid. Additionally, the verification procedure would not be required when the booking is made by another third party other than an agency (for example, an acquaintance of the passenger), who is certainly less informed about security procedures and industry regulations compared to a travel agency.</w:t>
      </w:r>
    </w:p>
    <w:p>
      <w:r>
        <w:t>13. Furthermore, in the event of flight cancellation and where the passenger's right to be reimbursed arises under Regulation (EC) No. 261/200416, Ryanair would refuse to reimburse the entity from which it received the payment, namely the agency. The ticket refund procedure would indeed occur only after the presentation of copies of the passengers' identity documents and a utility bill in their name, even when the agency proves to have already refunded the customer.</w:t>
      </w:r>
    </w:p>
    <w:p>
      <w:r>
        <w:t>14. The reporting associations have also highlighted that the inability for agencies to purchase tickets on the Ryanair website on behalf of the customer risks depriving the latter of the maximum protection that the Tourism Code recognizes for so-called tourist packages, i.e., the combination of at least two different types of tourist services (transport, accommodation, vehicle rental) for the same trip or vacation.17 In fact, if the customer separately purchases the flight on the Ryanair website and the remaining tourist services at the agency, in the event of a service disruption on the flight, he will not be able to assert the protections in terms of compensation (up to the damage from a ruined vacation) and assistance guaranteed by the regulations, as in this case the flight does not belong to the tourist package.18</w:t>
      </w:r>
    </w:p>
    <w:p>
      <w:r>
        <w:t>15. The conduct described above would be implemented towards both physical agencies and OTAs19, as also evidenced by reports received from a single agency, from some consumers, and from their association ACL, which report the described service disruptions and the frequent need to resort to airport check-in (for a fee) after unsuccessful attempts to carry out the facial recognition procedure.</w:t>
      </w:r>
    </w:p>
    <w:p>
      <w:r>
        <w:t>b. Offering Deteriorating Conditions on GDS</w:t>
      </w:r>
    </w:p>
    <w:p>
      <w:r>
        <w:t>16. For about two to three years, according to reports from the reporting travel agent associations, Ryanair has made its flights available on Global Distribution Systems (hereinafter, "GDS"), computer systems for managing the booking and purchase of airline tickets, used by traditional travel agencies, at least those of larger size.20 Ryanair, in particular, is present on two of the three active GDS platforms, namely Travelport and Sabre.21</w:t>
      </w:r>
    </w:p>
    <w:p>
      <w:r>
        <w:t>17. Ryanair, however, unlike all other airlines, would make its flights available on the GDS under both technical and economic conditions that are worse than those offered on its own website. From an economic standpoint, a series of comparative surveys provided by both reporting associations on a plurality of routes reveals a significant price differential between the offer on the website and that available on the GDS, both for the "basic" transport service and for additional services such as extra baggage (carry-on and checked) or priority boarding. In addition to the increased prices of individual services, on the GDS screens, at least in some cases, a specific "GDS Service Fee" is highlighted at a fixed amount of €10 in the case of Travelport and €3.3 in the case of Sabre, which is not applied by any other airline and which would be collected by Ryanair.</w:t>
      </w:r>
    </w:p>
    <w:p>
      <w:r>
        <w:t>18. The figures below show the simulations carried out in the second half of June 2023 by FTO in the case of purchasing the Bari-Alghero flight together with the additional services of carry-on baggage (with a maximum weight of 10 kg, in addition to the small bag always allowed) and seat selection. As can be seen from the screens, in the case of purchase from the website (Figure 2), the Regular fare amounts to €50.04 (€17.59 base fare + €32.45 for baggage and seat); in the case of using the GDS (Travelport in this specific case), as shown in Figure 3, to the base fare ("Value"), which already has a higher cost compared to the corresponding fare on the website (€30.99 + taxes vs. €17.59 taxes included), additional charges must then be added.</w:t>
      </w:r>
    </w:p>
    <w:p>
      <w:r>
        <w:t>18. Naturally, Ryanair, as an airline, is still required to comply with the aforementioned Regulation (EC) No. 261/2004 (rebooking on an alternative flight under equivalent conditions, reimbursement of any additional expenses and/or compensation).</w:t>
      </w:r>
    </w:p>
    <w:p>
      <w:r>
        <w:t>19. See the report from the travel agency (doc. 1). The reports from individual consumers (docs. 16, 19, from 22 to 24) and from ACL (docs. 11 and 18) concern tickets purchased on various OTAs, such as Booking, Volagratis, eDreams, Kiwi.</w:t>
      </w:r>
    </w:p>
    <w:p>
      <w:r>
        <w:t>20. FTO in the hearing stated that agencies typically use a single GDS; some very large agencies use 2 or all GDS; half of the market of Italian agencies does not use any GDS, purchasing from the airlines' websites or collaborating with companies that deal with airline ticketing (so-called "consolidators" or "aggregators") also because using a GDS has activation, usage, and training costs for sales staff, doc. 17.</w:t>
      </w:r>
    </w:p>
    <w:p>
      <w:r>
        <w:t>21. Ryanair UK, i.e., the British subsidiary of the Irish airline group Ryanair that operates to/from Italy, is not present on the GDS.</w:t>
      </w:r>
    </w:p>
    <w:p>
      <w:r>
        <w:rPr>
          <w:b/>
        </w:rPr>
        <w:t>[Pages 10–12]</w:t>
      </w:r>
    </w:p>
    <w:p>
      <w:r>
        <w:t>12 BULLETIN NO. 36 OF SEPTEMBER 25, 2023</w:t>
      </w:r>
    </w:p>
    <w:p>
      <w:r>
        <w:t>services that are priced individually (€19.80 for hand luggage and €8 for the seat) and finally, the GDS fee of €10 must be added. In this case, the price differential is over 45%. It should be noted that, while four fare options are available on the website, only the base fare would be available on the GDS, and other services would need to be purchased separately; therefore, the two offers would not be immediately comparable22.</w:t>
      </w:r>
    </w:p>
    <w:p>
      <w:r>
        <w:t>Figure 2 – Simulation on the website for the purchase of the flight Bari-Alghero on September 17, 2023, with hand luggage and seat</w:t>
      </w:r>
    </w:p>
    <w:p>
      <w:r>
        <w:t>22 Doc. 17. For other simulations, see docs. 2, 13, and 15.</w:t>
      </w:r>
    </w:p>
    <w:p>
      <w:r>
        <w:t>BULLETIN NO. 36 OF SEPTEMBER 25, 2023 13</w:t>
      </w:r>
    </w:p>
    <w:p>
      <w:r>
        <w:t>Figure 3 – Simulation on GDS for the purchase of the flight Bari-Alghero on September 17, 2023, with hand luggage and seat</w:t>
      </w:r>
    </w:p>
    <w:p>
      <w:r>
        <w:t>19. The price differential between a ticket purchased directly on Ryanair's website and one purchased through GDS is also observed for bookings during peak periods, for example, close to departure. Due to the high ticket price on the website, the markup applied through the GDS system is still, in absolute terms, particularly significant: for example, in the last simulation conducted on September 7, 2023, for a flight from Brindisi to Turin on September 11, 2023, the price on the website at the time of the survey was €354.52, while through Travelport it was €414.14 and through Amadeus it was €409.4923.</w:t>
      </w:r>
    </w:p>
    <w:p>
      <w:r>
        <w:t>20. From a technical standpoint, firstly, not all flights offered on the website would be available on the GDS, but only a subset. Secondly, on the GDS, it would only be possible to manage the sales phase but not the post-sale phase: in the case of changes to the booking or even for managing refund procedures following flight cancellation, even if the booking was made by the agency on GDS, these additional activities would need to be carried out on the website, where Ryanair would require the verification procedure described above23.</w:t>
      </w:r>
    </w:p>
    <w:p>
      <w:r>
        <w:t>14 BULLETIN NO. 36 OF SEPTEMBER 25, 2023</w:t>
      </w:r>
    </w:p>
    <w:p>
      <w:r>
        <w:t>Additionally, ancillary services (for example, additional luggage, seat selection) could only be purchased on the GDS at the "first contact," and therefore, further requests for the purchase of such services by the passenger would need to be managed by connecting to the website (with the issues previously described) and not through GDS, unlike what would normally happen with other airlines.</w:t>
      </w:r>
    </w:p>
    <w:p>
      <w:r>
        <w:t>21. Ryanair's policies regarding sales channels are outlined in the group's Annual Report 2022, published on its website among communications to investors. In this document, the company states that bookings for its flights can only be made through its own website, its app, and the GDS Travelport and Sabre, access to which is granted to traditional and corporate travel agencies. As for OTAs, they are considered unauthorized entities accessing Ryanair's website and booking system, extracting information on flights and prices (so-called screen scraping) and displaying it on their own sites to sell to customers at prices that may include hidden brokerage fees in addition to Ryanair's fares. The continued sale of the company's tickets by such operators could lead to a reduction in the number of customers booking directly on Ryanair's website and, consequently, a reduction in revenues from ancillary services24.</w:t>
      </w:r>
    </w:p>
    <w:p>
      <w:r>
        <w:t>III. EVALUATIONS</w:t>
      </w:r>
    </w:p>
    <w:p>
      <w:r>
        <w:t>a. Relevant Markets</w:t>
      </w:r>
    </w:p>
    <w:p>
      <w:r>
        <w:t>22. The case at hand concerns the markets for scheduled passenger air transport services and those, related to the former, for booking and selling tourism services.</w:t>
      </w:r>
    </w:p>
    <w:p>
      <w:r>
        <w:t>a.1) Scheduled Passenger Air Transport Services</w:t>
      </w:r>
    </w:p>
    <w:p>
      <w:r>
        <w:t>23. Based on established national25 and European26 guidelines, scheduled passenger air transport services (excluding charter flights) have characteristics that identify a distinct relevant market for each connection between pairs of cities or airports, applying the city-pair method: this is because such pairs represent the origin and destination of the movement and, as such, are not substitutable from the demand perspective. The origin-destination pairing concerns the respective catchment areas of the airports, to which, based on previous community and national precedents, a radius of approximately 100 km/a travel time of one hour is initially assigned as an indicative measure starting from the individual airport. Each of the markets thus defined, therefore, does not necessarily coincide with only the connections between the two airports at the ends of the route but may also include flights between airports whose respective catchment areas significantly overlap with those of neighboring airports. This approach to defining the relevant market presents a geographical dimension.</w:t>
      </w:r>
    </w:p>
    <w:p>
      <w:r>
        <w:t>24 See pages 74-76 and 129, Annual Report 2022, doc. 29.</w:t>
      </w:r>
    </w:p>
    <w:p>
      <w:r>
        <w:t>25 Cases C11608 – Alitalia - Compagnia Aerea Italiana/Branch of Wind Jet (Newco), decision no. 23739 of July 13, 2012, in Bulletin no. 28/2012 and C9812B - Post-concentration Monitoring/Compagnia Aerea Italiana/Alitalia-Italian Airlines-Air One, decision no. 23496 of April 11, 2012, in Bulletin no. 15/2012.</w:t>
      </w:r>
    </w:p>
    <w:p>
      <w:r>
        <w:t>26 Cases M.9287 – Connect Airways/Flybe; M.8964 – Delta/Air France-KLM/Virgin Group/Virgin Atlantic; M.8869 – Ryanair/LaudaMotion; M.7541 – IAG/Aer Lingus; M.7333 – Alitalia/Etihad; M.6447 – IAG/bmi.</w:t>
      </w:r>
    </w:p>
    <w:p>
      <w:r>
        <w:rPr>
          <w:b/>
        </w:rPr>
        <w:t>[Pages 13–15]</w:t>
      </w:r>
    </w:p>
    <w:p>
      <w:r>
        <w:t>BULLETIN NO. 36 OF SEPTEMBER 25, 2023</w:t>
      </w:r>
    </w:p>
    <w:p>
      <w:r>
        <w:t>intrinsic to the transport services, for which it becomes irrelevant to draw a line of demarcation between geographic and product dimensions.</w:t>
      </w:r>
    </w:p>
    <w:p>
      <w:r>
        <w:t>24. With regard to the substitutability between direct flights and indirect flights connecting the two airports at the ends of the same route, it must be evaluated taking into account the distance and travel times, as well as the daily frequencies of flights on the same route. Therefore, with regard to national routes, the substitutability between direct and indirect flights from the demand side must generally be excluded, while concerning international routes, direct and indirect connections can sometimes be considered substitutable and, therefore, part of the same market. Similarly, the substitutability of air transport with other means of transport is normally considered for each of the identified markets (so-called intermodal competition): for this purpose, the distances separating the origin and destination points of each relevant connection, travel times, connection frequencies, and the characteristics of the available transport modes (costs, comfort, etc.) are taken into account. The distinction between business and leisure demand appears to be increasingly outdated, considering the evolution of the operational models of airlines and the weight that low-cost carriers hold today in Italy.</w:t>
      </w:r>
    </w:p>
    <w:p>
      <w:r>
        <w:t>25. In this specific case, considering the large number of routes potentially affected by the conduct under examination and the generalized nature of Ryanair's service offerings in air transport, a broader definition of the relevant market cannot be excluded, which includes all national and European connections to/from Italy.</w:t>
      </w:r>
    </w:p>
    <w:p>
      <w:r>
        <w:t>a.2) The services of booking and selling tourist services</w:t>
      </w:r>
    </w:p>
    <w:p>
      <w:r>
        <w:t>26. This refers to the booking and sale of tourist services (air travel, hotels, car rentals, etc.); due to their different characteristics, each can constitute a different relevant market, which could be abstractly subject to further segmentation.</w:t>
      </w:r>
    </w:p>
    <w:p>
      <w:r>
        <w:t>27. Tourist services can be sold individually or as part of a so-called package tour, in which case specific regulations come into play. The Commission, in its precedents, has considered that it cannot exclude that the distribution of package tours constitutes a separate market from the sale of individual services that the buyer combines independently.</w:t>
      </w:r>
    </w:p>
    <w:p>
      <w:r>
        <w:t>28. Again, the advent of the internet has significantly changed the dynamics of the sector: services whose distribution was previously almost exclusively the domain of traditional travel agencies are now also offered by OTAs and other entities, primarily airlines, which, starting from the transaction for the purchase of the airline ticket, can cross-sell and sell the traveler all other tourist services they need, utilizing specialized partners.</w:t>
      </w:r>
    </w:p>
    <w:p>
      <w:r>
        <w:t>29. In this case, in addition to the booking and sale of airline tickets, the booking and sale of hotel services and the booking and sale of car rental services are relevant, namely the tourist services that have a closer connection with air transport, as well as due to the fact that Ryanair intermediates their sale on its website.</w:t>
      </w:r>
    </w:p>
    <w:p>
      <w:r>
        <w:t>30. Considering the growing presence of OTAs and airlines alongside the traditional agency channel, which has led to a homogenization of competitive conditions in these markets, at least on the national territory, and also taking into account the linguistic uniformity of the different versions of these entities' websites in each country, the market dimension can be considered, in the first approximation, national.</w:t>
      </w:r>
    </w:p>
    <w:p>
      <w:r>
        <w:t>b. Ryanair's Dominant Position</w:t>
      </w:r>
    </w:p>
    <w:p>
      <w:r>
        <w:t>31. In the sector of scheduled passenger air transport nationally and to/from Italy, Ryanair has acquired over the years a position of absolute prominence, also due to the well-known events of the national airline, which in other European countries continues to play an important role. According to data from the ENAC Report, Ryanair is the leading carrier in Italy with nearly 46 million passengers transported in 2022 (34.6% of the total), followed by Wizzair with about 11.5 million and easyJet with just over 11 million; ITA is in fourth place with nearly 10.5 million. In national traffic alone, Ryanair holds a passenger share of 44% (while the second operator, easyJet, does not reach 20%); these are data that are constantly growing, except for the pandemic period.</w:t>
      </w:r>
    </w:p>
    <w:p>
      <w:r>
        <w:t>32. Based on the latest data provided by ENAC, it emerges that in 2022 Ryanair was the only airline active on 114 connections between national airports and on 910 connections between national and European airports. Furthermore, on more than 70 national connections and over 300 European ones, Ryanair transported a passenger share between 50 and 99.99%. Therefore, the connections where Ryanair is a monopolist or holds a passenger share greater than 50% are over 190 national connections and 1,200 connections between national and European airports. These should be added to the connections operated by Malta Air Ltd., a joint venture between the Government of Malta and Ryanair, sold by the latter on its own channels.</w:t>
      </w:r>
    </w:p>
    <w:p>
      <w:r>
        <w:t>33. The available information suggests that Ryanair is in a dominant position in a very large number of markets for scheduled passenger air transport nationally and to/from Italy. In addition to the position held on individual routes, which will be evaluated during the investigation procedure, it is worth noting that Ryanair is by far the leading national operator in terms of routes served and passengers transported, and boasts constant growth for both. It is also the operator with by far the largest and youngest fleet and can also rely on a well-established reputation as a particularly convenient low-cost operator, as well as on a wide and flexible fare offering, associated with the possibility of separately purchasing ancillary services to the flight (various types of hand and checked baggage, priority boarding and/or seat selection, etc.) as well as numerous other ancillary services (hotels, car rentals, insurance, event tickets, etc.).</w:t>
      </w:r>
    </w:p>
    <w:p>
      <w:r>
        <w:t>c. The Conducts Challenged</w:t>
      </w:r>
    </w:p>
    <w:p>
      <w:r>
        <w:t>34. In the established interpretation of Article 102 of the TFEU, the undertaking in a dominant position has a special responsibility not to harm effective and fair competition in the internal market or a substantial part of it. According to the same case law, the undertaking in a dominant position does not lose the right to determine its own business strategy or to increase its activity, but, by virtue of that position, cannot resort to means other than those on which normal or merit-based competition between products and services is based, founded on the performance of economic operators, reducing the degree of competition still existing in the market or the development of that competition. In particular, "normal" competition, based on merit, is that "from which consumers benefit through lower prices, better quality, and a wider choice of new or more efficient goods and services" and which, in other words, leads to "broadening consumer choice by introducing new products into the market or increasing the quantity or quality of those already offered."</w:t>
      </w:r>
    </w:p>
    <w:p>
      <w:r>
        <w:t>35. In this context, the described conducts allow for the hypothesis of a possible abuse by Ryanair of its dominant position in the air transport markets, aimed at excluding travel agencies from the markets for booking and selling tourist services. Within a structured strategy, Ryanair would have implemented a commercial policy aimed at increasingly stringent discrimination over time between passengers who make direct purchases of airline tickets on its website/app and those who choose to resort to travel agencies and OTAs, with the aim of centralizing ticket sales and other tourist services on its own channels, marginalizing intermediaries in the offering of such services. It must be considered that on many routes affecting Italian territory, Ryanair's offering represents the only available alternative (or, in any case, the one that offers the largest number of flights and at the best rates) and that not having Ryanair in their inventory could undermine the ability of agencies to offer the end customer a complete range of travel solutions.</w:t>
      </w:r>
    </w:p>
    <w:p>
      <w:r>
        <w:t>36. Firstly, Ryanair would prevent traditional agencies and/or OTAs from purchasing airline tickets from its website. Formally, this would occur with the prohibition of using the site for commercial purposes (Terms of Use of the site and General Terms and Conditions of Carriage) and with the introduction of indications for recognizing official channels, thus precluding the use of the ryanair.com site by agencies in the exercise of the mandate received from the client. Substantively, the objective would be pursued through the use of access monitoring systems and technical blocks, effectively applied downstream of the purchase through an agency, preventing any post-sale operation – including the essential operation of online check-in – before the completion of the "verification process." This is a procedure that subjects the customer who has chosen to turn to an agency to an unjustified and additional burden in the process.</w:t>
      </w:r>
    </w:p>
    <w:p>
      <w:r>
        <w:rPr>
          <w:b/>
        </w:rPr>
        <w:t>[Pages 16–18]</w:t>
      </w:r>
    </w:p>
    <w:p>
      <w:r>
        <w:t>BULLETIN NO. 36 OF SEPTEMBER 25, 2023</w:t>
      </w:r>
    </w:p>
    <w:p>
      <w:r>
        <w:t>18. In terms of required compliance and additional costs to be incurred, and if the consumer does not successfully complete this procedure, they would have to incur the high costs of check-in at the airport.</w:t>
      </w:r>
    </w:p>
    <w:p>
      <w:r>
        <w:t>37. Nor do there appear to be objective security reasons justifying the different treatment of passengers using an agency compared to those purchasing on the Ryanair website, possibly even through an acquaintance. In fact, verifying the identity only for some travelers and not for all would not protect the entire crew and passengers from risk situations, nor could it find any explanation in some intrinsic danger of the traveler who turns to agencies compared to one who purchases independently from the website.</w:t>
      </w:r>
    </w:p>
    <w:p>
      <w:r>
        <w:t>38. Additionally, there are potentially defamatory statements made by Ryanair both in the general information on its website and in communications sent to travelers via email, where travel agencies are systematically presented as entities that would operate in an allegedly illegitimate manner (as they are not authorized by Ryanair), unreliable (as they would not provide the company with correct information), and more expensive, because they would mark up the cost of airline tickets. Agencies, in fact, seem to limit themselves to applying an agency fee to the customer, of which the latter would be fully aware and would choose to incur as compensation for the service (consultation and organizational) received.</w:t>
      </w:r>
    </w:p>
    <w:p>
      <w:r>
        <w:t>39. In reality, a price differential arises, at least for offline agencies, precisely from the Ryanair fares present on GDS, which are defined by the carrier itself. Ryanair is, in fact, the only low-cost airline that imposes on physical agencies the obligation to purchase through GDS, applying worse conditions both in quantitative terms (with significantly higher fares than those applied on its own website) and qualitative terms (with less availability of flights and fare types). Consumers, facing worse and/or unjustified difficulties in managing the air booking, might feel that they have overall purchased a poor service from the travel agency, which is thus unduly disadvantaged in the customer's future choices.</w:t>
      </w:r>
    </w:p>
    <w:p>
      <w:r>
        <w:t>40. Furthermore, the management of the post-sale phase would be blocked through GDS (unlike what would normally happen with other companies), so that any subsequent changes to the original booking or the addition of supplementary services could only occur via the ryanair.com website, thus reiterating, in this case as well, the difficulties related to the described "verification process."</w:t>
      </w:r>
    </w:p>
    <w:p>
      <w:r>
        <w:t>41. The exclusionary intent of the behaviors implemented by Ryanair appears to be twofold. In the sale of airline tickets, although it should be indifferent for the company to sell through a direct channel or through an agency (since agencies do not receive commissions from Ryanair and would sell – if permitted – at the same price at which the company sells on its own site), direct sales to consumers would allow it, after hooking them through the promotion of the "low" fare related to the transport service alone, to "push" the sale of supplementary services (priority, sale of space for the trolley on the aircraft or for checked baggage transport, seat selection, etc.) through targeted marketing policies during and after the booking, as well as to acquire data for passenger profiling.</w:t>
      </w:r>
    </w:p>
    <w:p>
      <w:r>
        <w:t>42. Moreover, from the above reconstruction, it would seem that Ryanair leverages its dominant position in the air transport markets to extend its market power to the offering of other tourist services (hotels, car rentals, etc.), preventing and/or hindering travel agencies in the sale of the airline ticket, which is typically the first purchase made in organizing a vacation and which, therefore, represents the "access point" with the greatest potential for cross-selling for the sale of other services. This is consistent with what is expressly stated in the Annual Report 2022, in which Ryanair expresses concern about losing direct customers to intermediaries, particularly OTAs, which "could lead to a reduction in the number of customers booking directly from the Ryanair website and consequently a reduction in revenues from ancillary services."</w:t>
      </w:r>
    </w:p>
    <w:p>
      <w:r>
        <w:t>43. The alteration of genuine competitive dynamics resulting from the described behaviors ultimately also harms end customers, who receive a worsened offer in qualitative and quantitative terms, as the ability of intermediaries to formulate offers to travelers for both the sale of transport services offered by Ryanair and by combining Ryanair flights with flights from other carriers and/or with other tourist services would be weakened, thus reducing the choices available to consumers.</w:t>
      </w:r>
    </w:p>
    <w:p>
      <w:r>
        <w:t>44. Additionally, consumers who decide to purchase an entire package from an agency, including the Ryanair flight, precisely to benefit from a "turnkey" service and avail themselves of the protections of the Tourism Code, still find themselves exposed either to the much worse conditions made available to offline travel agencies on GDS or to the difficulties associated with using the ryanair.com website.</w:t>
      </w:r>
    </w:p>
    <w:p>
      <w:r>
        <w:t>45. The same applies if the traveler decides to purchase the flight separately and independently on the carrier's website – to secure better conditions as a non-professional – and the remaining tourist services (e.g., accommodation, car rental) from an agency, as they will not be able to enjoy the maximum protection that the Tourism Code extends to all other elements of the purchased package.</w:t>
      </w:r>
    </w:p>
    <w:p>
      <w:r>
        <w:t>46. In the outlined framework, Ryanair's conduct does not appear to be the result of normal competition, based on the commercial merits of operators, "from which consumers benefit through lower prices, better quality, and a wider choice of new or more efficient goods and services."</w:t>
      </w:r>
    </w:p>
    <w:p>
      <w:r>
        <w:t>47. In fact, based on the aforementioned jurisprudence, on one hand, the penalizing conditions applied by Ryanair to travel agencies are significant, either explicitly (at the tariff level) or implicitly (in terms of a general burden of procedures and operations), with potential exclusionary effects to their detriment. On the other hand, it is evidently irrational that an economic operator – if it could not rely on its dominant position in scheduled air transport and if it did not aim to expand into the sale of other tourist services at the expense of travel agencies – would choose to hinder precisely the intermediaries that reach that not insignificant part of clientele (e.g., elderly, businesses, individuals without credit cards, etc.), who are reluctant, for various reasons, to proceed independently and/or with the aid of technology or who, in any case, without costs for the carrier, contribute to increasing its market share.</w:t>
      </w:r>
    </w:p>
    <w:p>
      <w:r>
        <w:t>48. The special responsibility of the enterprise in a dominant position implies that such an enterprise, while being able to preserve and even expand its activity according to the distribution model it prefers, must still act without limiting the degree of competition already weakened by its presence. Therefore, Ryanair cannot adopt methods that could harm "effective and fair competition in the internal market."</w:t>
      </w:r>
    </w:p>
    <w:p>
      <w:r>
        <w:t>49. In conclusion, the behaviors described above constitute a possible abuse of a dominant position of an exclusionary nature by Ryanair, relevant for the application of Article 3 of Law No. 287/1990 and/or Article 102 of the TFEU. The behaviors in question, in fact, appear capable of hindering the conduct of effective competition in the markets for the sale of tourist services, to the detriment of travel agencies and with negative effects on the welfare of consumers who rely on such operators.</w:t>
      </w:r>
    </w:p>
    <w:p>
      <w:r>
        <w:t>IV. HARM TO INTRA-EUROPEAN TRADE</w:t>
      </w:r>
    </w:p>
    <w:p>
      <w:r>
        <w:t>50. According to the Commission's Communication "Guidelines on the notion of harm to trade between Member States under Articles 81 and 82 of the Treaty" (2004/C 101/07), the concept of harm to intra-European trade must be interpreted taking into account the direct or indirect, real or potential influence on trade flows between Member States.</w:t>
      </w:r>
    </w:p>
    <w:p>
      <w:r>
        <w:t>51. The existence of harm to trade between Member States, as a result of the described behaviors, appears to exist due to the fact that the proceeding concerns an important operator with a European dimension, active in offering cross-border transport services as well as in the sale of tourist services. Such services are subject to a regulatory framework defined at the European level aimed at allowing travelers and professionals to fully benefit from the opportunities offered by the internal market with uniform protections. The described behaviors are therefore likely to alter trade between Member States. It follows that it is appropriate to evaluate the case in question also as a potential infringement of Article 102 of the TFEU.</w:t>
      </w:r>
    </w:p>
    <w:p>
      <w:r>
        <w:t>CONSIDERING, therefore, that the behaviors implemented by Ryanair DAC, for the reasons outlined above, appear to constitute a violation of Article 3 of Law No. 287/1990 and/or Article 102 of the TFEU;</w:t>
      </w:r>
    </w:p>
    <w:p>
      <w:r>
        <w:t>DECIDES</w:t>
      </w:r>
    </w:p>
    <w:p>
      <w:r>
        <w:t>a) to initiate the investigation, pursuant to Article 14 of Law No. 287/1990, against Ryanair DAC to ascertain the existence of competition violations pursuant to Article 3 of Law No. 287/1990 and/or Article 102 of the TFEU;</w:t>
      </w:r>
    </w:p>
    <w:p>
      <w:r>
        <w:t>b) to set a deadline of sixty days, starting from the date of notification of this provision, for the exercise by the legal representatives of the parties of the right to be heard, specifying that the request for a hearing must be received by the Directorate Credit Insurance Postal Services Tourism and Sport of the Directorate General for Competition of this Authority at least fifteen days before the expiration of the aforementioned deadline;</w:t>
      </w:r>
    </w:p>
    <w:p>
      <w:r>
        <w:t>c) that the person responsible for the procedure is Dr. Luigi Di Gaetano;</w:t>
      </w:r>
    </w:p>
    <w:p>
      <w:r>
        <w:rPr>
          <w:b/>
        </w:rPr>
        <w:t>[Pages 19–21]</w:t>
      </w:r>
    </w:p>
    <w:p>
      <w:r>
        <w:t>BULLETIN NO. 36 OF SEPTEMBER 25, 2023</w:t>
      </w:r>
    </w:p>
    <w:p>
      <w:r>
        <w:t>d) that the documents of the procedure can be viewed at the Credit Insurance Post Services Tourism and Sports Directorate of the Competition Department - 2 of this Authority, by the legal representatives of the parties or by persons delegated by them;</w:t>
      </w:r>
    </w:p>
    <w:p>
      <w:r>
        <w:t>e) that the procedure must be concluded by December 31, 2024.</w:t>
      </w:r>
    </w:p>
    <w:p>
      <w:r>
        <w:t>This provision will be notified to the interested parties and published in the Bulletin of the Competition and Market Authority.</w:t>
      </w:r>
    </w:p>
    <w:p>
      <w:r>
        <w:t>THE SECRETARY GENERAL THE PRESIDENT</w:t>
        <w:br/>
        <w:t>Guido Stazi Roberto Rustichelli</w:t>
      </w:r>
    </w:p>
    <w:p>
      <w:r>
        <w:t>OPERATIONS OF CONCENTRATION</w:t>
        <w:br/>
        <w:t>C12561 - EURIZON CAPITAL REAL ASSET-ERSEL ASSET MANAGEMENT/TECNOFER</w:t>
        <w:br/>
        <w:t>Provision No. 30769</w:t>
      </w:r>
    </w:p>
    <w:p>
      <w:r>
        <w:t>THE COMPETITION AND MARKET AUTHORITY</w:t>
      </w:r>
    </w:p>
    <w:p>
      <w:r>
        <w:t>IN ITS MEETING of September 5, 2023;</w:t>
      </w:r>
    </w:p>
    <w:p>
      <w:r>
        <w:t>HEARD the Rapporteur Professor Elisabetta Iossa;</w:t>
      </w:r>
    </w:p>
    <w:p>
      <w:r>
        <w:t>HAVING REGARD to Regulation (EC) No. 139/2004 of the Council, of January 20, 2004, concerning the control of concentrations between undertakings;</w:t>
      </w:r>
    </w:p>
    <w:p>
      <w:r>
        <w:t>HAVING REGARD to Law No. 287 of October 10, 1990;</w:t>
      </w:r>
    </w:p>
    <w:p>
      <w:r>
        <w:t>HAVING REGARD to the D.P.R. No. 217 of April 30, 1998;</w:t>
      </w:r>
    </w:p>
    <w:p>
      <w:r>
        <w:t>HAVING REGARD to the communication from the companies Eurizon Capital Real Asset SGR S.p.A. and Ersel Asset Management SGR S.p.A. received on August 17, 2023;</w:t>
      </w:r>
    </w:p>
    <w:p>
      <w:r>
        <w:t>HAVING REGARD to the documentation on file;</w:t>
      </w:r>
    </w:p>
    <w:p>
      <w:r>
        <w:t>CONSIDERING the following:</w:t>
      </w:r>
    </w:p>
    <w:p>
      <w:r>
        <w:t>I. THE PARTIES</w:t>
      </w:r>
    </w:p>
    <w:p>
      <w:r>
        <w:t>1. Eurizon Capital Real Asset SGR S.p.A. (hereinafter, ECRA) is an asset management company, belonging to the Intesa San Paolo Banking Group (hereinafter, ISP Group). In particular, it is engaged in the establishment and management of various types of Investment Funds aimed at private and institutional investors. In 2022, the ISP Group achieved a worldwide turnover of [30-40]* billion euros, of which [30-40] billion euros in the European Union and [30-40] billion euros in Italy.</w:t>
      </w:r>
    </w:p>
    <w:p>
      <w:r>
        <w:t>2. Ersel Asset Management SGR S.p.A. (hereinafter, Ersel), the parent company of the Ersel Banking Group, manages Italian law mutual funds, two real estate funds, and a hedge fund. In 2022, Ersel achieved a worldwide turnover of [100-532] million euros, of which [100-532] million euros in the European Union and [100-532] million euros in Italy.</w:t>
      </w:r>
    </w:p>
    <w:p>
      <w:r>
        <w:t>3. TecnoFer S.p.A. is a company active exclusively in Italy, specialized in the maintenance of railways and subways. The share capital of TecnoFer is wholly owned by the company Executive (hereinafter, the Seller). TecnoFer in turn holds 80% of TecnoFer Engineering S.r.l. (hereinafter, jointly, TecnoFer or Target). In 2022, TecnoFer achieved a turnover of [10-32] million euros, entirely generated in Italy.</w:t>
      </w:r>
    </w:p>
    <w:p>
      <w:r>
        <w:t>II. DESCRIPTION OF THE OPERATION</w:t>
      </w:r>
    </w:p>
    <w:p>
      <w:r>
        <w:t>4. The operation (hereinafter, the Operation) consists of the acquisition of joint control of TecnoFer by ECRA and Ersel (hereinafter, the Parties).</w:t>
        <w:br/>
        <w:t>* In this version, some data are omitted, as elements of confidentiality or secrecy of the information were deemed to exist.</w:t>
      </w:r>
    </w:p>
    <w:p>
      <w:r>
        <w:t>BULLETIN NO. 36 OF SEPTEMBER 25, 2023</w:t>
      </w:r>
    </w:p>
    <w:p>
      <w:r>
        <w:t>5. In particular, ECRA and Ersel will acquire 60% and 40% of the capital of the Target, respectively. Concurrently with the acquisition, the Parties have also signed Shareholders' Agreements that establish criteria for the designation of members of the Board of Directors and decision-making procedures, such that the favorable vote of at least one director from each company is required for the adoption of resolutions of the Target, thereby granting joint control over the same Target.</w:t>
      </w:r>
    </w:p>
    <w:p>
      <w:r>
        <w:t>6. The Parties have finally entered into a non-compete agreement under which the Seller must refrain from [omitted]:</w:t>
        <w:br/>
        <w:t>i. engaging in any activity in competition, direct or indirect, with TecnoFer;</w:t>
        <w:br/>
        <w:t>ii. diverting or influencing the personnel and clientele of TecnoFer.</w:t>
      </w:r>
    </w:p>
    <w:p>
      <w:r>
        <w:t>III. QUALIFICATION OF THE OPERATION</w:t>
      </w:r>
    </w:p>
    <w:p>
      <w:r>
        <w:t>7. The communicated Operation constitutes a concentration pursuant to Article 5, paragraph 1, letter b), of Law No. 287/90, as it involves the acquisition of joint control of an undertaking.</w:t>
      </w:r>
    </w:p>
    <w:p>
      <w:r>
        <w:t>8. It falls within the scope of application of Law No. 287/90, as the conditions of Article 1 of EC Regulation No. 139/04 are not met, and is subject to the obligation of prior notification provided for by Article 16, paragraph 1, of the same law, as the total turnover achieved in the last financial year at the national level by the group of interested undertakings was above 532 million euros and the turnover achieved individually at the national level by at least two of the interested undertakings was above 32 million euros.</w:t>
      </w:r>
    </w:p>
    <w:p>
      <w:r>
        <w:t>9. The non-compete agreement signed by the Parties and described in the previous paragraph can be considered directly connected and necessary for the realization of the concentration operation in question, as it is functional to safeguarding the value of the acquired undertaking, provided that it is limited in terms of products to those of the acquired undertaking, geographically to the area of activity of the acquired undertaking, and does not prevent the sellers from acquiring or holding shares solely for financial investment purposes1.</w:t>
      </w:r>
    </w:p>
    <w:p>
      <w:r>
        <w:t>IV. ASSESSMENT OF THE CONCENTRATION</w:t>
      </w:r>
    </w:p>
    <w:p>
      <w:r>
        <w:t>The relevant market</w:t>
      </w:r>
    </w:p>
    <w:p>
      <w:r>
        <w:t>10. Considering the activity carried out by TecnoFer, the Operation concerns the railway maintenance sector, through the provision of cleaning and dust removal services for railway and subway tunnels; vegetation control on railways; rail painting and railway technical consulting.</w:t>
      </w:r>
    </w:p>
    <w:p>
      <w:r>
        <w:t>11. According to the Authority's orientation2, the services in question fall within the market for professional maintenance services for railway infrastructure.</w:t>
      </w:r>
    </w:p>
    <w:p>
      <w:r>
        <w:t>12. From a geographical standpoint, based on precedents, the market can be defined at least as European, due to the type of demand, as well as the presence of transportation costs of a non-high magnitude.</w:t>
        <w:br/>
        <w:t>1 Communication from the Commission on restrictions directly connected and necessary to concentration operations (2005/C 56/03) published in the Official Journal of the European Communities on March 5, 2005.</w:t>
        <w:br/>
        <w:t>2 See case C7658 – 70 FINANCE/MER MEC, Provision No. 15413 of April 26, 2006.</w:t>
      </w:r>
    </w:p>
    <w:p>
      <w:r>
        <w:rPr>
          <w:b/>
        </w:rPr>
        <w:t>[Pages 22–24]</w:t>
      </w:r>
    </w:p>
    <w:p>
      <w:r>
        <w:t>BULLETIN NO. 36 OF SEPTEMBER 25, 2023</w:t>
      </w:r>
    </w:p>
    <w:p>
      <w:r>
        <w:t>13. In any case, it is stated that the definition of the geographic market can be left open because, regardless of it, the Operation does not raise competition concerns in the provision of such services.</w:t>
      </w:r>
    </w:p>
    <w:p>
      <w:r>
        <w:t>Effects of the operation</w:t>
      </w:r>
    </w:p>
    <w:p>
      <w:r>
        <w:t>14. From a competitive standpoint, the Operation does not appear to raise concerns. Indeed, based on the data provided by the Party, the market share held in Italy by TecnoFer, regardless of the relevant market considered, is in any case below 15%. Additionally, the acquisition will not result in horizontal overlaps as neither ECRA nor Ersel are active in the relevant market. Furthermore, the operation does not entail vertical effects given the absence of the parent companies in upstream or downstream markets.</w:t>
      </w:r>
    </w:p>
    <w:p>
      <w:r>
        <w:t>15. Finally, it is noted that in the market for professional maintenance services of railway infrastructure, there are numerous and qualified competitors.</w:t>
      </w:r>
    </w:p>
    <w:p>
      <w:r>
        <w:t>CONSIDERING, therefore, that the operation in question does not significantly impede effective competition in the relevant market pursuant to Article 6, paragraph 1, of Law No. 287/90 and does not result in the establishment or strengthening of a dominant position;</w:t>
      </w:r>
    </w:p>
    <w:p>
      <w:r>
        <w:t>CONSIDERING, furthermore, that the non-competition obligations between the Parties are ancillary to this operation only to the limits described above and that the Authority reserves the right to evaluate the aforementioned agreements that extend beyond the indicated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Enterprises and Made in Italy.</w:t>
      </w:r>
    </w:p>
    <w:p>
      <w:r>
        <w:t>This provision will be published in the Bulletin of the Antitrust Authority.</w:t>
      </w:r>
    </w:p>
    <w:p>
      <w:r>
        <w:t>THE SECRETARY GENERAL THE PRESIDENT</w:t>
        <w:br/>
        <w:t>Guido Stazi Roberto Rustichelli</w:t>
      </w:r>
    </w:p>
    <w:p>
      <w:r>
        <w:t>BULLETIN NO. 36 OF SEPTEMBER 25, 2023</w:t>
      </w:r>
    </w:p>
    <w:p>
      <w:r>
        <w:t>C12562 - VIVIGAS/MILANO GAS E LUCE</w:t>
      </w:r>
    </w:p>
    <w:p>
      <w:r>
        <w:t>Provision No. 30770</w:t>
      </w:r>
    </w:p>
    <w:p>
      <w:r>
        <w:t>THE ANTITRUST AUTHORITY</w:t>
      </w:r>
    </w:p>
    <w:p>
      <w:r>
        <w:t>IN ITS MEETING of September 5, 2023;</w:t>
      </w:r>
    </w:p>
    <w:p>
      <w:r>
        <w:t>HEARD the Rapporteur, Professor Elisabetta Iossa;</w:t>
      </w:r>
    </w:p>
    <w:p>
      <w:r>
        <w:t>HAVING REGARD to Regulation (EC) No. 139/2004 concerning the control of concentrations between undertakings;</w:t>
      </w:r>
    </w:p>
    <w:p>
      <w:r>
        <w:t>HAVING REGARD to Law No. 287 of October 10, 1990;</w:t>
      </w:r>
    </w:p>
    <w:p>
      <w:r>
        <w:t>HAVING REGARD to the D.P.R. No. 217 of April 30, 1998;</w:t>
      </w:r>
    </w:p>
    <w:p>
      <w:r>
        <w:t>HAVING REGARD to the communication from Vivigas S.p.A., received on August 18, 2023;</w:t>
      </w:r>
    </w:p>
    <w:p>
      <w:r>
        <w:t>HAVING REGARD to the documentation on file;</w:t>
      </w:r>
    </w:p>
    <w:p>
      <w:r>
        <w:t>CONSIDERING the following:</w:t>
      </w:r>
    </w:p>
    <w:p>
      <w:r>
        <w:t>I. THE PARTIES</w:t>
      </w:r>
    </w:p>
    <w:p>
      <w:r>
        <w:t>1. Vivigas S.p.A. (“Vivigas”) is a company primarily engaged in the sale of natural gas and electricity to end customers, both residential and non-residential, as well as to other market operators (the so-called resellers). Vivigas is controlled by EG Holding S.p.A. (“EG Holding”), which holds over 99% of its share capital. EG Holding is a holding company that, through its subsidiaries, operates in the sector of transportation and distribution of natural gas (through Erogasmet S.p.A.) and in the sale of natural gas and electricity (in which Vivigas operates). In the period from June 2021 to June 2022, Vivigas generated, entirely in Italy, a turnover of approximately 975 million euros; during the same period, EG Holding generated a worldwide turnover of approximately 1.008 billion euros, of which approximately 1.005 billion euros in Italy.</w:t>
      </w:r>
    </w:p>
    <w:p>
      <w:r>
        <w:t>2. Milano Gas e Luce S.r.l. (“Milano Gas e Luce”) is a company primarily engaged in the sale of natural gas and electricity to end customers, both residential and non-residential. Milano Gas e Luce is controlled by Amafin S.p.A. (“Amafin”), which holds 70% of its share capital; minority shareholders are three individuals. Amafin is a holding company controlled by two individuals. In turn, Milano Gas e Luce owns 90% of the share capital of Bergamo Gas e Luce S.r.l. (“Bergamo Gas e Luce”). Milano Gas e Luce also holds a minority stake of 40% in the capital of Cat Energy S.r.l., controlled by a third party and active in the sale of natural gas and electricity to end customers. In the period from September 2021 to September 2022, Milano Gas e Luce and Bergamo Gas e Luce generated, jointly and entirely in Italy, a turnover of approximately 194 million euros.</w:t>
      </w:r>
    </w:p>
    <w:p>
      <w:r>
        <w:t>II. DESCRIPTION OF THE OPERATION</w:t>
      </w:r>
    </w:p>
    <w:p>
      <w:r>
        <w:t>3. The notified operation consists of the transfer of the business of Milano Gas e Luce into a newly established company, Mediolanum Gas e Luce S.r.l. (“Newco”), in which Vivigas will acquire a majority stake of 51% of the related share capital. In particular, the scope of the business transferred to the Newco will include all the activities of selling natural gas and electricity carried out by Milano Gas e Luce, including: (i) the participation, currently held by Milano Gas e Luce, of 90% of the related share capital in Bergamo Gas e Luce, as well as (ii) the minority stake of 40% in the capital of Cat Energy. The remaining 49% of the capital of the Newco will instead be held by Milano Gas e Luce. As a result of the operation, therefore, Vivigas will exercise exclusive control over the Newco and, consequently, over the business of Milano Gas e Luce.</w:t>
      </w:r>
    </w:p>
    <w:p>
      <w:r>
        <w:t>4. An integral part of the operation are certain agreements according to which: (i) Vivigas undertakes to supply the Newco, as well as Bergamo Gas e Luce, electricity and natural gas for the volumes necessary for the initial development of the Newco until June 30, 2027; by express agreement between the Parties, the aforementioned supplies will be provided at market conditions and do not entail exclusive purchase obligations on the part of the Newco; (ii) Amafin will continue to provide the Newco, until June 30, 2024 and without obligation of renewal, the administrative and accounting services previously provided to its subsidiary Milano Gas e Luce. No non-competition agreements are foreseen.</w:t>
      </w:r>
    </w:p>
    <w:p>
      <w:r>
        <w:t>III. QUALIFICATION OF THE OPERATION</w:t>
      </w:r>
    </w:p>
    <w:p>
      <w:r>
        <w:t>5. The notified Operation, as it involves the acquisition of control of an undertaking, constitutes a concentration pursuant to Article 5, paragraph 1, letter b), of Law No. 287/90. It falls within the scope of application of Law No. 287/90, as the conditions of Article 1 of EC Regulation No. 139/04 are not met, and is subject to the obligation of prior notification provided for by Article 16, paragraph 1, of the same law as the total turnover achieved, in the last financial year at the national level, by the group of interested undertakings was over 532 million euros and the total turnover achieved individually, in the last financial year at the national level, by at least two of the interested undertakings was over 32 million euros.</w:t>
      </w:r>
    </w:p>
    <w:p>
      <w:r>
        <w:t>6. The supply commitments provided by the Parties on the part of Vivigas and Amafin constitute ancillary restrictions to the notified operation, as they are necessary to ensure the continuation of the business transferred to the Newco.</w:t>
      </w:r>
    </w:p>
    <w:p>
      <w:r>
        <w:t>IV. ASSESSMENTS OF THE CONCENTRATION</w:t>
      </w:r>
    </w:p>
    <w:p>
      <w:r>
        <w:t>The relevant markets and the effects of the Operation</w:t>
      </w:r>
    </w:p>
    <w:p>
      <w:r>
        <w:t>7. Due to the operations of the Parties and the established national and community practice, which identifies separate relevant markets depending on the size of customers, the characteristics of demand, and the type of connection (high/medium/low voltage), the markets involved in the Operation are: (i) the retail market for electricity sales to residential customers connected at low voltage; (ii) the retail market for electricity sales to non-residential customers connected at low voltage; (iii) the retail market for electricity sales to non-residential customers connected at high and medium voltage; (iv) the retail market for natural gas sales to small customers; (v) the retail market for natural gas sales to large customers.</w:t>
      </w:r>
    </w:p>
    <w:p>
      <w:r>
        <w:rPr>
          <w:b/>
        </w:rPr>
        <w:t>[Pages 25–27]</w:t>
      </w:r>
    </w:p>
    <w:p>
      <w:r>
        <w:t>BULLETIN NO. 36 OF SEPTEMBER 25, 2023</w:t>
      </w:r>
    </w:p>
    <w:p>
      <w:r>
        <w:t>Markets for the retail sale of electricity to customers connected at low voltage</w:t>
      </w:r>
    </w:p>
    <w:p>
      <w:r>
        <w:t>8. In its established practice1, the Authority has identified for the markets of retail electricity sales to customers connected at low voltage, both domestic and non-domestic, local geographic areas that are nonetheless narrower than the national one, also considering the importance of the role historically played at the local level by sales companies under the greater protection regime, which are known to be connected to the companies holding the (local) concession for the distribution service. In this specific case, the reasons for narrowing the geographic scope of the relevant market are mitigated: in fact, the Parties do not operate as electricity distributors and, over time, the market share held by the operators of the greater protection service has significantly decreased, representing on average less than 30% of the energy supplied to domestic customers and less than 10% of the energy supplied to non-domestic customers connected at low voltage2. Therefore, it is not deemed necessary to define more accurately the geographic scope of the relevant markets for sales to domestic and non-domestic customers connected at low voltage, as the outcome of the assessment of the Operation would not change regardless of the definition adopted. Indeed, according to the data provided, the joint market share of the Parties, referring to 2022 and calculated on sales volumes, is below 1% in each of the regions where both Parties operate, both with respect to domestic customers and non-domestic customers. Moreover, in these markets, both the greater protection operators and competing qualified operators, including the largest national operators, operate, and the barriers to entry are modest. The Operation therefore does not appear to be capable of significantly affecting competition in the markets for the sale of electricity to domestic and non-domestic customers connected at low voltage.</w:t>
      </w:r>
    </w:p>
    <w:p>
      <w:r>
        <w:t>Markets for the retail sale of electricity to customers connected at medium/high voltage</w:t>
      </w:r>
    </w:p>
    <w:p>
      <w:r>
        <w:t>9. In the Authority's practice, the market for the sale of electricity to non-domestic customers connected at high and medium voltage differs from those for sales to customers connected at low voltage primarily due to the characteristics of the demand, which is much more mobile compared to smaller users and often able to interact directly with producers. For these same reasons, the geographic dimension of this market in the Authority's established practice is considered national.</w:t>
      </w:r>
    </w:p>
    <w:p>
      <w:r>
        <w:t>10. From the data provided by the Parties, it emerges that the joint market share on a national basis, referring to 2022 and calculated on sales volumes, is below 1%. The Operation does not appear to be capable of significantly affecting competition in the market for the sale of electricity to customers connected at medium/high voltage.</w:t>
      </w:r>
    </w:p>
    <w:p>
      <w:r>
        <w:t>Markets for the retail sale of natural gas</w:t>
      </w:r>
    </w:p>
    <w:p>
      <w:r>
        <w:t>11. Regarding the retail sale of natural gas, the Parties are active both in sales to small final customers (i.e., with consumption below 200,000 mc/year) and in sales to large final customers. Milano Gas e Luce is primarily active in supplying condominiums, which represent over two-thirds of its sales to small final customers. Vivigas, on the other hand, is only marginally present in this segment.</w:t>
      </w:r>
    </w:p>
    <w:p>
      <w:r>
        <w:t>12. With reference to the market for sales to small customers, the Authority has not identified a distinct relevant market for condominium customers and has traditionally considered a market of local size, although it has recently questioned the possibility of considering a broader market, also in light of the reduction of the share of the protection service (historically offered by companies connected to local distributors), which stood at an average of about 33% for domestic customers and about 10% for condominiums in the first quarter of 2023. In this specific case, it does not seem necessary to define more accurately the product and geographic perimeter of the relevant market, as the outcome of the assessment of the present operation would not change regardless of the definition adopted. In fact, if a separate market for supplies to condominiums with consumption below 200,000 mc/year were identified, the overlaps between the Parties' shares would be negligible. Furthermore, with reference to the product scope traditionally identified by the Authority, the data provided by the Parties shows that in none of the regions where overlaps between their activities occur do they hold a joint share exceeding 5% and that Milano Gas e Luce holds shares exceeding 1% only in Lombardy. The Operation therefore does not appear to be capable of significantly affecting competition in the market for the retail sale of natural gas to small customers, also considering the presence of qualified competitors in all markets where the Parties operate, including the largest national operators, and the low level of barriers to entry.</w:t>
      </w:r>
    </w:p>
    <w:p>
      <w:r>
        <w:t>13. With reference to the market for sales to large customers, in the Authority's established practice, it is of national size. In the market thus defined, the concentration produces negligible effects, as the Parties, following the Operation, will hold a joint share that is in any case well below 5%.</w:t>
      </w:r>
    </w:p>
    <w:p>
      <w:r>
        <w:t>14. In light of the above considerations, the concentration under examination does not appear to be capable of significantly altering effective competition in the relevant markets or of establishing or strengthening a dominant position.</w:t>
      </w:r>
    </w:p>
    <w:p>
      <w:r>
        <w:t>THEREFORE, it is deemed that the Operation under examination does not significantly impede effective competition in the relevant markets, pursuant to Article 6, paragraph 1, of Law No. 287/90, and does not lead to the establishment or strengthening of a dominant position;</w:t>
      </w:r>
    </w:p>
    <w:p>
      <w:r>
        <w:t>RESOLVES</w:t>
      </w:r>
    </w:p>
    <w:p>
      <w:r>
        <w:t>not to initiate the investigation referred to in Article 16, paragraph 4, of Law No. 287/90. The above conclusions will be communicated, pursuant to Article 16, paragraph 4, of Law No. 287/90,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rPr>
          <w:b/>
        </w:rPr>
        <w:t>[Pages 28–30]</w:t>
      </w:r>
    </w:p>
    <w:p>
      <w:r>
        <w:t>30 BULLETIN NO. 36 OF SEPTEMBER 25, 2023</w:t>
      </w:r>
    </w:p>
    <w:p>
      <w:r>
        <w:t>INVESTIGATIVE INQUIRIES</w:t>
      </w:r>
    </w:p>
    <w:p>
      <w:r>
        <w:t>IC55 - MARKETS FOR HEARING AIDS</w:t>
      </w:r>
    </w:p>
    <w:p>
      <w:r>
        <w:t>Provision No. 30771</w:t>
      </w:r>
    </w:p>
    <w:p>
      <w:r>
        <w:t>THE ANTITRUST AUTHORITY</w:t>
      </w:r>
    </w:p>
    <w:p>
      <w:r>
        <w:t>IN ITS MEETING of September 12, 2023;</w:t>
      </w:r>
    </w:p>
    <w:p>
      <w:r>
        <w:t>HEARD the Rapporteur, President Roberto Rustichelli;</w:t>
      </w:r>
    </w:p>
    <w:p>
      <w:r>
        <w:t>HAVING REGARD to Law No. 287 of October 10, 1990;</w:t>
      </w:r>
    </w:p>
    <w:p>
      <w:r>
        <w:t>HAVING REGARD to Article 12, paragraph 2, of Law No. 287 of October 10, 1990, pursuant to which the Authority may conduct general investigative inquiries in economic sectors where the evolution of exchanges, price behavior, or other circumstances suggest that competition is impeded, restricted, or distorted;</w:t>
      </w:r>
    </w:p>
    <w:p>
      <w:r>
        <w:t>HAVING REGARD to the Presidential Decree No. 217 of April 30, 1998, and in particular, Article 17, concerning general investigative inquiries;</w:t>
      </w:r>
    </w:p>
    <w:p>
      <w:r>
        <w:t>CONSIDERING the following elements:</w:t>
      </w:r>
    </w:p>
    <w:p>
      <w:r>
        <w:t>1. Hearing aids are medical devices designed to amplify and/or qualitatively and quantitatively compensate for hearing deficits resulting from congenital or acquired conditions. These are technologically complex devices that meet widespread health needs and have a significant impact on people's daily lives. According to recent estimates, at least 7 million Italians have hearing problems, corresponding to over 12% of the national population, and of these, about 30% currently use hearing aids1. Given the progressive aging of the population, which is more susceptible to hearing difficulties, the diffusion of these products is certainly expected to increase.</w:t>
      </w:r>
    </w:p>
    <w:p>
      <w:r>
        <w:t>2. Hearing aids can represent a significant expense, even for the most economical models, both for individual consumers and for the National Health Service (“SSN”), which, under current regulations regarding essential levels of care, can cover at least part of the purchase costs2. The reference markets, related to both products and audioprosthetic services for device configuration and assistance, also present peculiar structures and dynamics.</w:t>
      </w:r>
    </w:p>
    <w:p>
      <w:r>
        <w:t>3. Based on the available information, the current market conditions do not seem to guarantee full price transparency for consumers, also considering the significant differentiation existing among products, with possible customization needs in technical configuration and, in some cases, in the form of the device.</w:t>
      </w:r>
    </w:p>
    <w:p>
      <w:r>
        <w:t>4. It is also noteworthy that there is difficulty in distinguishing between products and assistance services, also due to the current practice of providing such products and services in a bundled manner. This bundling, moreover, has significant implications for the ability of contracting authorities to proceed with separate purchases on behalf of the SSN, with significant effects in terms of the breadth and plurality of supply sources and resulting cost savings.</w:t>
      </w:r>
    </w:p>
    <w:p>
      <w:r>
        <w:t>5. According to the information already available, some technological innovations are affecting both production and distribution activities, particularly regarding the availability of preconfigured products – that is, requiring a lower degree of customization – and the possibility of providing at least part of the audioprosthetic services remotely, with companies operating through online resale channels.</w:t>
      </w:r>
    </w:p>
    <w:p>
      <w:r>
        <w:t>6. The Authority therefore considers it appropriate to conduct an analysis of the hearing aid markets in Italy, in order to deepen the market structures and the related competitive dynamics.</w:t>
      </w:r>
    </w:p>
    <w:p>
      <w:r>
        <w:t>CONSIDERING, therefore, that it is necessary to initiate an investigative inquiry concerning the hearing aid markets in Italy, as there are circumstances suggesting that, in the sector considered, there are obstacles to the proper unfolding of competitive dynamics;</w:t>
      </w:r>
    </w:p>
    <w:p>
      <w:r>
        <w:t>All of the above having been stated and considered;</w:t>
      </w:r>
    </w:p>
    <w:p>
      <w:r>
        <w:t>RESOLVES</w:t>
      </w:r>
    </w:p>
    <w:p>
      <w:r>
        <w:t>to proceed, pursuant to Article 12, paragraph 2, of Law No. 287 of October 10, 1990, with an investigative inquiry into the hearing aid markets in Italy.</w:t>
      </w:r>
    </w:p>
    <w:p>
      <w:r>
        <w:t>Within the framework of this inquiry, within 30 days from the date of publication of this resolution on the Authority's website, it will be possible to submit contributions on the topics mentioned in the preceding paragraphs, with particular regard to: (a) characteristics of commercial dynamics and evolution of the demand and supply of hearing aids, also taking into account technological innovations in the offering of products and services as well as recent changes in the reference regulations; (b) existence of competitive concerns in the hearing aid markets, with specific reference to the Italian situation in light of the current regulations; (c) efficiencies and critical issues of the purchasing methods of hearing aids by entities attributable to public health. The relevant communications, bearing the wording “IC55 - Hearing Aid Markets - Call for inputs” and indicating the name of the sender, must be sent in editable format to the following email address: IC55@agcm.it.</w:t>
      </w:r>
    </w:p>
    <w:p>
      <w:r>
        <w:t>If the interested parties believe that their communications contain sensitive data, they must provide them both in a confidential version and in a public version; if a confidential version is not provided, what is received may be published in full.</w:t>
      </w:r>
    </w:p>
    <w:p>
      <w:r>
        <w:t>32 BULLETIN NO. 36 OF SEPTEMBER 25, 2023</w:t>
      </w:r>
    </w:p>
    <w:p>
      <w:r>
        <w:t>This provision will be published in the Bulletin and on the website of the Antitrust Authority.</w:t>
      </w:r>
    </w:p>
    <w:p>
      <w:r>
        <w:t>THE SECRETARY GENERAL THE PRESIDENT</w:t>
      </w:r>
    </w:p>
    <w:p>
      <w:r>
        <w:t>Guido Stazi Roberto Rustichelli</w:t>
      </w:r>
    </w:p>
    <w:p>
      <w:r>
        <w:rPr>
          <w:b/>
        </w:rPr>
        <w:t>[Pages 31–33]</w:t>
      </w:r>
    </w:p>
    <w:p>
      <w:r>
        <w:t>BULLETIN NO. 36 OF SEPTEMBER 25, 2023</w:t>
      </w:r>
    </w:p>
    <w:p>
      <w:r>
        <w:t>33</w:t>
        <w:br/>
        <w:t>REPORTING AND CONSULTATIVE ACTIVITY</w:t>
      </w:r>
    </w:p>
    <w:p>
      <w:r>
        <w:t>AS1912 - VENEZIA AMBIENTE BASIN - WASTE MANAGEMENT SERVICE FOR NON-DOMESTIC USERS</w:t>
      </w:r>
    </w:p>
    <w:p>
      <w:r>
        <w:t>Rome, September 7, 2023</w:t>
      </w:r>
    </w:p>
    <w:p>
      <w:r>
        <w:t>Venezia Ambiente Basin Council</w:t>
        <w:br/>
        <w:t>Veneziana Energia Risorse Idriche Territorio Ambiente Servizi – V.E.R.I.T.A.S. S.p.A.</w:t>
        <w:br/>
        <w:t>National Association of Italian Municipalities (ANCI)</w:t>
      </w:r>
    </w:p>
    <w:p>
      <w:r>
        <w:t>The Antitrust Authority, in its meeting on September 5, 2023, following a report received on March 29, 2023, from the companies Trevisan S.p.A., Centro Recupero Trevigiano S.r.l., and Vello S.r.l., with the adherence of the National Union of Collection, Recovery, Recycling, and Trade of Waste Paper and Other Materials – Unirima, deemed it appropriate to make the following observations, pursuant to Article 22 of Law No. 287/1990, regarding the application methods of Article 238, paragraph 10, of Legislative Decree No. 152/2006 (hereinafter “TUA”), as last amended by Legislative Decree No. 116/20201, by the Venezia Ambiente Basin Council and the in-house providing company Veneziana Energia Risorse Idriche Territorio Ambiente Servizi S.p.A. (hereinafter also “VERITAS”).</w:t>
      </w:r>
    </w:p>
    <w:p>
      <w:r>
        <w:t>It is recalled that Legislative Decree No. 116/2020, insofar as relevant: (i) amended the definition of urban waste by introducing in Article 183, paragraph 1, letter b-ter), TUA the category of waste produced by non-domestic users (hereinafter, “UND”2) similar to the urban waste strictly identified in Annex L-quater of the TUA and produced by the activities listed in the subsequent Annex L-quinquies, which replaces the previous category of waste assimilated3 to urban waste, the identification of which was, instead, left to individual municipalities; (ii) amended Article 238, paragraph 10, TUA, excluding the UND that have chosen to confer waste similar to urban waste outside the public service - and that have demonstrated “to have sent them for recovery through a certification issued by the entity carrying out the waste recovery activity” - from the payment of the tariff component related to the quantity of waste conferred.</w:t>
      </w:r>
    </w:p>
    <w:p>
      <w:r>
        <w:t>The company VERITAS, in response to a request for information sent by the Authority, acknowledging an interpretative conflict on the matter4, specified that it applies the aforementioned amendment of Article 238, paragraph 10, of the TUA in line with the position expressed in this regard by the Venezia Ambiente Basin Council5, in the sense that: (i) total exemption from the variable portion of the TARI under Article 238, paragraph 10, of the TUA applies to UND that exit the public service for all the differentiated waste they produce when such choice is made for at least two years; (ii) a reduction of the variable portion of the TARI provided for by Article 1, paragraph 649, of Law No. 147/2013 applies to UND that remain in the public service and decide to send part of their urban waste for recycling.</w:t>
      </w:r>
    </w:p>
    <w:p>
      <w:r>
        <w:t>The Authority has already expressed itself on the exit of UND from the public service in the opinion pursuant to Article 22, Law No. 287/1990, No. AS1858 of August 5, 2022, issued against the Municipality of Castelvetrano and the National Association of Italian Municipalities6. Even on that occasion, an interpretation of the legislation that led to an unjustified expansion of the monopoly in favor of the public urban hygiene service provider was criticized. Even more recently, in the report to Parliament and the Government No. AS1893 of June 22, 20237, the Authority hoped that the conflict arising over the interpretation of Article 238, paragraph 10, of the TUA would be definitively resolved through an amendment to the primary legislation.</w:t>
      </w:r>
    </w:p>
    <w:p>
      <w:r>
        <w:t>Pending a desirable decisive intervention by the legislator, it is appropriate to reiterate that the interpretation proposed by the Venezia Ambiente Basin Council (and, therefore, by VERITAS) is capable of depriving of effective enforceability the faculty, recognized to the UND, to confer their urban waste outside the public service. In fact, whenever there are no active industrial entities in the territory where the UND operate to which to confer all fractions of waste similar to urban waste produced, they would, in fact, be forced to adhere to the public service, even in the presence of potentially more efficient private operators for the treatment of individual types of waste, thereby ensuring the public hygiene service provider an unjustified extension of its monopoly, regardless of the quality and cost of the service offered.</w:t>
      </w:r>
    </w:p>
    <w:p>
      <w:r>
        <w:t>The Regulatory Authority for Energy, Networks and Environment (hereinafter, “ARERA”) has also expressly provided, in the “Consolidated Text for the Regulation of the Quality of the Urban Waste Management Service,” the possibility for UND to confer “in whole or in part” their urban waste outside the public service, in order to obtain a reduction or exemption of the variable tariff8.</w:t>
      </w:r>
    </w:p>
    <w:p>
      <w:r>
        <w:t>The interpretation of the legislation proposed by the Venezia Ambiente Basin Council, moreover, does not seem to correspond to the literal data of the norm but, above all, does not appear consistent with the teleological profile, since the rationale of the reform under Legislative Decree No. 116/2020 appears rather - as also confirmed by the Circular issued by the then Ministry for Ecological Transition No. 37259 of April 21, 2021 - to introduce greater certainty regarding the types of waste produced by UND that can be considered “similar” to urban waste, consequently overcoming the differentiations between the various local entities attributable to the contents of the different municipal resolutions on the matter and, on the other hand, to broaden the scope of waste management operations that justify a reduction of the TARI, which should not be based exclusively on “recycling” (as provided for by Article 1, paragraph 649, Law No. 147/20139), also taking into account the concept of “recovery,” in order to incentivize all operations falling within this broader category10.</w:t>
      </w:r>
    </w:p>
    <w:p>
      <w:r>
        <w:t>In any case, any mechanisms that incentivize the application of the waste hierarchy, privileging recycling over other forms of recovery (primarily energy recovery), in a competitive market, such as that of waste management for UND, should apply regardless of the public or private nature of the operator and, in any case, in an equitable manner to both. This objective could be achieved by providing, for example, adequate incentives to the same UND, such as lesser or greater tax exemptions depending on the form of recovery chosen, regardless of the quantity of waste conferred to private operators (i.e., all waste similar to urban waste produced by the UND or only a part).</w:t>
      </w:r>
    </w:p>
    <w:p>
      <w:r>
        <w:t>Furthermore, in order not to hinder the exit of UND from the public service and simultaneously avoid conferring undue advantages to the public service provider in relation to waste similar to urban waste, the information that UND are required to disclose to the public manager, a competitor of private operators in the treatment of differentiated urban waste produced by the UND themselves, should be limited to what is strictly necessary.</w:t>
      </w:r>
    </w:p>
    <w:p>
      <w:r>
        <w:t>The Authority, in conclusion, hopes that the Venezia Ambiente Basin Council promotes the interpretation of the legislation in question in a pro-competitive sense that seems to be its own and that VERITAS consequently modifies its procedures accordingly.</w:t>
      </w:r>
    </w:p>
    <w:p>
      <w:r>
        <w:t>This opinion will be published in the Bulletin of the Antitrust Authority.</w:t>
      </w:r>
    </w:p>
    <w:p>
      <w:r>
        <w:t>THE PRESIDENT</w:t>
      </w:r>
    </w:p>
    <w:p>
      <w:r>
        <w:t>Roberto Rustichelli</w:t>
      </w:r>
    </w:p>
    <w:p>
      <w:r>
        <w:t>8 See ARERA Resolution of January 18, 2022, containing “Consolidated Text for the Regulation of the Quality of the Urban Waste Management Service,” published on the institutional website https://www.arera.it/it/docs/22/015-22.htm.</w:t>
        <w:br/>
        <w:t>9 Law No. 147/2013 regulates, in particular, the waste tax (so-called TARI).</w:t>
        <w:br/>
        <w:t>10 See Circular of the MITE No. 37259 of April 12, 2021, adopted in conjunction with the offices of the Ministry of Finance, according to which: “In light of this regulatory innovation, the reduction of the variable portion provided for by paragraph 649 must refer to any recovery process, including recycling - operation referred to in Annex C of Part Four of the TUA - to which the waste is sent.”</w:t>
      </w:r>
    </w:p>
    <w:p>
      <w:r>
        <w:rPr>
          <w:b/>
        </w:rPr>
        <w:t>[Pages 34–36]</w:t>
      </w:r>
    </w:p>
    <w:p>
      <w:r>
        <w:t>36 BULLETIN NO. 36 OF SEPTEMBER 25, 2023</w:t>
      </w:r>
    </w:p>
    <w:p>
      <w:r>
        <w:t>CONFLICT OF INTEREST</w:t>
      </w:r>
    </w:p>
    <w:p>
      <w:r>
        <w:t>SI1273B – RICARDO LEVI - GOVERNMENT COMMISSIONER FOR THE COORDINATION OF ACTIVITIES RELATED TO ITALY'S PARTICIPATION, AS HONORARY COUNTRY, AT THE FRANKFURT BOOK FAIR 2024 - POST OFFICE OPINION</w:t>
      </w:r>
    </w:p>
    <w:p>
      <w:r>
        <w:t>Rome, July 26, 2023</w:t>
      </w:r>
    </w:p>
    <w:p>
      <w:r>
        <w:t>SUBJECT: Request for an opinion regarding the regime of post-office incompatibilities pursuant to Article 2, paragraph 4, of Law No. 215 of July 20, 2004, containing "Rules on the resolution of conflicts of interest," received on July 5 and supplemented on July 6, 2023.</w:t>
      </w:r>
    </w:p>
    <w:p>
      <w:r>
        <w:t>Esteemed Doctor,</w:t>
      </w:r>
    </w:p>
    <w:p>
      <w:r>
        <w:t>On July 5 and 6, 2023, two notes were received by the Authority in which Your Excellency requests an opinion regarding the compatibility between the position of Government Commissioner for the coordination of activities related to Italy's participation, as honorary country, at the Frankfurt Book Fair 2024, held by you until May 26, 2023, and the assumption of the position of member of the Advisory Board of the company Il Portico S.p.A.</w:t>
      </w:r>
    </w:p>
    <w:p>
      <w:r>
        <w:t>In relation to this request, the Authority, in its meeting on July 25, 2023, resolved the following opinion.</w:t>
      </w:r>
    </w:p>
    <w:p>
      <w:r>
        <w:t>The case in question falls under Article 2, paragraph 1, letter c) of Law No. 215 of July 20, 2004, a provision referenced by Article 2, paragraph 4, of the same law, according to which "the incompatibility provided for by the provisions of letters b), c) and d) of paragraph 1 lasts for twelve months from the end of the government position with respect to public law entities, including economic ones, as well as to profit-making companies operating mainly in sectors related to the position held."</w:t>
      </w:r>
    </w:p>
    <w:p>
      <w:r>
        <w:t>In this regard, the Authority has consistently held that the provision in question is essentially intended to exclude even the mere possibility that the exercise of the powers related to the government position may be influenced or distorted by the holder's interest in pre-establishing future benefits, for example in terms of positions following the termination of the government position.</w:t>
      </w:r>
    </w:p>
    <w:p>
      <w:r>
        <w:t>In this sense, the element of discontinuity introduced by the legislator in the relationships between former office holders and the entities or companies that operate mainly in the sectors affected by the specific functions exercised during the government mandate is aimed at safeguarding the impartiality of public action, which represents the cornerstone principle of the regulation on conflicts of interest.</w:t>
      </w:r>
    </w:p>
    <w:p>
      <w:r>
        <w:t>In this specific case, taking into account, in particular, the fact that the company Il Portico S.p.A. also has cultural and social purposes and that, from the information currently in the possession of the Authority, there is no evidence that Your Excellency has had legal or economic relationships with the company in question,</w:t>
      </w:r>
    </w:p>
    <w:p>
      <w:r>
        <w:t>BULLETIN NO. 36 OF SEPTEMBER 25, 2023 37</w:t>
      </w:r>
    </w:p>
    <w:p>
      <w:r>
        <w:t>the application of the above criteria leads to the conclusion that there are no impediments to assuming the position in consideration.</w:t>
      </w:r>
    </w:p>
    <w:p>
      <w:r>
        <w:t>It is noted that this opinion, pursuant to Article 23, second paragraph of the Regulation on conflicts of interest, is subject to publication in the Authority's bulletin, except for "any confidentiality needs duly represented."</w:t>
      </w:r>
    </w:p>
    <w:p>
      <w:r>
        <w:t>Therefore, Your Excellency is requested to communicate to this Authority, within 15 days from the receipt of the opinion, the existence of any confidentiality needs, providing specific reasons for them.</w:t>
      </w:r>
    </w:p>
    <w:p>
      <w:r>
        <w:t>Best regards.</w:t>
      </w:r>
    </w:p>
    <w:p>
      <w:r>
        <w:t>THE SECRETARY GENERAL</w:t>
      </w:r>
    </w:p>
    <w:p>
      <w:r>
        <w:t>Guido Stazi</w:t>
      </w:r>
    </w:p>
    <w:p>
      <w:r>
        <w:t>Antitrust Authority Weekly Bulletin</w:t>
      </w:r>
    </w:p>
    <w:p>
      <w:r>
        <w:t>of Competition and Market Year XXXIII - No. 36 - 2023</w:t>
      </w:r>
    </w:p>
    <w:p>
      <w:r>
        <w:t>Editorial Coordination Giulia Antenucci</w:t>
      </w:r>
    </w:p>
    <w:p>
      <w:r>
        <w:t>Editorial Staff Angela D’Auria, Valerio Ruocco, Manuela Villani</w:t>
      </w:r>
    </w:p>
    <w:p>
      <w:r>
        <w:t>Antitrust Authority</w:t>
      </w:r>
    </w:p>
    <w:p>
      <w:r>
        <w:t>Document Management, Protocol and Statistical Services Directorate</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