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https://www.agcm.it/dotcmsdoc/bollettini/2022/37-22.pdf</w:t>
      </w:r>
    </w:p>
    <w:p>
      <w:r>
        <w:t>Pages translated : 24</w:t>
      </w:r>
    </w:p>
    <w:p/>
    <w:p>
      <w:r>
        <w:rPr>
          <w:b/>
        </w:rPr>
        <w:t>[Pages 1–3]</w:t>
      </w:r>
    </w:p>
    <w:p>
      <w:r>
        <w:t>Bulletin</w:t>
        <w:br/>
        <w:t>Weekly</w:t>
        <w:br/>
        <w:t>Year XXXII - No. 37</w:t>
        <w:br/>
        <w:t>Published on the website www.agcm.it</w:t>
        <w:br/>
        <w:t>October 17, 2022</w:t>
      </w:r>
    </w:p>
    <w:p>
      <w:r>
        <w:t>SUMMARY</w:t>
        <w:br/>
        <w:t>AGREEMENTS AND ABUSE OF DOMINANT POSITION 5</w:t>
        <w:br/>
        <w:t>I861 - ITALIAN VOLLEYBALL FEDERATION/SPORTS BOND</w:t>
        <w:br/>
        <w:t>Decision No. 30314 5</w:t>
        <w:br/>
        <w:t>CONCENTRATION OPERATIONS 17</w:t>
        <w:br/>
        <w:t>C12485 - AGSM AIM ENERGY/COMPAGO</w:t>
        <w:br/>
        <w:t>Decision No. 30311 17</w:t>
        <w:br/>
        <w:t>C12486 - EURIZON CAPITAL REAL ASSET SGR-FIS/TRANSPORTS ROMAGNA</w:t>
        <w:br/>
        <w:t>Decision No. 30312 18</w:t>
        <w:br/>
        <w:t>UNFAIR COMMERCIAL PRACTICES 22</w:t>
        <w:br/>
        <w:t>IP360 - SICILY BY CAR-ADMINISTRATIVE PRACTICE MANAGEMENT EXPENSES</w:t>
        <w:br/>
        <w:t>Decision No. 30316 22</w:t>
      </w:r>
    </w:p>
    <w:p>
      <w:r>
        <w:t>BULLETIN NO. 37 OF OCTOBER 17, 2022 5</w:t>
        <w:br/>
        <w:t>AGREEMENTS AND ABUSE OF DOMINANT POSITION</w:t>
        <w:br/>
        <w:t>I861 - ITALIAN VOLLEYBALL FEDERATION/SPORTS BOND</w:t>
        <w:br/>
        <w:t>Decision No. 30314</w:t>
        <w:br/>
        <w:t>THE ANTITRUST AUTHORITY</w:t>
        <w:br/>
        <w:t>IN ITS MEETING of September 27, 2022;</w:t>
        <w:br/>
        <w:t>HEARD the Rapporteur, Professor Michele Ainis;</w:t>
        <w:br/>
        <w:t>HAVING REGARD to Article 101 of the Treaty on the Functioning of the European Union (TFEU);</w:t>
        <w:br/>
        <w:t>HAVING REGARD to Council Regulation No. 1/2003 of December 16, 2002;</w:t>
        <w:br/>
        <w:t>HAVING REGARD to Law No. 287 of October 10, 1990;</w:t>
        <w:br/>
        <w:t>HAVING REGARD to Presidential Decree No. 217 of April 30, 1998;</w:t>
        <w:br/>
        <w:t>HAVING REGARD to the documentation in its possession;</w:t>
        <w:br/>
        <w:t>CONSIDERED the following:</w:t>
        <w:br/>
        <w:t>I. THE PARTY</w:t>
        <w:br/>
        <w:t>1. The Italian Volleyball Federation (hereinafter FIPAV) is the sports federation that groups together the clubs and sports associations based in Italy that practice the sports of volleyball, beach volleyball, and sitting volleyball as regulated by the FIVB (Fédération Internationale de Volleyball) and the CEV (Confédération Européenne de Volleyball).</w:t>
        <w:br/>
        <w:t>FIPAV is the only entity recognized by CONI, by CIP (Italian Paralympic Committee), by CEV, and by FIVB and is responsible for the organization and regulation of these disciplines in Italy, as well as for representing Italian volleyball activities internationally.</w:t>
        <w:br/>
        <w:t>II. FACTUAL AND LEGAL ELEMENTS</w:t>
        <w:br/>
        <w:t>1. The facts</w:t>
        <w:br/>
        <w:t>2. This procedure concerns the regulation of the sports bond by FIPAV. The issue of the sports bond in volleyball has been the subject of reports and addressed by the Authority following a complaint in 2017, concerning the permanence bond imposed on registered athletes in clubs or sports associations affiliated with FIPAV, which, according to the then-current Statute of the Federation, if over the age of 14 and up to the age of 24, due to the validity of the ten-year sports bond, could not transfer to a different sports association. Subsequently, from the 24th year of age up to 34 years, the bond was instead five years.</w:t>
        <w:br/>
        <w:t>3. On that occasion, following discussions with the Authority, FIPAV communicated its intention to redefine the entire bond system, adopting new regulations that provided for shorter duration bonds, in particular, a one-year bond up to 12 years, a 6-year bond from 12 to 24 years, and a 5-year bond between 24 and 34 years. The Federation emphasized</w:t>
      </w:r>
    </w:p>
    <w:p>
      <w:r>
        <w:rPr>
          <w:b/>
        </w:rPr>
        <w:t>[Pages 4–6]</w:t>
      </w:r>
    </w:p>
    <w:p>
      <w:r>
        <w:t>6 BULLETIN NO. 37 OF OCTOBER 17, 2022</w:t>
      </w:r>
    </w:p>
    <w:p>
      <w:r>
        <w:t>that such a modification would have allowed, on one hand, to reduce the maximum duration of the bond from 10 to 6 years and, on the other hand, to make it possible for the athlete to personally sign the sports bond at the age of 18 for the duration of the subsequent 6 years.</w:t>
      </w:r>
    </w:p>
    <w:p>
      <w:r>
        <w:t>4. Since such a modification required an amendment to the Statute, with a redefinition of the categories of athlete membership and age groups for championship participation, in accordance with the different duration brackets of the bond, FIPAV had planned to adopt this modification at the conclusion of the then ongoing Olympic quadrennium (2017-2020). Furthermore, FIPAV, with a letter signed by the President, dated June 25, 2019, committed not to foresee any transitional phase for the adoption of the statutory amendments once the text of the Statute had been approved by CONI.</w:t>
      </w:r>
    </w:p>
    <w:p>
      <w:r>
        <w:t>5. Based on the proposed regulatory changes and this last clarification regarding the immediate entry into force of the new rules, once the approval of CONI was obtained, the Authority in July 2019 deemed it unnecessary to continue the preliminary investigations, considering the regulatory framework proposed by FIPAV suitable to resolve potential competitive issues, benefiting the competitive dynamics in the volleyball sector. In the meeting of July 10, 2019, the Authority therefore decided to archive the case, requesting the Federation to communicate, as soon as it was prepared, the text of the Statute containing the new conditions of the bond duration following the approval in the assembly, also indicating the methods by which the Federation intended to implement the provisions expressed therein.</w:t>
      </w:r>
    </w:p>
    <w:p>
      <w:r>
        <w:t>6. In the absence of any feedback, close to the end of the Olympic quadrennium (2017-2020), a letter dated October 30, 2020, was sent to the Federation, inviting it to communicate the text of the new Statute containing the amendments proposed to the Authority in July 2019. In a letter dated November 6, 2020, FIPAV communicated that "in compliance with the deadlines established by its own statute and by the sports system, in its National Elective Assembly, which would be held on February 27, 2021, an extraordinary part was also scheduled with the statutory amendment concerning, among other things, the issue of the duration of the athletes' sports bond." However, close to the date when the elective Assembly was scheduled, in a letter dated February 25, 2021, FIPAV communicated that, due to the continuation of the pandemic situation, the Federation was unable to hold the extraordinary part of the Assembly during which the amendment to the Statute was expected and that, in order to proceed with the changes agreed with the Authority, it would apply to CONI for the appointment of a Commissioner ad Acta, pursuant to Article 22, paragraph 6, of the CONI Statute.</w:t>
      </w:r>
    </w:p>
    <w:p>
      <w:r>
        <w:t>7. On August 4, 2021, the Federation communicated that, with resolution of the National Board No. 73 of April 9, 2021, CONI had appointed the Commissioner ad Acta for the adoption of the amendments prepared by FIPAV in view of the Extraordinary Assembly. In this letter, signed by the President of the Federation, it was stated that "the reconfiguration of the duration of the sports bond, to be realized through the statutory amendment of Article 10 ter of the current text, would not foresee any transitional phase, so that, with the entry into force of the new text, once the approval of CONI was obtained, the amendment would be immediately effective and applicable also to ongoing bonds, which, if of longer duration, would automatically be reduced within the limits of the new provisions."</w:t>
      </w:r>
    </w:p>
    <w:p>
      <w:r>
        <w:t>8. Finally, on October 29, 2021, FIPAV transmitted the text of the new federal Statute, approved by the National Board of CONI, with resolution No. 320, dated October 22, 2021, which includes the amendments to Articles 10 ter and 69 made by the Commissioner ad Acta, concerning, respectively, the section relating to the duration of the athletes' sports bond and the transitional provisions.</w:t>
      </w:r>
    </w:p>
    <w:p>
      <w:r>
        <w:t>The amendments made to the Statute by the Commissioner ad Acta</w:t>
      </w:r>
    </w:p>
    <w:p>
      <w:r>
        <w:t>9. The text of the Statute, as amended by the Commissioner ad Acta appointed by CONI, provides for the reduction of the duration of the bond from 10 to 6 years, as proposed by FIPAV in July 2019. In particular, Article 10 ter, paragraph 2, concerning "Duration of the bond and methods of dissolution," currently provides for:</w:t>
        <w:br/>
        <w:t>˗ an annual bond up to 12 years;</w:t>
        <w:br/>
        <w:t>˗ a six-year bond for athletes aged 12 to 18 years and for athletes aged 18 to 24 years;</w:t>
        <w:br/>
        <w:t>˗ a five-year bond for athletes aged 24 to 34 years.</w:t>
        <w:br/>
        <w:t>For the purpose of determining the duration of the bond, for athletes under 12 years of age, reference is made to the calendar year of birth, while for all other athletes, reference is made to the sports year that begins on July 1 of each year and ends on June 30 of the following year (paragraph 1 of Article 10 ter).</w:t>
      </w:r>
    </w:p>
    <w:p>
      <w:r>
        <w:t>10. It is also established, in paragraph 5 of Article 10 ter, that the bond may be dissolved, according to what is provided in the Federal Regulations, in the following cases:</w:t>
        <w:br/>
        <w:t>a) for extinction or cessation of the activity of the member;</w:t>
        <w:br/>
        <w:t>b) for the athlete's failure to adhere to the absorption or merger of the binding member;</w:t>
        <w:br/>
        <w:t>c) by consent of the binding member;</w:t>
        <w:br/>
        <w:t>d) for the failure to renew the athlete's registration by the member within the annual deadline;</w:t>
        <w:br/>
        <w:t>e) for the binding member's failure to participate in the federal activity of the sector and for the age group that allows the athlete to participate;</w:t>
        <w:br/>
        <w:t>f) for just cause;</w:t>
        <w:br/>
        <w:t>g) for transfer of the sports right or for withdrawal from registration in a championship by the binding member;</w:t>
        <w:br/>
        <w:t>h) for withdrawal of the binding member from a championship made within the deadline of the first half.</w:t>
      </w:r>
    </w:p>
    <w:p>
      <w:r>
        <w:t>11. However, it should be noted that, contrary to what was previously proposed to the Authority in the aforementioned letter of June 25, 2019, signed by the President of FIPAV, the text of the new Statute provides for a transitional period with a staggered entry into force depending on age.</w:t>
      </w:r>
    </w:p>
    <w:p>
      <w:r>
        <w:t>12. Therefore, by virtue of the transitional provision contained in Article 69, only for new members will the new timing of the sports bond apply immediately, while for all others it will come into force at the end of the sports year in which the athlete turns 24 years of age. In particular, for those who at the time of the entry into force of the new Statute were 17 years old, the new regulation will come into force only in the sports year 2027/2028, that is, in 5 years.</w:t>
      </w:r>
    </w:p>
    <w:p>
      <w:r>
        <w:t>13. Following the transmission of the new federal Statute, on December 15, 2021, a hearing was held with representatives of FIPAV and CONI, during which explanations were requested regarding the new text of the Statute, particularly concerning the transitional phase introduced therein, in contrast to the statements of intent made to the Authority by the Federation in July 2019, which had led to the archiving of previous complaints.</w:t>
      </w:r>
    </w:p>
    <w:p>
      <w:r>
        <w:t>14. In January 2022, a communication was received, in which FIPAV reported its willingness to schedule an Extraordinary Assembly, to be held in the autumn of 2022, which would also deliberate on the transitional phase.</w:t>
      </w:r>
    </w:p>
    <w:p>
      <w:r>
        <w:t>15. Finally, on September 16, 2022, FIPAV communicated that it no longer intended to intervene on the regulation of the sports bond before the legislative definition of the entry into force of the rule on the abolition of the sports bond, from which, in FIPAV's view, the transitional phase would begin. In reality, as will be seen, the rule, even in its eventual final version, provides for a deadline after which the sports bond must be abolished outright.</w:t>
      </w:r>
    </w:p>
    <w:p>
      <w:r>
        <w:t>16. The issue of so-called "sports bonds" was also the subject of a report concerning a minor registered athlete, whose transfer to another club would have been made more difficult precisely because of the presence of the bond with the club of origin, which would have resulted, among other things, in a request for a considerable sum from the athlete's family (as a "temporary transfer") and subsequently a long civil and criminal litigation.</w:t>
      </w:r>
    </w:p>
    <w:p>
      <w:r>
        <w:t>2. The regulatory framework</w:t>
      </w:r>
    </w:p>
    <w:p>
      <w:r>
        <w:t>17. The regulation of the sports sector in Italy is based on a pyramidal system that is formed, at the international and top level, by the International Olympic Committee (IOC) and the Fédération Internationale de Volleyball (FIVB), at the national level by the Italian National Olympic Committee (CONI) with its tasks of coordination with international bodies and national direction and control, and then by the Italian Volleyball Federation (FIPAV), which regulates the sports of volleyball, beach volleyball, and sitting volleyball in Italy.</w:t>
      </w:r>
    </w:p>
    <w:p>
      <w:r>
        <w:rPr>
          <w:b/>
        </w:rPr>
        <w:t>[Pages 7–9]</w:t>
      </w:r>
    </w:p>
    <w:p>
      <w:r>
        <w:t>BULLETIN NO. 37 OF OCTOBER 17, 2022 9</w:t>
      </w:r>
    </w:p>
    <w:p>
      <w:r>
        <w:t>18. The Italian National Olympic Committee (CONI) was established in 1914 by delegates from various National Sports Federations, in order to organize the participation of Italian athletes in the Olympics, in coordination with the International Olympic Committee (IOC). With Law No. 426 of February 16, 1942, CONI is qualified as a public non-economic entity subject to ministerial supervision. The reorganization of CONI took place with Legislative Decree No. 242 of July 23, 1999 (so-called Melandri Law) and, subsequently, with Law No. 86 of August 8, 2019, titled "Delegations to the Government and other provisions regarding the sports system, sports professions, and simplification." CONI, defined as the "confederation of National Sports Federations" (FSN) and Associated Sports Disciplines (DSA), has statutory powers which, as provided by Article 2, concern the regulation of the central and peripheral organization of CONI, as well as its functioning. The current statute was last amended by the National Council on March 9, 2022, with resolution No. 1707 and approved by DPCM of July 19, 2022.</w:t>
      </w:r>
    </w:p>
    <w:p>
      <w:r>
        <w:t>19. The National Sports Federations "carry out sports activities in harmony with the resolutions and guidelines of the IOC, international federations, and CONI, also considering the public nature of specific types of activities identified in the CONI statute" (Article 15, Legislative Decree No. 242/1999). They are associations with legal personality under private law, do not pursue profit-making purposes (paragraph 2), and their budgets are approved by CONI (paragraphs 2 and 3). Pursuant to Article 16 of Legislative Decree No. 242/1999, the Federations have statutory and regulatory powers in accordance with the fundamental principles established by CONI; however, their Statutes must be adopted with the approval of a resolution by the National Board of CONI.</w:t>
      </w:r>
    </w:p>
    <w:p>
      <w:r>
        <w:t>20. The CONI Statute provides that Federations "are recognized technical, organizational, and management autonomy, under the supervision of CONI" (Article 20, paragraphs 3 and 4), recognizing only one Federation for each sport. Furthermore, the Statute, pursuant to Article 15, paragraph 1, Legislative Decree No. 242/1999, identifies the activities with "public significance" of the Federations, "related to the admission and affiliation of clubs, sports associations, and individual members, to the revocation (...) of admission or affiliation measures; to the control regarding the regular conduct of competitions and professional sports championships; to the utilization of public contributions; (...), as well as activities related to Olympic preparation and high-level training, the training of coaches, and the utilization and management of public sports facilities" (Article 23 of the Statute); "the public significance of the activity does not alter the ordinary regime of private law of individual acts and the subjective legal situations connected" (Article 23, paragraph 1bis of the CONI Statute).</w:t>
      </w:r>
    </w:p>
    <w:p>
      <w:r>
        <w:t>21. Currently, 45 National Sports Federations and 18 Associated Sports Disciplines are recognized by CONI. In this framework, FIPAV, the Italian Volleyball Federation, is the federation recognized by CONI whose purposes are "the promotion, enhancement, organization, and regulation of the sport of volleyball, beach volleyball, and sitting volleyball" as well as the "development of competitive activity, the preparation of athletes, and the provision of the necessary means for participation in the Olympic Games and international competitions, in harmony with the resolutions and guidelines of the IOC, FIVB, CONI, and CIP" (Article 2, paragraph 1, FIPAV Statute).</w:t>
      </w:r>
    </w:p>
    <w:p>
      <w:r>
        <w:t>22. The current Statute of FIPAV is that approved by the Extraordinary Assembly of the Federation on December 8, 2014, approved by the National Board of CONI with Resolution No. 242 of July 2, 2015, as subsequently amended (Articles 10 ter and 69) by the Commissioner ad Acta appointed by CONI and approved with Resolution of the National Board of CONI No. 320 of October 22, 2021.</w:t>
      </w:r>
    </w:p>
    <w:p>
      <w:r>
        <w:t>23. FIPAV has the legal nature of an association with legal personality under private law and is governed by Legislative Decree No. 242 of July 23, 1999, as amended by Legislative Decree No. 15 of January 8, 2004, as well as, for matters not expressly provided therein, by the civil code and the implementing provisions thereof (Article 1, paragraph 2).</w:t>
      </w:r>
    </w:p>
    <w:p>
      <w:r>
        <w:t>24. FIPAV does not pursue profit-making purposes and is governed, in addition to the statutory provisions, "by regulatory provisions based on the principle of internal democracy, the principle of participation in sports activities by anyone under equal conditions and in harmony with the national and international sports system as well as with the resolutions and guidelines of the IOC, FIVB, CONI, and CIP" (Article 1, paragraph 3). Furthermore, as a member of FIVB: "The Statute, regulations, norms, and decisions of FIVB are considered an integral part of the Federal Statute, unless in conflict with the regulations of the IOC and CONI, and must be mandatorily respected by the Federation, its members, and affiliates, as well as by anyone interested in the sport of volleyball, unless otherwise authorized by FIVB" (Article 1, paragraph 4). Finally, within the sports system, FIPAV enjoys "full technical, organizational, and managerial autonomy, under the supervision of CONI and CIP regarding sitting volleyball activities" (Article 1, paragraph 5).</w:t>
      </w:r>
    </w:p>
    <w:p>
      <w:r>
        <w:t>3. The sports binding</w:t>
      </w:r>
    </w:p>
    <w:p>
      <w:r>
        <w:t>25. The matter at hand concerns the sports binding that ties the non-professional athlete to a Federation and is implemented through the registration of the athlete with a sports club or sports association affiliated with the Federation. This binding is provided in some cases by national sports federations (hereinafter FSN) for athletes who wish to engage in sports activities, both amateur and competitive, in the field of a specific federated sport (while it is no longer provided for professionals). In practice, the conditions vary depending on the discipline.</w:t>
      </w:r>
    </w:p>
    <w:p>
      <w:r>
        <w:t>26. The registration relationship entails, for the athlete, a positive obligation to provide their sports activity exclusively in favor of the affiliated association or club with which they are registered. Correspondingly, there is a negative obligation not to perform the same sports activity in favor of or on behalf of associations or clubs affiliated with others than the one with which they are registered. In other words, the sports binding is a relationship whereby the athlete commits, for a certain period of time, to provide their sports activity solely and exclusively in favor of the club with which they have voluntarily registered, without the possibility of changing clubs before the end of the period established by the binding agreement.</w:t>
      </w:r>
    </w:p>
    <w:p>
      <w:r>
        <w:t>27. Recently, the legislator intervened in the matter of sports binding with Legislative Decree No. 36 of February 28, 2021, in implementation of Article 5 of Delegated Law No. 86 of August 8, 2019, which is part of the so-called Legislative Decrees for the reorganization and reform of the sports system in implementation. Legislative Decree No. 36 of February 28, 2021, in Article 31 "Abolition of the sports binding and technical training award" provides, on one hand, for the abolition of the sports binding and, on the other hand, for the recognition of an award in favor of amateur clubs that have trained the athlete at the moment the athlete moves from one club to another. Subsequently, the deadline for the abolition of the binding, initially set for July 1, 2022, was extended to December 31, 2023, by Law Decree No. 41 of March 22, 2021, during the conversion process (Law No. 69 of May 22, 2021).</w:t>
      </w:r>
    </w:p>
    <w:p>
      <w:r>
        <w:t>28. In this sense, while recognizing in principle the existence of a possible investment, the legislator, at the time of the aforementioned sports reform, did not therefore renounce the abolition of the binding. On the contrary, the legislator provided for the elimination of such binding for any sport, recognizing that the sports binding constitutes a limitation on the freedom of athletes to choose the club with which to train.</w:t>
      </w:r>
    </w:p>
    <w:p>
      <w:r>
        <w:t>29. The existence of the sports binding would be justified by the costs incurred by the sports club for the technical training of the athlete and by the fact that without the binding such investments would be lost, thus eliminating any incentive for the training of athletes. If, on one hand, one can recognize an abstract foundation for such an approach, on the other hand, it is observed that the application of a sports binding, possibly even particularly long, to a very broad audience of athletes, which often includes very young athletes (i.e., children) and who often pay monthly or annual fees for engaging in sports activities, appears entirely disproportionate to the intended purpose. Moreover, it is no coincidence that the legislator, in abolishing the sports binding, has now provided that in situations where the club with which the athlete is registered has made an investment in the athlete deserving of protection, at the time of the athlete's transition to a professional club, it is the latter that should bear the burden and that the obligation should not fall on the athlete moving from one club to another, to compensate the club that trained them.</w:t>
      </w:r>
    </w:p>
    <w:p>
      <w:r>
        <w:t>III. EVALUATIONS</w:t>
      </w:r>
    </w:p>
    <w:p>
      <w:r>
        <w:t>a) The relevant market</w:t>
      </w:r>
    </w:p>
    <w:p>
      <w:r>
        <w:t>30. For the purposes of this proceeding, the activity carried out by sports clubs and associations based in Italy that practice, in compliance with current legal provisions, the sport of volleyball, beach volleyball, and sitting volleyball is relevant. Therefore, the sector affected by this proceeding concerns the activity of promotion, organization, and preparation of non-professional athletes.</w:t>
      </w:r>
    </w:p>
    <w:p>
      <w:r>
        <w:rPr>
          <w:b/>
        </w:rPr>
        <w:t>[Pages 10–12]</w:t>
      </w:r>
    </w:p>
    <w:p>
      <w:r>
        <w:t>12 BULLETIN NO. 37 OF OCTOBER 17, 2022</w:t>
      </w:r>
    </w:p>
    <w:p>
      <w:r>
        <w:t>professionals, organization of competitions in which registered athletes participate, in general all those activities carried out by sports clubs and associations operating in the field of volleyball, beach volleyball, and sitting volleyball, which are listed in Article 2, paragraph 1, letters a), b), and c) of the FIPAV Statute as they allow their "registered members" to learn and develop the sport of volleyball.</w:t>
      </w:r>
    </w:p>
    <w:p>
      <w:r>
        <w:t>b) The nature of FIPAV and its decisions</w:t>
      </w:r>
    </w:p>
    <w:p>
      <w:r>
        <w:t>31. Preliminary observations indicate that, as already noted by the Authority based on national and EU jurisprudence in this matter, the regulation by a Sports Federation of economic activities related to the world of sports is fully subject to antitrust scrutiny. According to the European Court of Justice, "the fact that an economic activity is related to sport does not preclude the application of the rules of the Treaty, including those governing competition law."</w:t>
      </w:r>
    </w:p>
    <w:p>
      <w:r>
        <w:t>Any restrictions arising from sports regulation must therefore be evaluated based on the context in which they were introduced and the objectives pursued and, in any case, cannot exceed what is strictly necessary and proportionate to ensure coordination with the sports activities to which they are connected, solely for the purpose of preserving the proper functioning of these latter activities.</w:t>
      </w:r>
    </w:p>
    <w:p>
      <w:r>
        <w:t>32. Within the legal framework illustrated, which is based on the pyramidal system of the IOC/FIVB-CEV – CONI - FIPAV circuit, the (also) public role of sports federations and the existence of a single federation for each sport do not exclude the review, from an antitrust perspective, of the ways in which federations carry out economic activities in the training of non-professional athletes and the organization of sporting events in which they operate.</w:t>
      </w:r>
    </w:p>
    <w:p>
      <w:r>
        <w:t>33. In line with previous Italian and EU rulings, therefore, sports federations, also as representatives of members engaged in economic activities, are entities that carry out economic activities, qualifying as associations of enterprises, and their decisions and conduct, therefore, are subject to competition rules. This, of course, excludes the public regulatory activity of sports carried out by them.</w:t>
      </w:r>
    </w:p>
    <w:p>
      <w:r>
        <w:t>7 It should be noted that, according to established jurisprudence (para 22 of the Court of Justice ruling of 18.7.2006, case C-519/04 P, in the Meca-Medina case), "considering the objectives of the Community, sports activity is governed by Community law only insofar as it can be classified as an economic activity under Article 2 EC (see judgments of 12 December 1974, case 36/74, Walrave and Koch, Rec. p. 1405, point 4; 14 July 1976, case 13/76, Donà, Rec. p. 1333, point 12; 15 December 1995, case C-415/93, Bosman et al., Rec. p. I-4921, point 73; 11 April 2000, joined cases C-51/96 and C-191/97, Deliège, Rec. p. I-2549, point 41, and 13 April 2000, case C-176/96, Lehtonen and Castors Braine, Rec. p. I-2681, point 32)."</w:t>
      </w:r>
    </w:p>
    <w:p>
      <w:r>
        <w:t>8 See the ruling MOTOE/Hellenic State, case C-49/07.</w:t>
      </w:r>
    </w:p>
    <w:p>
      <w:r>
        <w:t>9 Court of Justice of the European Union Meca Medina and Majcen on "purely sporting" rules Judgment of 18 July 2006, case C-519/04 P, most recently reiterated by the Commission's decision of 8 December 2017, case IV.40208 – International Skating Union’s Eligibility Rules.</w:t>
      </w:r>
    </w:p>
    <w:p>
      <w:r>
        <w:t>10 See AGCM, Provision No. 27249 of 2018, I812 - FIGC Regulation of the activity of sports director, sports management collaborator, football observer, and Match Analyst; Council of State No. 5546 of 26 July 2021; AGCM Provision No. 27947 of 2019, A378E - Federitalia/Italian Federation of Equestrian Sports (FISE), confirmed by TAR Lazio, Section I, ruling No. 8326 of 13.07.2021; Inquiry IC/27 of 2007 in the professional football sector.</w:t>
      </w:r>
    </w:p>
    <w:p>
      <w:r>
        <w:t>BULLETIN NO. 37 OF OCTOBER 17, 2022 13</w:t>
      </w:r>
    </w:p>
    <w:p>
      <w:r>
        <w:t>34. In particular, FIPAV, within the sports system, carries out representative, regulatory, and/or organizational activities for businesses active in the field of volleyball, beach volleyball, and sitting volleyball; moreover, it represents associations, entities, and companies, including capital companies, that adhere to it, which in turn carry out economic activities in the world of volleyball, beach volleyball, and sitting volleyball. Finally, FIPAV, as the organizer of events and manager of athlete registrations, directly engages in economic activities.</w:t>
      </w:r>
    </w:p>
    <w:p>
      <w:r>
        <w:t>35. As is well known, the notion of enterprise, relevant for competition law, includes any entity that engages in economic activities, regardless of its legal form and funding methods. Therefore, the decisions of FIPAV, which represents and brings together the active parties in the field of volleyball, are qualifying, in light of competition law, as resolutions of associations of enterprises, pursuant to Article 101 TFEU. In fact, according to established jurisprudential orientation, the notion of association of enterprises is broad and disregards the commercial nature of the activity pursued, as well as the legal qualification held by an entity within a national legal system.</w:t>
      </w:r>
    </w:p>
    <w:p>
      <w:r>
        <w:t>36. Furthermore, FIPAV, by virtue of its institutional role as the sole federation for the field of volleyball, exercises regulatory and coordination powers over volleyball activities throughout the national territory, and makes decisions to which all associations and sports clubs active in the sector must conform.</w:t>
      </w:r>
    </w:p>
    <w:p>
      <w:r>
        <w:t>c) The anticompetitive qualification of the sports binding and the behaviors of FIPAV</w:t>
      </w:r>
    </w:p>
    <w:p>
      <w:r>
        <w:t>37. A sports binding, especially if of long duration and not justifiable based on the investments made by sports clubs, given that athletes often already pay membership fees to engage in activities without receiving any remuneration (fixed or occasional), imposes improper burdens on athletes and limits competition among clubs as it is capable of hindering the transition of young athletes from one association or sports club to another, thus crystallizing the market.</w:t>
      </w:r>
    </w:p>
    <w:p>
      <w:r>
        <w:t>38. In particular, the excessive and unjustified duration of the sports binding, applied also to minor athletes, leads, in addition to a direct worsening of the situation for athletes (and their families), to a general reduction in the incentive to compete for sports clubs, with further negative effects on athletes.</w:t>
      </w:r>
    </w:p>
    <w:p>
      <w:r>
        <w:t>39. In fact, the excessive extension of the sports binding produces the effect of partitioning the market, crystallizing for each sports club operating in the market its own "clientele" (so-called lock-in effect). In this way, competition among sports clubs is strongly disincentivized, which can be expressed, for example, through lower registration fees and dues or through the provision of better services, such as the sports facilities made available for training and matches, the sports technical personnel employed (coaches) by the various clubs. There is therefore a specific antitrust interest in having sports bindings abolished or, in any case, that they do not have excessive duration in order to allow for proper competition among the various sports clubs or associations where young athletes are trained and grow. This is also due to the fact that the most widespread practice now seems to foresee that the services provided by sports clubs or associations for their registered members are sold primarily at market prices.</w:t>
      </w:r>
    </w:p>
    <w:p>
      <w:r>
        <w:t>40. Based on previous interventions by the Authority, the partitioning of clientele by enterprises constitutes a typical and condemnable hypothesis under Article 101 TFEU. Through the partitioning of clientele, in fact, the parties to the agreement aim to safeguard their respective positions, crystallizing the market to the detriment of the quality of services offered to customers and the related prices.</w:t>
      </w:r>
    </w:p>
    <w:p>
      <w:r>
        <w:t>41. That an excessively extended sports binding, such as that provided by the previous Statute which was in force until October 2021, raised issues was recognized by FIPAV itself, which had therefore already expressed in 2019 the intention to amend the statutory provisions, reducing the duration of the binding from 10 to 6 years for athletes between the ages of 12 and 24, effective from the conclusion of the then ongoing Olympic quadrennium (2017-2020). Furthermore, with a letter signed by the President, dated June 25, 2019, FIPAV expressly committed not to foresee any transitional phase for the adoption of such statutory amendments. Therefore, once the text of the Statute was approved by CONI, it was to enter into force immediately for all athletes, including those already registered.</w:t>
      </w:r>
    </w:p>
    <w:p>
      <w:r>
        <w:t>42. Moreover, there is evidence that the sports binding can constitute an actual and significant obstacle to the transfer of an athlete, from a very young age, and does not only theoretically define their membership in a sports association. In fact, it is enforced by the clubs and the Federation itself, as evidenced by the case of the sixteen-year-old boy whose family had to pay a large sum following the granting of a waiver to the binding.</w:t>
      </w:r>
    </w:p>
    <w:p>
      <w:r>
        <w:t>43. The binding, in fact, is not justified even from a regulatory point of view. In fact, its adoption by the various Federations, albeit with different timing, is not provided for by any legal norm. On the contrary, the legislator first intervened with Law No. 91 of 1981, which expressly established that such binding could no longer apply to professional athletes and could no longer be provided indefinitely even for non-professional athletes; moreover, more recently, within the framework of the reform of the sports system, the legislator established the outright abolition of the sports binding, giving a reasonable time for the Federations to adapt.</w:t>
      </w:r>
    </w:p>
    <w:p>
      <w:r>
        <w:t>44. The fact that the innovative regulation has not yet come into force does not exclude the Federations' ability to remove the binding, especially where, as in the case at hand, the decision to amend the Statute, reducing the duration of the binding, had already been proposed and planned by FIPAV since 2019, setting from then the moment when it would come into force, namely at the conclusion of the ongoing Olympic quadrennium (2017-2020). Therefore, FIPAV has been able to enjoy a sufficiently ample time to adapt.</w:t>
      </w:r>
    </w:p>
    <w:p>
      <w:r>
        <w:rPr>
          <w:b/>
        </w:rPr>
        <w:t>[Pages 13–15]</w:t>
      </w:r>
    </w:p>
    <w:p>
      <w:r>
        <w:t>BULLETIN NO. 37 OF OCTOBER 17, 2022 15</w:t>
      </w:r>
    </w:p>
    <w:p>
      <w:r>
        <w:t>to adjust the redefinition of the categories of athlete membership and the age groups for championship participation in a manner consistent with the different "brackets" of age for the duration of the bond.</w:t>
      </w:r>
    </w:p>
    <w:p>
      <w:r>
        <w:t>45. In this context and contrary to what was previously proposed in the aforementioned letter of June 2019, FIPAV has instead recently adopted a new Statute which, providing for a transitional phase outlined in Article 69, unjustifiably extends the duration of the sports bond for all athletes who were already registered with sports clubs at the time of the entry into force of the new Statute, that is, in the sports year 2021/22.</w:t>
      </w:r>
    </w:p>
    <w:p>
      <w:r>
        <w:t>46. In particular, by virtue of this transitional provision, only for new members will the new timing that reduces the duration of the sports bond apply immediately, while for all athletes already registered, it will come into effect only at the end of the sports year in which the athlete turns 24 years of age. This means that for athletes who had not yet turned 18 years old and who were already registered at the time of the entry into force of the new Statute, that is, in October 2021, the application of the new provisions is postponed to 2027.</w:t>
      </w:r>
    </w:p>
    <w:p>
      <w:r>
        <w:t>47. The justifications put forward by the Federation in the numerous discussions with the Offices and, in particular, during the hearing in December 2021, and reiterated in the written communications received by the Authority in January and, lastly, in September 2022, do not appear to be acceptable. In particular, the impossibility of holding the federal assembly does not seem to be proven at all, especially since various other Federations have regularly held their assemblies. Furthermore, the justifications regarding the investments made by sports clubs seem aimed at calling into question what has already been discussed and agreed upon with the Authority. It also appears particularly serious that a Federation presents a certain course of action to the Authority in order to obtain the dismissal of a complaint against it and then withdraws from the commitment made. Finally, the necessity to await the eventual adoption of supplementary and corrective provisions, communicated in September 2022, seems based on an erroneous and misleading interpretation by FIPAV of the regulatory text, whose latest version, contrary to what the Federation claims, provides for an anticipation of the deadline from which the bond will be prohibited outright, with no possibility of a subsequent transitional phase.</w:t>
      </w:r>
    </w:p>
    <w:p>
      <w:r>
        <w:t>48. In any case, it is noted that the justifications put forward by FIPAV appear disproportionate in relation to the infringement of competition rights arising from them.</w:t>
      </w:r>
    </w:p>
    <w:p>
      <w:r>
        <w:t>49. The possibility of activating the Authority's powers in a case like this derives from the consolidated practice of the Authority according to which sports Federations are considered to have a dual nature: on one hand, they exercise public functions aimed at pursuing public interests in relation to sport, under the control of CONI; on the other hand, they act like trade associations representing the interests of the sports clubs associated with them, which for antitrust purposes are peacefully recognized as enterprises. It follows that the regulations and federal Statute (and other acts having similar effects) that impose unjustified competitive restrictions can be treated as resolutions of business associations and therefore be subject to investigations pursuant to Article 2 of Law 287/90 or Article 101 TFEU.</w:t>
      </w:r>
    </w:p>
    <w:p>
      <w:r>
        <w:t>50. In conclusion, based on the facts described above, it is believed that the FIPAV Statute, as amended, raises competitive concerns to the extent that it may lead to a market division and a consequent crystallization of clientele by sports clubs, disincentivizing competition among them.</w:t>
      </w:r>
    </w:p>
    <w:p>
      <w:r>
        <w:t>16 BULLETIN NO. 37 OF OCTOBER 17, 2022</w:t>
      </w:r>
    </w:p>
    <w:p>
      <w:r>
        <w:t>51. The described behaviors, being capable of producing effects on the entire national market, appear suitable to prejudice trade between Member States, due to the importance of FIPAV in the markets affected by this proceeding. Its conduct, being capable of significantly hindering competition among current and potential operators, including foreign ones, in the national market, therefore appears likely to alter trade between Member States. This leads to the opportunity to assess the case in question as a potential infringement of Community law, namely Article 101 TFEU.</w:t>
      </w:r>
    </w:p>
    <w:p>
      <w:r>
        <w:t>CONSIDERED, therefore, that the behaviors carried out by FIPAV in the relevant markets as identified above, for the reasons stated above, appear to constitute a violation of Article 101 TFEU;</w:t>
      </w:r>
    </w:p>
    <w:p>
      <w:r>
        <w:t>RESOLVES</w:t>
      </w:r>
    </w:p>
    <w:p>
      <w:r>
        <w:t>a) to initiate the investigation, pursuant to Article 14 of Law No. 287/90, against FIPAV to ascertain the existence of one or more violations of competition pursuant to Article 101 TFEU;</w:t>
      </w:r>
    </w:p>
    <w:p>
      <w:r>
        <w:t>b) to set a deadline of sixty days, starting from the date of notification of this provision, for the legal representatives of the parties to exercise their right to be heard, specifying that the request for a hearing must be received by the Credit, Post and Tourism Directorate of the Directorate General for Competition of this Authority at least fifteen days before the expiration of the aforementioned deadline;</w:t>
      </w:r>
    </w:p>
    <w:p>
      <w:r>
        <w:t>c) that the person responsible for the procedure is Dr. Fausta Giasolli;</w:t>
      </w:r>
    </w:p>
    <w:p>
      <w:r>
        <w:t>d) that the acts of the procedure can be viewed, at the Credit, Post and Tourism Directorate of the Directorate General for Competition of this Authority, by the legal representatives of FIPAV or by persons delegated by them;</w:t>
      </w:r>
    </w:p>
    <w:p>
      <w:r>
        <w:t>e) that the procedure must be concluded by October 31, 2023.</w:t>
      </w:r>
    </w:p>
    <w:p>
      <w:r>
        <w:t>This provision will be notified to the interested parties and published in the Bulletin of the Competition and Market Authority.</w:t>
      </w:r>
    </w:p>
    <w:p>
      <w:r>
        <w:t>THE SECRETARY GENERAL THE PRESIDENT</w:t>
      </w:r>
    </w:p>
    <w:p>
      <w:r>
        <w:t>Guido Stazi Roberto Rustichelli</w:t>
      </w:r>
    </w:p>
    <w:p>
      <w:r>
        <w:t>BULLETIN NO. 37 OF OCTOBER 17, 2022 17</w:t>
      </w:r>
    </w:p>
    <w:p>
      <w:r>
        <w:t>CONCENTRATION OPERATIONS</w:t>
      </w:r>
    </w:p>
    <w:p>
      <w:r>
        <w:t>C12485 - AGSM AIM ENERGIA/COMPAGO</w:t>
      </w:r>
    </w:p>
    <w:p>
      <w:r>
        <w:t>Provision No. 30311</w:t>
      </w:r>
    </w:p>
    <w:p>
      <w:r>
        <w:t>THE COMPETITION AND MARKET AUTHORITY</w:t>
      </w:r>
    </w:p>
    <w:p>
      <w:r>
        <w:t>IN ITS MEETING of September 27, 2022;</w:t>
      </w:r>
    </w:p>
    <w:p>
      <w:r>
        <w:t>HEARD the Rapporteur, Professor Elisabetta Iossa;</w:t>
      </w:r>
    </w:p>
    <w:p>
      <w:r>
        <w:t>VIEWED Law 10 October 1990, No. 287;</w:t>
      </w:r>
    </w:p>
    <w:p>
      <w:r>
        <w:t>VIEWED the Presidential Decree 30 April 1998, No. 217;</w:t>
      </w:r>
    </w:p>
    <w:p>
      <w:r>
        <w:t>VIEWED the communication from AGSM AIM Energia S.p.A. received on August 30, 2022;</w:t>
      </w:r>
    </w:p>
    <w:p>
      <w:r>
        <w:t>VIEWED the communication from AGSM AIM Energia S.p.A. of September 27, which communicated the suspension of the concentration operation with consequent lapse of the notification form of August 30, 2022;</w:t>
      </w:r>
    </w:p>
    <w:p>
      <w:r>
        <w:t>CONSIDERED that, therefore, the notification form of the concentration operation, submitted on August 30, 2022, must be considered withdrawn, and that, therefore, there is no need to provide in relation to it;</w:t>
      </w:r>
    </w:p>
    <w:p>
      <w:r>
        <w:t>RESOLVES</w:t>
      </w:r>
    </w:p>
    <w:p>
      <w:r>
        <w:t>that, in relation to the communication of August 30, 2022, there is no need to provide.</w:t>
      </w:r>
    </w:p>
    <w:p>
      <w:r>
        <w:t>The above conclusions will be communicated, pursuant to Article 16, paragraph 4, of Law 287/90, to the interested companies and to the Minister of Economic Development.</w:t>
      </w:r>
    </w:p>
    <w:p>
      <w:r>
        <w:t>This provision will be published in the Bulletin of the Competition and Market Authority.</w:t>
      </w:r>
    </w:p>
    <w:p>
      <w:r>
        <w:t>THE SECRETARY GENERAL THE PRESIDENT</w:t>
      </w:r>
    </w:p>
    <w:p>
      <w:r>
        <w:t>Guido Stazi Roberto Rustichelli</w:t>
      </w:r>
    </w:p>
    <w:p>
      <w:r>
        <w:rPr>
          <w:b/>
        </w:rPr>
        <w:t>[Pages 16–18]</w:t>
      </w:r>
    </w:p>
    <w:p>
      <w:r>
        <w:t>18 BULLETIN NO. 37 OF OCTOBER 17, 2022</w:t>
      </w:r>
    </w:p>
    <w:p>
      <w:r>
        <w:t>C12486 - EURIZON CAPITAL REAL ASSET SGR-FIS/TRANSPORTS ROMAGNA</w:t>
      </w:r>
    </w:p>
    <w:p>
      <w:r>
        <w:t>Provision No. 30312</w:t>
      </w:r>
    </w:p>
    <w:p>
      <w:r>
        <w:t>THE ANTITRUST AUTHORITY</w:t>
      </w:r>
    </w:p>
    <w:p>
      <w:r>
        <w:t>IN ITS MEETING of September 27, 2022;</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the companies Eurizon Capital Real Asset SGR S.p.A. and FIS S.r.l., received on September 5, 2022;</w:t>
      </w:r>
    </w:p>
    <w:p>
      <w:r>
        <w:t>CONSIDERED the following:</w:t>
      </w:r>
    </w:p>
    <w:p>
      <w:r>
        <w:t>I. THE PARTIES</w:t>
      </w:r>
    </w:p>
    <w:p>
      <w:r>
        <w:t>1. Eurizon Capital Real Asset SGR S.p.A. (hereinafter, “ECRA”) is an asset management company that deals with the establishment and management of AIFs (Alternative Investment Funds) and ELTIFs (European Long-Term Investment Funds) intended for the clientele of the insurance division of the Intesa San Paolo Group, institutional investors, family offices, and HNWIs (High Net Worth Individuals); the company also manages individual portfolio management aimed at institutional investors, including through the delegated management of AIFs under Italian and foreign law. ECRA is controlled by Eurizon Capital SGR S.p.A. and is part of the Intesa Sanpaolo Group. The Intesa Sanpaolo Group, during 2021, achieved a consolidated revenue at the global level of [30 - 40]* billion euros, of which [30 - 40] billion euros generated in Europe and [30 - 40] billion euros in Italy.</w:t>
      </w:r>
    </w:p>
    <w:p>
      <w:r>
        <w:t>2. FIS S.r.l. (hereinafter, “FIS” and, together with ECRA, “Notifying Parties”) is a holding company, whose share capital is 100% owned by a natural person, who is also the sole director of the company. The only revenue attributable to FIS is that related to Trasporti Romagna S.p.A. (see below).</w:t>
      </w:r>
    </w:p>
    <w:p>
      <w:r>
        <w:t>3. Trasporti Romagna S.p.A. (hereinafter, “Trasporti Romagna” and “Target Company”) is a company active in the road transport services and management of logistics platforms in outsourcing, mainly for food products and, only to a marginal extent, for livestock products and clothing; the company operates in Italy, particularly in the Triveneto and central-northern Adriatic areas. Trasporti Romagna is currently jointly controlled by Neuberger Berman AIFM S.à.r.l. (hereinafter, “NB”) and FIS, which hold, respectively, 33.90% and 32.20% of the share capital; the remaining part of the share capital is held by Unigrains Developpement S.A. (16.95%), on behalf of the Italian Agri-Food Fund I, and by Intesa Sanpaolo S.p.A. (hereinafter, “ISP”) (16.95%). The Target Company, in turn, holds the entire share capital of Blue City S.r.l. (which wholly controls Logistica 2 S.r.l.), and 98% of Systema S.r.l. (which wholly controls Sybel S.r.l.). In 2021, Trasporti Romagna achieved a consolidated revenue at the global level of [100-517] million euros, of which [100-517] million euros generated in Europe and [100-517] million euros in Italy.</w:t>
      </w:r>
    </w:p>
    <w:p>
      <w:r>
        <w:t>II. DESCRIPTION OF THE OPERATION</w:t>
      </w:r>
    </w:p>
    <w:p>
      <w:r>
        <w:t>4. The operation involves the replacement of NB, a partner with which FIS currently exercises joint control over Trasporti Romagna, with ECRA, which, following the concentration, will jointly exercise control over the Target Company together with FIS.</w:t>
      </w:r>
    </w:p>
    <w:p>
      <w:r>
        <w:t>5. The acquisition of joint control of Trasporti Romagna by ECRA and FIS will occur indirectly, through the vehicle company BidCo1. In particular, the share capital of BidCo - which will hold 100% of Trasporti Romagna - will be divided among: ECRA (63%)2; FIS (30%); and ISP (7%)3.</w:t>
      </w:r>
    </w:p>
    <w:p>
      <w:r>
        <w:t>6. The Target Company will be managed by a Board of Directors (hereinafter, “BdD”) composed of nine members, among whom: five appointed by ECRA (including the Chairman of the BdD and the Chief Executive Officer); three appointed by FIS; one appointed by ISP. The resolutions of the BdD regarding the approval and/or modification of the annual budget and the business plan can only be adopted with the favorable vote of at least two directors designated by FIS.</w:t>
      </w:r>
    </w:p>
    <w:p>
      <w:r>
        <w:t>7. Pursuant to Article 26 of the Private Agreement, non-competition (direct or indirect) and non-solicitation and/or contact obligations with customers and employees for a duration of two years4 are also provided for the current sole director of FIS. The period of validity of these obligations will commence from the later of the two following dates: the day on which the current director of FIS ceases to be a director of BidCo, the Target Company, and/or the Trasporti Romagna group; the day on which the current sole director of FIS and FIS cease to be directly or indirectly shareholders of BidCo and/or the Target Company.</w:t>
      </w:r>
    </w:p>
    <w:p>
      <w:r>
        <w:t>III. QUALIFICATION OF THE OPERATION</w:t>
      </w:r>
    </w:p>
    <w:p>
      <w:r>
        <w:t>8. The notified operation, as aimed at acquiring control of a company, constitutes a concentration pursuant to Article 5, paragraph 1, letter b), of Law No. 287/90.</w:t>
      </w:r>
    </w:p>
    <w:p>
      <w:r>
        <w:t>9. It falls within the scope of application of Law No. 287/90, as the conditions of Article 1 of EC Regulation No. 139/04 are not met, and is subject to the obligation of prior notification provided for by Article 16, paragraph 1, of the cited law, as the total revenue achieved in the last financial year at the national level by the group of interested companies exceeded 517 million euros and the revenue achieved individually at the national level by at least two of the interested companies exceeded 31 million euros.</w:t>
      </w:r>
    </w:p>
    <w:p>
      <w:r>
        <w:t>10. The non-competition and non-solicitation obligations can be qualified as ancillary to the notified concentration to the extent that they contain restrictions directly related to the realization of the operation and necessary for it. In this case, the obligations examined, as outlined in the Private Agreement, can be considered ancillary only if limited to the product and geographical market affected by the concentration and do not exceed a duration of two years.</w:t>
      </w:r>
    </w:p>
    <w:p>
      <w:r>
        <w:t>IV. ASSESSMENT OF THE CONCENTRATION</w:t>
      </w:r>
    </w:p>
    <w:p>
      <w:r>
        <w:t>11. It is preliminarily noted that, based on what has been highlighted by the Notifying Parties, the operation is not such as to produce any significant effect from a competitive perspective as it will not give rise to any overlap between the activities of the parties involved in the concentration.</w:t>
      </w:r>
    </w:p>
    <w:p>
      <w:r>
        <w:t>a. The relevant markets</w:t>
      </w:r>
    </w:p>
    <w:p>
      <w:r>
        <w:t>12. The Target Company is active in the sector of road transport services and management of logistics platforms in outsourcing, mainly for food products5. This activity falls within the market of integrated or outsourced logistics services for food products6, which involve the management of warehouses, replenishment, and subsequent physical distribution of parts, components, and goods, both in the initial, intermediate, or terminal phases of the production cycle (so-called inbound logistics), and in the subsequent distribution phase (so-called outbound logistics). Integrated logistics activity also includes the provision of a wide range of ancillary services within warehouse management, such as, in particular, packaging activities and quality control. A characteristic of the market in question is the multiplicity of services required by the customer as a unitary product, which integrates the activities of planning, development, and flow control as well as the handling of goods. The need for industrial and commercial enterprises to minimize inventory levels and the costs associated with inventory management has given rise to a type of demand related not only to the shipping and transport of goods but also to their storage, control, and management. This phenomenon has favored the specialization of some companies in providing an integrated service.</w:t>
      </w:r>
    </w:p>
    <w:p>
      <w:r>
        <w:t>13. A segment of the market in question is the integrated logistics activity of fresh food products that require the so-called “cold chain,” where the Target Company also operates.</w:t>
      </w:r>
    </w:p>
    <w:p>
      <w:r>
        <w:t>5 The Target Company also operates in the integrated logistics of livestock products and clothing; however, this is only a marginal activity compared to that related to integrated logistics services for food products. In this case, the company generated in 2021 in Italy in the integrated logistics of livestock products a revenue of [10-31] million euros out of [100-517] million euros overall, and in the integrated logistics of clothing a revenue of [1-10] million euros in 2021 out of [100-517] million euros overall.</w:t>
      </w:r>
    </w:p>
    <w:p>
      <w:r>
        <w:t>6 See, among many precedents, C12400 - Granarolo/Zeroquattro Logistica, provision No. 29846 of October 12, 2021; C12055 - Imi Fondi Chiusi Società Di Gestione Del Risparmio/Trasporti Romagna, provision No. 26084 of June 21, 2016; C10620 - Granarolo/Zeroquattro, provision No. 21275 of June 16, 2010.</w:t>
      </w:r>
    </w:p>
    <w:p>
      <w:r>
        <w:rPr>
          <w:b/>
        </w:rPr>
        <w:t>[Pages 19–21]</w:t>
      </w:r>
    </w:p>
    <w:p>
      <w:r>
        <w:t>BULLETIN NO. 37 OF OCTOBER 17, 2022 21</w:t>
      </w:r>
    </w:p>
    <w:p>
      <w:r>
        <w:t>In this case, however, it is not deemed necessary to arrive at a precise commodity delimitation of the market, considering that, regardless of the definition adopted, no competitive issues would arise.</w:t>
      </w:r>
    </w:p>
    <w:p>
      <w:r>
        <w:t>14. From a geographical point of view, the relevant market seems to have a national dimension. The exact territorial delimitation of this market, however, does not affect the assessment of the present operation.</w:t>
      </w:r>
    </w:p>
    <w:p>
      <w:r>
        <w:t>b. The effects of the operation</w:t>
      </w:r>
    </w:p>
    <w:p>
      <w:r>
        <w:t>15. Taking into account the data provided by the notifying Parties, it is believed that the operation is not such as to produce any significant effects from a competitive standpoint. As mentioned, the concentration will not lead to the creation of overlaps between the activities of the parties, as no company from the groups to which ECRA and FIS belong is active in the market where the target Company operates, nor in any vertically integrated upstream or downstream market. Moreover, in the market for integrated or outsourced logistics services for food products, Trasporti Romagna holds a modest market share of [1-5%].</w:t>
      </w:r>
    </w:p>
    <w:p>
      <w:r>
        <w:t>16. In light of the above considerations, the concentration in question does not appear to significantly hinder effective competition in the affected markets or lead to the establishment or strengthening of a dominant position.</w:t>
      </w:r>
    </w:p>
    <w:p>
      <w:r>
        <w:t>CONSIDERED, therefore, that the operation in question does not significantly hinder effective competition in the affected markets pursuant to Article 6, paragraph 1, of Law No. 287/90 and does not entail the establishment or strengthening of a dominant position;</w:t>
      </w:r>
    </w:p>
    <w:p>
      <w:r>
        <w:t>CONSIDERED, furthermore, that the non-competition and non-solicitation obligations are directly connected and necessary to the concentration operation only within the indicated limits and that the Authority reserves the right to evaluate the aforementioned agreements that exceed the aforementioned limits;</w:t>
      </w:r>
    </w:p>
    <w:p>
      <w:r>
        <w:t>RESOLVES</w:t>
      </w:r>
    </w:p>
    <w:p>
      <w: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Antitrust Authority.</w:t>
      </w:r>
    </w:p>
    <w:p>
      <w:r>
        <w:t>THE SECRETARY GENERAL THE PRESIDENT</w:t>
      </w:r>
    </w:p>
    <w:p>
      <w:r>
        <w:t>Guido Stazi Roberto Rustichelli</w:t>
      </w:r>
    </w:p>
    <w:p>
      <w:r>
        <w:t>22 BULLETIN NO. 37 OF OCTOBER 17, 2022</w:t>
      </w:r>
    </w:p>
    <w:p>
      <w:r>
        <w:t>UNFAIR TRADE PRACTICES</w:t>
      </w:r>
    </w:p>
    <w:p>
      <w:r>
        <w:t>IP360 - SICILY BY CAR - ADMINISTRATIVE PRACTICE MANAGEMENT EXPENSES</w:t>
      </w:r>
    </w:p>
    <w:p>
      <w:r>
        <w:t>Provision No. 30316</w:t>
      </w:r>
    </w:p>
    <w:p>
      <w:r>
        <w:t>THE ANTITRUST AUTHORITY</w:t>
      </w:r>
    </w:p>
    <w:p>
      <w:r>
        <w:t>IN ITS MEETING of September 27, 2022;</w:t>
      </w:r>
    </w:p>
    <w:p>
      <w:r>
        <w:t>HEARD the Rapporteur, President Roberto Rustichelli;</w:t>
      </w:r>
    </w:p>
    <w:p>
      <w:r>
        <w:t>SEEN Part III, Title I, of Legislative Decree No. 206 of September 6, 2005, containing the "Consumer Code" and subsequent amendments (hereinafter, Consumer Code);</w:t>
      </w:r>
    </w:p>
    <w:p>
      <w:r>
        <w:t>SEEN Article 37-bis, paragraph 2, of the Consumer Code, according to which, in case of non-compliance with the provisions of the same paragraph 2, the Authority applies an administrative pecuniary sanction from €5,000 to €50,000;</w:t>
      </w:r>
    </w:p>
    <w:p>
      <w:r>
        <w:t>SEEN Law No. 689 of November 24, 1981;</w:t>
      </w:r>
    </w:p>
    <w:p>
      <w:r>
        <w:t>SEEN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SEEN its resolution No. 30177 of May 24, 2022, with which the Authority ascertained the unfairness of a clause contained in the "General Conditions of Contract" adopted by Sicily by Car S.p.A. and ordered the publication, at the expense of the aforementioned Company, of an excerpt of the provision on the homepage of the website https://www.sicilybycar.it/, within twenty days from the communication of the adoption of the aforementioned provision No. 30177, which took place on June 7, 2022;</w:t>
      </w:r>
    </w:p>
    <w:p>
      <w:r>
        <w:t>SEEN the acts of the proceeding;</w:t>
      </w:r>
    </w:p>
    <w:p>
      <w:r>
        <w:t>CONSIDERED the following:</w:t>
      </w:r>
    </w:p>
    <w:p>
      <w:r>
        <w:t>1. With provision No. 30177 of May 24, 2022 (hereinafter, "Provision"), the Authority declared the unfairness pursuant to Articles 33, paragraphs 1 and 2, letter f), and 34 of the Consumer Code of a clause in the "General Conditions of Contract" (hereinafter also CGC) unilaterally prepared by Sicily by Car S.p.A. (hereinafter also "SbC", "Company" or "Professional") to uniformly regulate contractual relationships with consumer clients related to its short-term car rental activity without a driver.</w:t>
      </w:r>
    </w:p>
    <w:p>
      <w:r>
        <w:t>2. In summary, referring to the text of the aforementioned Provision for a detailed description of the content of the contractual clause subject to assessment and the illustration of the unfairness evaluations, it is highlighted that the clause contained in Article 2.2 of the CGC letter e), which provides for a charge of €50.00 (excluding VAT) to be borne by the consumer client for the management of fines, tolls, parking, and any sanction or charge imposed by authorities, entities, concessionaires in relation to the circulation of the vehicle subject to the car rental contract, has been found to be unfair pursuant to Articles 33, paragraphs 1 and 2, letter f), and 34 of the Consumer Code.</w:t>
      </w:r>
    </w:p>
    <w:p>
      <w:r>
        <w:t>BULLETIN NO. 37 OF OCTOBER 17, 2022 23</w:t>
      </w:r>
    </w:p>
    <w:p>
      <w:r>
        <w:t>3. Furthermore, with the same Provision, the Authority ordered the Professional to publish, at its own expense, pursuant to Article 37-bis of the Consumer Code and Article 23, paragraph 8 of the Regulation, an excerpt of the Provision (the text of which is attached to the same Provision), for twenty consecutive days on the homepage of the website https://www.sicilybycar.it/, with adequate graphic prominence.</w:t>
      </w:r>
    </w:p>
    <w:p>
      <w:r>
        <w:t>4. The Authority assigned the Company a term of twenty days, starting from the communication of the adoption of the Provision, to comply with the order to publish the excerpt of the Provision, requiring SbC to notify the Authority in advance of the date of publication of the text of the excerpt and to send the Authority, within three days following the publication, a copy of the aforementioned excerpt as published on the homepage of the website of Sicily by Car S.p.A., https://www.sicilybycar.it/.</w:t>
      </w:r>
    </w:p>
    <w:p>
      <w:r>
        <w:t>5. The aforementioned provision No. 30177 of May 24, 2022 was communicated to the Professional on June 7, 2022, so that the twenty-day term for the publication of the excerpt of the provision expired on June 27, 2022.</w:t>
      </w:r>
    </w:p>
    <w:p>
      <w:r>
        <w:t>6. Before the expiration of this term, with communication of June 23, 2022 (prot. No. 49968), SbC requested the Authority to grant, for the stated purpose "to allow the effective judicial protection of the rights and interests of the Company also on a precautionary basis," an extension of 40 days of the term to publish an excerpt of the provision on the homepage of the website https://www.sicilybycar.it/, considering that such publication would, in its opinion, "be likely to concretize the danger of serious and irreparable harm to the requesting company, both in terms of damage to its commercial reputation and in terms of diverting customers to other competing operators"; SbC was about to challenge the Provision before the competent Regional Administrative Court of Lazio, "formulating in that venue a request for precautionary suspension of the obligation to publish"; the precautionary suspension in judicial terms should intervene within the term assigned to SbC to proceed with the publication of the excerpt of the provision, that is, by June 27, 2022; finally, the aforementioned term would not be adequate "for the purposes of an adequate defense in court."</w:t>
      </w:r>
    </w:p>
    <w:p>
      <w:r>
        <w:t>7. With a letter of July 7, 2022 (prot. No. 53052), SbC was informed of the rejection of the aforementioned request, decided by the Authority in its meeting of July 5, 2022, as the 20-day term provided for by Article 23, paragraph 8, of the Regulation, in implementation of what is provided for by Article 37-bis, paragraph 2, of the Consumer Code, is aimed at ensuring timely information to consumers about the unfair content of the clause used by Sicily by Car S.p.A.</w:t>
      </w:r>
    </w:p>
    <w:p>
      <w:r>
        <w:t>8. Following this communication, the Professional did not notify the Authority of the date of publication of the excerpt of the Provision nor did it send a copy of the aforementioned text, failing to comply with what was prescribed in the Provision.</w:t>
      </w:r>
    </w:p>
    <w:p>
      <w:r>
        <w:t>1 In letter c) of the operative part of the Provision, which contains the obligation to publish the excerpt of the provision, further methods of drafting the text are prescribed: "c) the publication must fully reflect the layout, structure, and appearance of the excerpt attached to this provision; the methods of writing, printing, and dissemination must not be such as to nullify the effects of the publication; in particular, on the page of the website where the excerpt will be published, as well as on the remaining pages, nor elsewhere, there must not be messages that conflict with the content of the excerpt or that tend to diminish its scope and meaning."</w:t>
      </w:r>
    </w:p>
    <w:p>
      <w:r>
        <w:t>2 See communication via PEC prot. No. 46333 of June 7, 2022.</w:t>
      </w:r>
    </w:p>
    <w:p>
      <w:r>
        <w:rPr>
          <w:b/>
        </w:rPr>
        <w:t>[Pages 22–24]</w:t>
      </w:r>
    </w:p>
    <w:p>
      <w:r>
        <w:t>24 BULLETIN NO. 37 OF OCTOBER 17, 2022</w:t>
      </w:r>
    </w:p>
    <w:p>
      <w:r>
        <w:t>9. In light of the above, on July 27, 2022 (prot. No. 58652), a letter was sent to SbC highlighting that no communication had been received by the Authority regarding the publication date of the extract of the Provision, although (i) the deadline had expired on June 27, 2022, (ii) the request for an extension aimed at "allowing the effective judicial protection of the rights and interests of the requesting company even on a precautionary basis" had been rejected by the Authority, and (iii) there had been a waiver of the suspension requested by SbC during the hearing at the TAR of Lazio on July 20, 2022. The Company was requested to communicate, within five days, the measures adopted to comply with the obligation to publish the extract of the Provision, reminding that in case of non-compliance with this obligation, Article 37-bis, paragraph 2, of the Consumer Code applies, under which the Authority imposes an administrative pecuniary sanction from 5,000 euros to 50,000 euros.</w:t>
      </w:r>
    </w:p>
    <w:p>
      <w:r>
        <w:t>10. Following this reminder, Sicily by Car S.p.A. transmitted, on August 8, 2022, a communication (prot. No. 61730), in which it stated that "no measures have been adopted aimed at complying with the provisions of the provision in question regarding the publication of its extract on the website https://www.sicilybycar.it/, as this company considers the aforementioned provision illegitimate and has challenged it before the competent TAR Lazio requesting its annulment."</w:t>
      </w:r>
    </w:p>
    <w:p>
      <w:r>
        <w:t>11. As of the date of adoption of this resolution, it appears that the Company has not communicated to the Authority the date of publication of the extract of the Provision, has not transmitted a copy of the same text, and has expressly communicated, in response to the Authority's reminder of July 27, 2022, the intention not to comply with what is prescribed in the Provision regarding the publication of the relevant extract on the company’s website.</w:t>
      </w:r>
    </w:p>
    <w:p>
      <w:r>
        <w:t>12. Consequently, it has emerged that the Professional has not complied with the obligation to publish the extract of the Provision on its website according to the timing and methods provided therein.</w:t>
      </w:r>
    </w:p>
    <w:p>
      <w:r>
        <w:t>13. In conclusion, the conditions for initiating the procedure provided for by Article 37-bis, paragraph 2, of the Consumer Code aimed at imposing an administrative pecuniary sanction from 5,000 to 50,000 euros are met, without prejudice to the Authority's right to evaluate the Company's behavior regarding the use of the clause deemed unfair in the Provision.</w:t>
      </w:r>
    </w:p>
    <w:p>
      <w:r>
        <w:t>CONSIDERED, therefore, that the established facts constitute a case of non-compliance with the Authority's resolution No. 30177 of May 24, 2022, pursuant to Article 37-bis, paragraph 2, of the Consumer Code;</w:t>
      </w:r>
    </w:p>
    <w:p>
      <w:r>
        <w:t>RESOLVES</w:t>
      </w:r>
    </w:p>
    <w:p>
      <w:r>
        <w:t>a) to contest to the company Sicily by Car S.p.A. the violation referred to in Article 37-bis, paragraph 2, of the Consumer Code, for failing to comply with the Authority's resolution No. 30177 of May 24, 2022;</w:t>
      </w:r>
    </w:p>
    <w:p>
      <w:r>
        <w:t>b) to initiate the procedure for the possible imposition of the administrative pecuniary sanction provided for by Article 37-bis, paragraph 2, of the Consumer Code;</w:t>
      </w:r>
    </w:p>
    <w:p>
      <w:r>
        <w:t>BULLETIN NO. 37 OF OCTOBER 17, 2022 25</w:t>
      </w:r>
    </w:p>
    <w:p>
      <w:r>
        <w:t>c) that the person responsible for the procedure is Dr. Carmela Celotto;</w:t>
      </w:r>
    </w:p>
    <w:p>
      <w:r>
        <w:t>d) that the acts of the procedure can be viewed at the Directorate A of the General Directorate for Consumer Protection of the Authority, by the legal representative of the company Sicily by Car S.p.A. or by persons delegated by it;</w:t>
      </w:r>
    </w:p>
    <w:p>
      <w:r>
        <w:t>e) that within thirty days from the communication of this provision, the interested parties may submit to the Authority defensive writings and documents, as well as request to be heard;</w:t>
      </w:r>
    </w:p>
    <w:p>
      <w:r>
        <w:t>f) that the procedure must be concluded within one hundred and twenty days from the date of communication of this provision.</w:t>
      </w:r>
    </w:p>
    <w:p>
      <w:r>
        <w:t>For the purposes of quantifying the possible pecuniary sanction provided for by Article 37-bis, paragraph 2, of the Consumer Code, the company Sicily by Car S.p.A. is requested to provide a copy of the latest financial statements or suitable accounting documentation certifying the economic conditions in the last year.</w:t>
      </w:r>
    </w:p>
    <w:p>
      <w:r>
        <w:t>This provision will be communicated to the interested parties and published in the Bulletin of the Authority for Competition and the Market.</w:t>
      </w:r>
    </w:p>
    <w:p>
      <w:r>
        <w:t>THE SECRETARY GENERAL THE PRESIDENT</w:t>
      </w:r>
    </w:p>
    <w:p>
      <w:r>
        <w:t>Guido Stazi Roberto Rustichelli</w:t>
      </w:r>
    </w:p>
    <w:p>
      <w:r>
        <w:t>Authority for Competition Weekly Bulletin of Competition and the Market Year XXXII - No. 37 - 2022</w:t>
      </w:r>
    </w:p>
    <w:p>
      <w:r>
        <w:t>Editorial Coordination Giulia Antenucci</w:t>
      </w:r>
    </w:p>
    <w:p>
      <w:r>
        <w:t>Editorial Staff Valerio Ruocco, Simonetta Schettini, Manuela Villani</w:t>
      </w:r>
    </w:p>
    <w:p>
      <w:r>
        <w:t>Authority for Competition and the Market</w:t>
      </w:r>
    </w:p>
    <w:p>
      <w:r>
        <w:t>Office of Statistics and IT Applications</w:t>
      </w:r>
    </w:p>
    <w:p>
      <w:r>
        <w:t>Piazza Giuseppe Verdi, 6/a - 00198 Rome</w:t>
      </w:r>
    </w:p>
    <w:p>
      <w:r>
        <w:t>Tel.: 06-858211 Fax: 06-85821256</w:t>
      </w:r>
    </w:p>
    <w:p>
      <w:r>
        <w:t>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