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https://www.agcm.it/dotcmsdoc/bollettini/2023/37-23.pdf</w:t>
      </w:r>
    </w:p>
    <w:p>
      <w:r>
        <w:t>Pages translated : 65</w:t>
      </w:r>
    </w:p>
    <w:p/>
    <w:p>
      <w:r>
        <w:rPr>
          <w:b/>
        </w:rPr>
        <w:t>[Pages 1–3]</w:t>
      </w:r>
    </w:p>
    <w:p>
      <w:r>
        <w:t>Bulletin</w:t>
        <w:br/>
        <w:t>Weekly</w:t>
        <w:br/>
        <w:t>Year XXXIII - No. 37</w:t>
        <w:br/>
        <w:t>Published on the website www.agcm.it</w:t>
        <w:br/>
        <w:t>October 2, 2023</w:t>
      </w:r>
    </w:p>
    <w:p>
      <w:r>
        <w:t>SUMMARY</w:t>
        <w:br/>
        <w:t>AGREEMENTS AND ABUSE OF DOMINANT POSITION 5</w:t>
        <w:br/>
        <w:t>I866 - AGREEMENTS BETWEEN FOUNDRIES</w:t>
        <w:br/>
        <w:t>Decision No. 30773 5</w:t>
        <w:br/>
        <w:t>CONCENTRATION OPERATIONS 11</w:t>
        <w:br/>
        <w:t>C12546 - LOTTOMATICA/RECREATIONAL B</w:t>
        <w:br/>
        <w:t>Decision No. 30789 11</w:t>
        <w:br/>
        <w:t>REPORTING AND CONSULTATIVE ACTIVITIES 22</w:t>
        <w:br/>
        <w:t>AS1913 - TRENORD - TENDER FOR THE AWARD OF THE CLEANING AND SANITIZATION SERVICE OF RAILWAY ROLLING STOCK 22</w:t>
        <w:br/>
        <w:t>UNFAIR COMMERCIAL PRACTICES 28</w:t>
        <w:br/>
        <w:t>PS12441 - IREN - UNILATERAL MODIFICATIONS OF SUPPLY ECONOMIC CONDITIONS</w:t>
        <w:br/>
        <w:t>Decision No. 30785 28</w:t>
        <w:br/>
        <w:t>PS12459 - HERA COMM - MODIFICATIONS OF SUPPLY ECONOMIC CONDITIONS</w:t>
        <w:br/>
        <w:t>Decision No. 30786 37</w:t>
        <w:br/>
        <w:t>PS12468 - ENGIE ITALIA - MODIFICATIONS OF SUPPLY ECONOMIC CONDITIONS</w:t>
        <w:br/>
        <w:t>Decision No. 30787 47</w:t>
        <w:br/>
        <w:t>PS12483 - ADBLUE/CITROEN</w:t>
        <w:br/>
        <w:t>Decision No. 30788 57</w:t>
      </w:r>
    </w:p>
    <w:p>
      <w:r>
        <w:t>BULLETIN NO. 37 OF OCTOBER 2, 2023 5</w:t>
        <w:br/>
        <w:t>AGREEMENTS AND ABUSE OF DOMINANT POSITION</w:t>
        <w:br/>
        <w:t>I866 - AGREEMENTS BETWEEN FOUNDRIES</w:t>
        <w:br/>
        <w:t>Decision No. 30773</w:t>
        <w:br/>
        <w:t>THE ANTITRUST AUTHORITY</w:t>
        <w:br/>
        <w:t>IN ITS MEETING of September 12, 2023</w:t>
        <w:br/>
        <w:t>HEARD the Rapporteur, Professor Elisabetta Iossa;</w:t>
        <w:br/>
        <w:t>HAVING REGARD to Article 101 of the Treaty on the Functioning of the European Union (TFEU);</w:t>
        <w:br/>
        <w:t>HAVING REGARD to Regulation (EC) No. 1/2003 of the Council of the European Union of December 16, 2002;</w:t>
        <w:br/>
        <w:t>HAVING REGARD to Law No. 287 of October 10, 1990;</w:t>
        <w:br/>
        <w:t>HAVING REGARD to Presidential Decree No. 217 of April 30, 1998;</w:t>
        <w:br/>
        <w:t>HAVING REGARD to the report received on April 3, 2023, through the Authority's whistleblowing platform and the subsequent integrations;</w:t>
        <w:br/>
        <w:t>HAVING REGARD to the documentation on file;</w:t>
        <w:br/>
        <w:t>CONSIDERED the following:</w:t>
        <w:br/>
        <w:t>I. THE PARTIES</w:t>
        <w:br/>
        <w:t>1. C2MAC Group S.p.A. (hereinafter, "C2MAC") is a company active, also through various companies of which it is the sole shareholder1, in the production and sale of cast iron and other metal castings, in the processing of the same for its own account and for third parties, and in the construction and sale of equipment related to such activities. In 2021, C2MAC's consolidated worldwide revenue was approximately 124.5 million euros.</w:t>
        <w:br/>
        <w:t>2. Fonderia Corrà S.p.A. (hereinafter, "Fonderia Corrà") is a company active in the production and trade of cast iron castings, metals, metal alloys in general, and any other related activities. In 2022, Fonderia Corrà's worldwide revenue was approximately 145 million euros.</w:t>
        <w:br/>
        <w:t>3. Fonderie Orazio e Fortunato De Riccardis S.r.l. (hereinafter, "Fonderie De Riccardis") is a company active in the melting and industrial molding of ferrous and non-ferrous metals and in general mechanical repairs. In 2021, Fonderie De Riccardis' worldwide revenue was approximately 17.6 million euros.</w:t>
        <w:br/>
        <w:t>4. Fonderie Guido Glisenti S.p.A. (hereinafter, "Fonderie Glisenti") is a company active in the melting of cast iron and ferrous and non-ferrous metals and alloys, and in mechanical processing, heat treatment, and qualitative analysis of ferrous and non-ferrous metals and alloys. In 2022, Fonderie Glisenti's consolidated worldwide revenue was approximately 144.2 million euros.</w:t>
        <w:br/>
        <w:t>1 In particular, the group consists of the companies Perucchini S.p.A., Fonderia Scaranello S.r.l., Tecnomeccanica S.r.l., Nuova Torneria Zanotti S.r.l., and Fondmatic Hydraulics Machining S.r.l.</w:t>
      </w:r>
    </w:p>
    <w:p>
      <w:r>
        <w:rPr>
          <w:b/>
        </w:rPr>
        <w:t>[Pages 4–6]</w:t>
      </w:r>
    </w:p>
    <w:p>
      <w:r>
        <w:t xml:space="preserve">6 BULLETIN NO. 37 OF OCTOBER 2, 2023  </w:t>
        <w:br/>
        <w:t xml:space="preserve">5. Lead Time S.p.A. (hereinafter, "Lead Time") is a company wholly controlled by Fonderie Guido Glisenti S.p.A., active in the casting of iron and metals and ferrous and non-ferrous alloys, as well as in mechanical processing, heat treatment, and qualitative analysis of ferrous and non-ferrous metals. In 2022, Lead Time's revenue was approximately 68 million euros.  </w:t>
        <w:br/>
        <w:t xml:space="preserve">6. Pilenga Baldassarre Foundry S.r.l. (hereinafter, "Pilenga Foundry") is a company wholly owned by E.F. Group S.p.A. and is active in the casting and processing of metals, sale of casting products, deburring and painting on behalf of third parties, as well as the production of sand and resin cores on behalf of third parties. In 2022, Pilenga Foundry's revenue was approximately 36 million euros.  </w:t>
        <w:br/>
        <w:t xml:space="preserve">7. Fonderie Mora Gavardo S.p.A. (hereinafter, "FMG") is a company wholly owned by Camozzi Group S.p.A. and is active in the casting of iron, aluminum bronze, and ancillary processing. In 2022, FMG's revenue was approximately 56 million euros.  </w:t>
        <w:br/>
        <w:t xml:space="preserve">II. THE FACT  </w:t>
        <w:br/>
        <w:t xml:space="preserve">a. The reported conduct  </w:t>
        <w:br/>
        <w:t xml:space="preserve">8. On April 3, 2023, an anonymous report was received through the Authority's whistleblowing platform, subsequently supplemented several times (most recently on September 4, 2023), concerning an alleged coordination among C2MAC, Fonderia Corrà, Fonderie De Riccardis, Fonderie Glisenti, Lead Time, Pilenga Foundry, and FMG, some of the main foundries active in Italy in the production of cast iron parts used in the industrial vehicles, automotive, earth-moving machinery, and agricultural sectors. According to the whistleblower (hereinafter also "whistleblower"), an employee of a purchasing company, during the first months of 2023, the aforementioned foundries allegedly requested simultaneous and aligned price increases starting from April 1, 20232.  </w:t>
        <w:br/>
        <w:t xml:space="preserve">9. In particular, the whistleblower reports that, although the list price changes for cast iron parts to be applied for the second quarter of 2023 had already been agreed with the customer, the reported foundries would have "suddenly and inexplicably"3 requested the company where the whistleblower works to increase their price lists by 80-100 euros/ton, justifying this with a vague reference to inflation and rising interest rates or the increase in some components of cost items5.  </w:t>
        <w:br/>
        <w:t xml:space="preserve">10. According to the whistleblower, in reality, the alignment of the commercial conduct of the reported foundries would be unrelated to any actual increase in costs, as evidenced by the examination of indices prepared by the Italian foundries' trade association, Assofond, to which all the reported companies belong6.  </w:t>
        <w:br/>
        <w:t xml:space="preserve">11. Furthermore, according to the whistleblower, the aforementioned increases were not requested by operators active in other European countries (such as Germany and France) and would occur at a time of substantial saturation of the foundries' production capacity, making it extremely difficult not to accept the communicated increases and turn to other suppliers7.  </w:t>
        <w:br/>
        <w:t xml:space="preserve">b. The production of cast iron parts in Italy  </w:t>
        <w:br/>
        <w:t xml:space="preserve">12. Foundries produce metallic products, known as castings or molds, with well-defined shapes, sizes, and chemical-physical characteristics. From the information acquired8, it emerges that castings are mostly made to the customer's design and are therefore not suitable, except for some exceptions9, for quotations as standard catalog products or commodities10. Based on the information provided by the whistleblower11, it appears that the model or design from which the castings are produced is provided to the foundries by (and remains the property of) the customer company. Moreover, the production of each model requires specific equipment that can be built by the foundries or supplied by companies called "model makers." This implies that even if a customer company wanted to change suppliers, the costs to be incurred for purchasing such equipment or, alternatively, for potentially adapting existing equipment would be particularly significant.  </w:t>
        <w:br/>
        <w:t xml:space="preserve">13. Foundries can primarily be distinguished based on the metal alloy of which the final product is composed, which can be ferrous (cast iron and steel) or non-ferrous (aluminum, zinc, and copper alloys) depending on the amount of ferrous mineral contained within. Ferrous metal foundries are further divided based on the specific metal of which the finished product is made (for example, cast iron or steel) and, within cast iron foundries12, whether they produce gray cast iron (lamellar) or ductile cast iron (nodular)13.  </w:t>
        <w:br/>
        <w:t xml:space="preserve">14. In a foundry for castings, molten metal is poured directly into sand molds or metal molds that reproduce the negative geometry of the piece to be made. Once cooled, the casting is removed from the mold and subjected to finishing operations. Castings can be supplied to the customer raw, as they result from the casting process, or processed.  </w:t>
        <w:br/>
        <w:t xml:space="preserve">15. According to the European Foundry Association14 (hereinafter, "CAEF"), in Italy, in 2021, there were 136 active cast iron foundries. Based on ISTAT data, the sector has a significantly relevant size in terms of both revenue and employment, amounting to 1,280,137 thousand euros and 6,473 units in 2020, respectively. As stated in some press releases from Assofond15, these variables, which declined between 2019 and 2020 due to the outbreak of the SARS-CoV-2 pandemic, recorded an increase in 2021. The utilized production capacity also increased from 65% (2020) to 81% (2021). During 2022, the war in Ukraine and the consequent increase in electricity and natural gas prices led to an increase in revenue due to the passing on of higher production costs to customers, against a substantial holding of demand. According to Assofond, this passing on was, however, less than proportional to the increase in production costs.  </w:t>
        <w:br/>
        <w:t xml:space="preserve">16. In this context, the foundries involved in the proceedings have a revenue significantly higher than the average of cast iron foundries, amounting to approximately 11 million euros.  </w:t>
        <w:br/>
        <w:t xml:space="preserve">17. An analysis of the volumes of cast iron produced in Italy (CAEF, 2021) shows that gray cast iron is predominant in terms of volume produced (612.2 thousand tons), accounting for about two-thirds of total production. The demand sectors that absorbed the most production in 2021 were those of "engineering plants and machinery" and the "vehicle industry"16. According to the whistleblower17, the reported foundries would be primarily active in the production of cast iron parts for industrial vehicles, while the production of castings for the automotive sector would be only marginal.  </w:t>
        <w:br/>
        <w:t xml:space="preserve">III. EVALUATIONS  </w:t>
        <w:br/>
        <w:t xml:space="preserve">a. The affected sector and the relevant market  </w:t>
        <w:br/>
        <w:t xml:space="preserve">18. The conduct subject to the proceedings, consisting of the coordinated increase in list prices practiced by the foundries involved in the proceedings, concerns the economic sector of cast iron production. On the supply side, this sector includes numerous companies of various sizes: the companies involved in the proceedings are among the main operators in Italy.  </w:t>
        <w:br/>
        <w:t xml:space="preserve">19. According to consistent jurisprudential orientation regarding agreements, the definition of the relevant market is essentially aimed at identifying the characteristics of the economic and legal context in which the agreement or the coordinated practice is situated. This definition is therefore functional to delineating the scope within which the agreement can restrict or distort the competitive mechanism and to deciphering its degree of offensiveness18.  </w:t>
        <w:br/>
        <w:t>20. In this case, in a first approximation, the commodity market can be circumscribed to the production of cast iron parts (gray and ductile). From a geographical point of view, the affected market seems to have at least a national dimension considering the scope of activity of the companies involved.</w:t>
      </w:r>
    </w:p>
    <w:p>
      <w:r>
        <w:rPr>
          <w:b/>
        </w:rPr>
        <w:t>[Pages 7–9]</w:t>
      </w:r>
    </w:p>
    <w:p>
      <w:r>
        <w:t xml:space="preserve">BULLETIN NO. 37 OF OCTOBER 2, 2023 9  </w:t>
        <w:br/>
        <w:t xml:space="preserve">b. The conduct  </w:t>
        <w:br/>
        <w:t xml:space="preserve">21. The reported conducts allow for the hypothesis of a restrictive agreement on competition among the foundries C2MAC, Fonderia Corrà, Fonderie De Riccardis, Fonderie Glisenti, Lead Time, Pilenga Foundry, and FMG, aimed at coordinating the increases in the list prices of cast iron products to be applied to their customers within the same time frame.  </w:t>
        <w:br/>
        <w:t xml:space="preserve">22. As evidenced by the documentation on file, the foundries in question would have communicated to the company where the informant is employed similar increases in the list prices of cast iron products, without such variation being justified by corresponding increases in costs. This occurs in a context where it seems difficult for customers to refuse the proposed increases, given the current greater utilization of production capacity by the foundries and the significant costs associated with a potential change of supplier.  </w:t>
        <w:br/>
        <w:t xml:space="preserve">23. The agreement appears to date back at least to the early months of 2023, during which coordinated increase communications would have been sent to the informant. However, it cannot be excluded that the alleged unlawful conduct may have also occurred earlier.  </w:t>
        <w:br/>
        <w:t xml:space="preserve">c. The harm to intra-European trade  </w:t>
        <w:br/>
        <w:t xml:space="preserve">24. The concept of harm to intra-European trade must be interpreted taking into account the direct or indirect, actual or potential influence on trade flows between Member States19.  </w:t>
        <w:br/>
        <w:t xml:space="preserve">25. Considering that the contested conduct could extend across the entire national territory and the openness to foreign markets of the affected market, the alleged agreement appears capable, if established, of harming trade between Member States and is therefore susceptible to constituting a violation of Article 101 TFEU.  </w:t>
        <w:br/>
        <w:t xml:space="preserve">26. In conclusion, the set of elements on file allows for the hypothesis of the existence of a possible restrictive agreement on competition among the Parties in violation of Article 101 TFEU.  </w:t>
        <w:br/>
        <w:t xml:space="preserve">CONSIDERING, therefore, that the conducts described above, carried out by the companies C2MAC Group S.p.A., Fonderia Corrà S.p.A., Fonderie Orazio e Fortunato De Riccardis S.r.l., Fonderie Guido Glisenti S.p.A., Lead Time S.p.A., Pilenga Baldassarre Foundry S.r.l., and Fonderie Mora Gavardo S.p.A., are likely to constitute a restrictive agreement on competition in violation of Article 101, paragraph 1, TFEU;  </w:t>
        <w:br/>
        <w:t xml:space="preserve">RESOLVES  </w:t>
        <w:br/>
        <w:t xml:space="preserve">a) to initiate the investigation, pursuant to Article 14 of Law No. 287/1990, against the companies C2MAC Group S.p.A., Fonderia Corrà S.p.A., Fonderie Orazio e Fortunato De Riccardis S.r.l., Fonderie Guido Glisenti S.p.A., Lead Time S.p.A., Pilenga Baldassarre Foundry S.r.l., and Fonderie Mora Gavardo S.p.A., to ascertain the existence of violations of Article 101, paragraph 1, TFEU;  </w:t>
        <w:br/>
        <w:t xml:space="preserve">b) to set a term of sixty days from the notification of this provision for the exercise by the legal representatives of the Parties, or by persons delegated by them, of the right to be heard, specifying that the request for a hearing must be received by the Cartels Directorate, Leniency and Whistleblowing of this Authority at least fifteen days before the expiration of the aforementioned term;  </w:t>
        <w:br/>
        <w:t xml:space="preserve">c) that the person responsible for the procedure is Dr. Maria Luisa Cirrincione;  </w:t>
        <w:br/>
        <w:t xml:space="preserve">d) that the documents of the procedure can be viewed at the Cartels, Leniency and Whistleblowing Directorate of this Authority by the legal representatives of the Parties, as well as by persons delegated by them;  </w:t>
        <w:br/>
        <w:t xml:space="preserve">e) that the procedure must be concluded by December 31, 2024.  </w:t>
        <w:br/>
        <w:t xml:space="preserve">This provision will be notified to the interested parties and published in the Bulletin of the Competition and Market Authority.  </w:t>
        <w:br/>
        <w:t xml:space="preserve">THE SECRETARY GENERAL THE PRESIDENT  </w:t>
        <w:br/>
        <w:t>Guido Stazi Roberto Rustichelli</w:t>
      </w:r>
    </w:p>
    <w:p>
      <w:r>
        <w:t xml:space="preserve">BULLETIN NO. 37 OF OCTOBER 2, 2023 11  </w:t>
        <w:br/>
        <w:t xml:space="preserve">CONCENTRATION OPERATIONS  </w:t>
        <w:br/>
        <w:t xml:space="preserve">C12546 - LOTTOMATICA/RICREATIVO B  </w:t>
        <w:br/>
        <w:t xml:space="preserve">Provision No. 30789  </w:t>
        <w:br/>
        <w:t xml:space="preserve">THE COMPETITION AND MARKET AUTHORITY  </w:t>
        <w:br/>
        <w:t xml:space="preserve">IN ITS MEETING of September 14, 2023;  </w:t>
        <w:br/>
        <w:t xml:space="preserve">HEARD the Rapporteur, Professor Elisabetta Iossa;  </w:t>
        <w:br/>
        <w:t xml:space="preserve">HAVING REGARD to Regulation (EC) No. 139/2004;  </w:t>
        <w:br/>
        <w:t xml:space="preserve">HAVING REGARD to Law No. 287 of October 10, 1990;  </w:t>
        <w:br/>
        <w:t xml:space="preserve">HAVING REGARD to the D.P.R. No. 217 of April 30, 1998;  </w:t>
        <w:br/>
        <w:t xml:space="preserve">HAVING REGARD to the communication from Lottomatica S.p.A., received on May 31, 2023;  </w:t>
        <w:br/>
        <w:t xml:space="preserve">HAVING REGARD to the request for information pursuant to Article 16-bis of Law No. 287/1990, sent on June 15, 2023, with consequent interruption of the terms pursuant to Article 5, paragraph 3, of the D.P.R. No. 217 of April 30, 1998;  </w:t>
        <w:br/>
        <w:t xml:space="preserve">HAVING REGARD to the additional information sent by Lottomatica S.p.A., received on July 10, 2023;  </w:t>
        <w:br/>
        <w:t xml:space="preserve">HAVING REGARD to the further request for information pursuant to Article 16-bis of Law No. 287/1990, sent on August 3, 2023, with consequent new interruption of the terms pursuant to Article 5, paragraph 3, of the D.P.R. No. 217 of April 30, 1998;  </w:t>
        <w:br/>
        <w:t xml:space="preserve">HAVING REGARD to the new additional information sent by Lottomatica S.p.A., received on August 25, 2023;  </w:t>
        <w:br/>
        <w:t xml:space="preserve">HAVING REGARD to the documentation on file;  </w:t>
        <w:br/>
        <w:t xml:space="preserve">CONSIDERING the following:  </w:t>
        <w:br/>
        <w:t xml:space="preserve">I. THE PARTIES  </w:t>
        <w:br/>
        <w:t xml:space="preserve">1. Lottomatica S.p.A. (hereinafter, "Lottomatica"), previously named Gamenet Group S.p.A.1, is the company at the head of the eponymous group active in the lawful gaming sector through the collection from entertainment and amusement machines (Amusement with Prizes “AWP” and Videolotteries “VLT”), as well as through the collection from betting, online games (i.e., casino, poker, bingo, skill games), and lotteries, based on concessions granted by the Customs and Monopolies Agency (hereinafter, “ADM”). Lottomatica also operates in the upstream market of production, development, and supply of games and betting and lottery services, following  </w:t>
        <w:br/>
        <w:t>1 Following the acquisition of Lottomatica Scommesse S.r.l. and Lottomatica Videolot Rete S.p.A. by the then Gamenet Group S.p.A., which marked the birth of the current Lottomatica group - a reorganization of the group's activities related to betting and online games was carried out which involved: (i) the merger by incorporation (effective from June 1, 2022) of Lottomatica Scommesse S.r.l. into Goldbet S.p.A. - the other company of the group that holds the ADM concessions for the management of betting and online gaming services - and (ii) the consequent renaming of the latter to GBO Italy S.p.A.</w:t>
      </w:r>
    </w:p>
    <w:p>
      <w:r>
        <w:rPr>
          <w:b/>
        </w:rPr>
        <w:t>[Pages 10–12]</w:t>
      </w:r>
    </w:p>
    <w:p>
      <w:r>
        <w:t>BULLETIN NO. 37 OF OCTOBER 2, 2023</w:t>
      </w:r>
    </w:p>
    <w:p>
      <w:r>
        <w:t>of the acquisition of 60% of the share capital of Giocaonline S.r.l. (hereinafter, "Giocaonline")2, which develops and produces casino games and skill games (but not poker games) that it then supplies to numerous licensees of online gaming activities in Italy. Finally, Lottomatica manages gaming halls and VLTs owned by it.</w:t>
      </w:r>
    </w:p>
    <w:p>
      <w:r>
        <w:t>Lottomatica is indirectly controlled by certain investment funds managed by companies affiliated with Apollo Management L.P. (hereinafter, "Apollo"3), which is part of Apollo Global Management Inc., a leader in the management of alternative investments worldwide. Lottomatica is the only company among those controlled by Apollo funds that is active in the gaming and betting collection market in Italy.</w:t>
      </w:r>
    </w:p>
    <w:p>
      <w:r>
        <w:t>Lottomatica, during 2022, achieved a consolidated revenue of approximately [1-2]* billion euros4 entirely in Italy. Apollo, during 2022, achieved a total revenue of approximately [100-200] billion euros worldwide, of which approximately [20-30] billion euros were generated in Europe and approximately [4-5] billion euros in Italy.</w:t>
      </w:r>
    </w:p>
    <w:p>
      <w:r>
        <w:t>2. Ricreativo B S.p.A. (hereinafter, "Ricreativo B") is a company established in 2004 and active: i) in the rental and management of entertainment devices for bars, VLT halls, gaming halls, and public venues; ii) in the management of establishments under the "Macao" brand, venues dedicated to legal gaming connected to public gaming acceptance agencies; iii) in consulting and supplying devices for the creation of venues dedicated to legal gaming. Ricreativo B also operates in the collection of bets, limited to the physical channel, as a licensee, based on a specific concession granted by ADM. The share capital of Ricreativo B is held, for [60-65%], by GMI19 S.r.l. (hereinafter, "GMI"), for [35-40%] by a natural person, and for the remaining part, by two other natural persons each holding a share of [1-5%]. During 2022, the Company achieved a worldwide revenue of approximately [32-100] million euros5 entirely in Italy.</w:t>
      </w:r>
    </w:p>
    <w:p>
      <w:r>
        <w:t>II. DESCRIPTION OF THE OPERATION</w:t>
      </w:r>
    </w:p>
    <w:p>
      <w:r>
        <w:t>3. The notified operation (hereinafter also the "operation") consists of the acquisition by Lottomatica, through the subsidiary GGM S.p.A. (hereinafter, "GGM"), of the entire share capital of Ricreativo B.</w:t>
      </w:r>
    </w:p>
    <w:p>
      <w:r>
        <w:t>4. The operation includes a shareholders' agreement concluded between Lottomatica, GMI, and the natural person who holds the largest share of Ricreativo B, which establishes a non-competition obligation whereby GMI and the aforementioned natural person commit, for themselves and for the entities they control pursuant to Article 2359 of the Civil Code, to refrain from undertaking or continuing, directly or indirectly, any activities of any nature in favor of or with competitors in the Italian territory until the end of the third year following the cessation of their status as direct or indirect shareholders of GGM or, if earlier, until the end of the third year following the date of dissolution of the social relationship, direct or indirect, of Lottomatica with GGM.</w:t>
      </w:r>
    </w:p>
    <w:p>
      <w:r>
        <w:t>III. QUALIFICATION OF THE OPERATION</w:t>
      </w:r>
    </w:p>
    <w:p>
      <w:r>
        <w:t>5. The communicated operation,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exceeded 532 million euros and the total revenue generated, in the last financial year at the national level, individually by at least two of the companies involved exceeded 32 million euros6.</w:t>
      </w:r>
    </w:p>
    <w:p>
      <w:r>
        <w:t>6. Regarding the aforementioned non-competition agreement, it is represented that it constitutes a restriction directly connected and necessary for the realization of the operation, as it is strictly functional to safeguarding the value of the acquired company, provided that it is limited in terms of goods to the services offered by the acquired companies and that it has a duration not exceeding a period of two years7.</w:t>
      </w:r>
    </w:p>
    <w:p>
      <w:r>
        <w:t>IV. ASSESSMENT OF THE CONCENTRATION</w:t>
      </w:r>
    </w:p>
    <w:p>
      <w:r>
        <w:t>7. The communicated operation concerns the acquisition, by Lottomatica, a licensee in the collection from entertainment and amusement devices (AWP and VLT devices) and in the collection from betting, online games, and lotteries, as well as active in the production, development, and supply of games and betting and lottery services and in the management of gaming halls, of Ricreativo B, a company primarily active in the management of gaming halls8, as well as a licensee for the collection from betting in the physical channel.</w:t>
      </w:r>
    </w:p>
    <w:p>
      <w:r>
        <w:t>8. Following the notification of this operation, in order to have a suitable knowledge framework for its assessment, the Authority has acquired information, in addition to that from Lottomatica, also from ADM9 and from some operators active in the collection from AWP and VLT devices and from betting in the physical channel (in particular, the licensees of these types of games present in the halls managed by Ricreativo B).</w:t>
      </w:r>
    </w:p>
    <w:p>
      <w:r>
        <w:t>6 See Authority decision No. 30507 of March 14, 2023 "Reevaluation of revenue thresholds pursuant to Article 16, paragraph 1, of Law No. 287/1990", in Bulletin No. 12/2023.</w:t>
      </w:r>
    </w:p>
    <w:p>
      <w:r>
        <w:t>7 See in this regard the "Commission Communication on restrictions directly connected and necessary to concentrations" (2005/C 56/03), published in the Official Journal of the European Communities on March 5, 2005, paragraphs 18 et seq.</w:t>
      </w:r>
    </w:p>
    <w:p>
      <w:r>
        <w:t>8 The company is also active in the rental and management of entertainment devices for bars, VLT halls, gaming halls, and public venues and in consulting and supplying devices for the creation of venues dedicated to legal gaming.</w:t>
      </w:r>
    </w:p>
    <w:p>
      <w:r>
        <w:t>9 See hearing of September 7, 2023.</w:t>
      </w:r>
    </w:p>
    <w:p>
      <w:r>
        <w:t>IV.1 The relevant markets</w:t>
      </w:r>
    </w:p>
    <w:p>
      <w:r>
        <w:t>A) The activity of collection from entertainment and amusement devices</w:t>
      </w:r>
    </w:p>
    <w:p>
      <w:r>
        <w:t>9. From a product perspective, the Authority, in its previous decisions10, has identified the market for collection from entertainment and amusement devices, including the following devices: a. AWP (Amusement with Prizes, Article 110, paragraph 6, letter a), of the Consolidated Public Security Laws, T.U.L.P.S.11) – Devices that pay out cash prizes, consisting of a cabinet and a game board installed inside that interacts with the licensee's system through a "point of access"12; b. VLT (Videolotteries, Article 110, paragraph 6, letter b), of the T.U.L.P.S.) – Devices connected to a central gaming system and lacking a game board inside (technological evolution of traditional AWP); the game and the outcome of the play develop on the central system and are subsequently displayed on the screen of the VLT device13.</w:t>
      </w:r>
    </w:p>
    <w:p>
      <w:r>
        <w:t>10. The activity of collection through AWP and VLT devices is subject to the issuance of a national concession, and currently, the number of licensees is eleven14, whose concessions are currently under extension from 2022 and will expire on December 31, 2024, unless new extensions15. Each licensee holds a certain number of concession rights, awarded through a tender, which define the number of devices that can be installed by the licensee in the Italian territory16.</w:t>
      </w:r>
    </w:p>
    <w:p>
      <w:r>
        <w:t>10 See Authority decision No. 29652 of May 4, 2021 regarding case C12371 - Gamenet Group/Lottomatica Videolot Rete-Lottomatica Scommesse, in Bulletin No. 21/2021.</w:t>
      </w:r>
    </w:p>
    <w:p>
      <w:r>
        <w:t>11 Royal Decree of June 18, 1931, No. 773.</w:t>
      </w:r>
    </w:p>
    <w:p>
      <w:r>
        <w:t>12 AWP devices can be installed in all commercial establishments identified by ADM: horse betting agencies; sports betting agencies; Bersani and Giorgetti gaming shops; bingo halls; dedicated halls; gaming halls; sports betting points; horse betting points; tobacco shops; lottery retailers; bars and similar establishments; newsstands; other commercial or public establishments, private clubs, and other areas open to the public; beach establishments and hotels or similar establishments.</w:t>
      </w:r>
    </w:p>
    <w:p>
      <w:r>
        <w:t>13 VLT devices can only be installed in bingo halls, agencies for the exercise of betting on sporting events, other than horse racing, and on non-sporting events, in horse betting agencies, in horse and sports gaming shops, in gaming halls, and finally in halls dedicated exclusively to gaming with devices referred to in Article 110, paragraph 6, of the T.U.L.P.S. (Article 9 of the Decree of the Ministry of Economy and Finance of January 22, 2010).</w:t>
      </w:r>
    </w:p>
    <w:p>
      <w:r>
        <w:t>14 Snaitech S.p.A., Global Starnet Ltd, Sisal Entertainment S.p.A., HBG Gaming S.r.l., Codere Italia S.p.A., Cirsa Italia S.p.A., NTS Network S.p.A., Admiral Gaming Network S.r.l., NetWin Italia S.p.A., Gamenet Group S.p.A., and Lottomatica Videolot Rete S.p.A. (the latter two licensees are currently part of the Lottomatica group).</w:t>
      </w:r>
    </w:p>
    <w:p>
      <w:r>
        <w:t>15 This last extension provided for by Article 1, paragraph 124, letter b), of Law No. 197 of December 29, 2022, follows, in fact, other extensions: an initial extension that had moved the previous deadline (set for March 2022) to June 29, 2023, which had been activated by Article 4, paragraph 2, of the concession agreement signed by the licensees.</w:t>
      </w:r>
    </w:p>
    <w:p>
      <w:r>
        <w:t>16 Until January 1, 2016, the sector regulation did not provide a cap on the number of AWP devices that could be activated by each licensee (following the authorization for operation, so-called NOE) by each licensee, while the VLT devices that could be activated by each licensee could vary from a minimum of 7% to a maximum of 14% of the total of the overall NOEs for AWP issued to the licensee. The 2016 Stability Law (Law No. 208/2005), however, provided that, starting from January 1, 2016, the issuance of new NOEs for AWP is prohibited, except for the replacement of devices already in operation and that the number of AWP devices must be reduced proportionally, not less than 30%, compared to the number of active devices as of December 31, 2015 (equal to 378,000), attributable to each licensee. The 2016 Stability Law has, therefore: i) introduced a maximum cap on the number of NOEs for AWP devices; ii) effectively introduced a maximum cap on the number of NOEs for VLT devices; iii) provided for a significant reduction in the number of NOEs for AWP (currently, AWP devices are equal to 265,000).</w:t>
      </w:r>
    </w:p>
    <w:p>
      <w:r>
        <w:rPr>
          <w:b/>
        </w:rPr>
        <w:t>[Pages 13–15]</w:t>
      </w:r>
    </w:p>
    <w:p>
      <w:r>
        <w:t xml:space="preserve">BULLETIN NO. 37 OF OCTOBER 2, 2023 15  </w:t>
        <w:br/>
        <w:t xml:space="preserve">11. Furthermore, maximum limits are established regarding the number of AWP or VLT machines that can be installed within the same sales point based on the available surface area and the relevant merchandise category17. Within the same hall, VLT machines can be connected to the telematic network of a single licensee.  </w:t>
        <w:br/>
        <w:t xml:space="preserve">12. Although the number of AWP machines is significantly higher than that of VLT machines, also due to the more recent introduction of the latter into the market (currently, AWP machines account for about 82% of the machines in circulation18), in terms of collection value, the two segments appear to be substantially comparable19.  </w:t>
        <w:br/>
        <w:t xml:space="preserve">13. The gaming supply chain presents a different number of parties involved in the case of AWP and VLT machines:  </w:t>
        <w:br/>
        <w:t xml:space="preserve">(a) in the first case, the supply chain involves: i) the licensees holding a certain number of rights associated with individual machines; ii) the operators (who may also be the owners of the AWP machines installed at the sales points), who handle the installation and maintenance of the machines at the indirect physical sales points on behalf of the licensee (as well as the collection of amounts due to the Treasury and the remuneration, on behalf of the licensee, of the sales point owner, retaining their share of the compensation); iii) the retailers, i.e., the parties managing the generalist sales points where the machines connected to the licensee's network are located;  </w:t>
        <w:br/>
        <w:t xml:space="preserve">(b) in the second case, the supply chain involves only: i) the licensees, holders of a certain number of concession rights associated with individual VLT machines, and ii) the managers of VLT halls, who hold the license pursuant to Article 88 of the T.U.L.P.S. necessary for the installation of this type of machine.  </w:t>
        <w:br/>
        <w:t xml:space="preserve">14. AWP machines, therefore, can be owned by the licensees or by independent operators, who choose the licensee to approach and the retailers of the premises where to place the machines. In the case of VLT machines, they are owned by the licensees or made available by the manufacturers, and the VLT halls also belong to the same licensee or possibly to a hall manager with whom the licensee enters into a contract.  </w:t>
        <w:br/>
        <w:t xml:space="preserve">17 In light of what is provided by Law No. 220 of December 13, 2010 (Stability Law 2011), the AAMS directive decree, protocol No. 2011/30011/games/UD, of July 27, 2011, identified the new criteria for determining the numerical limits to be applied for the purpose of the contingent of amusement and entertainment machines referred to in Article 110, paragraph 6, letters a) and b) of the T.U.L.P.S. (AWP and VLT), within the types of commercial establishments where the collection of gaming through such machines is permitted. There is, first of all, a minimum condition for installability: it concerns the reservation of a minimum surface area of at least 2 square meters for each individual AWP machine, to be applied in all types of authorized establishments; this minimum surface area is, therefore, to be considered as the actual area in which the machine is included and the space in front necessary for proper access to the game. Furthermore, there is a number of installable machines, both AWP and VLT, which is to be calculated considering the type of sales point and its dimensions. For example, the areas indicated where VLT machines can be located must have a surface area equal to or greater than 50 square meters, and the ratio between the surface area of the hall and the number of video terminal machines must be as follows:  </w:t>
        <w:br/>
        <w:t xml:space="preserve">• from 50 to 100 square meters, it will be possible to install up to 30 VLTs;  </w:t>
        <w:br/>
        <w:t xml:space="preserve">• from 101 to 300 square meters, it will be possible to install up to 70 VLTs;  </w:t>
        <w:br/>
        <w:t xml:space="preserve">• over 300 square meters, it will be possible to install up to 150 VLTs.  </w:t>
        <w:br/>
        <w:t xml:space="preserve">18 The current number of AWP machines is 265,000, while the current number of VLTs is 61,757.  </w:t>
        <w:br/>
        <w:t>19 In 2022, in fact, AWP machines had a collection of 17.4 billion, and VLT machines had a collection of 16.3 billion.</w:t>
      </w:r>
    </w:p>
    <w:p>
      <w:r>
        <w:t xml:space="preserve">BULLETIN NO. 37 OF OCTOBER 2, 2023 17  </w:t>
        <w:br/>
        <w:t xml:space="preserve">C) The management of gaming halls  </w:t>
        <w:br/>
        <w:t xml:space="preserve">19. The management of gaming halls is particularly significant for the licensees, as the ability to have halls located in areas with higher population density or in wealthier areas of the country allows for better exploitation of the concession rights associated with their AWP and VLT machines or the collection of physical bets. Similarly, managers of gaming halls with high levels of collection can enjoy greater bargaining power with the licensees in defining commercial conditions, as well as higher revenues derived from the commission generally calculated as a percentage of the collection.  </w:t>
        <w:br/>
        <w:t xml:space="preserve">20. However, the possibility of opening new gaming halls is subject to the constraints set by regional and municipal regulations, which currently differ across the national territory, in terms of the location of gaming points and, more precisely, the minimum distance they must maintain from certain aggregation places, the so-called sensitive places (e.g., places of worship, schools, hospitals, nursing homes); constraints, moreover, subject to periodic review, which can make the opening of new establishments less appealing26-27.  </w:t>
        <w:br/>
        <w:t xml:space="preserve">21. In this regard, it should be noted that the Regions, as they are competent in conjunction with the State in matters of public health, have legislated in a heterogeneous manner on the positioning of gaming points, their distancing from sensitive places, and have introduced principles regarding opening hours; it should also be added that over time, many municipalities have adopted differentiated measures regarding the localization of gaming halls (also identifying other sensitive places) and restrictive provisions regarding opening hours, through specific regulations and ordinances, in addition to the same regional regulations of reference28.  </w:t>
        <w:br/>
        <w:t xml:space="preserve">22. From a geographical perspective, the management of gaming halls thus appears to present local geographical dimensions, linked to the aforementioned regional and municipal regulations. In a first approximation, municipal geographical markets can be defined; however, it cannot be excluded that these markets, in relation to the territorial and regulatory specificities of the areas where the gaming halls are located, may present larger or smaller dimensions.  </w:t>
        <w:br/>
        <w:t xml:space="preserve">IV.2 The effects of the operation  </w:t>
        <w:br/>
        <w:t xml:space="preserve">23. In the national market for the collection from AWP and VLT entertainment and amusement machines, the operation does not entail any horizontal overlap as Recreational B is not present in this market.  </w:t>
        <w:br/>
        <w:t xml:space="preserve">26 It should be noted that in some Regions, such as Emilia Romagna and Tuscany, these constraints are not only stringent but have even "retroactive" effects: for example, if a sensitive place is created after the establishment of the hall, this hall will be obliged within a period determined by the identification of the (new) sensitive place to relocate to another site.  </w:t>
        <w:br/>
        <w:t xml:space="preserve">27 There are studies indicating that some centers would have 98% of the urban center ineligible for the positioning of gaming halls.  </w:t>
        <w:br/>
        <w:t>28 Regarding the heterogeneity and variability of regional and municipal regulations, it is worth noting that the Council of State has expressed opinions on the tender documents for the concessions related to physical betting (which present identical issues to those found in relation to the concessions for AWP and VLT machines), raising questions about the possibility of organizing national tenders with different regional and municipal regulations across the national territory.</w:t>
      </w:r>
    </w:p>
    <w:p>
      <w:r>
        <w:rPr>
          <w:b/>
        </w:rPr>
        <w:t>[Pages 16–18]</w:t>
      </w:r>
    </w:p>
    <w:p>
      <w:r>
        <w:t>BULLETIN NO. 37 OF OCTOBER 2, 2023</w:t>
      </w:r>
    </w:p>
    <w:p>
      <w:r>
        <w:t>24. In the national betting collection market, the operation in question involves a modest horizontal overlap as Ricreativo B operates in the betting collection market only with respect to the physical channel and alternatively:</w:t>
        <w:br/>
        <w:t>(a) based on rights related to its own concessions (in these cases, Ricreativo B is both the licensee and the operator); or</w:t>
        <w:br/>
        <w:t>(b) based on rights linked to third-party concessions (only operator).</w:t>
      </w:r>
    </w:p>
    <w:p>
      <w:r>
        <w:t>25. The estimate of market shares (including both the physical and online channels) held, at the national level, in 2022, for the Lottomatica group (including Betflag S.p.A.)29 is equal to [20-25%] and for Ricreativo B equal to [&lt;1%]. Therefore, the post-merger share will be equal to [20-25%].</w:t>
      </w:r>
    </w:p>
    <w:p>
      <w:r>
        <w:t>26. This share, also considering the modest increase determined by the operation, does not appear to be detrimental to competition, as there are other operators with significant market shares, such as Flutter Entertainment plc/Sisal S.p.A.30 (with [10-15%]), Snaitech S.p.A. (with [10-15%]), Bet365 Group Ltd (with [10-15%]), and subsequently the competitors: Entain Plc31 and SKS365 Malta Ltd32.</w:t>
      </w:r>
    </w:p>
    <w:p>
      <w:r>
        <w:t>27. With regard to the vertical effects resulting from Lottomatica's acquisition of the gaming halls managed by Ricreativo B, it is noted that Ricreativo B manages 18 halls, of which 13 bear the brand "Macao," primarily intended for VLT gaming, but where AWP machines and betting terminals are also present (the latter, however, only in about ten halls). In 3 of these halls, the VLT licensee is from the Lottomatica group, while in all the others, there are other licensees, some of primary importance. The licensees of the AWP machines present in the various halls coincide with those of the VLT machines.</w:t>
      </w:r>
    </w:p>
    <w:p>
      <w:r>
        <w:t>Regarding betting, where the present licensee is not Ricreativo B, it tends to be the same as that present with the AWP and VLT machines, as generally the latter is also the holder of this type of concessions.</w:t>
      </w:r>
    </w:p>
    <w:p>
      <w:r>
        <w:t>28. In particular, these halls are located in the following Regions: Abruzzo, Emilia-Romagna, Lombardy, Tuscany, and Veneto and, specifically, in the following 17 Municipalities: Altopascio (LU), Bagnolo San Vito (MN), Bussolengo (VR)33, Campi Bisenzio (FI), Carrara (MS), Castelnovo Ne’ Monti (RE), Coriano (RN), Fidenza (PR), Finale Emilia (MO), Gattatico (RE), Mirandola (MO), Montesilvano (PE), Nonantola (MO), Parma (PR), Portoferraio (LI), Reggio nell’Emilia (RE), Vezzano sul Crostolo (RE).</w:t>
      </w:r>
    </w:p>
    <w:p>
      <w:r>
        <w:t>29. In the aforementioned Municipalities, except for Carrara - where Lottomatica is present with 4 halls, of which 1 is direct, but there are other licensees for a total of 5 halls and Ricreativo B holds only one hall where machines are connected to a licensee of AWP and VLT34 different from those of the Lottomatica group - Lottomatica does not hold direct halls (i.e., halls where the figure of the licensee coincides with that of the operator), so the operation will essentially result in Lottomatica taking over the management of the halls of Ricreativo B. Furthermore, in these Municipalities, there are also halls referable to third-party competitors of the Lottomatica group.</w:t>
      </w:r>
    </w:p>
    <w:p>
      <w:r>
        <w:t>30. With specific reference to AWP and VLT machines, it is worth highlighting that in all the halls of Ricreativo B where the VLT licensee is not from the Lottomatica group, the latter will not be able to replace it in carrying out such activity (i.e., install its own VLT machines) except in the following cases: i) upon expiration (which coincides with the duration of the concession) of the contract between the VLT hall operator and the third-party licensee, ii) if the operator has the possibility to withdraw from this contract before expiration, thus through consensual termination with or without the payment of any penalties. Furthermore, it is up to ADM to authorize the change of licensee concerning the VLT machines present in the VLT hall, as the operation of such VLT halls is always under the authorization and control regime of ADM. Also concerning AWP machines, the replacement of machines from the Lottomatica group for those of the licensees currently present in the halls of Ricreativo B, while theoretically possible, based on the information acquired, appears entirely unlikely.</w:t>
      </w:r>
    </w:p>
    <w:p>
      <w:r>
        <w:t>31. In fact, based on the documentation on file and, in particular, the contracts signed by Ricreativo B with third-party licensees, the impossibility/difficulty or lack of convenience for Ricreativo B to withdraw from the aforementioned contracts emerges. This is because, in general, the aforementioned contracts either do not provide for withdrawal or, in cases where it is allowed, there are penalties and/or non-economic circumstances that do not make exercising it convenient35.</w:t>
      </w:r>
    </w:p>
    <w:p>
      <w:r>
        <w:t>32. Therefore, it does not currently seem possible to imagine a foreclosure effect at the local level to the detriment of the competing AWP and VLT licensees of the Lottomatica group present in the halls of Ricreativo B.</w:t>
      </w:r>
    </w:p>
    <w:p>
      <w:r>
        <w:t>33. It should also be considered that the gaming offer of the various licensees is entirely similar, also because the payout (the percentage of winnings) does not vary among the licensees, as all are set at the minimum required by law, which currently, following numerous reductions over time, corresponds to 65% for AWP machines and 83% for VLT machines.</w:t>
      </w:r>
    </w:p>
    <w:p>
      <w:r>
        <w:t>34. With specific reference to betting, as highlighted above, of the aforementioned 18 halls, about ten halls of Ricreativo B are characterized by the presence, in addition to AWP and VLT machines, of terminals for accepting bets, where the licensee is almost always Ricreativo B; only in three cases is a different betting licensee present, and in two of these, the licensee coincides with that of the AWP and VLT machines present there.</w:t>
      </w:r>
    </w:p>
    <w:p>
      <w:r>
        <w:t>35. Therefore, possible vertical effects occur only with respect to the aforementioned 3 halls, where the betting licensee is not Ricreativo B, i.e., in the Municipalities of Altopascio, Nonantola, and Parma, where, from the documentation on file, it appears that Lottomatica does not hold direct halls, but only indirectly managed halls: 1 in Altopascio and Nonantola and 2 in Parma, so the operation will essentially result in Lottomatica taking over the management of these 3 halls of Ricreativo B. Furthermore, in the Municipalities of Altopascio and Parma, there are also halls referable to third-party competitors of the Lottomatica group.</w:t>
      </w:r>
    </w:p>
    <w:p>
      <w:r>
        <w:t>36. It should also be noted that, even with respect to these three halls of Ricreativo B, the considerations made regarding AWP and VLT machines apply, especially considering that in two of these, those in Altopascio and Nonantola, the betting licensee present is the same as that of the AWP and VLT machines and, therefore, it is unlikely that terminals from the Lottomatica group will be positioned in place of those of the third-party licensees and, consequently, a foreclosure effect at the local level to the detriment of the competing betting licensees of the Lottomatica group present in them.</w:t>
      </w:r>
    </w:p>
    <w:p>
      <w:r>
        <w:t>37. In the remaining halls, where the betting licensee is Ricreativo B, from the analysis of the data provided regarding betting collection, it emerges that only in two, those in the Municipalities of Mirandola and Reggio nell’Emilia, a horizontal overlap occurs. Considering the online channel, the post-merger share is, in fact, equal to [30-35%] for the Municipality of Mirandola and equal to [30-35%] for the Municipality of Reggio nell’Emilia. However, it should be noted that in these Municipalities there are other licensees, in addition to Ricreativo B and the Lottomatica group, that collect bets, meaning that there are market alternatives, represented by primary operators36.</w:t>
      </w:r>
    </w:p>
    <w:p>
      <w:r>
        <w:t>38. In light of the above considerations, the operation in question does not appear to be likely to cause detrimental effects on competition, not resulting in substantial changes in the affected markets.</w:t>
      </w:r>
    </w:p>
    <w:p>
      <w:r>
        <w:t>CONSIDERING, therefore, that the operation in question does not significantly impede effective competition in the affected markets pursuant to Article 6, paragraph 1, of Law No. 287/1990 and does not entail the establishment or strengthening of a dominant position;</w:t>
      </w:r>
    </w:p>
    <w:p>
      <w:r>
        <w:t>CONSIDERING, furthermore, that the non-competition agreement present in the Shareholders' Agreement can be considered accessory to this operation only within the aforementioned commodity and temporal limits and that the Authority reserves the right to evaluate, where the conditions exist, the aforementioned clause that occurs beyond those limits;</w:t>
      </w:r>
    </w:p>
    <w:p>
      <w:r>
        <w:t>RESOLVES</w:t>
      </w:r>
    </w:p>
    <w:p>
      <w:r>
        <w:t>not to initiate the investigation referred to in Article 16, paragraph 4, of Law No. 287/1990.</w:t>
      </w:r>
    </w:p>
    <w:p>
      <w:r>
        <w:t>36 In particular, with reference to the two aforementioned Municipalities, it has emerged that:</w:t>
        <w:br/>
        <w:t>• in the Municipality of Mirandola, there are a total of 3 betting halls, of which one is of Ricreativo B, another is of GBO Italy S.p.A. (a company of the Lottomatica group), and the third is of Snaitech S.p.A., a third-party competitor of Ricreativo B and the Lottomatica group;</w:t>
        <w:br/>
        <w:t>• in the Municipality of Reggio nell’Emilia, there are, instead, a total of 14 halls, of which 2 are of Ricreativo B, 6 of GBO Italy S.p.A. (a company of the Lottomatica group), and 6 of third-party competitors of Ricreativo B and the Lottomatica group (3 of Sisal S.p.A., 2 of Snaitech S.p.A., and 1 of OIA Services Limited).</w:t>
      </w:r>
    </w:p>
    <w:p>
      <w:r>
        <w:rPr>
          <w:b/>
        </w:rPr>
        <w:t>[Pages 19–21]</w:t>
      </w:r>
    </w:p>
    <w:p>
      <w:r>
        <w:t>BULLETIN NO. 37 OF OCTOBER 2, 2023 21</w:t>
        <w:br/>
        <w:t>The above conclusions will be communicated, pursuant to Article 16, paragraph 4, of Law No. 287/1990, to the interested companies and to the Minister of Enterprises and Made in Italy. This provision will be published in the Bulletin of the Antitrust Authority.</w:t>
      </w:r>
    </w:p>
    <w:p>
      <w:r>
        <w:t>THE SECRETARY GENERAL THE PRESIDENT</w:t>
        <w:br/>
        <w:t>Guido Stazi Roberto Rustichelli</w:t>
      </w:r>
    </w:p>
    <w:p>
      <w:r>
        <w:t>22 BULLETIN NO. 37 OF OCTOBER 2, 2023</w:t>
        <w:br/>
        <w:t>REPORTING AND CONSULTATIVE ACTIVITIES</w:t>
        <w:br/>
        <w:t>AS1913 - TRENORD - CALL FOR TENDER FOR THE AWARD OF THE SERVICE OF CLEANING AND SANITIZATION OF ROLLING STOCK</w:t>
        <w:br/>
        <w:t>Rome, July 31, 2023</w:t>
        <w:br/>
        <w:t>Trenord S.r.l.</w:t>
        <w:br/>
        <w:t>The Antitrust Authority, in its meeting of July 25, 2023, decided to adopt a reasoned opinion, pursuant to Article 21-bis of Law No. 287 of October 10, 1990, on the call for tender published in the G.U.R.I. on June 28, 2023, concerning the negotiated procedure initiated by Trenord S.r.l., pursuant to Article 124 of Legislative Decree No. 50 of April 18, 2016 (so-called Public Contracts Code, hereinafter also "Code"), aimed at the conclusion of a "Framework Agreement for the cleaning and sanitization service of rolling stock, work environments, external areas, and small maintenance activities." This tender was issued by Trenord S.r.l. following the annulment of the previously announced tender, on which the Authority, in its meeting of May 30, 2023, had decided to express a report pursuant to Article 21 of Law No. 287/19901. The procedure in question is divided into two Lots and aims to conclude two Framework Agreements (one for each Lot) for the cleaning and sanitization service of rolling stock, work environments, external areas, and small maintenance activities. The total value of the contract is €209,611,100.00. The duration of the framework agreements is estimated at thirty-six months with the option for Trenord S.r.l. "to exercise two options of 12 months each." The application contracts will be concluded during the validity of the Framework Agreement with a duration that will be included within the duration of the latter. The procedure provides that the contract is awarded to the economically most advantageous offer. Following the award, the service will be carried out at the Client's premises. As for the specific requirements of professional and technical capacity, the notice of initiation of the negotiated procedure refers to the participation conditions provided in the tender specifications, available along with the other tender documents on the website http://acquistionline.trenord.it.</w:t>
      </w:r>
    </w:p>
    <w:p>
      <w:r>
        <w:t>1 AS1891 - Trenord - Call for tender for the award of the cleaning and sanitization service of rolling stock, in Bulletin No. 23/2023.</w:t>
      </w:r>
    </w:p>
    <w:p>
      <w:r>
        <w:t>BULLETIN NO. 37 OF OCTOBER 2, 2023 23</w:t>
        <w:br/>
        <w:t>The tender specifications, in particular, in Article IV.1.3.1), letter e), provide that the economic operator certifies "having carried out, in the last three years prior to the date of publication of the tender, for activities subject to the tender, in a single contract including cleaning services for railway, tramway, or metro rolling stock and their respective work environments on behalf of Entities or railway companies, not less than in total:</w:t>
        <w:br/>
        <w:t>• For Lot 1: €9,000,000.00 (nine million euros) in one year in the three-year period;</w:t>
        <w:br/>
        <w:t>• For Lot 2: €11,000,000.00 (eleven million euros) in one year in the three-year period" (emphasis in the original). Before proceeding to indicate the reasons why the Authority believes that this provision presents critical aspects from a competitive perspective, it is deemed appropriate to clarify that, in the aforementioned report AS1891, the Authority had already represented to Trenord S.r.l. the restrictive effect of participation in the selection procedure resulting from the improper assimilation of the concept of "analogous supplies" with that of "identical supplies." In the report, the Authority also hoped that the company would implement all necessary measures to ensure the proper conduct of competitive dynamics in the awarding procedures of the service in question and invited Trenord S.r.l. to communicate, within thirty days from the receipt of the report, the initiatives taken regarding the highlighted competitive criticalities. With the note received on June 30, 2023, Trenord S.r.l. communicated that it had annulled the tender and also initiated a new tender procedure. However, from the analysis of the new tender specifications, it emerges that Trenord S.r.l. did not take into account the observations already expressed by the Authority to ensure the proper conduct of competitive dynamics in the awarding procedure in question. That said, the Authority believes that Article IV.1.3.1), letter e), of the Tender Specifications explicitly expresses an improper assimilation of the concept of "analogous supplies" with that of "identical supplies" in that it requires, for the purposes of participation in the tender in question and the submission of an offer, that competitors have executed in the reference three-year period the supply of cleaning services for railway, tramway, or metro rolling stock and their respective work environments on behalf of Entities or railway companies. As clarified in a recent report2, the Authority believes that this provision is not in line with the teachings of administrative jurisprudence regarding so-called special requirements and, in particular, the requirements of technical and professional capacity provided for by Article 83 of Legislative Decree No. 50/2016 (applicable ratione temporis), now reported in Article 100 of Legislative Decree No. 36/2023. According to the administrative judge, in fact, the request for proof of previous supplies concerning goods and/or services analogous to those subject to the selection procedure is legitimate to the extent that the "analogous service/supply" is not understood as "identical service/supply," but merely similar3. Furthermore, with reference to the request for the performance of similar services, administrative jurisprudence is unanimous in considering that the proof should be deemed satisfied if the competitor has demonstrated having carried out services falling within the same business sector or</w:t>
      </w:r>
    </w:p>
    <w:p>
      <w:r>
        <w:t xml:space="preserve">2 See AS1885 - Open multi-lot procedure for the conclusion of framework agreements for the detection and administration of insulin, in Bulletin No. 14/2023. </w:t>
        <w:br/>
        <w:t>3 Among others, Council of State, Section V, judgments No. 4729/2023, 7341/2021, and 2048/2021.</w:t>
      </w:r>
    </w:p>
    <w:p>
      <w:r>
        <w:rPr>
          <w:b/>
        </w:rPr>
        <w:t>[Pages 22–24]</w:t>
      </w:r>
    </w:p>
    <w:p>
      <w:r>
        <w:t>24 BULLETIN NO. 37 OF OCTOBER 2, 2023</w:t>
        <w:br/>
        <w:t xml:space="preserve">professional sector to which the contract pertains, so that it can be considered that through it the competitor has developed the capacity to carry out the latter4. Therefore, while enjoying broad discretion5 and having the requirement of technical and professional capacity with the general purpose of "ensuring that economic operators possess the necessary human and technical resources and experience to execute the contract with an adequate standard of quality"6, the contracting authority is not in any case allowed to exclude competitors who have not performed exactly all the activities falling within the scope of the contract. The National Anti-Corruption Authority (hereinafter, "ANAC") shares the same view, according to which the concept of "similar service" must be understood not as identity, but as mere similarity between the requested performances, "considering that the underlying public interest is certainly not the creation of a reserve in favor of entrepreneurs already present in the market but, on the contrary, the opening of the market through the admission to tenders of all competitors for whom an overall judgment of reliability can be reached"7. In the explanatory note to the standard tender notice no. 1/2017, ANAC has, moreover, established that the contracting authority must qualify as precisely as possible the services/supplies that can be considered "similar" to those subject to the tender, considering the extent of the contract, the nature and type of services requested, as well as the other characteristic elements of the service to be performed, and in compliance with the general principles of free competition, equal treatment, and proportionality referred to in Article 30 of Legislative Decree No. 50/2016. Therefore, it is necessary that contracting authorities, in exercising their technical discretion, in relation to the specific case, adequately balance the need to select subjects with adequate experience in the specific area of interest with that of ensuring the broadest competitive confrontation in the tender. Regarding the type of evaluation to be carried out to understand whether a service/supply is similar or analogous to that subject to the tender, ANAC has specified that the nature of the individual service or supply should not be considered decisive. In fact, even where a single service/supply cannot be considered fully "analogous" to that subject to the tender, the evaluation that the contracting authority must carry out can only be of an overall nature. This is because the summation of all the services or supplies declared can reasonably be considered as an indicator of technical suitability for the correct execution of the contract and of reliability. A different interpretation of the notion of "similar services/supplies" would indeed create a competitive advantage in favor of companies already supplying the contracting authority. On the contrary, the provision of special requirements must allow for the opening of the market through the admission to the tender of all competitors for whom an overall judgment of reliability can be reached. In other words, the purpose of such requirements is to pursue an appropriate balance between the need to select a qualified entrepreneur and the principle of maximum participation in public tenders8. These principles have been clearly and explicitly incorporated into the new Code of Contracts, where Article 10, paragraph 3, of Legislative Decree No. 36/2023, in establishing the principles of exhaustiveness of exclusion causes and maximum participation, states that "Subject to the necessary requirements for the exercise of professional activity, contracting authorities and granting entities may introduce special requirements, of an economic-financial and technical-professional nature, relevant and proportional to the object of the contract, taking into account the public interest in the widest number of potential competitors and promoting, provided it is compatible with the services to be acquired and with the need to achieve economies of scale functional to reducing public expenditure, access to the market and the possibility of growth for micro, small, and medium enterprises." Furthermore, Article 100, concerning "Special Requirements," of Legislative Decree No. 36/2023, explicitly provides in paragraph 11 that "Contracting authorities may also require economic operators as a requirement of technical and professional capacity to have executed in the previous three years from the date of the tender procedure contracts analogous to that being awarded also in favor of private entities" (emphasis added). Contrary to what has been argued so far, the provision contained in the Tender Regulations, already criticized by the Authority, has the effect of significantly restricting participation in the selection procedure, allowing it only to those who have performed cleaning services for railway, tram, or metro rolling stock and related work environments on behalf of entities or railway companies in the three preceding years. In conclusion, therefore, it is believed that the special technical-professional requirement, as reported in Article IV.1.3.1), letter e), of the Tender Regulations, has the effect of restricting competition by discouraging the participation of operators who could submit offers, thereby enriching the pool of participants and stimulating competitive dynamics within the selection procedure. In other words, this provision does not appear proportionate to the purpose it intends to achieve and violates the general clause established by paragraph 2 of Article 83 of Legislative Decree No. 50/2016, according to which "the requirements and capacities referred to in paragraph 1 are relevant and proportional to the object of the contract, taking into account the public interest in having the widest number of potential participants, in compliance with the principles of transparency and rotation" (now reported in Article 100, paragraphs 2 and 11, of Legislative Decree No. 36/2023), as well as being in contrast with the principles of free competition and maximum participation established by Article 30 of Legislative Decree No. 50/2016 (as confirmed by Article 10 of Legislative Decree No. 36/2023). Pursuant to Article 21-bis, paragraph 2, of Law No. 287/1990, therefore, this Company must communicate to the Authority, within sixty days from the receipt of this opinion, the initiatives taken to remove the competition violations outlined above. If within the aforementioned term such initiatives do not prove to be compliant with the competition principles expressed above, the Authority may file an appeal within the subsequent thirty days. This opinion will be published in the Bulletin of the Competition and Market Authority. </w:t>
        <w:br/>
        <w:t xml:space="preserve">THE PRESIDENT </w:t>
        <w:br/>
        <w:t xml:space="preserve">Roberto Rustichelli </w:t>
        <w:br/>
        <w:t xml:space="preserve">_________________________________________________________________ </w:t>
        <w:br/>
        <w:t>Communication regarding the Authority's decision not to appeal, pursuant to Article 21-bis of Law No. 287/1990 against the tender notice, published in the Official Journal of the European Union and in the Official Journal of the Italian Republic on June 28, 2023, concerning the negotiated procedure initiated by Trenord S.r.l. pursuant to Article 124 of Legislative Decree No. 50 of April 18, 2016, aimed at the conclusion of a "Framework Agreement for the cleaning and sanitization service of railway rolling stock, work environments, external areas, and small maintenance activities." The Competition and Market Authority, in its meeting of September 26, 2023, decided not to challenge before the competent administrative court the tender notice published in the Official Journal of the European Union and in the Official Journal of the Italian Republic on June 28, 2023, concerning the negotiated procedure initiated by Trenord S.r.l., pursuant to Article 124 of Legislative Decree No. 50 of April 18, 2016, aimed at the conclusion of a "Framework Agreement for the cleaning and sanitization service of railway rolling stock, work environments, external areas, and small maintenance activities." On July 25, 2023, the Authority had resolved to send to Trenord S.r.l. a reasoned opinion pursuant to Article 21-bis of Law No. 287/1990, in which it noted that Article IV.1.3.1), letter e), of the Tender Regulations, in providing for special technical-professional requirements, improperly assimilated the concept of "analogous supplies" to that of "identical supplies," allowing participation in the tender procedure only to operators who had performed, in the three preceding years, identical cleaning services to those subject to the tender. Specifically, the Authority considered that this provision was not in line with its previous rulings and with administrative jurisprudence regarding so-called special requirements and, in particular, the requirements of technical and professional capacity provided for by Article 83 of Legislative Decree No. 50/2016 (applicable ratione temporis), now reported in Article 100 of Legislative Decree No. 36/2023, and that it was in contrast with the principles of free competition and maximum participation established by Article 30 of Legislative Decree No. 50/2016 (as confirmed by Article 10 of Legislative Decree No. 36/2023). Following the receipt of the reasoned opinion, Trenord S.r.l. communicated that it had proceeded to amend Chapter IV.1.3.2.) letter e), of the Tender Regulations in accordance with what was indicated by the Authority and that it had published the amended tender notice and regulations in the Official Journal of the Italian Republic on August 14, 2023, and in the Official Journal of the European Union on August 16, 2023.</w:t>
      </w:r>
    </w:p>
    <w:p>
      <w:r>
        <w:rPr>
          <w:b/>
        </w:rPr>
        <w:t>[Pages 25–27]</w:t>
      </w:r>
    </w:p>
    <w:p>
      <w:r>
        <w:t xml:space="preserve">BULLETIN NO. 37 OF OCTOBER 2, 2023 27  </w:t>
        <w:br/>
        <w:t>Acknowledging the above, the Authority has deemed that the initiatives undertaken by the company Trenord S.r.l. are suitable to remove the competition violations identified in the opinion sent pursuant to Article 21-bis of Law No. 287/1990.</w:t>
      </w:r>
    </w:p>
    <w:p>
      <w:r>
        <w:t xml:space="preserve">28 BULLETIN NO. 37 OF OCTOBER 2, 2023  </w:t>
        <w:br/>
        <w:t xml:space="preserve">UNFAIR TRADE PRACTICES  </w:t>
        <w:br/>
        <w:t xml:space="preserve">PS12441 – IREN – UNILATERAL MODIFICATIONS OF THE ECONOMIC CONDITIONS OF SUPPLY  </w:t>
        <w:br/>
        <w:t xml:space="preserve">Provision No. 30785  </w:t>
        <w:br/>
        <w:t xml:space="preserve">THE ANTITRUST AUTHORITY  </w:t>
        <w:br/>
        <w:t xml:space="preserve">IN ITS MEETING of September 12, 2023;  </w:t>
        <w:br/>
        <w:t xml:space="preserve">HEARD the Rapporteur, President Roberto Rustichelli;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precautionary measure adopted on October 25, 2022;  </w:t>
        <w:br/>
        <w:t xml:space="preserve">VIEWED the communication received on December 22, 2022, and supplemented on April 14, 2023, subsequently presented in the consolidated version on June 1 and 21, 2023, with which Iren Mercato S.p.A. submitted a proposal for commitments, pursuant to Article 27, paragraph 7, of the Consumer Code and Article 9 of the Regulation;  </w:t>
        <w:br/>
        <w:t xml:space="preserve">VIEWED its provisions of February 28, 2023, and May 2, 2023, with which, pursuant to Article 7, paragraph 3, of the Regulation, the deadline for concluding the procedure was extended for investigative needs;  </w:t>
        <w:br/>
        <w:t xml:space="preserve">VIEWED its provision of June 19, 2023, with which, pursuant to Article 16, paragraph 5, of the Regulation, the deadline for concluding the procedure was extended for the purpose of requesting an opinion from the Regulatory Authority for Energy Networks and Environment (hereinafter "ARERA");  </w:t>
        <w:br/>
        <w:t xml:space="preserve">VIEWED its provision of June 28, 2023, with which, pursuant to Article 7, paragraph 3, of the Regulation, the deadline for concluding the procedure was extended for investigative needs;  </w:t>
        <w:br/>
        <w:t xml:space="preserve">VIEWED the acts of the procedure;  </w:t>
        <w:br/>
        <w:t xml:space="preserve">I. THE PARTIES  </w:t>
        <w:br/>
        <w:t>1. The company Iren Mercato S.p.A. (hereinafter also "Iren" or "Company"), with registered office in Genoa, as a Professional, pursuant to Article 18, letter b), of the Consumer Code, active in the supply of electricity and natural gas.</w:t>
      </w:r>
    </w:p>
    <w:p>
      <w:r>
        <w:t xml:space="preserve">BULLETIN NO. 37 OF OCTOBER 2, 2023 29  </w:t>
        <w:br/>
        <w:t xml:space="preserve">2. The consumer associations Federconsumatori Emilia Romagna, Adiconsum Sardegna, U.Di.Con. - Union for the Defense of Consumers, National Consumers Union, Codici National Secretariat, Codici Lombardia, as interveners.  </w:t>
        <w:br/>
        <w:t xml:space="preserve">II. THE CONDUCT SUBJECT TO ASSESSMENT  </w:t>
        <w:br/>
        <w:t xml:space="preserve">3. In the initiation of the procedure, the Professional was accused of a conduct consisting of communicating to its clientele, starting from May 2022, the unilateral modification of the economic conditions applicable to supply contracts, during the validity of the Decree-Law No. 115 of August 9, 2022 (c.d. Aid Decree bis), which came into force on August 10, 2022, converted into Law No. 142 of September 21, 2022, whose Article 3 provides: "Until April 30, 2023, the effectiveness of any contractual clause allowing the energy and natural gas supplier to unilaterally modify the general contract conditions relating to the definition of the price is suspended, even if the right of withdrawal is contractually recognized to the counterparty. Until the same date referred to in paragraph 1, the notices communicated for the aforementioned purposes prior to the date of entry into force of this decree are ineffective, unless the contractual modifications have already been perfected."  </w:t>
        <w:br/>
        <w:t xml:space="preserve">III. THE OUTCOMES OF THE PROCEDURE  </w:t>
        <w:br/>
        <w:t xml:space="preserve">1) The course of the procedure  </w:t>
        <w:br/>
        <w:t xml:space="preserve">4. In relation to the conduct described above, on October 18, 2022, the initiation of the investigative procedure PS12441 was communicated to the Professional, hypothesizing the adoption of an unfair commercial practice by Iren in possible violation of Articles 20, 21, 22, 24, and 25 of the Consumer Code.  </w:t>
        <w:br/>
        <w:t xml:space="preserve">5. Concurrently with the communication of the initiation of the investigative procedure, in order to acquire useful knowledge elements for the assessment of the commercial practice in question, a request for information with related documentation regarding the contested conduct was formulated to the Professional, pursuant to Article 27, paragraphs 3 and 4, of the Consumer Code and Article 12, paragraph 1, of the Regulation.  </w:t>
        <w:br/>
        <w:t xml:space="preserve">6. On October 28, 2022, Iren was informed that the Authority, on October 25, 2022, adopted the precautionary measure audita altera parte subsequently annulled by the Lazio TAR, with judgment No. 10695 of June 23, 2023.  </w:t>
        <w:br/>
        <w:t xml:space="preserve">7. On December 22, 2022, the Professional submitted commitments, pursuant to Article 27, paragraph 7, of the Consumer Code and Article 9 of the Regulation, in order to remove the unfairness profiles of the contested commercial practice. The commitments were supplemented on April 14, 2023, and, in the consolidated version, on June 1, 2023, while the non-confidential consolidated version, attached to this provision, was received on June 21, 2023.  </w:t>
        <w:br/>
        <w:t xml:space="preserve">8. On November 7, 2022, and May 10, 2023, Iren was heard in special hearings.  </w:t>
        <w:br/>
        <w:t>1 Following the issuance of Decree-Law No. 198 of December 29, 2022 (c.d. Milleproroghe Decree), in Article 3, paragraph 1, the words "April 30, 2023," were replaced by the words "June 30, 2023," and it was added: "The first period does not apply to contractual clauses that allow the energy and natural gas supplier to update the economic and contractual conditions upon their expiration, in compliance with the contractually provided notice periods and without prejudice to the right of withdrawal of the counterparty."</w:t>
      </w:r>
    </w:p>
    <w:p>
      <w:r>
        <w:rPr>
          <w:b/>
        </w:rPr>
        <w:t>[Pages 28–30]</w:t>
      </w:r>
    </w:p>
    <w:p>
      <w:r>
        <w:t xml:space="preserve">30 BULLETIN NO. 37 OF OCTOBER 2, 2023  </w:t>
        <w:br/>
        <w:t xml:space="preserve">9. On the dates of October 25, 2022, November 10 and 17, 2022, February 22, 2023, and June 23, 2023, the Professional provided the requested information during the proceedings and submitted defensive briefs.  </w:t>
        <w:br/>
        <w:t xml:space="preserve">10. On the dates of March 1, 2023, May 4, 2023, July 3, 2023, and June 30, 2023, extensions of the deadline for concluding the proceedings, last set for September 29, 2023, were communicated to the Parties involved in the proceedings.  </w:t>
        <w:br/>
        <w:t xml:space="preserve">11. On June 21, 2023, the date for concluding the investigative phase was communicated to the Professional, pursuant to Article 16, paragraph 1, of the Regulation.  </w:t>
        <w:br/>
        <w:t xml:space="preserve">12. On July 3, 2023, an opinion was requested from ARERA, pursuant to Article 27, paragraph 1-bis, of the Consumer Code, which was received on August 3, 2023.  </w:t>
        <w:br/>
        <w:t xml:space="preserve">2) The elements acquired  </w:t>
        <w:br/>
        <w:t xml:space="preserve">13. From the information and documentation provided by Iren during the proceedings, the following emerged.  </w:t>
        <w:br/>
        <w:t xml:space="preserve">14. Article 19 of the General Sales Conditions (hereinafter "GSC") of the contracts for the supply of electricity and gas in the free market at a fixed price prepared by Iren governs the methods for updating or renewing the economic conditions (hereinafter "EC"), as reported in the economic offer with a predetermined expiration (usually twelve or twenty-four months), after the expiration of the latter (so-called expired EC).  </w:t>
        <w:br/>
        <w:t xml:space="preserve">15. According to the aforementioned clause, "The contractual prices specified in the Contractual Economic Section that provide for a certain duration [...] will remain valid until the end of the quarter in which the expiration of the subscribed price or another specific date indicated by the Supplier in the Contractual Economic Section occurs. The Supplier will communicate in writing to the Customer any changes in prices and/or other economic conditions and the related validity period at least three months before that deadline. The Customer may exercise the right of withdrawal without any charges to him in the manner and within the terms indicated in the aforementioned communication. In the absence of the aforementioned communication from the Supplier, the validity period of the fees currently in effect will be automatically extended until further communication from the Supplier, which must also be made with a minimum notice of three months" (emphasis added).  </w:t>
        <w:br/>
        <w:t xml:space="preserve">16. Before the entry into force of the aforementioned Article 3 of Decree Law No. 115/2022, from May 2022 until August 2022, Iren sent to customers holding the aforementioned contracts, in which the aforementioned contractual clause for the automatic extension of expired EC "until further communication from the Supplier" is provided, [600,000-650,000]* unilateral proposals for modification of the electricity and gas supply contract. These letters had indeed been sent during the aforementioned period during the validity of the economic offer (with a predetermined expiration), pursuant to Article 13 of the Commercial Conduct Code of Arera2.  </w:t>
        <w:br/>
        <w:t xml:space="preserve">* In this version, some data are omitted, as elements of confidentiality or secrecy of the information were deemed to exist.  </w:t>
        <w:br/>
        <w:t>2 ARERA, in the aforementioned article, qualifies as "unilateral modification" any tariff variation proposed unilaterally by the supplier with respect to the economic conditions currently in effect, while the tariff update (also called renewal) refers to tariff changes concerning the economic conditions that were provided in the expired economic offer (expired EC).</w:t>
      </w:r>
    </w:p>
    <w:p>
      <w:r>
        <w:t xml:space="preserve">BULLETIN NO. 37 OF OCTOBER 2, 2023 31  </w:t>
        <w:br/>
        <w:t xml:space="preserve">17. The [600,000-650,000] proposed unilateral tariff changes were voluntarily canceled by Iren, thus having produced no effect, and were explicitly revoked in the same update letters sent after the entry into force of the aforementioned Article 3 of Decree Law No. 115/2022.  </w:t>
        <w:br/>
        <w:t xml:space="preserve">18. Following the entry into force of the aforementioned Article 3 of Decree Law No. 115/2022 and until February 2023, Iren sent to customers holding contracts in the free market at a fixed price [620,000-670,000] tariff update communications, of which [500,000-550,000] indicated the effective date of the new economic conditions, while [95,000-100,000] also indicated the expiration date.  </w:t>
        <w:br/>
        <w:t xml:space="preserve">19. It should be noted that the expiration date reported, however, is not predefined and known by the customer, as, in light of the aforementioned Article 19 of Iren's GSC, it is the latter that unilaterally decides whether and when to send the tariff update.  </w:t>
        <w:br/>
        <w:t xml:space="preserve">3) The commitments of the Professional  </w:t>
        <w:br/>
        <w:t xml:space="preserve">20. The Commitment Form, submitted pursuant to Article 27, paragraph 7, of the Consumer Code, and Article 9 of the Regulation, in the consolidated version of June 21, 2023 attached to this provision, provides as follows.  </w:t>
        <w:br/>
        <w:t xml:space="preserve">Commitment 1 - Survey of all customers affected by the communications sent since August 2022  </w:t>
        <w:br/>
        <w:t xml:space="preserve">21. Iren commits to conduct a thorough survey of all customers affected by the communications sent since August 2022 (after the entry into force of Article 3 of Decree Law No. 115/2022), in order to verify again that, for each affected user, no price update is applied unless after the expiration of the contractual validity period to which Iren had committed.  </w:t>
        <w:br/>
        <w:t xml:space="preserve">Commitment 2 - Suspension and possible correction of the updates subject to the communications sent since August 2022  </w:t>
        <w:br/>
        <w:t xml:space="preserve">22. Iren commits to suspend the operation of the communications sent since August 2022 until the outcome of the verifications referred to in Commitment 1.  </w:t>
        <w:br/>
        <w:t xml:space="preserve">23. If, as a result of the verifications referred to in Commitment 1, it proves necessary for compliance with the predetermined contractual deadline, Iren commits to postpone the effective date of the update to ensure that it is applied only after the expiration itself.  </w:t>
        <w:br/>
        <w:t xml:space="preserve">Commitment 3 - Increase the visibility of information on economic conditions and the validity terms of offers  </w:t>
        <w:br/>
        <w:t xml:space="preserve">24. Iren commits to further increase the visibility of information regarding the economic conditions of the ongoing offer and the related validity terms:  </w:t>
        <w:br/>
        <w:t xml:space="preserve">a) making them accessible to each customer also through their personal page in the Customer Area, accessible both online and via APP;  </w:t>
        <w:br/>
        <w:t xml:space="preserve">b) improving their visibility on the bill;  </w:t>
        <w:br/>
        <w:t xml:space="preserve">c) integrating the section of the bill related to "Communications to Customers" with a specific informational note regarding the economic conditions of the applied offer, their validity, and the channels made available to obtain such information;  </w:t>
        <w:br/>
        <w:t xml:space="preserve">d) using innovative communication and informational tools (such as, for example, the inclusion of a QR Code on the bill through which it is possible to access the economic conditions and their validity terms, video tutorials to be disseminated on web channels, etc.).  </w:t>
        <w:br/>
        <w:t xml:space="preserve">Commitment 4 - Extraordinary recognition of discounts for the benefit of customers  </w:t>
        <w:br/>
        <w:t xml:space="preserve">25. Iren commits to:  </w:t>
        <w:br/>
        <w:t xml:space="preserve">a) apply only during 2023 and, in any case, no later than the validity period of the economic conditions of the ongoing offer, to customers with gas supply with a fixed price offer whose economic conditions have been updated as a result of the update letters with expiration sent by the Company during the period August - October 2022, an average discount of no less than 7% on the natural gas commodity - and, in this context, in the months of January, February, March, October, November, and December 2023, an average discount of no less than 10% - corresponding to a minimum discount value of €0.21/m³;  </w:t>
        <w:br/>
        <w:t xml:space="preserve">b) apply only during 2023 and, in any case, no later than the validity period of the economic conditions of the ongoing offer to customers with electricity supply with a fixed price offer whose economic conditions have been updated as a result of the update letters with expiration sent by the Company during the period August - October 2022, an average discount of no less than 12% on the energy component, corresponding to a minimum discount value of €0.08/kWh.  </w:t>
        <w:br/>
        <w:t xml:space="preserve">c) inform the customers referred to in letters a) and b) of the discount applied with a specific communication sent together with the bill.  </w:t>
        <w:br/>
        <w:t xml:space="preserve">Entry into force and duration  </w:t>
        <w:br/>
        <w:t xml:space="preserve">26. Commitments 1 and 2 have already been voluntarily implemented.  </w:t>
        <w:br/>
        <w:t xml:space="preserve">27. Commitments 3 and 4 will enter into force from the date of notification of the acceptance of the commitments pursuant to Article 27, paragraph 7, of the Consumer Code.  </w:t>
        <w:br/>
        <w:t xml:space="preserve">28. Commitment 3 will be implemented progressively, depending on the technical complexity of the individual measures and, in any case, for commitments 3.b) and 3.c) within two months from the date of notification of the acceptance of the commitments and, for commitments 3.a) and 3.d), within six months from the date of notification of the acceptance of the commitments.  </w:t>
        <w:br/>
        <w:t xml:space="preserve">29. Commitment 4 will be implemented progressively by the end of 2023.  </w:t>
        <w:br/>
        <w:t xml:space="preserve">IV. OPINION OF THE REGULATORY AUTHORITY FOR ENERGY NETWORKS AND ENVIRONMENT  </w:t>
        <w:br/>
        <w:t xml:space="preserve">30. Since the commercial practice subject to this provision concerns the sector of electricity and gas supply, on July 3, 2023, an opinion was requested from ARERA, pursuant to Article 27, paragraph 1-bis, of the Consumer Code.  </w:t>
        <w:br/>
        <w:t>31. With an opinion received on August 3, 2023, the aforementioned Authority preliminarily provided informational elements on regulatory aspects, as per the Commercial Conduct Code, of interest for the evaluation of the commitments related to the specific case concerning: a) the terms and methods of notice for unilateral changes to contractual conditions and for renewals of conditions.</w:t>
      </w:r>
    </w:p>
    <w:p>
      <w:r>
        <w:rPr>
          <w:b/>
        </w:rPr>
        <w:t>[Pages 31–33]</w:t>
      </w:r>
    </w:p>
    <w:p>
      <w:r>
        <w:t>BULLETIN NO. 37 OF OCTOBER 2, 2023 33</w:t>
        <w:br/>
        <w:t>economic conditions with modification of the same conditions3 and b) to the detailed elements that sellers are required to include in the summary bill4.</w:t>
      </w:r>
    </w:p>
    <w:p>
      <w:r>
        <w:t>32. With reference to commitments 1 and 2, ARERA has highlighted that they have already been implemented.</w:t>
      </w:r>
    </w:p>
    <w:p>
      <w:r>
        <w:t>33. Regarding commitment 3, the Authority noted that the proposed measure under a) is commendable, as it aims to provide complete information to the customer about the economic conditions applied in the reserved area accessible both online and via the APP. Concerning measure b), it specified that the specific regulation regarding Bill 2.0 already requires that the summary bill must include the activation date of the supply, as well as the possible expiration of the supply contract where provided or, alternatively, the indication that it is a contract of indefinite duration and also the possible expiration of the economic conditions starting from January 1, 2024. Furthermore, the regulation of Bill 2.0 prescribes that the activation date of the supply must be reported by the seller at least in the first bill issued; it must also indicate the effective date of the new economic conditions, as well as, where provided, the expiration of the supply contract or, alternatively, that the contract is for an indefinite period and also the possible expiration of the economic conditions, an informational obligation in force starting from January 1, 2024. Measures c) and d) are also positively evaluated, provided that the regulatory measures regarding Bill 2.0 are respected.</w:t>
      </w:r>
    </w:p>
    <w:p>
      <w:r>
        <w:t>34. Finally, regarding commitment 4, the Authority observed that measures a) and b) can be favorably evaluated, considering that the unilateral modification involves a reduction of the fees applied to the final customer, provided that the communication must inform the customer also of the estimate of the annual expenditure resulting from the discount applied, according to the specific provisions of Article 13 of the Code of Commercial Conduct.</w:t>
      </w:r>
    </w:p>
    <w:p>
      <w:r>
        <w:t>V. EVALUATIONS OF THE COMMITMENTS</w:t>
      </w:r>
    </w:p>
    <w:p>
      <w:r>
        <w:t>35. The Authority believes that the commitments proposed by the Professional are suitable to eliminate the possible profiles of unfairness contested in the initiation communication of October 18, 2022.</w:t>
      </w:r>
    </w:p>
    <w:p>
      <w:r>
        <w:t>36. These commitments provide for measures of informational transparency and measures of compensation in favor of a large number of consumers.</w:t>
      </w:r>
    </w:p>
    <w:p>
      <w:r>
        <w:t>37. Preliminary observations indicate that Iren has voluntarily implemented commitments 1 and 2, having conducted a survey of the customers affected by the communications sent since August 2022 after the entry into force of Article 3 of Decree Law No. 115/2022. From this survey, it emerged that in no case did the application of price updates occur before the expiration of the validity period of the original offer.</w:t>
      </w:r>
    </w:p>
    <w:p>
      <w:r>
        <w:t>3 The Code of Commercial Conduct referred to in Annex A to the resolution of June 28, 2018, has been recently amended and supplemented by resolution No. 250/2023/R/COM of June 6, 2023, which provided for updates and improvements to the pre-contractual and contractual regulation regarding, among other things, the informational obligations of sellers in the case of renewal with modification of the economic conditions in electricity and natural gas supply contracts (which will come into force on January 1, 2024).</w:t>
      </w:r>
    </w:p>
    <w:p>
      <w:r>
        <w:t>4 ARERA has highlighted, in particular, that, with resolution 250/2023/R/com, in order to ensure consistency, strengthening the complementarity between the informational tools available to the final customer regarding the renewal of economic conditions, Annex A to resolution 501/2014/R/com has been amended, introducing the obligation to indicate in the bill, starting from January 1, 2024, the possible expiration of the fixed-term economic conditions, in addition to the other minimum elements of the bill already provided.</w:t>
      </w:r>
    </w:p>
    <w:p>
      <w:r>
        <w:t>34 BULLETIN NO. 37 OF OCTOBER 2, 2023</w:t>
      </w:r>
    </w:p>
    <w:p>
      <w:r>
        <w:t>38. Regarding commitment 3, it contributes to improving consumer awareness regarding information on the economic conditions of the ongoing offer and their validity terms.</w:t>
      </w:r>
    </w:p>
    <w:p>
      <w:r>
        <w:t>39. It should be noted that for this purpose the commitment in question provides for various tools, such as the indication of the aforementioned information on the consumer's personal online page in the Customer area and in the APP, the integration in the bill of the section "Communications to Customers" in which the economic conditions of the applied offer and their validity are indicated, as well as the inclusion in the bill of the QR Code that links to the economic conditions and their validity terms, in addition to a video tutorial on web channels.</w:t>
      </w:r>
    </w:p>
    <w:p>
      <w:r>
        <w:t>40. The measures under commitment 4, consisting of extraordinary discounts recognized during 2023 to customers with a fixed-price offer for the supply of gas and electricity, whose economic conditions have been modified through the proposals for tariff updates sent during the period from August to October 2022, guarantee compensation for the aforementioned consumers.</w:t>
      </w:r>
    </w:p>
    <w:p>
      <w:r>
        <w:t>41. It is noted that, from an economic point of view, such compensations allow for a reduction in the expenditure incurred by consumers in light of the tariff increases that occurred in the months of 2022. In particular, for gas customers, there is an average discount, recognized directly in the bill, of at least 7% on the natural gas commodity - and, in the months of January, February, March, October, November, and December 2023, an average discount of no less than 10% - corresponding to a minimum discount value of €0.21/m³ and, for electricity customers, an average discount of no less than 12% on the energy component, corresponding to a minimum discount value of €0.08/kWh.</w:t>
      </w:r>
    </w:p>
    <w:p>
      <w:r>
        <w:t>42. Iren clarified that the different timing of the application of discounts for gas supply and electricity supply takes into account the higher gas consumption in the winter months, with the Professional highlighting that "the discount for gas is proposed, in particular, for the winter months when there is a higher consumption of this commodity for environmental heating, subject to the minimum annual average mentioned above"5.</w:t>
      </w:r>
    </w:p>
    <w:p>
      <w:r>
        <w:t>43. Regarding the aforementioned commitments, the Company estimated that for gas the discount results in an average annual saving for each affected customer of about €[100-150]; for electricity, the discount corresponds to an average annual saving for each customer of about €[250-300].</w:t>
      </w:r>
    </w:p>
    <w:p>
      <w:r>
        <w:t>44. It is highlighted that the number of consumers who will benefit from commitment 4 and, therefore, from favorable economic conditions, according to the data provided by the Company, corresponds to about [500,000-550,000] customers (of which [250,000-300,000] for gas supplies and [250,000-300,000] for electricity supplies), net of portfolio movements and any contractual changes.</w:t>
      </w:r>
    </w:p>
    <w:p>
      <w:r>
        <w:t>45. In this context, it is also noted that the measure taken under commitment 4, according to which the Company will inform customers of the discounts applied with a specific communication sent in the bill, is commendable.</w:t>
      </w:r>
    </w:p>
    <w:p>
      <w:r>
        <w:t>46. The measures subject to the commitments, of informational transparency and compensation, proposed by Iren, therefore appear suitable to resolve the consumer protection issues raised in the initiation communication of the procedure.</w:t>
      </w:r>
    </w:p>
    <w:p>
      <w:r>
        <w:t>47. They, considered as a whole, taking into account the favorable opinion rendered by ARERA, for the reasons stated above, are such as to remedy the possible profiles of unfairness referred to in the initiation communication of the procedure, being able to meet the requirements set forth in Article 27, paragraph 7, of the Consumer Code.</w:t>
      </w:r>
    </w:p>
    <w:p>
      <w:r>
        <w:t>CONSIDERING, therefore, that the commitments presented by the company Iren Mercato S.p.A., in the terms outlined above, are suitable to eliminate the possible profiles of unfairness of the commercial practice subject to investigation;</w:t>
      </w:r>
    </w:p>
    <w:p>
      <w:r>
        <w:t>CONSIDERING to impose the obligation of the aforementioned commitments on the company Iren Mercato S.p.A.;</w:t>
      </w:r>
    </w:p>
    <w:p>
      <w:r>
        <w:t>CONSIDERING, therefore, to be able to close the procedure without ascertaining the infringement;</w:t>
      </w:r>
    </w:p>
    <w:p>
      <w:r>
        <w:t>RESOLVES</w:t>
      </w:r>
    </w:p>
    <w:p>
      <w:r>
        <w:t>a) to make mandatory, towards the company Iren Mercato S.p.A., pursuant to Article 27, paragraph 7, of the Consumer Code and Article 9, paragraph 2, letter a), of the Regulation, the commitments proposed by the same Company on December 22, 2023, and subsequently supplemented, as per the non-confidential consolidated version received on June 21, 2023, attached to this provision;</w:t>
      </w:r>
    </w:p>
    <w:p>
      <w:r>
        <w:t>b) to close the procedure without ascertaining the infringement, pursuant to Article 27, paragraph 7, of the Consumer Code and Article 9, paragraph 2, letter a), of the Regulation;</w:t>
      </w:r>
    </w:p>
    <w:p>
      <w:r>
        <w:t>c) that the company Iren Mercato S.p.A.,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rPr>
          <w:b/>
        </w:rPr>
        <w:t>[Pages 34–36]</w:t>
      </w:r>
    </w:p>
    <w:p>
      <w:r>
        <w:t>36 BULLETIN NO. 37 OF OCTOBER 2, 2023</w:t>
        <w:br/>
        <w:t>This provision will be notified to the interested parties and published in the Bulletin of the Authority for the Guarantee of Competition and the Market.</w:t>
        <w:br/>
        <w:t>THE SECRETARY GENERAL THE PRESIDENT</w:t>
        <w:br/>
        <w:t>Guido Stazi Roberto Rustichelli</w:t>
      </w:r>
    </w:p>
    <w:p>
      <w:r>
        <w:t>BULLETIN NO. 37 OF OCTOBER 2, 2023 37</w:t>
        <w:br/>
        <w:t>PS12459 - HERA COMM - MODIFICATIONS OF THE ECONOMIC CONDITIONS OF SUPPLY</w:t>
        <w:br/>
        <w:t>Provision No. 30786</w:t>
        <w:br/>
        <w:t>THE AUTHORITY FOR THE GUARANTEE OF COMPETITION AND THE MARKET</w:t>
        <w:br/>
        <w:t>IN ITS MEETING of September 12, 2023;</w:t>
        <w:br/>
        <w:t>HEARD the Rapporteur, President Roberto Rustichelli;</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precautionary measure of December 12, 2022;</w:t>
        <w:br/>
        <w:t>VIEWED the measure revoking the precautionary measure of December 29, 2022;</w:t>
        <w:br/>
        <w:t>VIEWED the communication, received on May 12, 2023, subsequently supplemented on May 24, 2023, by which Hera Comm S.p.A. submitted a proposal for commitments, pursuant to Article 27, paragraph 7, of the Consumer Code and Article 9 of the Regulation;</w:t>
        <w:br/>
        <w:t>VIEWED its provision of May 2, 2023, by which, pursuant to Article 7, paragraph 3, of the Regulation, the deadline for concluding the procedure was extended for investigative needs;</w:t>
        <w:br/>
        <w:t>VIEWED its provision of June 13, 2023, by which, pursuant to Article 16, paragraph 5, of the Regulation, the deadline for concluding the procedure was extended for the purpose of requesting an opinion from the Regulatory Authority for Energy Networks and Environment;</w:t>
        <w:br/>
        <w:t>VIEWED its provision of June 28, 2023, by which, pursuant to Article 7, paragraph 3, of the Regulation, the deadline for concluding the procedure was extended for investigative needs;</w:t>
        <w:br/>
        <w:t>VIEWED the acts of the procedure</w:t>
        <w:br/>
        <w:t>I. THE PARTIES</w:t>
        <w:br/>
        <w:t>1. The company Hera Comm S.p.A. (hereinafter also "Hera" or "Company"), with registered office in Imola (Bologna), as a Professional, pursuant to Article 18, paragraph 1, letter b), of the Consumer Code, active in the supply of electricity and natural gas.</w:t>
        <w:br/>
        <w:t>2. The consumer associations Federconsumatori Emilia Romagna APS, U.Di.Con. - Union for the Defense of Consumers, National Consumers Union, and Adiconsum Sardinia, as interveners.</w:t>
      </w:r>
    </w:p>
    <w:p>
      <w:r>
        <w:t>38 BULLETIN NO. 37 OF OCTOBER 2, 2023</w:t>
        <w:br/>
        <w:t>II. THE CONDUCT SUBJECT TO ASSESSMENT</w:t>
        <w:br/>
        <w:t>3. At the start of the procedure, the Professional was accused of a conduct consisting of communicating to its clientele, starting from May 2022, the unilateral modification of the economic conditions applicable to supply contracts, during the validity of the Decree-Law of August 9, 2022, No. 115 (c.d. Aid Decree bis), which came into force on August 10, 2022, converted into law No. 142 of September 21, 2022, whose Article 3 provides: "Until April 30, 2023, the effectiveness of any contractual clause allowing the energy and natural gas supplier to unilaterally modify the general contract conditions relating to the definition of the price is suspended, even if the right of withdrawal is contractually recognized to the counterparty. Until the same date referred to in paragraph 1, the notices communicated for the aforementioned purposes before the date of entry into force of this decree are ineffective, unless the contractual modifications have already been perfected."</w:t>
        <w:br/>
        <w:t>III. THE RESULTS OF THE PROCEDURE</w:t>
        <w:br/>
        <w:t>1) The course of the procedure</w:t>
        <w:br/>
        <w:t>4. In relation to the conduct described above, on December 12, 2022, the Professional was notified of the initiation of investigative procedure PS12459, as well as the adoption of the precautionary measure suspending the conduct by the Authority, hypothesizing the adoption of an unfair commercial practice by Hera in possible violation of Articles 20, 21, 22, 24, and 25 of the Consumer Code.</w:t>
        <w:br/>
        <w:t>5. Concurrently with the communication of the initiation of the investigative procedure, in order to acquire useful knowledge elements for the evaluation of the commercial practice in question, a request for information with related documentation regarding the contested conduct was made to the Professional, pursuant to Article 27, paragraphs 3 and 4, of the Consumer Code and Article 12, paragraph 1, of the Regulation.</w:t>
        <w:br/>
        <w:t>6. On December 29, 2022, following the compliance report regarding the precautionary measure received on December 20, 2022, the Authority, with a specific provision, decided to revoke the aforementioned precautionary measure, noting that "The elements collected lead to believe, prima facie, that the contested conducts integrate variations of the economic conditions actually expiring of indefinite contracts."</w:t>
        <w:br/>
        <w:t>7. On May 12, 2023, the Professional submitted commitments, pursuant to Article 27, paragraph 7, of the Consumer Code and Article 9 of the Regulation, in order to remove the unfairness profiles of the contested commercial practices. The commitments were supplemented on May 25, 2023, in the consolidated definitive version.</w:t>
        <w:br/>
        <w:t>8. On May 3, 2023, a hearing of HERA was held, requested by the Company itself.</w:t>
        <w:br/>
        <w:t>9. On the dates of October 31, 2022, February 1 and 27, 2023, March 23, 2023, and June 14, 2023, the Professional provided the requested information during the procedure.</w:t>
      </w:r>
    </w:p>
    <w:p>
      <w:r>
        <w:rPr>
          <w:b/>
        </w:rPr>
        <w:t>[Pages 37–39]</w:t>
      </w:r>
    </w:p>
    <w:p>
      <w:r>
        <w:t xml:space="preserve">BULLETIN NO. 37 OF OCTOBER 2, 2023 39  </w:t>
        <w:br/>
        <w:t xml:space="preserve">10. On May 4, June 27, and 30, 2023, extensions of the deadline for concluding the proceedings, last set for September 23, 2023, were communicated to the Parties involved in the proceedings.  </w:t>
        <w:br/>
        <w:t xml:space="preserve">11. On June 14, 2023, the Professional was informed of the conclusion date of the investigative phase, pursuant to Article 16, paragraph 1, of the Regulation.  </w:t>
        <w:br/>
        <w:t xml:space="preserve">12. On June 27, 2023, an opinion was requested from ARERA, pursuant to Article 27, paragraph 1-bis, of the Consumer Code, which was received on August 3, 2023.  </w:t>
        <w:br/>
        <w:t xml:space="preserve">2) The elements acquired  </w:t>
        <w:br/>
        <w:t xml:space="preserve">13. From the information and documentation provided by Hera during the proceedings, the following emerged.  </w:t>
        <w:br/>
        <w:t xml:space="preserve">14. The contractual conditions proposed by Hera in the free market to consumers and micro-enterprises consist of the general conditions of the contract for an indefinite period and the economic conditions (also CE) of sale indicated in the economic offer with a set duration (usually 12 or 24 months), chosen by the consumer.  </w:t>
        <w:br/>
        <w:t xml:space="preserve">15. According to the contractual clause applied by Hera, called "Duration and Renewal" of the CEs, upon expiration of the economic offer, these are "deemed tacitly renewed for 6 months at a time, unless otherwise communicated to the customer in writing regarding the new conditions applied, in the manner and within the timeframes indicated in Article 22.2 of the General Conditions of Contract."  </w:t>
        <w:br/>
        <w:t xml:space="preserve">16. Before the entry into force of the aforementioned Article 3 of Decree Law No. 115/2022, Hera, from May 2022 until the end of July 2022, sent a total of [100,000-150,000]* communications to customers holding contracts in the free market regarding tariff updates, which stated in the subject "Proposal for unilateral modification of the electricity supply contract." Despite the referenced subject, these letters actually contained a proposal for a tariff update, thus not constituting unilateral modifications of the tariff. In fact, they had not been sent during the validity of the respective economic offers, but after their expiration.  </w:t>
        <w:br/>
        <w:t xml:space="preserve">17. Of the aforementioned [100,000-150,000] communications, [10,000-50,000] specifically concerned customers holding contracts for the supply of gas and/or electricity in the free market at a fixed price indicated in the economic offer with expiration.  </w:t>
        <w:br/>
        <w:t xml:space="preserve">18. In the aforementioned letters, it was stated that the tariff was "close to expiration" and that, starting from the new effective date indicated, "the economic conditions detailed in the Attachment would be applied" and that, if the customer did not "wish to accept this proposal," they could choose a "new offer" or "withdraw from the existing supply contract at any time and without charges, with one month's notice." Subsequently, the letters were modified in the subject to include the expression "Renewal Proposals," with substantially identical content.  </w:t>
        <w:br/>
        <w:t xml:space="preserve">19. Following the entry into force of the aforementioned Article 3 of Decree Law No. 115/2022, from August to December 2022, Hera sent to customers holding contracts in the free market at a fixed price, in which the aforementioned contractual clause of tacit renewal every six months of expired CEs was provided, [20,000-25,000] communications regarding tariff updates upon expiration. Of the total mentioned, [15,000-20,000] letters proposed tariff renewals at a variable price and [1,000-5,000] proposed tariff renewals at a fixed price.  </w:t>
        <w:br/>
        <w:t>* In this version, some data are omitted, as elements of confidentiality or secrecy of the information were deemed to exist.</w:t>
      </w:r>
    </w:p>
    <w:p>
      <w:r>
        <w:t xml:space="preserve">40 BULLETIN NO. 37 OF OCTOBER 2, 2023  </w:t>
        <w:br/>
        <w:t xml:space="preserve">20. Of the [20,000-25,000] letters in question, [1-10] were sent at the expiration of the subscribed economic offer, and the remaining [20,000-25,000] were sent at the expiration of the tacitly extended renewals every six months, according to the illustrated contractual clause.  </w:t>
        <w:br/>
        <w:t xml:space="preserve">3) The commitments of the Professional  </w:t>
        <w:br/>
        <w:t xml:space="preserve">21. The Commitment Form, submitted pursuant to Article 27, paragraph 7, of the Consumer Code, and Article 9 of the Regulation, in the version filed on May 12, 2023, and integrated in the consolidated version of May 24, 2023, attached to this provision which constitutes an integral part thereof, provides as follows.  </w:t>
        <w:br/>
        <w:t xml:space="preserve">Commitment 1 - measures of informational transparency aimed at clearly and explicitly indicating the expiration date of the economic conditions in individual advance communications  </w:t>
        <w:br/>
        <w:t xml:space="preserve">22. The Company commits to explicitly indicate the expiration date of the current economic conditions, integrating it into the individual advance communications that it will send to its small-sized customers (domestic and non-domestic customers supplied at low voltage or with gas consumption not exceeding 200,000 smc/year) holding free market offers (hereinafter Customers) in the cases of:  </w:t>
        <w:br/>
        <w:t xml:space="preserve">(i) unilateral changes to the contractual conditions related to the economic conditions, pursuant to Article 13, paragraphs 1 and following, of the Commercial Conduct Code;  </w:t>
        <w:br/>
        <w:t xml:space="preserve">(ii) automatic evolutions of the economic conditions that result in an increase in the unit prices determined by the seller, the transition from a fixed price to a variable price, or the transition from a variable price to a fixed price, pursuant to Article 13, paragraphs 5 and following, of the Commercial Conduct Code;  </w:t>
        <w:br/>
        <w:t xml:space="preserve">(iii) renewal of the economic conditions under new and different economic conditions, pursuant to point 4.4 and following of Document for Consultation 668/2022/R/com2.  </w:t>
        <w:br/>
        <w:t xml:space="preserve">23. The Company also commits to include the so-called Offer Code, as provided for by Resolution 135/2022/R/com, also in the renewal communications indicated above in sub (iii) (currently, the obligation to include this code concerns exclusively communications of unilateral changes and automatic evolutions of the economic conditions).  </w:t>
        <w:br/>
        <w:t xml:space="preserve">24. If, as a result of future interventions by ARERA or the legislator, changes occur to the informational obligations imposed on the seller that affect the content of the communications identified above in sub (i), (ii), and (iii), the Company will comply with the relevant informational obligations, while maintaining the explicit indication of the expiration date of the economic conditions.  </w:t>
        <w:br/>
        <w:t xml:space="preserve">25. The commitment is undertaken without time limits.  </w:t>
        <w:br/>
        <w:t xml:space="preserve">26. The Company reports, regarding the integration in the terms described above of the content of the communications identified in sub (i) and (iii), that it has already voluntarily implemented the Commitment, starting from: a) from August 2022 regarding the explicit indication of the expiration date of the economic conditions in the [20,000-25,000] communications sent from that month and related to proposals for renewal of fixed-price offers expiring at a different fixed price or at a variable price; b) from May 2023 for the other communications.  </w:t>
        <w:br/>
        <w:t xml:space="preserve">27. With reference to the integration of the communications in sub (ii), given the need for development on the information systems and considering the necessary technical times, the Company commits to integrate in the terms described above the content of the aforementioned communications that will be sent to customers starting from the fifth month following the month in which the provision is notified to the Company.  </w:t>
        <w:br/>
        <w:t xml:space="preserve">Commitment 2 - measures of informational transparency aimed at integrating the content of the Summary Sheet regarding the duration of the contract and the duration and renewal of the economic conditions  </w:t>
        <w:br/>
        <w:t xml:space="preserve">28. The Company commits to integrate the content of the Summary Sheet referred to in Article 9.2 and in Attachment 4 of the Commercial Conduct Code, which will be transmitted to potential customers before the conclusion of the supply contract, and in particular to modify:  </w:t>
        <w:br/>
        <w:t xml:space="preserve">- the box relating to the "duration of the contract," in the sense of indicating the duration of the contract, for example, indefinite, "without prejudice to the provisions on the duration and possible renewal of the economic conditions";  </w:t>
        <w:br/>
        <w:t xml:space="preserve">- the box relating to the "duration conditions and renewal" of the economic conditions, according to the following model:  </w:t>
        <w:br/>
        <w:t xml:space="preserve">"[n. months, e.g. '12'] months from the activation of the supply.  </w:t>
        <w:br/>
        <w:t xml:space="preserve">Upon expiration, starting from the month following the end of the expected duration, [description of the evolution of the economic conditions starting from the 13th month, e.g.: 'the price of the raw material applied will vary based on a reference market index or its derivative, as indicated in the Technical Economic Conditions'].  </w:t>
        <w:br/>
        <w:t xml:space="preserve">Any new economic conditions may be communicated to the Customer through a written renewal proposal sent with three months' notice prior to the effective date of the new proposed conditions.  </w:t>
        <w:br/>
        <w:t xml:space="preserve">If the Customer does not wish to accept the renewal proposal, they may choose a new offer from Hera Comm or withdraw from the supply contract at any time and without charges. Otherwise, the new economic conditions will be deemed accepted for 6 months and will be deemed tacitly renewed for subsequent six-month periods, unless further proposals for renewal of the economic conditions are made."  </w:t>
        <w:br/>
        <w:t xml:space="preserve">29. If, as a result of future interventions by ARERA or the legislator, changes occur to the informational obligations imposed on the seller that affect the content of the Summary Sheet, the Company will comply with the relevant obligations, while maintaining the explicit indication of the aforementioned information.  </w:t>
        <w:br/>
        <w:t xml:space="preserve">30. The commitment is undertaken without time limits.  </w:t>
        <w:br/>
        <w:t>31. Considering the technical times necessary for the implementation of commitment no. 2, the Company commits to integrate, in the terms described above, the content of the Summary Sheets that it will make available to potential small-sized final customers in the free market starting from the second month following the month in which the provision is notified to the Company.</w:t>
      </w:r>
    </w:p>
    <w:p>
      <w:r>
        <w:rPr>
          <w:b/>
        </w:rPr>
        <w:t>[Pages 40–42]</w:t>
      </w:r>
    </w:p>
    <w:p>
      <w:r>
        <w:t>BULLETIN NO. 37 OF OCTOBER 2, 2023</w:t>
      </w:r>
    </w:p>
    <w:p>
      <w:r>
        <w:t>Commitment 3 - measures of informational transparency towards customers who received a renewal proposal under new economic conditions from May 1 to December 31, 2022</w:t>
      </w:r>
    </w:p>
    <w:p>
      <w:r>
        <w:t>32. The Company highlights that the measures of commitment no. 3 are directed at customers who, from May 1 to December 31, 2022, received a communication containing a renewal proposal under new economic conditions (including customers who, from May 1 to August 10, 2022, received the aforementioned communications with the subject formally referencing the "proposal for unilateral modification of the supply contract," even though they were essentially renewal proposals for expiring economic conditions).</w:t>
      </w:r>
    </w:p>
    <w:p>
      <w:r>
        <w:t>33. The Company commits to sending the aforementioned Customers a communication, which will be included in the bill, containing the following content: "We remind you that the currently applicable economic conditions are those provided in the bill and will expire on [expiration date]. Upon expiration, these economic conditions will be deemed to be tacitly renewed for subsequent six-month periods. Any new economic conditions will be communicated through a specific written renewal proposal with a minimum notice of three months prior to the commencement of the proposed new conditions. In this event, if you do not wish to accept the new conditions, you will have the option to choose a new offer from us or you may withdraw from the existing supply contract at any time and without charges, with one month's notice, starting from the first day of the month following the month in which Hera Comm receives the withdrawal communication from the supplier you have chosen. Otherwise, the new economic conditions will be deemed accepted for a duration of 6 months and will be tacitly renewed for subsequent six-month periods, unless further renewal proposals are made."</w:t>
      </w:r>
    </w:p>
    <w:p>
      <w:r>
        <w:t>34. In consideration of the technical times required to prepare the aforementioned communications, the Company commits to including them in the bills issued starting from the 20th day of the second month following the month in which the Company is notified of the AGCM's closure order.</w:t>
      </w:r>
    </w:p>
    <w:p>
      <w:r>
        <w:t>Commitment 4 - measures of informational transparency towards customers – availability on Online Services and on the My Hera App of any renewal communications and unilateral modification of the contract</w:t>
      </w:r>
    </w:p>
    <w:p>
      <w:r>
        <w:t>35. The Company commits to developing a functionality that makes visible on the Online Services and on the MyHera APP copies of the communications regarding the renewal of economic conditions and unilateral modification of the contract that may be sent to the Customer.</w:t>
      </w:r>
    </w:p>
    <w:p>
      <w:r>
        <w:t>36. This documentation would be added to the documentation already present on the Online Services and on the APP, namely the activation request including the contractual package and the economic offer signed by the customer, completing the set of contractual documentation available through digital channels. In this way, Customers, through the Online Services and the APP, can easily view or download at any time all the contractual documentation of interest to them, including the aforementioned communications.</w:t>
      </w:r>
    </w:p>
    <w:p>
      <w:r>
        <w:t>37. Given the need for development on the information systems and considering the necessary technical times, the Company commits to completing the intervention by the ninth month following the month in which the AGCM's order is notified to the Company.</w:t>
      </w:r>
    </w:p>
    <w:p>
      <w:r>
        <w:t>BULLETIN NO. 37 OF OCTOBER 2, 2023</w:t>
      </w:r>
    </w:p>
    <w:p>
      <w:r>
        <w:t>Commitment 5 - specific training of personnel regarding the main issues that emerged during the proceedings</w:t>
      </w:r>
    </w:p>
    <w:p>
      <w:r>
        <w:t>38. The Company commits to carrying out a specific training activity for its personnel responsible for managing customer requests and any complaints, in addition to the training normally provided.</w:t>
      </w:r>
    </w:p>
    <w:p>
      <w:r>
        <w:t>39. The aforementioned supplementary training will be more specifically focused on issues such as, by way of example, the duration of the supply contract and the economic conditions; possible developments of the economic conditions (hypotheses of unilateral variation of contractual conditions, automatic evolution of contractual conditions, renewal of economic conditions), sector regulations and regulations, customer prerogatives.</w:t>
      </w:r>
    </w:p>
    <w:p>
      <w:r>
        <w:t>40. The aforementioned specific training will take place through dedicated training sections and with the support of specific materials.</w:t>
      </w:r>
    </w:p>
    <w:p>
      <w:r>
        <w:t>41. The Company commits to carrying out the aforementioned activities by the end of the second month following the month in which the AGCM's order closing the proceedings is notified to the Company.</w:t>
      </w:r>
    </w:p>
    <w:p>
      <w:r>
        <w:t>IV. OPINION OF THE REGULATORY AUTHORITY FOR ENERGY NETWORKS AND ENVIRONMENT</w:t>
      </w:r>
    </w:p>
    <w:p>
      <w:r>
        <w:t>42. Since the commercial practice subject to this provision concerns the sector of electricity and gas supply, on June 27, 2023, an opinion was requested from the Authority for Energy Networks and Environment (ARERA), pursuant to and for the purposes of Article 27, paragraph 1-bis, of the Consumer Code, introduced by Article 1, paragraph 6, letter a), of Legislative Decree No. 21/2014.</w:t>
      </w:r>
    </w:p>
    <w:p>
      <w:r>
        <w:t>43. In an opinion received on August 3, 2023, the aforementioned Authority preliminarily provided informational elements on regulatory aspects, as per the Code of Commercial Conduct, of interest for evaluating the commitments related to the specific case concerning a) the terms and methods of notice for unilateral changes to contractual conditions and for renewals of economic conditions with modifications to the same conditions and b) the detailed elements that sellers are required to include in the summary bill.</w:t>
      </w:r>
    </w:p>
    <w:p>
      <w:r>
        <w:t>44. With reference to commitments 1 and 2, the Authority observed that they do not conflict with the regulation and are aimed at greater informational transparency for the end customer, positively evaluating what is provided in commitment 1 regarding the indication of the expiration date of the economic conditions in renewal communications starting from August 2022.</w:t>
      </w:r>
    </w:p>
    <w:p>
      <w:r>
        <w:t>45. With reference to commitment 3, the Authority noted that it appears commendable as it represents information to the end customer that reflects what is provided in the individual contract.</w:t>
      </w:r>
    </w:p>
    <w:p>
      <w:r>
        <w:t>46. Regarding commitment 4, the Authority stated that it is worthy of appreciation, as it aims to make accessible any communications regarding the renewal of economic conditions, as well as unilateral modifications of contractual conditions through additional informational tools available to end customers.</w:t>
      </w:r>
    </w:p>
    <w:p>
      <w:r>
        <w:t>47. With reference to commitment 5, the Authority emphasizes appreciation for the initiatives aimed at improving the quality of interactions with customers.</w:t>
      </w:r>
    </w:p>
    <w:p>
      <w:r>
        <w:t>V. EVALUATIONS OF THE COMMITMENTS</w:t>
      </w:r>
    </w:p>
    <w:p>
      <w:r>
        <w:t>48. The Authority believes that the commitments proposed by the Professional are suitable to eliminate the possible profiles of unfairness contested in the initiation communication of December 12, 2022.</w:t>
      </w:r>
    </w:p>
    <w:p>
      <w:r>
        <w:t>49. These commitments, in fact, provide for measures of informational transparency regarding the duration of the economic conditions, their expiration, as well as their tacit semi-annual renewal mechanism.</w:t>
      </w:r>
    </w:p>
    <w:p>
      <w:r>
        <w:t>50. In particular, commitment no. 1 aims to explicitly inform customers in the free market, improving their awareness, regarding the expiration date of the current economic conditions.</w:t>
      </w:r>
    </w:p>
    <w:p>
      <w:r>
        <w:t>51. The measure related to the inclusion of the "Offer Code" in the renewal proposals of the economic conditions at expiration also contributes to improving the transparency of the contract conditions.</w:t>
      </w:r>
    </w:p>
    <w:p>
      <w:r>
        <w:t>52. Similarly, commitment no. 2 is favorably evaluable as it is suitable to increase consumer awareness specifically in the pre-contractual phase, thanks to the integration of the content of the Summary Sheet that the supplier, according to the Code of Commercial Conduct of Arera, must provide to the potential customer at the time of the contractual proposal and, in any case, before the conclusion of the supply contract. The aforementioned sheet will include information regarding the duration of the contract, the duration of the economic conditions provided in the proposed economic offer, and the methods of their tacit renewal after the expiration of the economic offer.</w:t>
      </w:r>
    </w:p>
    <w:p>
      <w:r>
        <w:t>53. Relevant for clarifying the contractual situation through the indication of the expiration of the current economic conditions and the mechanism of tacit semi-annual renewal is commitment 3, which provides for the inclusion of information in the bills of customers who, between May 1 and December 31, 2022, had received communications proposing the renewal of the economic conditions (including those that incorrectly reported in the subject "proposal for unilateral modification of the supply contract").</w:t>
      </w:r>
    </w:p>
    <w:p>
      <w:r>
        <w:t>54. Commitment 4 represents a suitable tool to improve consumer awareness regarding their contractual situation, thanks to the visualization, in the digital channels of the Online Services and the APP, of any communications regarding the renewal of economic conditions or unilateral modification of the contract sent to them. This information adds to the contractual documentation already present in these channels.</w:t>
      </w:r>
    </w:p>
    <w:p>
      <w:r>
        <w:t>55. Finally, commitment 5, related to training courses for personnel responsible for managing requests for clarification and any complaints presented by Customers on issues concerning the duration of the supply contract and the economic conditions, appears useful to ensure a correct and potentially more efficient management of the information provided to consumers.</w:t>
      </w:r>
    </w:p>
    <w:p>
      <w:r>
        <w:t>56. The measures proposed by the Professional, aimed at increasing informational clarity, therefore appear to enhance consumer awareness regarding information related to the duration and expiration of economic conditions.</w:t>
      </w:r>
    </w:p>
    <w:p>
      <w:r>
        <w:rPr>
          <w:b/>
        </w:rPr>
        <w:t>[Pages 43–45]</w:t>
      </w:r>
    </w:p>
    <w:p>
      <w:r>
        <w:t>BULLETIN NO. 37 OF OCTOBER 2, 2023 45</w:t>
        <w:br/>
        <w:t>57. These measures, considered as a whole, taking into account the favorable opinion issued by ARERA, for the reasons stated above, are deemed sufficient to remedy the potential unfairness profiles identified in the communication initiating the procedure, as they can satisfy the requirements set forth in Article 27, paragraph 7, of the Consumer Code.</w:t>
        <w:br/>
        <w:t>CONSIDERED, therefore, that the commitments presented by the company Hera Comm S.p.A., in the terms outlined above, are suitable to eliminate the possible unfairness profiles of the commercial practice subject to investigation;</w:t>
        <w:br/>
        <w:t>CONSIDERED to impose the obligation of the aforementioned commitments on the company Hera Comm S.p.A.;</w:t>
        <w:br/>
        <w:t>CONSIDERED, therefore, that the procedure can be closed without establishing the infringement;</w:t>
        <w:br/>
        <w:t>RESOLVES</w:t>
        <w:br/>
        <w:t>a) to make mandatory, with respect to the company Hera Comm S.p.A., pursuant to Article 27, paragraph 7, of the Consumer Code and Article 9, paragraph 2, letter a), of the Regulation, the commitments proposed by the same Company on May 12, 2023, and integrated in the consolidated version received on May 24, 2023, attached to this provision which constitutes an integral part thereof;</w:t>
        <w:br/>
        <w:t>b) to close the procedure without establishing the infringement, pursuant to Article 27, paragraph 7, of the Consumer Code and Article 9, paragraph 2, letter a), of the Regulation;</w:t>
        <w:br/>
        <w:t>c) that the company Hera Comm S.p.A., within ninety days from the date of notification of this resolution, informs the Authority of the implementation of the commitments.</w:t>
        <w:b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Party that is incomplete, inaccurate, or misleading.</w:t>
        <w:b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46 BULLETIN NO. 37 OF OCTOBER 2, 2023</w:t>
        <w:br/>
        <w:t>This provision will be notified to the interested parties and published in the Bulletin of the Authority for the Guarantee of Competition and the Market.</w:t>
        <w:br/>
        <w:t>THE SECRETARY GENERAL THE PRESIDENT</w:t>
        <w:br/>
        <w:t>Guido Stazi Roberto Rustichelli</w:t>
      </w:r>
    </w:p>
    <w:p>
      <w:r>
        <w:t>BULLETIN NO. 37 OF OCTOBER 2, 2023 47</w:t>
        <w:br/>
        <w:t>PS12468 - ENGIE ITALIA - MODIFICATIONS OF THE ECONOMIC CONDITIONS OF SUPPLY</w:t>
        <w:br/>
        <w:t>Provision No. 30787</w:t>
        <w:br/>
        <w:t>THE AUTHORITY FOR THE GUARANTEE OF COMPETITION AND THE MARKET</w:t>
        <w:br/>
        <w:t>IN ITS MEETING of September 12, 2023;</w:t>
        <w:br/>
        <w:t>HEARD the Rapporteur, President Roberto Rustichelli;</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precautionary measure of December 12, 2022;</w:t>
        <w:br/>
        <w:t>HAVING REGARD to the partial revocation measure of the precautionary measure of December 29, 2022;</w:t>
        <w:br/>
        <w:t>HAVING REGARD to the communication, received on March 16, 2023, subsequently supplemented on May 25, 2023, with which ENGIE Italia S.p.A. submitted a proposal for commitments, pursuant to Article 27, paragraph 7, of the Consumer Code and Article 9 of the Regulation;</w:t>
        <w:br/>
        <w:t>HAVING REGARD to its provision of May 2, 2023, with which, pursuant to Article 7, paragraph 3, of the Regulation, the deadline for concluding the procedure was extended for investigative needs;</w:t>
        <w:br/>
        <w:t>HAVING REGARD to its provision of June 6, 2023, with which, pursuant to Article 16, paragraph 5, of the Regulation, the deadline for concluding the procedure was extended for the purpose of requesting an opinion from the Regulatory Authority for Energy Networks and Environment;</w:t>
        <w:br/>
        <w:t>HAVING REGARD to its provision of June 28, 2023, with which, pursuant to Article 7, paragraph 3, of the Regulation, the deadline for concluding the procedure was extended;</w:t>
        <w:br/>
        <w:t>HAVING REGARD to the acts of the procedure</w:t>
        <w:br/>
        <w:t>I. THE PARTIES</w:t>
        <w:br/>
        <w:t>1. The company ENGIE Italia S.p.A. (hereinafter also "ENGIE", the "Professional" or the "Company"), with registered office in Milan, as a Professional, pursuant to Article 18, paragraph 1, letter b), of the Consumer Code, active in the supply of electricity and natural gas.</w:t>
        <w:br/>
        <w:t>2. The consumer associations Adiconsum Sardegna, Movimento Consumatori, U.Di.Con. - Union for the Defense of Consumers and National Consumers Union, as interveners.</w:t>
        <w:br/>
        <w:t>II. THE CONDUCT SUBJECT TO ASSESSMENT</w:t>
        <w:br/>
        <w:t>3. In the initiation of the procedure, the Professional was accused of a conduct consisting of communicating to its clientele, starting from May 2022, the unilateral modification of the conditions</w:t>
      </w:r>
    </w:p>
    <w:p>
      <w:r>
        <w:rPr>
          <w:b/>
        </w:rPr>
        <w:t>[Pages 46–48]</w:t>
      </w:r>
    </w:p>
    <w:p>
      <w:r>
        <w:t>BULLETIN NO. 37 OF OCTOBER 2, 2023</w:t>
      </w:r>
    </w:p>
    <w:p>
      <w:r>
        <w:t>48 economic conditions applicable to supply contracts, during the validity of the Decree-Law of August 9, 2022, No. 115 (c.d. Aid Decree bis), which came into force on August 10, 2022, converted into Law No. 142 of September 21, 2022, whose Article 3 provides: “Until April 30, 2023, the effectiveness of any contractual clause that allows the energy and natural gas supplier to unilaterally modify the general contract conditions related to the definition of the price is suspended, even if the right of withdrawal is contractually recognized to the counterparty. Until the same date referred to in paragraph 1, the notices communicated for the aforementioned purposes prior to the entry into force of this decree are ineffective, unless the contractual modifications have already been perfected”1.</w:t>
      </w:r>
    </w:p>
    <w:p>
      <w:r>
        <w:t>III. THE OUTCOMES OF THE PROCEEDING</w:t>
      </w:r>
    </w:p>
    <w:p>
      <w:r>
        <w:t>1) The procedure process</w:t>
      </w:r>
    </w:p>
    <w:p>
      <w:r>
        <w:t>4. In relation to the conduct described above, on December 12, 2022, the initiation of the investigative procedure PS12468 and the adoption of the precautionary measure of suspension of conduct by the Authority were communicated to the Professional, hypothesizing the adoption of an unfair commercial practice by ENGIE in possible violation of Articles 20, 21, 22, 24, and 25 of the Consumer Code.</w:t>
      </w:r>
    </w:p>
    <w:p>
      <w:r>
        <w:t>5. Concurrently with the communication of the initiation of the investigative procedure, in order to acquire useful knowledge elements for the evaluation of the commercial practice in question, a request for information with related documentation regarding the contested conduct was formulated to the Professional, pursuant to Article 27, paragraphs 3 and 4, of the Consumer Code and Article 12, paragraph 1, of the Regulation.</w:t>
      </w:r>
    </w:p>
    <w:p>
      <w:r>
        <w:t>6. On December 29, 2022, in light of the elements acquired, the Authority, with a specific provision, decided to partially confirm the aforementioned precautionary measure, noting that “the conduct in question, namely the alleged renewal of the economic supply conditions, was not the result - at least in most cases - of the actual, predetermined, and known expiration of the economic offer conditions, thus realizing, in substance, the evasion of the obligation, referred to in the aforementioned Article 3, to suspend the effectiveness of any contractual clause that allows the supplier to unilaterally modify the price of energy.”</w:t>
      </w:r>
    </w:p>
    <w:p>
      <w:r>
        <w:t>7. On March 16, 2023, the Professional submitted commitments, pursuant to Article 27, paragraph 7, of the Consumer Code and Article 9 of the Regulation, in order to remove the unfairness profiles of the contested commercial practices. The commitments were supplemented on May 25, 2023, in the consolidated definitive version.</w:t>
      </w:r>
    </w:p>
    <w:p>
      <w:r>
        <w:t>8. On May 4, 2023, the hearing of ENGIE, requested by the Company itself, was held.</w:t>
      </w:r>
    </w:p>
    <w:p>
      <w:r>
        <w:t>9. On January 16 and February 14, 2023, the Professional provided the requested information during the procedure.</w:t>
      </w:r>
    </w:p>
    <w:p>
      <w:r>
        <w:t>10. On May 4, June 20, and July 3, 2023, extensions of the deadline for concluding the procedure, set, lastly, for September 23, 2023, were communicated to the Parties of the procedure.</w:t>
      </w:r>
    </w:p>
    <w:p>
      <w:r>
        <w:t>1 Following the issuance of Decree-Law No. 198 of December 29, 2022 (c.d. Decree Milleproroghe), in Article 3, paragraph 1, the words “April 30, 2023” were replaced by the words “June 30, 2023” and it was added: “The first period does not apply to contractual clauses that allow the energy and natural gas supplier to update the economic and contractual conditions upon their expiration, in compliance with the contractually provided notice periods and without prejudice to the right of withdrawal of the counterparty.”</w:t>
      </w:r>
    </w:p>
    <w:p>
      <w:r>
        <w:t>49</w:t>
      </w:r>
    </w:p>
    <w:p>
      <w:r>
        <w:t>11. On June 7, 2023, the date of conclusion of the investigative phase was communicated to the Professional, pursuant to Article 16, paragraph 1, of the Regulation.</w:t>
      </w:r>
    </w:p>
    <w:p>
      <w:r>
        <w:t>12. On June 20, 2023, the opinion was requested from the Regulatory Authority for Energy Networks and Environment (hereinafter “ARERA”), pursuant to Article 27, paragraph 1-bis, of the Consumer Code, received on August 3, 2023.</w:t>
      </w:r>
    </w:p>
    <w:p>
      <w:r>
        <w:t>2) The acquired elements</w:t>
      </w:r>
    </w:p>
    <w:p>
      <w:r>
        <w:t>13. From the information and documentation provided by ENGIE during the procedure, the following emerged.</w:t>
      </w:r>
    </w:p>
    <w:p>
      <w:r>
        <w:t>14. From various reports from consumers, micro-enterprises, and consumer associations, as well as from the documentation acquired for the application of the Consumer Code, it appeared that the Professional, during the period May-October 2022, had sent numerous communications to its customers holding supply contracts in the free market at fixed prices, with which it announced the modification of the economic conditions of the supply relationship. The format of this communication, called “Update on the economic conditions of the supply (…) and proposal for unilateral modification of the contract” contained the following information: “the validity period of the “Technical Economic Conditions,” related to the supply contract you signed, has expired and, therefore, in compliance with what is provided by the “General Conditions of Supply,” accepted by you, ENGIE reserves the right to unilaterally modify the economic conditions.”</w:t>
      </w:r>
    </w:p>
    <w:p>
      <w:r>
        <w:t>15. The reference made in the communications was to the contractual clause included in ENGIE's general supply conditions that provides for the explicit renewal of the technical-economic conditions (CTE), according to which, upon the expiration of the economic offer, “The Supplier, with written communication to be sent to the Customer, also by note in the invoice, no later than the third month preceding the expiration of the validity period of the economic conditions in force, will update the CEF and the CPF, also indicating the new validity period of such update. The Customer may withdraw from the Contract within thirty days following the receipt of the aforementioned communication; the withdrawal will take effect from the expiration of the previous economic conditions applied.”</w:t>
      </w:r>
    </w:p>
    <w:p>
      <w:r>
        <w:t>16. Before the entry into force of the aforementioned Article 3 of Decree-Law No. 115/2022, ENGIE, from May 2022 until August 10, 2022, sent a total of [50,000-60,000]* communications to customers holding contracts in the free market for tariff updates, containing a renewal proposal. These, in fact, consistent with the aforementioned contractual clause, had not been sent during the validity of the related economic offers, but after their expiration.</w:t>
      </w:r>
    </w:p>
    <w:p>
      <w:r>
        <w:t>17. Following the entry into force of the aforementioned Article 3 of Decree-Law No. 115/2022, from August to December 2022, ENGIE sent its customers another [50,000-70,000] communications of tariff updates at expiration, called “Update on the economic conditions of the supply” and no longer also “proposal for unilateral modification of the contract.”</w:t>
      </w:r>
    </w:p>
    <w:p>
      <w:r>
        <w:t>18. Of the total [110,000-120,000] communications sent, [45,000-50,000] were sent at the expiration of the subscribed economic offer and the remaining [60,000-80,000] were sent following previous explicitly communicated renewals, according to the illustrated contractual clause.</w:t>
      </w:r>
    </w:p>
    <w:p>
      <w:r>
        <w:t>* In this version, some data is omitted, as elements of confidentiality or secrecy of the information were deemed to exist.</w:t>
      </w:r>
    </w:p>
    <w:p>
      <w:r>
        <w:t>50</w:t>
      </w:r>
    </w:p>
    <w:p>
      <w:r>
        <w:t>19. In relation to these communications, the Company replied to the complaints made by its customers that the communicated variations do not fall within the unilateral modifications suspended by Article 3 of the Aid Decree bis, as they represent a mere proposal for “updating the fees that have reached their natural contractual expiration,” specifying that “it received the communication of […], as the contractually provided price for its supply has a fixed duration of 12 months. Since the price has reached its natural expiration, our communication is simply aimed at proposing, according to what is already provided in your contract regarding the methods of updating the fees that have reached their natural contractual expiration, the update of the same, not configuring as a unilateral modification proposed by the operator for justified reason. It is understood that all other conditions provided for in your Contract will remain valid and unchanged.”</w:t>
      </w:r>
    </w:p>
    <w:p>
      <w:r>
        <w:t>20. ENGIE, in adherence to the contractual provisions, has therefore always proposed the renewals of the economic conditions according to a constant temporal schedule, of which the customers were aware having always received close to the contractual expiration, within the contractually provided notice periods, a communication containing the new economic conditions intended to apply for the subsequent reference period, explicitly stating their commencement. In particular, in the communications sent before August 10, 2022, it was clear from the content that they were renewal proposals since the renewed conditions referred to a new contractual period and indicated the effective date of the new conditions (and, consequently, the date of cessation of effectiveness of the previous ones) as well as the related validity period.</w:t>
      </w:r>
    </w:p>
    <w:p>
      <w:r>
        <w:t>21. However, during the procedure2 ENGIE disclosed that it had sent, to about [10,000-20,000] consumers, the communications of renewal of the economic conditions late compared to what would have been their natural expiration and, in particular, i) for [1,000-1,500] customers due to the sending of a double renewal communication (a first communication, sent in compliance with the actual expiration terms, never implemented due to a computer misalignment, and a second on June 20, 2022, which was instead applied); ii) for about [10,000-15,000] customers, due to the failure to send timely, due to computer oversights, the communication of updating the economic conditions at their natural expiration.</w:t>
      </w:r>
    </w:p>
    <w:p>
      <w:r>
        <w:t>22. In the aforementioned case, the new economic conditions announced by the erroneously sent communications did not therefore represent an update/renewal of those that had reached their natural expiration, but configured a proposal for unilateral modification, the application of which by ENGIE was likely to constitute a violation of Article 3 of the aforementioned Aid Decree bis.</w:t>
      </w:r>
    </w:p>
    <w:p>
      <w:r>
        <w:t>23. With particular reference to the conduct carried out regarding communications to customers, the Professional presented its proposal for commitments as described below.</w:t>
      </w:r>
    </w:p>
    <w:p>
      <w:r>
        <w:t>3) The commitments of the Professional</w:t>
      </w:r>
    </w:p>
    <w:p>
      <w:r>
        <w:t>24. The Commitment Form, submitted pursuant to Article 27, paragraph 7, of the Consumer Code, and Article 9 of the Regulation, in the version filed on March 16, 2023, and</w:t>
      </w:r>
    </w:p>
    <w:p>
      <w:r>
        <w:t>2 See in particular the responses to the requests for information provided with communications prot. nos. 83246 of October 31, 2022, 12673 of January 16, 2023, and 20730 of February 14, 2023, and the minutes of the hearing held on May 4, 2023, doc. prot. No. 45746 of May 19, 2023.</w:t>
      </w:r>
    </w:p>
    <w:p>
      <w:r>
        <w:rPr>
          <w:b/>
        </w:rPr>
        <w:t>[Pages 49–51]</w:t>
      </w:r>
    </w:p>
    <w:p>
      <w:r>
        <w:t>BULLETIN NO. 37 OF OCTOBER 2, 2023 51</w:t>
        <w:br/>
        <w:t>integrated into the consolidated version of May 25, 2023, attached to this provision which constitutes an integral part thereof, provides as follows.</w:t>
      </w:r>
    </w:p>
    <w:p>
      <w:r>
        <w:t>Commitment 1 - Improvements in the management procedure and subsequent communication of proposals for updating expiring economic conditions</w:t>
      </w:r>
    </w:p>
    <w:p>
      <w:r>
        <w:t>25. The Company commits to integrate the internal process and related communications for updating economic conditions that have expired as follows:</w:t>
        <w:br/>
        <w:t>i) indicating, in addition to the day and month when the new conditions will be applied, also the day and month when the conditions in force at the time of receiving the proposal for updating the economic conditions will end;</w:t>
        <w:br/>
        <w:t>ii) sending the proposals for updating via tracked ordinary mail, which allows for reasonable certainty of delivery to the customer on a specific date;</w:t>
        <w:br/>
        <w:t>iii) implementing improvements, also regarding tools and IT processes, in the process of updating economic conditions, identified as a result of an analysis conducted with the support of an external consultant with proven experience and expertise in the field of IT applied to business management processes.</w:t>
      </w:r>
    </w:p>
    <w:p>
      <w:r>
        <w:t>26. The commitment is undertaken for at least 3 years, except for the measure identified in sub ii), which the Company intends to apply to update communications for one year from the acceptance of the commitments, without prejudice to the possibility of using different services that ensure the same level of traceability and are compatible with the requirements of sector regulation after that term.</w:t>
      </w:r>
    </w:p>
    <w:p>
      <w:r>
        <w:t>27. Regarding the implementation times, the Company states that, concerning the measures identified in sub i) and ii), it has already voluntarily implemented the commitment, starting respectively from January and February 2023, while it plans to implement the measure identified in sub iii), making itself available to share with the Authority the details of the process aimed at identifying improvements, within a maximum period of 8 months from the conclusion of the procedure with acceptance of the commitments.</w:t>
      </w:r>
    </w:p>
    <w:p>
      <w:r>
        <w:t>Commitment 2 - Strengthening the informational tools available to the customer</w:t>
      </w:r>
    </w:p>
    <w:p>
      <w:r>
        <w:t>28. The Company proposes to provide additional informational tools to improve customer understanding and accessibility regarding contractual communications:</w:t>
        <w:br/>
        <w:t>iv) expressly including the start date, duration, and expiration date of the economic conditions in every bill, in the ENGIE app, and in the customer's reserved web space;</w:t>
        <w:br/>
        <w:t>v) allowing customers to independently access, view, and extract copies of contractual documentation and letters updating economic conditions at any time and in real-time via the app and in the customer's reserved web space.</w:t>
      </w:r>
    </w:p>
    <w:p>
      <w:r>
        <w:t>29. Regarding the implementation times, the Company plans to implement these measures within a maximum period of 8 months from the conclusion of the procedure with acceptance of the commitments and to maintain them for at least 3 years.</w:t>
      </w:r>
    </w:p>
    <w:p>
      <w:r>
        <w:t>Commitment 3 - Compensation concerning the period October 1, 2022 - June 30, 2023 of the more favorable supply economic conditions in force until September 30, 2022 concerning the supply points for which a double communication of update was sent</w:t>
      </w:r>
    </w:p>
    <w:p>
      <w:r>
        <w:t>30. In relation to the [1,000-1,500] customers to whom a double communication of update was sent, ENGIE specifies that it has already restored the previous conditions for the period January 1, 2023 - June 30, 2023 and commits to providing economic compensation corresponding to the difference between the more favorable conditions and those actually applied between October 1, 2022, and January 1, 2023, through the provision of a credit (to be offset against the amount of the first two subsequent bills and any excess will be directly refunded) of which each customer will be promptly informed.</w:t>
      </w:r>
    </w:p>
    <w:p>
      <w:r>
        <w:t>31. More specifically, ENGIE proposes to apply to the aforementioned customers the supply economic conditions in force until September 30, 2022, not only for the period from January 1, 2023, to June 30, 2023, as already communicated to the affected customers, but also for the previous period from October 1, 2022, to December 31, 2022, with a corresponding recalculation of the amounts already invoiced based on the previously applied economic conditions. To carry out this recalculation, ENGIE commits to quantify, for each customer, the differential between the economic conditions actually applied in the last quarter of 2022 and those in force on September 30, 2022, calculating the difference in amounts based on the consumption recorded in the last quarter of 2022: this difference will represent a credit that will be deducted from what is owed by these customers based on the consumption recorded in two equal installments in the first two useful bills, and if there is still a credit remaining from the customer, the remaining part will be refunded directly to the customer until it is exhausted. Each customer will be promptly informed of the aforementioned credit with a paper communication sent together with the first useful bill (also via email, if ENGIE has the availability of such data and the customer's consent to proceed in this manner).</w:t>
      </w:r>
    </w:p>
    <w:p>
      <w:r>
        <w:t>32. Regarding customers who ceased after September 30, 2022, ENGIE commits to contacting them (if the Company has the relevant consent) and to communicate the amount of any credit accrued up to the date of actual cessation and the methods for obtaining the refund, providing them with a six-month period within which to express their interest.</w:t>
      </w:r>
    </w:p>
    <w:p>
      <w:r>
        <w:t>33. In addition, ENGIE proposes to increase the amount of the credit calculated for each customer by an amount equal to 5% and commits to making the amounts of the aforementioned credits available to the Authority within 15 days from the communication of acceptance of the commitments and to send a specific communication to ceased customers to inform them of the possibility of receiving the potential credit based on the previous supply relationship.</w:t>
      </w:r>
    </w:p>
    <w:p>
      <w:r>
        <w:t>Commitment 4 - Compensation concerning the period October 1, 2022 - June 30, 2023 of the more favorable supply economic conditions in force until September 30, 2022 compared to those actually applied starting from October 1, 2022, concerning the supply points for which - due to IT oversights - the economic conditions were not updated in a timely manner at their natural expiration</w:t>
      </w:r>
    </w:p>
    <w:p>
      <w:r>
        <w:t>34. In relation to approximately [10,000-15,000] customers for whom - due to IT oversights - ENGIE did not timely update the economic conditions at their natural expiration, the Company commits to providing economic compensation corresponding to the difference (if positive) between the economic conditions actually applied i) from the expiration date of the previous economic conditions until September 30, 2022, and ii) from October 1, 2022, until June 30, 2023, compared to those that would have been applied if the updates had been executed in a timely manner based on the consumption recorded from the expiration date of the previous economic conditions until March 31 and projected until June 30, 2023, through the provision of a credit (to be offset against the amount of the first two subsequent bills and any excess will be directly refunded) of which each customer will be promptly informed (also via email, if ENGIE has the availability of such data and the customer's consent to proceed in this manner) with a paper communication sent together with the first useful bill. If the difference in amounts thus calculated is negative, indicating a benefit already acquired by the customer, ENGIE commits not to request any reimbursement from the customers, who will therefore have definitively acquired a benefit resulting from the delayed communication of the update.</w:t>
      </w:r>
    </w:p>
    <w:p>
      <w:r>
        <w:t>35. Regarding customers who ceased after September 30, 2022, ENGIE commits to contacting them (if the Company has the relevant consent) and to communicate the amount of any credit accrued up to the date of actual cessation and the methods for obtaining the refund, providing them with a six-month period within which to express their interest.</w:t>
      </w:r>
    </w:p>
    <w:p>
      <w:r>
        <w:t>36. In addition, ENGIE proposes to increase the amount of the credit calculated for each customer by an amount equal to 5% and commits to making the amounts of the aforementioned credits available to the Authority within 15 days from the communication of acceptance of the commitments and to send a specific communication to ceased customers to inform them of the possibility of receiving the potential credit based on the previous supply relationship.</w:t>
      </w:r>
    </w:p>
    <w:p>
      <w:r>
        <w:t>Revision Clause</w:t>
      </w:r>
    </w:p>
    <w:p>
      <w:r>
        <w:t>37. ENGIE reserves the right to request a revision of the Commitments in light of the possible emergence of new communication and/or management methods that may become available or updates to the legal and regulatory framework applicable to the activities carried out by the Company, as adopted after the date of communication of acceptance of the commitments.</w:t>
      </w:r>
    </w:p>
    <w:p>
      <w:r>
        <w:t>IV. OPINION OF THE REGULATORY AUTHORITY FOR ENERGY NETWORKS AND ENVIRONMENT</w:t>
      </w:r>
    </w:p>
    <w:p>
      <w:r>
        <w:t>38. Since the commercial practice subject to this provision concerns the electricity and gas supply sector, on June 20, 2023, the opinion was requested from ARERA, pursuant to and for the effects of Article 27, paragraph 1-bis, of the Consumer Code.</w:t>
      </w:r>
    </w:p>
    <w:p>
      <w:r>
        <w:t>39. With the opinion received on August 3, 2023, the aforementioned Authority made specific considerations on the commitments proposed by ENGIE, in light of the regulatory provisions, of which the Commercial Code of Conduct, of general interest concerning, regarding the case at hand:</w:t>
        <w:br/>
        <w:t xml:space="preserve">a) the terms and methods of notice for unilateral changes to contractual conditions and for renewals of economic conditions with modifications thereof; </w:t>
        <w:br/>
        <w:t>3 See document of June 20, 2023, prot. n. 54558.</w:t>
        <w:br/>
        <w:t>4 See document of August 3, 2023, prot. n. 66304.</w:t>
        <w:br/>
        <w:t>5 The Commercial Code of Conduct referred to in Annex A to the resolution of June 28, 2018, has been recently amended and supplemented by resolution of June 6, 2023, n. 250/2023/R/COM, which provided for updates and improvements to the pre-contractual and contractual regulation regarding, among other things, the informational obligations of sellers in the case of renewal with modification of economic conditions in electricity and natural gas supply contracts (which will come into force on January 1, 2024).</w:t>
      </w:r>
    </w:p>
    <w:p>
      <w:r>
        <w:rPr>
          <w:b/>
        </w:rPr>
        <w:t>[Pages 52–54]</w:t>
      </w:r>
    </w:p>
    <w:p>
      <w:r>
        <w:t xml:space="preserve">54 BULLETIN NO. 37 OF OCTOBER 2, 2023  </w:t>
        <w:br/>
        <w:t xml:space="preserve">b) the detailed elements that sellers are required to include in the summary bill6.  </w:t>
        <w:br/>
        <w:t xml:space="preserve">40. In particular, with reference to commitment 1), related to the improvement of the management procedure and subsequent communication of proposals for updating expiring economic conditions, ARERA has noted that the measures contained in this commitment are in compliance with the aforementioned resolution 250/2023/R/com, the provisions of which will be effective from January 1, 2024, insofar as it provides for the integration of the information contained in the renewal communications sent to end customers with the explicit indication in the subject of the communications themselves of the expiration date of the current economic conditions, or not in conflict with the same. It is also highlighted that the informational obligations introduced by resolution 250/2023/R/com concern all contracts that provide the seller with the option to renew the economic conditions with modifications to those conditions, regardless of the type of price applied to the customer (fixed/variable).  </w:t>
        <w:br/>
        <w:t xml:space="preserve">41. In particular, ARERA has positively evaluated, considering it compliant with the aforementioned resolution, the introduction starting from January 2023 of the measure relating to the indication (in addition to the day/month when the new conditions will be applied) also of the day/month when the conditions in force at the time of receiving the proposal for updating the economic conditions will end; furthermore, it has specified that the optimization and accountability of the processes represent generally positive measures.  </w:t>
        <w:br/>
        <w:t xml:space="preserve">42. Regarding commitment 2), concerning the strengthening of the informational tools available to the customer and the integration of the information contained in the Bill 2.0, ARERA has stated that the proposal to indicate in all bills the information relating to the start date, duration, and expiration date of the economic conditions does not conflict with the current regulation, as it aims for greater informational transparency for the end customer.  </w:t>
        <w:br/>
        <w:t xml:space="preserve">43. Furthermore, the proposed measures regarding the indication in the Company's app and in the web space reserved for customers of information on the start date, duration, and expiration date of the economic conditions as well as the possibility to access, view, and extract copies of the contractual documentation and communications for the renewal of economic conditions, ARERA believes are worthy of appreciation, aiming to provide information on economic conditions and related documentation also through additional informational tools available to end customers.  </w:t>
        <w:br/>
        <w:t xml:space="preserve">44. As for commitments 3) and 4), of a compensatory nature, the proposed compensations appear worthy of appreciation and the proposal to increase the amount of credit calculated for each customer by an amount equal to 5% is positively evaluated.  </w:t>
        <w:br/>
        <w:t>6 ARERA has particularly highlighted that, with resolution 250/2023/R/com, in order to ensure consistency, strengthening the complementarity between the informational tools available to the end customer regarding the renewal of economic conditions, Annex A to resolution 501/2014/R/com has been amended, introducing the obligation to indicate in the bill, starting from January 1, 2024, any expiration of fixed-term economic conditions, in addition to the other minimum elements of the bill already provided.</w:t>
      </w:r>
    </w:p>
    <w:p>
      <w:r>
        <w:t xml:space="preserve">BULLETIN NO. 37 OF OCTOBER 2, 2023 55  </w:t>
        <w:br/>
        <w:t xml:space="preserve">V. EVALUATIONS OF THE COMMITMENTS  </w:t>
        <w:br/>
        <w:t xml:space="preserve">45. The Authority believes that the commitments proposed by the Professional are suitable to eliminate the possible profiles of unfairness contested in the initiation communication of December 12, 2022.  </w:t>
        <w:br/>
        <w:t xml:space="preserve">46. The first two commitments, in fact, provide for measures capable, respectively, of improving informational transparency and the management and communication procedure of proposals for updating expiring economic conditions and strengthening the informational tools available to the customer to make them informed and aware of the supply economic conditions and their modifications/expiration.  </w:t>
        <w:br/>
        <w:t xml:space="preserve">47. In particular, the measures provided therein are aimed at increasing the level of transparency of information related to the updating of economic conditions, allowing customers to independently access, in real-time and at any time, information regarding the exact date of commencement, duration, and expiration of the economic conditions as well as the complete contractual documentation of any communications for updating the economic conditions through various IT tools. Furthermore, users will receive in the same proposal for updating the economic conditions a clear indication of the day/month when the previous conditions will cease to apply. Improvements in the internal management and sending of communications regarding proposals for updating the supply economic conditions will reduce the risk of future cases of inadvertent errors in various internal processes.  </w:t>
        <w:br/>
        <w:t xml:space="preserve">48. Regarding the compensatory measures, they appear suitable to overcome the issues that emerged during the procedure concerning customers harmed by the failure to comply with the actual expiration of the renewal of the supply economic conditions, allowing for full compensation for them and the recognition of an additional amount of 5%. In particular, i) with reference to existing customers, the restorative function of the proposed measures will essentially have the effect of restoring the original economic conditions without interruption; ii) with reference to ceased customers, the proposed measures will have the effect of fully compensating them.  </w:t>
        <w:br/>
        <w:t xml:space="preserve">49. The commitments, considered as a whole, taking into account the favorable opinion expressed by ARERA, for the reasons stated above, are such as to remedy the possible profiles of unfairness referred to in the initiation communication of the procedure, being able to satisfy the requirements set forth in Article 27, paragraph 7, of the Consumer Code.  </w:t>
        <w:br/>
        <w:t xml:space="preserve">CONSIDERING, therefore, that the commitments presented by the company ENGIE Italia S.p.A., in the terms outlined above, are suitable to eliminate the possible profiles of unfairness of the commercial practice subject to investigation;  </w:t>
        <w:br/>
        <w:t xml:space="preserve">CONSIDERING to order the mandatory nature of the aforementioned commitments towards the company ENGIE Italia S.p.A.;  </w:t>
        <w:br/>
        <w:t xml:space="preserve">CONSIDERING, therefore, that it is possible to close the procedure without ascertaining the infringement  </w:t>
        <w:br/>
        <w:t xml:space="preserve">RESOLVES  </w:t>
        <w:br/>
        <w:t xml:space="preserve">a) to make mandatory, towards the company ENGIE Italia S.p.A., pursuant to Article 27, paragraph 7, of the Consumer Code and Article 9, paragraph 2, letter a), of the Regulation, the commitments proposed by the same Company on March 16, 2023, and integrated in the consolidated version received on May 25, 2023, attached to this provision which constitutes an integral part thereof;  </w:t>
        <w:br/>
        <w:t xml:space="preserve">b) to close the procedure without ascertaining the infringement, pursuant to Article 27, paragraph 7, of the Consumer Code and Article 9, paragraph 2, letter a), of the Regulation;  </w:t>
        <w:br/>
        <w:t xml:space="preserve">c) that the company ENGIE Italia S.p.A., within ninety days from the date of notification of this resolution, informs the Authority of the implementation of the commitments.  </w:t>
        <w:br/>
        <w:t xml:space="preserve">Pursuant to Article 9, paragraph 3, of the Regulation, the procedure may be reopened ex officio, where:  </w:t>
        <w:br/>
        <w:t xml:space="preserve">a) the Professional does not implement the commitments;  </w:t>
        <w:br/>
        <w:t xml:space="preserve">b) the factual situation changes regarding one or more elements on which the decision is based;  </w:t>
        <w:br/>
        <w:t xml:space="preserve">c) the decision to accept commitments is based on information provided by the Party that is incomplete, inaccurate, or misleading.  </w:t>
        <w:br/>
        <w:t xml:space="preserve">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  </w:t>
        <w:br/>
        <w:t xml:space="preserve">This provision will be notified to the interested parties and published in the Bulletin of the Antitrust Authority.  </w:t>
        <w:br/>
        <w:t xml:space="preserve">THE SECRETARY GENERAL THE PRESIDENT  </w:t>
        <w:br/>
        <w:t>Guido Stazi Roberto Rustichelli</w:t>
      </w:r>
    </w:p>
    <w:p>
      <w:r>
        <w:rPr>
          <w:b/>
        </w:rPr>
        <w:t>[Pages 55–57]</w:t>
      </w:r>
    </w:p>
    <w:p>
      <w:r>
        <w:t xml:space="preserve">BULLETIN NO. 37 OF OCTOBER 2, 2023 57  </w:t>
        <w:br/>
        <w:t xml:space="preserve">PS12483 - ADBLUE/CITROEN  </w:t>
        <w:br/>
        <w:t xml:space="preserve">Provision No. 30788  </w:t>
        <w:br/>
        <w:t xml:space="preserve">THE ANTITRUST AUTHORITY  </w:t>
        <w:br/>
        <w:t xml:space="preserve">IN ITS MEETING of September 12, 2023;  </w:t>
        <w:br/>
        <w:t xml:space="preserve">HEARD the Rapporteur Professor Elisabetta Iossa;  </w:t>
        <w:br/>
        <w:t xml:space="preserve">HAVING REGARD to Part 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communication of December 29, 2022, with which the PS12483 procedure was initiated against the companies Groupe PSA Italia S.p.A. and Citroën Automobiles SA (hereinafter, jointly, also the "Professionals");  </w:t>
        <w:br/>
        <w:t xml:space="preserve">HAVING REGARD to the communication, received on July 12, 2023, with which the Professionals submitted, in consolidated form, commitments pursuant to Article 27, paragraph 7, of the Consumer Code and Article 9 of the Regulation;  </w:t>
        <w:br/>
        <w:t xml:space="preserve">HAVING REGARD to its provisions of June 20 and July 27, 2023, with which, pursuant to Article 7, paragraph 3, of the Regulation, the deadline for concluding the procedure was extended, due to the need to evaluate the proposal for commitments and to carry out procedural obligations, in compliance with full adversarial proceedings with the Parties;  </w:t>
        <w:br/>
        <w:t xml:space="preserve">HAVING REGARD to the acts of the procedure  </w:t>
        <w:br/>
        <w:t xml:space="preserve">I. THE PARTIES  </w:t>
        <w:br/>
        <w:t xml:space="preserve">1. Groupe PSA Italia S.p.A. (hereinafter also "PSA"), as a professional, pursuant to Article 18, letter b), of the Consumer Code. The company is controlled by Automobiles Peugeot SA, Automobiles Citroën SA, and Opel Europe Holdings s.l.u., which are part of the multinational holding Stellantis N.V., active worldwide in the production and sale of automobiles under various brands. PSA Italia is responsible for the marketing in Italy of vehicles from various brands, including Citroën and Peugeot.  </w:t>
        <w:br/>
        <w:t xml:space="preserve">2. Citroën Automobiles SA (hereinafter also "Citroën"), as a professional, pursuant to Article 18, letter b), of the Consumer Code. The company, under French law, operates in the sector of production and sale of automobiles under the Citroën brand.  </w:t>
        <w:br/>
        <w:t xml:space="preserve">3. Altroconsumo, as a consumer association reporting.  </w:t>
        <w:br/>
        <w:t xml:space="preserve">4. ADICU APS, as a consumer association reporting, intervened during the procedure.  </w:t>
        <w:br/>
        <w:t xml:space="preserve">II. THE CONDUCTS SUBJECT TO THE PROCEDURE  </w:t>
        <w:br/>
        <w:t xml:space="preserve">5. This investigation concerns certain issues related to the marketing of diesel vehicles under the Citroën brand equipped with the Selective Catalytic Reduction (SCR) pollution control system, which, according to the reporters, would be defective from the outset. In this regard, the Professionals have installed this system (which uses the AdBlue additive) on the diesel vehicles they market to comply with Euro 6 emission regulations since 2015.  </w:t>
        <w:br/>
        <w:t xml:space="preserve">III. THE FINDINGS OF THE PROCEDURE  </w:t>
        <w:br/>
        <w:t xml:space="preserve">III.1 The course of the procedure  </w:t>
        <w:br/>
        <w:t xml:space="preserve">6. Based on the report received from Altroconsumo on December 1, 2022, which included approximately 130 consumer complaints and those from individual consumers, as well as the information acquired for the application of the Consumer Code, on December 29, 2022, the PS12483 investigative procedure was initiated against the Professionals for possible violation of Articles 20, paragraph 2, 21, 24, and 25, paragraph 1, letter d), of the Consumer Code.  </w:t>
        <w:br/>
        <w:t xml:space="preserve">7. In particular, according to the aforementioned reports, numerous owners/possessors of certain diesel models under the Citroën brand (mainly C3 and C4) have encountered failures of the SCR system, the defective operation of which causes the vehicle to be immobilized. Specifically, some consumers complain that the tank of the catalytic system has already been replaced once under warranty or at the manufacturer's expense but that they had to replace it again, partially or entirely at their own expense, within a relatively short time (1-3 years), incurring costs of several hundred euros.  </w:t>
        <w:br/>
        <w:t xml:space="preserve">In the communication initiating the procedure, it was hypothesized that the extent of the phenomenon and its recurrence over time could suggest the existence of a manufacturing and/or design defect of the SCR system known or knowable by the Professionals based on the standard of professional diligence.  </w:t>
        <w:br/>
        <w:t xml:space="preserve">8. Furthermore, on November 29, 2022, a report was received from the consumer association ADICU APS, which complains about the possible unfairness of a similar conduct by PSA regarding diesel vehicles under the Peugeot brand also equipped with the SCR pollution control system, which would also be defective from the outset. In this regard, the association reports that numerous consumers (particularly owners/possessors of models 208, 308, 3008, and 5008) would have encountered the aforementioned failures of the SCR system in certain Peugeot vehicles as well. Additionally, starting in January 2023, numerous reports from individual consumers regarding these issues encountered in Peugeot vehicles have been received by the Authority (Peugeot pre-investigative file - PS12526).  </w:t>
        <w:br/>
        <w:t xml:space="preserve">9. The Professionals have had access to the documents of the PS12483 file and extracted copies of the documents acquired therein on January 31, 2023.  </w:t>
        <w:br/>
        <w:t xml:space="preserve">10. On March 2, 2023, the request for participation in the PS12483 procedure submitted by ADICU APS on February 27 of the same year was accepted, which had access to the documents of the PS12483 file on April 4, 2023.  </w:t>
        <w:br/>
        <w:t xml:space="preserve">11. The Professionals have responded to the requests for information made in the communication initiating the procedure and provided arguments with notes received on February 24, March 22, and April 20, 2023.  </w:t>
        <w:br/>
        <w:t xml:space="preserve">12. The Professionals submitted a proposal for commitments regarding the PS12483 procedure, pursuant to Article 27, paragraph 7, of the Consumer Code and Article 9 of the Regulation, most recently sent in consolidated form on July 12, 2023.  </w:t>
        <w:br/>
        <w:t xml:space="preserve">13. On April 28 and June 22, 2023, hearings were held with the Professionals regarding the commitments presented.  </w:t>
        <w:br/>
        <w:t xml:space="preserve">14. On August 1, 2023, the date of conclusion of the investigative phase was communicated to the Parties pursuant to Article 16, paragraph 1, of the Regulation.  </w:t>
        <w:br/>
        <w:t xml:space="preserve">III.2 The elements acquired and the commitments proposed by the Professionals  </w:t>
        <w:br/>
        <w:t xml:space="preserve">III.2.1 The elements acquired  </w:t>
        <w:br/>
        <w:t xml:space="preserve">15. The PS12483 procedure concerns a component (i.e., the selective catalytic system) that is innovative and characterized by complex technical-engineering solutions, the installation of which on diesel vehicles under the Citroën brand aims, as seen, to adapt the vehicles marketed by the Professionals to Euro 6 emission regulations.  </w:t>
        <w:br/>
        <w:t xml:space="preserve">16. During the investigation, it emerged that the Professionals have recognized the application of the legal and conventional warranty of the manufacturer for malfunctions of the SCR system occurring within two years from the delivery of the vehicles under the Citroën brand.  </w:t>
        <w:br/>
        <w:t xml:space="preserve">17. In particular, the Professionals state that malfunctions during the validity period of the legal and conventional warranty have been resolved at no cost to the consumer, while the remaining complaints have been managed through voluntary contributions from the Companies in different areas and variable over time, described in more detail below. It has thus emerged that the repairs carried out under warranty represent a minority part of the overall malfunctions, as the defects in question predominantly manifest after the two-year warranty period.  </w:t>
        <w:br/>
        <w:t xml:space="preserve">The Professionals have also indicated that the percentage of malfunctions reported to them out of the total number of Citroën vehicles sold from January 2018 to December 2022 is [0.5–2.5%]*.  </w:t>
        <w:br/>
        <w:t xml:space="preserve">18. Furthermore, from the documents acquired during the investigation, it appears that the Professionals have intervened regarding the malfunctions encountered for Citroën vehicles by implementing: (i) technical and production modifications of the affected components and (ii) after the expiration of the two-year term of the legal and conventional warranty, compensatory measures for consumers, particularly with reference to various assistance programs called Special Coverages.  </w:t>
        <w:br/>
        <w:t xml:space="preserve">19. In particular, the Professionals report that they have implemented, starting from 2018 and until February 2023, various Special Coverages, which in some cases provided total coverage of the cost of spare parts and labor and in others a partial reimbursement of the cost of parts.  </w:t>
        <w:br/>
        <w:t>* In this version, some data are omitted, as it was deemed that there were elements of confidentiality or secrecy of the information.</w:t>
      </w:r>
    </w:p>
    <w:p>
      <w:r>
        <w:rPr>
          <w:b/>
        </w:rPr>
        <w:t>[Pages 58–60]</w:t>
      </w:r>
    </w:p>
    <w:p>
      <w:r>
        <w:t>BULLETIN NO. 37 OF OCTOBER 2, 2023</w:t>
      </w:r>
    </w:p>
    <w:p>
      <w:r>
        <w:t>60</w:t>
      </w:r>
    </w:p>
    <w:p>
      <w:r>
        <w:t>replacement parts, proportionate to the age and mileage of the vehicle, according to percentages ranging from [70–99%] to [30–60%].</w:t>
      </w:r>
    </w:p>
    <w:p>
      <w:r>
        <w:t>20. Lastly, on February 13, 2023, the Professionals launched a new Special Coverage called “4UA+4UB” structured as follows:</w:t>
        <w:br/>
        <w:t>i. for vehicles out of warranty with less than 5 years since delivery (i.e., less than 3 years from the expiration of the conventional warranty) and less than 150,000 km driven, the cost of replacement parts is reimbursed at 100% by Citroën (4UA);</w:t>
        <w:br/>
        <w:t>ii. for vehicles out of warranty with more than 5 years since delivery (i.e., more than 3 years from the expiration of the conventional warranty) and up to 8 years since delivery (i.e., up to 6 years from the expiration of the conventional warranty) and/or with a mileage exceeding 150,000 km and less than 210,001, a decreasing coverage of the cost of replacement parts (4UB) is provided based on the vehicle's mileage according to the following table:</w:t>
      </w:r>
    </w:p>
    <w:p>
      <w:r>
        <w:t>Vehicles over 5 years 0 - 30.001- 50.001- 80.001- 110.001- 140.001- 180.001- More than 210.001 km</w:t>
        <w:br/>
        <w:t>Coverage 90% 80% 70% 60% 50% 40% 30% 0%</w:t>
      </w:r>
    </w:p>
    <w:p>
      <w:r>
        <w:t>The Special Coverage 4UB expires upon reaching the first of the two limits (8 years or 210,001 km).</w:t>
      </w:r>
    </w:p>
    <w:p>
      <w:r>
        <w:t>III.2.2 The commitments proposed by the Professionals</w:t>
      </w:r>
    </w:p>
    <w:p>
      <w:r>
        <w:t>21. As indicated above, the Professionals submitted a proposal for commitments regarding the Citroën investigation (PS12483), also extended to the similar issues subject to the Peugeot pre-investigation (PS12526), hereinafter referred to as the “Commitments,” last sent in a consolidated version on July 12, 2023.</w:t>
      </w:r>
    </w:p>
    <w:p>
      <w:r>
        <w:t>22. The Professionals have committed to implementing the measures described below.</w:t>
      </w:r>
    </w:p>
    <w:p>
      <w:r>
        <w:t>I. Adoption of a “Customer Guide on Warranties” to be disseminated via the website, as well as to be transmitted to Customer Care personnel and the authorized network.</w:t>
        <w:br/>
        <w:t>(a) In order to clarify for consumers what rights arise from the legal warranty of conformity and from the conventional warranty applicable to purchased vehicles, the Professionals commit to modifying the website https://www.citroen.it, creating a link or dropdown named, for example, “warranties” or similar, from which access will be granted to a section of the site where the “Customer Guide on Warranties” will be published. The text of the guide is included in the Commitment form attached to this provision1.</w:t>
        <w:br/>
        <w:t>(b) Furthermore, to ensure that the “Customer Guide on Warranties” is known by the parties to whom customers may turn for information on warranties (i.e., Customer Care and Authorized Network), the Guide will be available on the Service Box of the Citroën network accompanied by a specific explanatory communication, the text of which is included in the Commitment form.</w:t>
      </w:r>
    </w:p>
    <w:p>
      <w:r>
        <w:t>1 The Professionals reserve the right to modify the wording of the link and the standard communication in case of proven needs, in compliance with the principles of truthfulness and transparency, as well as due to regulatory changes or practices of the Authority.</w:t>
      </w:r>
    </w:p>
    <w:p>
      <w:r>
        <w:t>BULLETIN NO. 37 OF OCTOBER 2, 2023 61</w:t>
      </w:r>
    </w:p>
    <w:p>
      <w:r>
        <w:t>II. Provision of corporate training on after-sales warranties.</w:t>
        <w:br/>
        <w:t>The Professionals commit to organizing specific corporate training for the Legal Office and Customer Care, where the regulations of the Consumer Code on unfair commercial practices will be presented, with particular reference to after-sales warranties.</w:t>
      </w:r>
    </w:p>
    <w:p>
      <w:r>
        <w:t>III. Compensation for customers</w:t>
        <w:br/>
        <w:t>The Commitment concerns two different compensatory measures in favor of consumers, owners of Citroën vehicles, implemented through a Special Coverage, i.e., offering customers a financial contribution in case of repairs/replacements of out-of-warranty components carried out at the authorized network.</w:t>
        <w:br/>
        <w:t>In particular, the Commitment in question concerns the extension of the Special Coverage “4UA+4UB,” effective from February 13, 2023, according to the modalities described below.</w:t>
        <w:br/>
        <w:t>(a) The Professionals commit to maintaining the current Special Coverage “4UA+4UB” in force at least until August 2024 (inclusive). This measure will thus have a total duration of at least one year and six months, and the Professionals reserve the right to extend it or, if necessary, to replace it in advance with improved measures.</w:t>
        <w:br/>
        <w:t>In addition to this measure, the Professionals commit to recognizing to owners of Citroën vehicles until August 2024 (inclusive) an additional contribution of 30 euros as a co-payment for labor costs. According to the Companies, this amount corresponds to “approximately 20% of the average labor cost incurred by Customers for repair/replacement of the Urea tank.” In this regard, customers who have carried out repair/replacement interventions on components between February 13, 2023, and the date of implementation of this Commitment, benefiting from the current Special Coverage “4UA+4UB,” will receive a specific communication2 clarifying that this additional contribution will be provided by the authorized repairer/dealer, at the consumer's choice, in the form of a gift for the purchase of accessories, spare parts, for ordinary maintenance and/or repair, or as a monetary refund, to be requested in both cases by December 31, 2025 (Commitment III A).</w:t>
        <w:br/>
        <w:t>(b) The Professionals commit to retroactively applying the Special Coverage “4UA+4UB” in favor of consumers who, with vehicles older than four years3, have repaired/replaced the urea tank during the period from January 1, 2021, to February 12, 2023 (the date of entry into force of the aforementioned Special Coverage), benefiting from the less favorable conditions provided by the previous Special Coverage.</w:t>
        <w:br/>
        <w:t>In particular, consumers will receive economic compensations according to the following scheme:</w:t>
        <w:br/>
        <w:t>“if, following the calculation of the difference in economic conditions of the two Special Coverages, it results that consumers would benefit from an amount:</w:t>
        <w:br/>
        <w:t>− equal to or greater than 200 euros, they will receive 200 euros;</w:t>
        <w:br/>
        <w:t>− between 100 and 200 euros, they will receive 100 euros;</w:t>
        <w:br/>
        <w:t>2 The draft communication is included in the Commitment form.</w:t>
        <w:br/>
        <w:t>3 As clarified by the Professionals during the proceedings, “the reason why Commitment 3 provides for the retroactive application […] of the new Special Coverage for vehicles older than four years is linked to the coverage of the previous Special Coverages.”</w:t>
      </w:r>
    </w:p>
    <w:p>
      <w:r>
        <w:t>62 BULLETIN NO. 37 OF OCTOBER 2, 2023</w:t>
        <w:br/>
        <w:t>− between 50 and 100 euros, they will receive 50 euros.”</w:t>
        <w:br/>
        <w:t>The Commitments specify that “consumers who in 2021, 2022, and 2023 have already benefited, in addition to the Special Coverages applicable at the time, from an additional contribution from Customer Care, of an amount at least equal to that which would be provided as indicated above, will not benefit from this provision (possible differential as indicated above).”</w:t>
        <w:br/>
        <w:t>Furthermore, this measure also includes the contribution of 30 euros as a co-payment for labor costs. The Professionals specify that those who, in implementation of the retroactive application of the Special Coverage “4UA+4UB,” would not receive refunds/gifts will also be included among the beneficiaries of the amount of 30 euros, provided that:</w:t>
        <w:br/>
        <w:t>(i) they have not already benefited from a contribution on the cost of labor;</w:t>
        <w:br/>
        <w:t>(ii) they have not already benefited, in addition to the Special Coverages applicable at the time, from an additional contribution from Customer Care, of an amount at least equal to 30 euros.</w:t>
        <w:br/>
        <w:t>The amount to be provided will be paid, at the consumer's choice, in an alternative form of:</w:t>
        <w:br/>
        <w:t>1) a gift valid for the purchase of accessories, spare parts, for ordinary maintenance and/or repair of the vehicle, to be spent in a single solution by December 31, 2025, at an authorized repairer/dealer;</w:t>
        <w:br/>
        <w:t>2) reimbursement by the authorized repairer/dealer who carried out the previous repair/replacement by December 31, 2025.</w:t>
        <w:br/>
        <w:t>The authorized repairer/dealer who sold/provided the activities related to the gift or provided the reimbursement will be reimbursed by the Professionals.</w:t>
        <w:br/>
        <w:t>Consumers affected by the measure will be contacted by the Professionals with the sending of a communication the text of which is included in the Commitment form (Commitment III B).</w:t>
        <w:br/>
        <w:t>The Citroën Network will be informed of the Commitments with a specific communication transmitted through corporate channels.</w:t>
      </w:r>
    </w:p>
    <w:p>
      <w:r>
        <w:t>IV. Extension of Commitment III) also to non-consumer clients (professionals)</w:t>
        <w:br/>
        <w:t>The Professionals commit to extending (with the same timelines) the compensatory measures indicated in Commitment III) in favor of professional clients purchasing Citroën vehicles.</w:t>
      </w:r>
    </w:p>
    <w:p>
      <w:r>
        <w:t>V. Extension of all Commitments to Peugeot</w:t>
        <w:br/>
        <w:t>The Professionals commit to extending (with the same timelines) all the aforementioned Commitments to customers who own Peugeot-branded vehicles (pre-investigation PS12526).</w:t>
      </w:r>
    </w:p>
    <w:p>
      <w:r>
        <w:t>Implementation timeline of the Commitments</w:t>
        <w:br/>
        <w:t>Regarding the implementation timelines, the Professionals commit to implementing the Commitments within 3 months from the notification of the acceptance provision. In particular, regarding Commitment 3.A, 3.B.1, and 3.B.2, the implementation deadline refers to the sending of communications that will be carried out in its implementation, as the acceptance times by the recipients of the same cannot be predicted.</w:t>
      </w:r>
    </w:p>
    <w:p>
      <w:r>
        <w:t>IV. EVALUATION OF THE COMMITMENTS</w:t>
        <w:br/>
        <w:t>23. The PS12483 proceeding concerns the possible unfairness of the conduct contested to the Professionals, consisting of the only partial reimbursement of expenses incurred by consumers for the</w:t>
      </w:r>
    </w:p>
    <w:p>
      <w:r>
        <w:rPr>
          <w:b/>
        </w:rPr>
        <w:t>[Pages 61–63]</w:t>
      </w:r>
    </w:p>
    <w:p>
      <w:r>
        <w:t>BULLETIN NO. 37 OF OCTOBER 2, 2023 63</w:t>
      </w:r>
    </w:p>
    <w:p>
      <w:r>
        <w:t>repair/replacement of the SCR (Adblue) pollution control system installed on various models of Citroën vehicles.</w:t>
      </w:r>
    </w:p>
    <w:p>
      <w:r>
        <w:t>24. Preliminary observations indicate that the contested practice must be evaluated in light of the innovative and complex nature of the cases under examination: they indeed concern technological components designed to adapt the vehicles marketed by the Professionals to the regulations on emission reduction and thus, ultimately, to make their circulation more environmentally sustainable.</w:t>
      </w:r>
    </w:p>
    <w:p>
      <w:r>
        <w:t>It must also be assessed that the Professionals: (i) have recognized to consumers the application of the legal warranty of conformity and that of the manufacturer's conventional warranty for malfunctions occurring within two years from the delivery of the vehicles (see par. III. 2.1) and (ii) on February 13, 2023, issued, for both the Citroën and Peugeot brands, the Special Coverage “4UA+4UB”. This Special Coverage appears specifically aimed at mitigating the detrimental consequences for consumers of the conduct contested in the initiation communication of December 29, 2022.</w:t>
      </w:r>
    </w:p>
    <w:p>
      <w:r>
        <w:t>25. In this context, the Authority believes that the commitments proposed by the Professionals are suitable to remove the possible profiles of unfairness of the commercial practice contested in the aforementioned initiation communication of procedure PS12483 concerning Citroën branded vehicles. The extension of the Commitments to owners of Peugeot vehicles represents an additional element aimed at resolving similar issues concerning those vehicles (file PS12526).</w:t>
      </w:r>
    </w:p>
    <w:p>
      <w:r>
        <w:t>26. The Professionals have also acknowledged that they have proceeded with the adoption of technical improvements in the production/assembly of the components in question4. Therefore, it is reasonable to believe that these improvements will lead to a progressive reduction in the number of vehicles affected by malfunctions, as well as a substantial resolution of the issues identified for both the Citroën and Peugeot brands.</w:t>
      </w:r>
    </w:p>
    <w:p>
      <w:r>
        <w:t>27. Overall, therefore, the commitments can be considered worthy of appreciation as they: (i) confirm at least until August 2024, retroactively extending them to all of 2021 and 2022 and improving them with the provision of a partial contribution for labor costs, the significant remedies provided by the Special Coverage “4UA+4UB”, currently in force, for both brands; (ii) also concern professional customers purchasing Citroën vehicles and thus reasonably numerous micro-enterprises (to which the legal warranty of conformity does not apply); (iii) grant the same benefits to consumers and professionals purchasing Peugeot branded vehicles, whose malfunctions were not the subject of the initiation communication of procedure PS12483.</w:t>
      </w:r>
    </w:p>
    <w:p>
      <w:r>
        <w:t>28. Regarding the individual proposed remedies, the informational measures on legal and conventional warranties, as well as internal training (insertion on the Citroën website of a “Customer Guide on warranties,” communication for Customer care and the authorized network, as well as corporate training on after-sales warranties; see Commitments I and II), are positively assessed, although it is noted that they do not directly concern the damages suffered by consumers.</w:t>
      </w:r>
    </w:p>
    <w:p>
      <w:r>
        <w:t>29. Commitment III, which constitutes the main compensatory measure proposed, concerns the partially retroactive and pro futuro extension of the Special Coverage “4UA+4UB,” already in force since February 13, 2023, for both brands regarding vehicles for which the legal and conventional warranties have expired.</w:t>
      </w:r>
    </w:p>
    <w:p>
      <w:r>
        <w:t>30. Regarding the pro futuro application, the commitment to extend the Special Coverage “4UA+4UB” at least until August 2024 (including, see Commitment III A) constitutes an effective and broadly applicable measure in favor of the subjects (consumers and professionals) who have faced or will face in the future the costs of repair/replacement of the components in question, after the expiration of the legal warranty and that of the manufacturer's conventional warranty. In this regard, it seems consistent with the principle of proportionality that the Professionals fully bear the cost of spare parts within certain vehicle age and mileage limits and that this contribution gradually decreases, considering the wear of the vehicle. On this point, the terms within which the Professionals will fully bear the cost of spare parts (less than 5 years from delivery and 150,000 km driven) and those after which no contribution will be provided (8 years or 210,001 km driven) appear sufficiently broad to involve a wide range of owners/holders of Citroën and Peugeot vehicles and are nonetheless intrinsically reasonable.</w:t>
      </w:r>
    </w:p>
    <w:p>
      <w:r>
        <w:t>31. Furthermore, Commitment III provides for a partial retroactive application of the Special Coverage “4UA+4UB” to customers who, with vehicles older than four years, have repaired/replaced the components in question from January 1, 2021, until February 12, 2023, benefiting from the possibly less favorable conditions provided by previous Special Coverages. In particular, owners/holders of Citroën and Peugeot vehicles will receive a contribution of an amount varying from 50 to 200 euros, which will be provided, at their choice, as a monetary refund or gift (see Commitment III B). This measure also appears to provide significant benefits for consumers to whom the legal and conventional warranties of the manufacturer no longer apply. In fact, on one hand, the scope of the beneficiaries of the same is much broader than the reporters both to the Authority (about 130) and to the Professionals for Citroën vehicles; on the other hand, it concerns the years during which the Companies received the highest number of reports for Citroën vehicles (2021 and 2022).</w:t>
      </w:r>
    </w:p>
    <w:p>
      <w:r>
        <w:t>On this point, the exclusion of refunds for subjects who have already benefited, in addition to the previously applicable Special Coverages, from further contributions from Customer Care at least equal to those that would be provided according to the above description is aimed at avoiding the attribution of undue benefits, and the provision of caps to the different refund brackets appears justified by the organizational reasons of the Professionals (standardization of communications to customers and rationalization of relations with the network).</w:t>
      </w:r>
    </w:p>
    <w:p>
      <w:r>
        <w:t>32. Commitment III, as a whole, therefore entails the application of the above-described effective and proportional measures to a very significant number of owners/holders of Citroën and Peugeot vehicles and for the entire broad period between January 1, 2021, and August 31, 2024 (a total of 3 years and 8 months).</w:t>
      </w:r>
    </w:p>
    <w:p>
      <w:r>
        <w:t>In addition to these compensatory measures, there is the provision of a partial and fixed contribution for labor costs amounting to 30 euros, which will concern the wide range of subjects who have carried out or will carry out repairs/replacements of the components in question during the application period of the Special Coverage “4UA+4UB” based on the Commitments (January 1, 2021 - August 31, 2024), including those who will not receive any contribution due to the retroactive application of the aforementioned Special Coverage. Again, in this case, the exclusion of its application for subjects who have already benefited from an additional contribution for labor of at least 30 euros under previous Special Coverages or as a Customer Care measure appears aimed at avoiding the attribution of undue benefits.</w:t>
      </w:r>
    </w:p>
    <w:p>
      <w:r>
        <w:t>33. Finally, as already noted, the extension of Commitment III to professional owners (not consumers) (Commitment IV) and of all Commitments (both informational and compensatory) to owners of Peugeot branded vehicles (Commitment V) is commendable.</w:t>
      </w:r>
    </w:p>
    <w:p>
      <w:r>
        <w:t>34. In light of the above considerations, it is believed that the commitments presented meet the requirements set forth in Article 27, paragraph 7, of the Consumer Code.</w:t>
      </w:r>
    </w:p>
    <w:p>
      <w:r>
        <w:t>THEREFORE, it is deemed that the commitments presented by the companies Groupe PSA Italia S.p.A. and Citroën Automobiles SA, in the terms outlined above, are suitable to eliminate the possible profiles of unfairness of the commercial practice subject to investigation;</w:t>
      </w:r>
    </w:p>
    <w:p>
      <w:r>
        <w:t>IT IS DEEMED to impose the obligation of the aforementioned commitments on the companies Groupe PSA Italia S.p.A. and Citroën Automobiles SA;</w:t>
      </w:r>
    </w:p>
    <w:p>
      <w:r>
        <w:t>IT IS DEEMED, therefore, to be able to close the procedure without ascertaining the infringement</w:t>
      </w:r>
    </w:p>
    <w:p>
      <w:r>
        <w:t>RESOLVES</w:t>
      </w:r>
    </w:p>
    <w:p>
      <w:r>
        <w:t>a) to make mandatory, towards the companies Groupe PSA Italia S.p.A. and Citroën Automobiles SA, pursuant to Article 27, paragraph 7, of the Consumer Code and Article 9, paragraph 2, letter a), of the Regulation, the commitments presented by them in their consolidated version dated July 12, 2023, as described in the attached Form, which constitutes an integral part of the provision;</w:t>
      </w:r>
    </w:p>
    <w:p>
      <w:r>
        <w:t>b) to close the procedure without ascertaining the infringement, pursuant to Article 27, paragraph 7, of the Consumer Code and Article 9, paragraph 2, letter a), of the Regulation;</w:t>
      </w:r>
    </w:p>
    <w:p>
      <w:r>
        <w:t>c) that the companies Groupe PSA Italia S.p.A. and Citroën Automobiles SA, within ninety days from the date of notification of this resolution, inform the Authority of the implementation of the commitments.</w:t>
      </w:r>
    </w:p>
    <w:p>
      <w:r>
        <w:t>Pursuant to Article 9, paragraph 3, of the Regulation, the procedure may be reopened ex officio, where:</w:t>
      </w:r>
    </w:p>
    <w:p>
      <w:r>
        <w:t>a) the Professionals do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rPr>
          <w:b/>
        </w:rPr>
        <w:t>[Pages 64–65]</w:t>
      </w:r>
    </w:p>
    <w:p>
      <w:r>
        <w:t>66 BULLETIN NO. 37 OF OCTOBER 2, 2023</w:t>
        <w:br/>
        <w:t>This provision will be notified to the interested parties and published in the Bulletin of the Authority for the Guarantee of Competition and the Market.</w:t>
        <w:br/>
        <w:t>THE SECRETARY GENERAL THE PRESIDENT</w:t>
        <w:br/>
        <w:t>Guido Stazi Roberto Rustichelli</w:t>
      </w:r>
    </w:p>
    <w:p>
      <w:r>
        <w:t>Authority for the Guarantee Weekly Bulletin</w:t>
        <w:br/>
        <w:t>of Competition and the Market Year XXXIII - No. 37 - 2023</w:t>
        <w:br/>
        <w:t>Editorial Coordination Giulia Antenucci</w:t>
        <w:br/>
        <w:t>Editorial Staff Angela D’Auria, Valerio Ruocco, Manuela Villani</w:t>
        <w:br/>
        <w:t>Authority for the Guarantee of Competition and the Market</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