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https://www.agcm.it/dotcmsdoc/bollettini/2024/37-24.pdf</w:t>
      </w:r>
    </w:p>
    <w:p>
      <w:r>
        <w:t>Pages translated : 13</w:t>
      </w:r>
    </w:p>
    <w:p/>
    <w:p>
      <w:r>
        <w:rPr>
          <w:b/>
        </w:rPr>
        <w:t>[Pages 1–3]</w:t>
      </w:r>
    </w:p>
    <w:p>
      <w:r>
        <w:t>Bulletin</w:t>
        <w:br/>
        <w:t>Weekly</w:t>
        <w:br/>
        <w:t>Year XXXIV - No. 37</w:t>
        <w:br/>
        <w:t>Published on the website www.agcm.it</w:t>
        <w:br/>
        <w:t>September 23, 2024</w:t>
      </w:r>
    </w:p>
    <w:p>
      <w:r>
        <w:t>SUMMARY</w:t>
        <w:br/>
        <w:t>AGREEMENTS AND ABUSE OF DOMINANT POSITION 5</w:t>
        <w:br/>
        <w:t>A382C - AUTOSTRADE/PREPAID CARD VIACARD</w:t>
        <w:br/>
        <w:t>Measure no. 31317 5</w:t>
        <w:br/>
        <w:t>CONCENTRATION OPERATIONS 9</w:t>
        <w:br/>
        <w:t>C12660 - DOLOMITI ENERGIA HOLDING/HYDRO DOLOMITI ENERGIA</w:t>
        <w:br/>
        <w:t>Measure no. 31318 9</w:t>
        <w:br/>
        <w:t>UNFAIR COMMERCIAL PRACTICES 13</w:t>
        <w:br/>
        <w:t>IP367 - MULPOR-INTERNATIONAL FAIRS DIRECTORY</w:t>
        <w:br/>
        <w:t>Notice of extension of the deadline for the conclusion of the procedure 13</w:t>
      </w:r>
    </w:p>
    <w:p>
      <w:r>
        <w:t>BULLETIN NO. 37 OF SEPTEMBER 23, 2024 5</w:t>
        <w:br/>
        <w:t>AGREEMENTS AND ABUSE OF DOMINANT POSITION</w:t>
        <w:br/>
        <w:t>A382C - AUTOSTRADE/PREPAID CARD VIACARD</w:t>
        <w:br/>
        <w:t>Measure no. 31317</w:t>
        <w:br/>
        <w:t>THE ANTITRUST AUTHORITY</w:t>
        <w:br/>
        <w:t>IN ITS MEETING of September 3, 2024;</w:t>
        <w:br/>
        <w:t>HEARD the Rapporteur, Saverio Valentino;</w:t>
        <w:br/>
        <w:t>VIEWED Law No. 287 of October 10, 1990;</w:t>
        <w:br/>
        <w:t>VIEWED Presidential Decree No. 217 of April 30, 1998;</w:t>
        <w:br/>
        <w:t>VIEWED Law No. 689 of November 24, 1981;</w:t>
        <w:br/>
        <w:t>VIEWED its resolution of July 26, 2007, No. 17069, with which, pursuant to Article 14-ter, paragraph 1, of Law No. 287/1990, the commitments presented by Autostrade per l’Italia S.p.A. (hereinafter ASPI) were made mandatory, indefinitely, consisting of the complete elimination of the expiration date for prepaid cards for electronic payment of motorway tolls called “Viacard a scalare” (hereinafter Viacard), with reference to both cards to be issued in the future and those already distributed to users (in the latter case, the elimination of the expiration date occurred through an appropriate modification of the card management IT system). Furthermore, in order to provide adequate communication to customers regarding these initiatives, the commitments undertaken by ASPI included the implementation of a specific communication campaign, both through the press and via the internet, as well as at motorway service areas, toll booths, and the so-called Blue Points;</w:t>
        <w:br/>
        <w:t>CONSIDERING that the Form relating to the commitments made mandatory, in the section regarding the possible period of their validity, contained the following specification: “This commitment is understood to be made indefinitely, provided that, in the event of a change in the circumstances on which it is based, the Company reserves the right to submit a request to the Authority for a review of the same commitment. In particular, in the event that the Company deems it necessary to no longer use the Viacard a scalare as an alternative electronic payment method for motorway tolls to cash or should consider it appropriate to reintroduce an expiration date for the same cards, a request for review will be submitted in order to share with the Authority the methods of implementation of such initiatives, providing for any appropriate measures aimed at protecting consumer interests, especially regarding the introduction of effective and transparent refund procedures for any residual credits of the cards in question”;</w:t>
        <w:br/>
        <w:t>VIEWED the request from ASPI, received on July 9, 2024, aimed at obtaining a revision of the commitments made mandatory by the aforementioned resolution of July 26, 2007, No. 17069, as it is the intention of ASPI to discontinue the Viacard cards as a payment tool for motorway tolls, resulting in a change in the factual context in which the aforementioned commitments were made (in particular, the very existence of the Viacard cards ceasing);</w:t>
      </w:r>
    </w:p>
    <w:p>
      <w:r>
        <w:rPr>
          <w:b/>
        </w:rPr>
        <w:t>[Pages 4–6]</w:t>
      </w:r>
    </w:p>
    <w:p>
      <w:r>
        <w:t>6 BULLETIN NO. 37 OF SEPTEMBER 23, 2024</w:t>
      </w:r>
    </w:p>
    <w:p>
      <w:r>
        <w:t>HAVING REGARD to its Measure of July 16, 2024, no. 31292, published in the Authority's Bulletin on July 29, 2024, with which the initiation of an investigative procedure was decided to evaluate the request for revision by ASPI concerning the commitments made binding by the aforementioned resolution of the Authority of July 26, 2007, no. 17069;</w:t>
      </w:r>
    </w:p>
    <w:p>
      <w:r>
        <w:t>HAVING REGARD to ASPI's response to the request for information made by the Offices, received on July 30, 2024, concerning further specifications regarding the distribution of Viacard cards as well as the terms set by ASPI for the residual use and/or reimbursement of the cards still in circulation;</w:t>
      </w:r>
    </w:p>
    <w:p>
      <w:r>
        <w:t>CONSIDERING the current marginal distribution of Viacard cards as a means of payment for tolls, as evidenced by (a) the percentage of their use out of the total transits on the ASPI network, which decreased from [1-5%]* in 2019 to [less than 1%] in 2023 and [less than 1%] in the first half of 2024; (b) the nominal credit, understood as the original value of the cards issued by ASPI and sold to third-party retailers, which decreased from 23.8 million euros in 2019 to 12.7 million in 2023; (c) the number of Viacard cards that are in circulation with reference to the first half of the current year, amounting to just under 100 thousand, all with a residual credit of less than 50 euros;</w:t>
      </w:r>
    </w:p>
    <w:p>
      <w:r>
        <w:t>CONSIDERING the following</w:t>
      </w:r>
    </w:p>
    <w:p>
      <w:r>
        <w:t>I. THE MEASURES PROPOSED BY ASPI</w:t>
      </w:r>
    </w:p>
    <w:p>
      <w:r>
        <w:t>1. ASPI has formally communicated its intention to discontinue the Viacard cards as a means of payment for tolls and has indicated to the Authority the methods through which it intends to implement this discontinuation, also in light of the commitments made at the time.</w:t>
      </w:r>
    </w:p>
    <w:p>
      <w:r>
        <w:t>2. Specifically, ASPI will cease the production and distribution to external retailers of Viacard cards; regarding these retailers (service areas, tobacconists, and other concessionary companies), for which the automatic renewal of existing distribution contracts is provided, ASPI will send communications of withdrawal from such contracts, ensuring a notice period of 90 days.</w:t>
      </w:r>
    </w:p>
    <w:p>
      <w:r>
        <w:t>3. With reference to the cards already distributed, ASPI intends to repurchase those that remain unsold at the distributors, according to the methods provided in the contracts with them in case of withdrawal from the relationship (which specifically provide for the reporting by the distributor, within six months from the withdrawal, of unsold cards and reimbursement by ASPI, following the necessary verifications, within the subsequent six months).</w:t>
      </w:r>
    </w:p>
    <w:p>
      <w:r>
        <w:t>4. As for the Viacard cards already purchased by motorists, ASPI intends to guarantee a period of more than 5 years (until December 31, 2029) for their usability at toll booths for payment, while keeping active for a period of more than 14 years (until December 31, 2038)1 certain procedures (indicated in point 5), for all those who wish to request reimbursement of the residual credit present on the card.</w:t>
      </w:r>
    </w:p>
    <w:p>
      <w:r>
        <w:t>5. In particular, the reimbursement of the residual credit present on the Viacard cards - which is "guaranteed without minimum amount limits" - can be requested by the interested motorist through the channels of the ASPI website and the app named Muovy, with the completion of a specific web form, which is already active for the case of demagnetized or lost cards. Additionally, a telephone procedure is provided (via the toll-free number 803.111), which also includes the assistance of an operator to support the user in completing the web form, as well as a procedure with a request to be sent via email (to the address info@autostrade.it).</w:t>
      </w:r>
    </w:p>
    <w:p>
      <w:r>
        <w:t>6. Finally, ASPI intends to adopt an appropriate information campaign regarding the above, with particular reference to the discontinued possibility of distribution and purchase of Viacard cards as well as the terms for their residual use and/or reimbursement, through its own public communication channels (the aforementioned website and app).</w:t>
      </w:r>
    </w:p>
    <w:p>
      <w:r>
        <w:t>II. EVALUATIONS</w:t>
      </w:r>
    </w:p>
    <w:p>
      <w:r>
        <w:t>7. The request made by ASPI for the revision of the commitments made binding by Measure no. 17069 of July 26, 2007, in light of the changed factual context in which the commitments in question were made (in particular, the very existence of Viacard cards ceasing as a result of a corporate choice by ASPI, an eventuality already foreseen in the Form of commitments made binding), appears worthy of acceptance.</w:t>
      </w:r>
    </w:p>
    <w:p>
      <w:r>
        <w:t>8. In fact, the measures described above related to ASPI's choice to discontinue the Viacard payment tool appear adequate, as they allow, on the one hand, for the full compensation of external distributors, particularly in terms of repurchasing unsold cards and providing notice for contractual withdrawal communications, and on the other hand, guarantee consumers-motorists a reasonable timeframe both for any residual use of Viacard cards at toll booths (until the end of 2029) and for any reimbursement of the same (until the end of 2038).</w:t>
      </w:r>
    </w:p>
    <w:p>
      <w:r>
        <w:t>9. The methods through which it will be possible to request reimbursement - without minimum amount limits - of the residual credit of the Viacard cards also appear adequate, providing a wide range of possibilities (ASPI website, Muovy app, sending emails, telephone procedure with operator assistance for completing the required form).</w:t>
      </w:r>
    </w:p>
    <w:p>
      <w:r>
        <w:t>10. Finally, the provision of an adequate information campaign in favor of Viacard cardholders is commendable, particularly regarding the ceased possibility of purchasing the cards as well as the terms provided for residual use and/or reimbursement of the same.</w:t>
      </w:r>
    </w:p>
    <w:p>
      <w:r>
        <w:t>11. In conclusion, the measures proposed by ASPI are adequate and such as to allow for the acceptance of the request for revision of the commitments, according to the terms and methods indicated above.</w:t>
      </w:r>
    </w:p>
    <w:p>
      <w:r>
        <w:t>THEREFORE, it is deemed that ASPI's decision regarding the withdrawal from the market of Viacard cards justifies the revision of the commitments made binding by the Authority's resolution of July 26, 2007, no. 17069, with particular reference to aspects related to the ceased possibility of distribution and purchase of such cards, as well as the terms provided by ASPI for the residual use and/or reimbursement of the same;</w:t>
      </w:r>
    </w:p>
    <w:p>
      <w:r>
        <w:t>all of the above having been stated and considered,</w:t>
      </w:r>
    </w:p>
    <w:p>
      <w:r>
        <w:t>8 BULLETIN NO. 37 OF SEPTEMBER 23, 2024</w:t>
      </w:r>
    </w:p>
    <w:p>
      <w:r>
        <w:t>RESOLVES</w:t>
      </w:r>
    </w:p>
    <w:p>
      <w:r>
        <w:t>a) to make mandatory, for Autostrade per l’Italia S.p.A., in modification of the commitments presented and made binding by the Authority's resolution of July 26, 2007, no. 17069, pursuant to Article 14-ter, paragraph 1, of Law no. 287/1990, the implementation of the measure for the cards already distributed, consisting of repurchasing those that remain unsold at the distributors, according to the methods provided in the contracts with them in case of withdrawal from the relationship, as described above (§§ 2 and 3 above);</w:t>
      </w:r>
    </w:p>
    <w:p>
      <w:r>
        <w:t>b) to make mandatory, for Autostrade per l’Italia S.p.A., in modification of the commitments presented and made binding by the Authority's resolution of July 26, 2007, no. 17069, pursuant to Article 14-ter, paragraph 1, of Law no. 287/1990, the implementation of the measure for the Viacard cards already purchased by motorists, consisting of guaranteeing a period of more than 5 years (until December 31, 2029) for their usability at toll booths for payment, while keeping active, for a period of more than 14 years (until December 31, 2038), the procedures described above for the reimbursement of the residual credit present on the card, upon request of the interested parties (§§ 4 and 5 above);</w:t>
      </w:r>
    </w:p>
    <w:p>
      <w:r>
        <w:t>c) to make mandatory, for Autostrade per l’Italia S.p.A., in modification of the commitments presented and made binding by the Authority's resolution of July 26, 2007, no. 17069, pursuant to Article 14-ter, paragraph 1, of Law no. 287/1990, the implementation of the measure consisting of carrying out an information campaign regarding the cessation of the marketing of Viacard cards as well as the terms for the use and/or reimbursement of the residual credit, through its own public communication channels, according to the methods described above (§ 6 above);</w:t>
      </w:r>
    </w:p>
    <w:p>
      <w:r>
        <w:t>d) that Autostrade per l’Italia S.p.A., within 90 days from the date of notification of this measure, informs the Authority of the activities undertaken to implement the aforementioned measures in modification of the commitments presented and made binding by the Authority's resolution of July 26, 2007, no. 17069, pursuant to Article 14-ter, paragraph 1, of Law no. 287/1990.</w:t>
      </w:r>
    </w:p>
    <w:p>
      <w:r>
        <w:t>This measure will be notified to the interested parties and published in the Bulletin of the Italian Competition Authority.</w:t>
      </w:r>
    </w:p>
    <w:p>
      <w:r>
        <w:t>THE SECRETARY GENERAL THE PRESIDENT</w:t>
      </w:r>
    </w:p>
    <w:p>
      <w:r>
        <w:t>Guido Stazi Roberto Rustichelli</w:t>
      </w:r>
    </w:p>
    <w:p>
      <w:r>
        <w:rPr>
          <w:b/>
        </w:rPr>
        <w:t>[Pages 7–9]</w:t>
      </w:r>
    </w:p>
    <w:p>
      <w:r>
        <w:t>BULLETIN NO. 37 OF SEPTEMBER 23, 2024</w:t>
      </w:r>
    </w:p>
    <w:p>
      <w:r>
        <w:t xml:space="preserve">CONCENTRATION OPERATIONS  </w:t>
        <w:br/>
        <w:t xml:space="preserve">C12660 - DOLOMITI ENERGIA HOLDING/HYDRO DOLOMITI ENERGIA  </w:t>
        <w:br/>
        <w:t xml:space="preserve">Measure no. 31318  </w:t>
        <w:br/>
        <w:t xml:space="preserve">THE ANTITRUST AUTHORITY  </w:t>
        <w:br/>
        <w:t xml:space="preserve">IN ITS MEETING of September 3, 2024;  </w:t>
        <w:br/>
        <w:t xml:space="preserve">HEARD the Rapporteur, Professor Elisabetta Iossa;  </w:t>
        <w:br/>
        <w:t xml:space="preserve">HAVING REGARD to Regulation (EC) No. 139/2004 on the control of concentrations between undertakings;  </w:t>
        <w:br/>
        <w:t xml:space="preserve">HAVING REGARD to Law No. 287 of October 10, 1990;  </w:t>
        <w:br/>
        <w:t xml:space="preserve">HAVING REGARD to Presidential Decree No. 217 of April 30, 1998;  </w:t>
        <w:br/>
        <w:t xml:space="preserve">HAVING REGARD to the communication from Dolomiti Energia Holding S.p.A., received on August 12, 2024;  </w:t>
        <w:br/>
        <w:t xml:space="preserve">HAVING REGARD to the documentation on file;  </w:t>
        <w:br/>
        <w:t xml:space="preserve">CONSIDERING the following:  </w:t>
        <w:br/>
        <w:t xml:space="preserve">I. THE PARTIES  </w:t>
        <w:br/>
        <w:t xml:space="preserve">1. Dolomiti Energia Holding S.p.A. (hereinafter, “DEH”) is the parent company of the Dolomiti group, a group that operates primarily in the markets of production, distribution, and sale of electricity, as well as in the sale and distribution of natural gas, in the water services sector, in environmental sectors, laboratory analysis, public lighting, cogeneration, and district heating.  </w:t>
        <w:br/>
        <w:t xml:space="preserve">DEH is jointly controlled by the Municipality of Trento, the Municipality of Rovereto, and the Autonomous Province of Trento through the vehicle Findolomiti Energia S.r.l., which holds 48.5% of DEH's capital, and the shares of DEH directly held by the Municipality of Trento (5.9%) and by the Municipality of Rovereto (4.3%).  </w:t>
        <w:br/>
        <w:t xml:space="preserve">DEH reported a consolidated global turnover of approximately 2.4 billion euros in 2023, generated in Italy for an amount significantly exceeding the threshold of 567 million euros.  </w:t>
        <w:br/>
        <w:t xml:space="preserve">2. Hydro Dolomiti Energia S.r.l. (hereinafter “HDE”) is a company of the Dolomiti Group active in the production and generation of energy from renewable sources (in particular hydroelectric) in Trentino-Alto Adige and Veneto, through over 30 owned and managed plants.  </w:t>
        <w:br/>
        <w:t>1 See cases C12224 - Dolomiti Energia Holding-Alperia/Alperia Smart Mobility, measure 27759, June 5, 2019, in Bulletin 25/2019 and C10369 - Dolomiti Energia/Avisio Energia - 5 plants of Hydro Dolomiti Enel, measure 20635, December 22, 2009, in Bulletin 52/2009. The share capital of Findolomiti is held equally with 33.3% by the Municipality of Trento, the Municipality of Rovereto, and Trentino Sviluppo S.p.A. (a company subject to the direction and coordination of the Autonomous Province of Trento).</w:t>
      </w:r>
    </w:p>
    <w:p>
      <w:r>
        <w:t xml:space="preserve">HDE is currently jointly controlled by DEH—which holds 60% of its share capital—and by Fedaia Holding S.à r.l. (hereinafter “Fedaia”), which holds the remaining 40%. Fedaia is a special purpose vehicle company based in Luxembourg, controlled by Macquarie European Infrastructure Fund 4 LP (“MEIF4”), an investment fund focused on European infrastructure primarily related to the transport and utilities sectors, which, in turn, is managed by Macquarie Infrastructure and Real Assets (Europe) Limited (hereinafter “MIRAEL”). The Macquarie group operates globally in the provision of financial, banking, investment, advisory, and fund management services. HDE reported a turnover of over 386 million euros in 2023, generated entirely in Italy.  </w:t>
        <w:br/>
        <w:t xml:space="preserve">II. DESCRIPTION OF THE OPERATION  </w:t>
        <w:br/>
        <w:t xml:space="preserve">3. The notified operation consists of DEH acquiring control of the entire share capital of HDE, through the purchase of the 40% stake held by Fedaia in HDE. Specifically, DEH exercised the pre-emption right granted to it by the corporate bylaws of HDE and by the shareholders' agreements in the event that Fedaia decided, as it did, to divest its stake.  </w:t>
        <w:br/>
        <w:t xml:space="preserve">4. [Omitted] *.  </w:t>
        <w:br/>
        <w:t xml:space="preserve">III. QUALIFICATION OF THE OPERATION  </w:t>
        <w:br/>
        <w:t xml:space="preserve">5. The notified operation, as it involves the transition from joint control to exclusive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individually, in the last financial year at the national level, by at least two of the companies involved was over 35 million euros.  </w:t>
        <w:br/>
        <w:t xml:space="preserve">IV. ASSESSMENT OF THE CONCENTRATION  </w:t>
        <w:br/>
        <w:t xml:space="preserve">6. According to the 2023 financial statements published on the company's institutional website, HDE has 26 large derivation hydroelectric plants (whose concessions will expire at the end of 2024) with an installed capacity of approximately 1277 MW and 3 small derivation hydroelectric plants, with an installed capacity of 2.4 MW, plus a photovoltaic plant of 157 kW. HDE's production in 2023 was approximately 2.6 TWh, predominantly from hydroelectric sources.  </w:t>
        <w:br/>
        <w:t xml:space="preserve">2 See European Commission decision, case M.7869 - Macquarie / Dolomiti Energia/ Hydro Dolomiti Enel, February 8, 2016.  </w:t>
        <w:br/>
        <w:t xml:space="preserve">* In this version, some data are omitted, as there were deemed to be elements of confidentiality or secrecy of the information.  </w:t>
        <w:br/>
        <w:t xml:space="preserve">3 See the Management Report attached to HDE's 2023 financial statements, pp. 34-35.  </w:t>
        <w:br/>
        <w:t>4 See the Management Report attached to HDE's 2023 financial statements, p. 23.</w:t>
      </w:r>
    </w:p>
    <w:p>
      <w:r>
        <w:t xml:space="preserve">The electricity production of the Dolomiti group was approximately 3,137 GWh, of which 3,090 from hydroelectric sources.  </w:t>
        <w:br/>
        <w:t xml:space="preserve">This is against a national production from hydroelectric sources of just over 38 TWh and a total electricity production from renewable sources of nearly 113 TWh. In 2023, the total national electricity production was approximately 255 TWh, against a demand of about 306 TWh.  </w:t>
        <w:br/>
        <w:t xml:space="preserve">7. Due to the operations of DEH and HDE and the upcoming expiration of the large derivation concessions, the operation concerns (i) the procurement and wholesale sale of electricity, possibly limited to the Northern Macrozone; (ii) dispatching services; (iii) future public procedures for the assignment of large hydroelectric derivation concessions for the allocation of large water derivations for hydroelectric use; and (iv) the marketing of guarantees of origin.  </w:t>
        <w:br/>
        <w:t xml:space="preserve">8. A precise definition of the relevant markets and any affected markets does not appear necessary for the assessment of this concentration.  </w:t>
        <w:br/>
        <w:t xml:space="preserve">9. In fact, DEH already jointly controlled HDE, representing, moreover, the industrial partner of the company, with significantly greater experience in the sector and in the specific Italian context compared to the financial partner Fedaia.  </w:t>
        <w:br/>
        <w:t xml:space="preserve">10. The operation, therefore, does not involve any transfer of market shares in the markets related to the wholesale procurement of electricity, dispatching services, and the marketing of guarantees of origin, however defined, and does not appear likely to affect effective competition in those markets.  </w:t>
        <w:br/>
        <w:t xml:space="preserve">11. Regarding future tenders, the exit of the Macquarie group from HDE will not result in the loss of a potential competitor, as, in the absence of the operation, the Macquarie group would have participated in the tenders through HDE. Conversely, should the Macquarie group still be interested in the sector, it may independently participate in the tenders for the concessions related to the large derivations currently entrusted to HDE.  </w:t>
        <w:br/>
        <w:t xml:space="preserve">CONSIDERING, therefore, that the operation in question does not significantly impede effective competition in the relevant markets, pursuant to Article 6, paragraph 1, of Law No. 287/1990, and does not result in the establishment or strengthening of a dominant position;  </w:t>
        <w:br/>
        <w:t xml:space="preserve">RESOLVES  </w:t>
        <w:br/>
        <w:t xml:space="preserve">not to initiate the investigation referred to in Article 16, paragraph 4, of Law No. 287/1990.  </w:t>
        <w:br/>
        <w:t>The above conclusions will be communicated, pursuant to Article 16, paragraph 4, of Law No. 287/1990, to the companies involved and to the Minister of Enterprises and Made in Italy.</w:t>
      </w:r>
    </w:p>
    <w:p>
      <w:r>
        <w:rPr>
          <w:b/>
        </w:rPr>
        <w:t>[Pages 10–12]</w:t>
      </w:r>
    </w:p>
    <w:p>
      <w:r>
        <w:t xml:space="preserve">12 BULLETIN NO. 37 OF SEPTEMBER 23, 2024  </w:t>
        <w:br/>
        <w:t xml:space="preserve">This measure will be published in the Bulletin of the Competition and Market Authority.  </w:t>
        <w:br/>
        <w:t xml:space="preserve">THE SECRETARY GENERAL THE PRESIDENT  </w:t>
        <w:br/>
        <w:t>Guido Stazi Roberto Rustichelli</w:t>
      </w:r>
    </w:p>
    <w:p>
      <w:r>
        <w:t xml:space="preserve">BULLETIN NO. 37 OF SEPTEMBER 23, 2024 13  </w:t>
        <w:br/>
        <w:t xml:space="preserve">UNFAIR COMMERCIAL PRACTICES  </w:t>
        <w:br/>
        <w:t xml:space="preserve">IP367 - MULPOR-INTERNATIONAL FAIRS DIRECTORY  </w:t>
        <w:br/>
        <w:t xml:space="preserve">Notice of extension of the deadline for the conclusion of the procedure  </w:t>
        <w:br/>
        <w:t xml:space="preserve">COMPETITION AND MARKET AUTHORITY  </w:t>
        <w:br/>
        <w:t xml:space="preserve">Notice of extension of the deadline for the conclusion of the procedure, pursuant to Article 19, paragraphs 2 and 3,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IP367 - MULPOR-INTERNATIONAL FAIRS DIRECTORY.  </w:t>
        <w:br/>
        <w:t xml:space="preserve">The publication of this communication in the weekly Bulletin of the Competition and Market Authority is carried out pursuant to and for the effects of Article 19, paragraphs 2 and 3, of the Regulation, given the unsuccessful outcome of the attempt to transmit to the company IBCM International Business Convention Management Ltd the measure initiating the procedure, carried out on December 14, 2023, by requesting collaboration from the Embassy of Italy in Nicosia (Cyprus). The Embassy has indeed represented that it was not possible to notify the act at the registered office of the company.  </w:t>
        <w:br/>
        <w:t>For any communication addressed to the Authority regarding the case in question, please refer to the Directorate for credit, insurance, postal services, tourism, and sports of the Consumer Protection Department – 2 and the reference IP367.</w:t>
      </w:r>
    </w:p>
    <w:p>
      <w:r>
        <w:t xml:space="preserve">---  </w:t>
        <w:br/>
        <w:t xml:space="preserve">IP367 - MULPOR-INTERNATIONAL FAIRS DIRECTORY  </w:t>
        <w:br/>
        <w:t xml:space="preserve">Communication of extension of the deadline for the conclusion of the procedure  </w:t>
        <w:br/>
        <w:t>SUBJECT: extension of the deadline for the conclusion of procedure IP/367, pursuant to Article 7, paragraph 3,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 xml:space="preserve">14 BULLETIN NO. 37 OF SEPTEMBER 23, 2024  </w:t>
        <w:br/>
        <w:t xml:space="preserve">With reference to the procedure in question, initiated on November 28, 2023, against Mulpor Company s.r.l. and IBCM International Business Convention Management Ltd., it is communicated that the Authority, in its meeting of September 17, 2024, has resolved to extend the deadline for the conclusion of the procedure by 60 days, in order to carry out the necessary actions for the conclusion of the procedure.  </w:t>
        <w:br/>
        <w:t>Therefore, the deadline for the conclusion of the procedure is extended to November 19, 2024.</w:t>
      </w:r>
    </w:p>
    <w:p>
      <w:r>
        <w:rPr>
          <w:b/>
        </w:rPr>
        <w:t>[Pages 13–13]</w:t>
      </w:r>
    </w:p>
    <w:p>
      <w:r>
        <w:t>Antitrust Authority Weekly Bulletin</w:t>
        <w:br/>
        <w:t>of Competition and Market Year XXXIV - No. 37 - 2024</w:t>
        <w:br/>
        <w:t>Editorial Coordination Giulia Antenucci</w:t>
        <w:br/>
        <w:t>Editorial Staff Angela D’Auria, Valerio Ruocco,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