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https://www.agcm.it/dotcmsdoc/bollettini/2022/38-22.pdf</w:t>
      </w:r>
    </w:p>
    <w:p>
      <w:r>
        <w:t>Pages translated : 82</w:t>
      </w:r>
    </w:p>
    <w:p/>
    <w:p>
      <w:r>
        <w:rPr>
          <w:b/>
        </w:rPr>
        <w:t>[Pages 1–3]</w:t>
      </w:r>
    </w:p>
    <w:p>
      <w:r>
        <w:t>Bulletin</w:t>
        <w:br/>
        <w:t>Weekly</w:t>
        <w:br/>
        <w:t>Year XXXII - No. 38</w:t>
        <w:br/>
        <w:t>Published on the website www.agcm.it</w:t>
        <w:br/>
        <w:t>October 24, 2022</w:t>
      </w:r>
    </w:p>
    <w:p>
      <w:r>
        <w:t>SUMMARY</w:t>
        <w:br/>
        <w:t>AGREEMENTS AND ABUSE OF DOMINANT POSITION 5</w:t>
        <w:br/>
        <w:t>A553 - AISCAT AND ASPI/EXCLUDING ABUSIVE CONDUCT IN THE TOLLING MARKET</w:t>
        <w:br/>
        <w:t>Decision No. 30328 5</w:t>
        <w:br/>
        <w:t>CONCENTRATION OPERATIONS 23</w:t>
        <w:br/>
        <w:t>C12470 - ESPRINET/CELLULARLINE</w:t>
        <w:br/>
        <w:t>Decision No. 30322 23</w:t>
        <w:br/>
        <w:t>C12491 - GUCCI LOGISTICA-SPRING/MOOD</w:t>
        <w:br/>
        <w:t>Decision No. 30323 30</w:t>
        <w:br/>
        <w:t>REPORTING AND CONSULTATIVE ACTIVITIES 33</w:t>
        <w:br/>
        <w:t>AS1862 - MUNICIPALITY OF CASTIGLIONE DELLA PESCAIA (GR) - STATE CONCESSIONS</w:t>
        <w:br/>
        <w:t>33</w:t>
        <w:br/>
        <w:t>MARITIME RELATING TO MOORING POINTS IN PORT AREAS</w:t>
        <w:br/>
        <w:t>UNFAIR TRADE PRACTICES 36</w:t>
        <w:br/>
        <w:t>IP353 - OPTIMA-COMMERCIAL OFFERS</w:t>
        <w:br/>
        <w:t>Decision No. 30324 36</w:t>
        <w:br/>
        <w:t>PS9388 - T-SHOCK31-TIMODELLACLUB</w:t>
        <w:br/>
        <w:t>Decision No. 30325 57</w:t>
        <w:br/>
        <w:t>PS11854B - OPTIMA-COMMERCIAL OFFERS</w:t>
        <w:br/>
        <w:t>Decision No. 30326 59</w:t>
      </w:r>
    </w:p>
    <w:p>
      <w:r>
        <w:t>BULLETIN NO. 38 OF OCTOBER 24, 2022 5</w:t>
        <w:br/>
        <w:t>AGREEMENTS AND ABUSE OF DOMINANT POSITION</w:t>
        <w:br/>
        <w:t>A553 - AISCAT AND ASPI/EXCLUDING ABUSIVE CONDUCT IN THE TOLLING MARKET</w:t>
        <w:br/>
        <w:t>Decision No. 30328</w:t>
        <w:br/>
        <w:t>THE ANTITRUST AUTHORITY</w:t>
        <w:br/>
        <w:t>IN ITS MEETING of October 11, 2022;</w:t>
        <w:br/>
        <w:t>HEARD the Rapporteur, President Roberto Rustichelli;</w:t>
        <w:br/>
        <w:t>HAVING REGARD TO Article 102 of the Treaty on the Functioning of the European Union (TFEU);</w:t>
        <w:br/>
        <w:t>HAVING REGARD TO Council Regulation No. 1/2003 of December 16, 2002;</w:t>
        <w:br/>
        <w:t>HAVING REGARD TO the Commission Communication on cooperation within the network of competition authorities, of April 27, 2004;</w:t>
        <w:br/>
        <w:t>HAVING REGARD TO Law No. 287 of October 10, 1990;</w:t>
        <w:br/>
        <w:t>HAVING REGARD TO Presidential Decree No. 217 of April 30, 1998;</w:t>
        <w:br/>
        <w:t>HAVING REGARD TO the report from UnipolTech S.p.A. received on May 19, 2022 and supplemented on July 18, 2022;</w:t>
        <w:br/>
        <w:t>HAVING REGARD TO the documentation on file;</w:t>
        <w:br/>
        <w:t>CONSIDERED the following:</w:t>
        <w:br/>
        <w:t>I. THE PARTIES</w:t>
        <w:br/>
        <w:t>1. AISCAT - Italian Association of Toll Highway and Tunnel Concessionaires (hereinafter "AISCAT"), based in Rome, is the association of Italian toll highway and tunnel concessionaires, established in 1966 and affiliated with Confindustria. Currently, it has 17 so-called effective member concessionaires1 that collectively manage 4,835 km of highways out of approximately 7,000 km of the Italian highway network. Among the members, the Autostrade per l’Italia group holds the majority of voting rights in the General Assembly of the Association and has indicated, with reference to the current offices, 6 out of 11 members of the Board of Directors.</w:t>
        <w:br/>
        <w:t>1 According to AISCAT's website, this association would have 18 Effective Members, but the same website only lists 17 by name: ASPI- Autostrade per l’Italia S.p.A., SPN-Salerno Pompei Napoli S.p.A. (in the process of joining), Autostrada del Brennero, CAS-Consorzio Autostrade Siciliane, Autovie Venete S.p.A., Autostrada Brescia-Padova S.p.A., Milano Serravalle-Milano Tangenziali S.p.A., SITAF – Società Italiana Autostradale del Frejus S.p.A., SAT-Società Autostrada Tirrenica S.p.A., RAV-Raccordo Autostradale Valle d’Aosta S.p.A., TANA-Tangenziale di Napoli S.p.A., CAV-Concessioni Autostradali Venete S.p.A., Società di Progetto BREBEMI S.p.A., Autostrada Pedemontana Lombarda S.p.A., SPV-Superstrada Pedemontana Veneta S.p.A., SITMB-Società Italiana per Azioni per il Traforo del Monte Bianco S.p.A., SITRASB-Società Italiana Traforo Gran San Bernardo S.p.A.</w:t>
      </w:r>
    </w:p>
    <w:p>
      <w:r>
        <w:rPr>
          <w:b/>
        </w:rPr>
        <w:t>[Pages 4–6]</w:t>
      </w:r>
    </w:p>
    <w:p>
      <w:r>
        <w:t>6 BULLETIN NO. 38 OF OCTOBER 24, 2022</w:t>
      </w:r>
    </w:p>
    <w:p>
      <w:r>
        <w:t>2. Autostrade per l’Italia S.p.A. (hereinafter “ASPI”) is the main Italian highway concessionaire, active in the construction and management of highways, transport infrastructures adjacent to the highway network, parking and intermodal infrastructures, and is a full member of AISCAT. The origins of ASPI date back to the establishment, by IRI, of the publicly owned company Autostrade Concessioni e Costruzioni S.p.A.2, which in 1990 introduced Telepass, a system for the electronic payment of highway tolls. The privatization dates back to 1999, when IRI sold its 30% stake, with which it exercised control over the company, to Schemaventotto, a subsidiary of Edizione Holding Spa. In 2003, Autostrade per l’Italia came under the control of Autostrade S.p.A., which in 2007 would become Atlantia S.p.A. Subsequently, on May 5, 2022, the transfer of the 88.06% stake in Autostrade per l’Italia, held by Atlantia S.p.A., to Holding Reti Autostradali S.p.A. (HRA) was completed, an investment vehicle participated by Cassa Depositi e Prestiti Equity (51%), Blackstone Infrastructure Partners (24.5%), and funds managed by Macquarie Asset Management (24.5%). The total length of the highway sections managed by ASPI is approximately 3,000 km. The following highway concessionary companies are part of the Autostrade per l'Italia Group: SITMB-Società Italiana per Azioni per il Traforo del Monte Bianco S.p.A. (51%), RAV-Raccordo Autostradale Valle d’Aosta S.p.A. (controlled by SITMB at 47.97%); TANA-Tangenziale di Napoli S.p.A. (100%); SAT-Società Autostrada Tirrenica S.p.A. (99.99%).</w:t>
      </w:r>
    </w:p>
    <w:p>
      <w:r>
        <w:t>3. UnipolTech S.p.A. (formerly AlfaEvolution Technology S.p.A., hereinafter “UnipolT”) is the company, subject to the direction and coordination of Unipol Gruppo S.p.A., active in the design, development, and provision of innovative services based on telematics, new internet solutions (IoT), and the use of Big Data for the Mobility, Property, and Health ecosystems of the Unipol group. In the Mobility sector, UnipolT has developed and launched the commercialization of the Unipolmove product, which enables electronic payment of highway tolls.</w:t>
      </w:r>
    </w:p>
    <w:p>
      <w:r>
        <w:t>II. THE REPORT</w:t>
      </w:r>
    </w:p>
    <w:p>
      <w:r>
        <w:t>4. On May 19, 2022, UnipolT reported a set of behaviors allegedly adopted by AISCAT and/or the main highway concessionaires in Italy, which would aim to obstruct its entry into the Italian electronic toll collection market, requesting an investigative intervention by the Authority pursuant to Articles 101 and/or 102 TFEU.</w:t>
      </w:r>
    </w:p>
    <w:p>
      <w:r>
        <w:t>5. In summary, the behaviors subject to the report can be distinguished into five main strands: i) the preparation and application, by AISCAT, of a lengthy and cumbersome accreditation procedure for the new SET3 service, within which AISCAT would have exhibited dilatory behaviors; ii) the failure to adapt all highway toll booths for the simultaneous operation of the two services SIT and SET4; iii) the failure to adapt the signage at the highway toll booths to inform users about the operation of the SET services as well; iv) the hindrance to the application of tariff benefits to UnipolT users that are instead applied to Telepass users; v) the application, in contracts entered into by UnipolT with the concessionaires, of a standard contract prepared by AISCAT containing onerous and discriminatory contractual clauses compared to those applied to Telepass.</w:t>
      </w:r>
    </w:p>
    <w:p>
      <w:r>
        <w:t>6. On July 18, 2022, UnipolT supplemented the initial report by highlighting an additional issue related to the billing of amounts not due to its customers due to so-called erroneous transits, consisting of the practice of the concessionaires to charge the customer, in the event of failure to detect the entry transit of the vehicle due to technical malfunctions, the transit calculated from the geographically furthest entry station rather than from the actual entry station (and thus based on a longer route than the actual one). Similar anomalies found on Telepass customers would instead be automatically corrected by the concessionaires, as Telepass, unlike UnipolT, has direct access to a shared database with the various concessionaires that allows cross-checking (via photograph) of the license plate of the vehicle entering and thus avoids charges for routes not actually traveled.</w:t>
      </w:r>
    </w:p>
    <w:p>
      <w:r>
        <w:t>III. THE PRELIMINARY INVESTIGATION CONDUCTED</w:t>
      </w:r>
    </w:p>
    <w:p>
      <w:r>
        <w:t>7. Upon receiving the report, the Authority proceeded to carry out some preliminary investigation activities, sending requests for information on June 22 and July 6, 2022, to 30 highway concessionaires5, as well as to the AISCAT association, and to the new German electronic toll operator DKV Euro Service GmbH (hereinafter, “DKV”)6. All interviewed concessionaires (except for those that were no longer operational in the market due to corporate changes) corresponding to 27 companies7 provided responses. Similarly, the AISCAT association and the DKV operator responded to the request for information.</w:t>
      </w:r>
    </w:p>
    <w:p>
      <w:r>
        <w:t>8. On June 1 and September 14, 2022, UnipolT was also heard in a hearing to provide clarifications on the reported behaviors and the relevant market.</w:t>
      </w:r>
    </w:p>
    <w:p>
      <w:r>
        <w:t>IV. THE REGULATORY FRAMEWORK</w:t>
      </w:r>
    </w:p>
    <w:p>
      <w:r>
        <w:t>9. The highway toll consists of a fee, proportional to the vehicle class and the distance traveled, due to the so-called Toll Collector (hereinafter, “EdP”) to whom the management of the highway infrastructure has been entrusted, through a concession agreement with the Ministry of Infrastructure and Transport (MIT), now the Ministry of Infrastructure and Sustainable Mobility (MIMS).</w:t>
      </w:r>
    </w:p>
    <w:p>
      <w:r>
        <w:t>10. The toll can be paid in cash, by payment cards (debit and credit), Viacard, or through the so-called electronic toll collection, that is, an electronic payment service purchasable from specific Service Providers or service providers (hereinafter, “FdS”) who, in order to provide the service on a highway section, must have signed a specific contract with the relevant concessionaire manager (alias EdP). The FdS provides the user with an electronic device to be installed on board the vehicle (so-called on board unit – hereinafter, “OBU”)8 that communicates with the detectors9 installed at the exit stations of the highway sections10.</w:t>
      </w:r>
    </w:p>
    <w:p>
      <w:r>
        <w:t>11. The electronic toll market is characterized by the coexistence of three types of services (and related regulatory regimes): on one hand, i) the national electronic toll service in which only Telepass has operated for over 30 years for both light vehicles (“ML”) and heavy vehicles (“MP”); on the other hand, ii) the European Electronic Toll Service (“SET”) introduced by Directive 2004/52/EC11 (now repealed) and currently regulated by Directive 2019/520/EU12 - applicable for both ML and MP; and lastly, iii) the Interoperable Electronic Toll Service defined by the acronym SIT, whose access is allowed to UnipolT, like other new entrant FdS, only for MP (so-called SIT-MP). The main characteristics of these three electronic toll systems will be illustrated below.</w:t>
      </w:r>
    </w:p>
    <w:p>
      <w:r>
        <w:t>12. The national electronic toll service constituted the first national electronic toll service introduced in Italy, through the launch in 1990, by ASPI, of its Telepass product - and has remained the only one despite the absence of any regulatory and normative reservation in favor of Telepass itself. Only in 2008 did the ownership of the Telepass product formally pass to a separate company of the Autostrade group, namely Telepass S.p.A., which remained under the control of ASPI until ASPI remained in the Atlantia group (i.e., until May 2022). In the responses of the concessionaires to the requests for information, the national system is presented as a “proprietary application not natively open to further operators,” “patented” by ASPI and for which ASPI managed a centralized information collection system on transits, and even after the spin-off of the Telepass company, continued to have an exclusive operational role as an interface between Telepass and the other concessionary companies13.</w:t>
      </w:r>
    </w:p>
    <w:p>
      <w:r>
        <w:t>13. While with the national electronic toll service offered by Telepass, users can make electronic payments for the highway sections traveled within national borders, users traveling in a foreign country must therefore equip themselves with the different electronic toll service offered there, the</w:t>
      </w:r>
    </w:p>
    <w:p>
      <w:r>
        <w:t>8 The OBU or OBE (On Board Equipment).</w:t>
        <w:br/>
        <w:t>9 The so-called RSE (Road Side Equipment).</w:t>
        <w:br/>
        <w:t>10 The toll system of the Italian highway network constitutes an interconnected system, consisting of a physically interconnected network of highways, within which each EdP is delegated to request the FdS for the payment of tolls related to routes that end at one of its exit stations, even those that may have started at the entry station of another EdP and/or may have crossed portions of a route managed by another EdP: the toll is therefore entirely collected by the concessionary company responsible for the exit station and is distributed among the other interested managers, based on the so-called Interconnection Agreement. Source: Toll Domain Statement – Annex to the Response of Aut. BS-PD of 8.7.22, also available on the MIT website; as well as Annex A - Organizations and Procedure to the standard SET and SIT-MP contract for 2022, transmitted by AISCAT on 11.7.22.</w:t>
        <w:br/>
        <w:t>11 Directive of April 29, 2004 concerning the interoperability of electronic toll systems in the Community, implemented in Italy with D.MIT No. 4405 of November 18, 2005. This 2004 Directive referred the definition of the SET to a subsequent decision of the Commission (decision 2009/750/EC of October 6, 2009), later repealed by the EU Implementing Regulation 2020/204 of the Commission of November 28, 2019.</w:t>
        <w:br/>
        <w:t>12 Implemented in Italy with Legislative Decree No. 153 of November 5, 2021.</w:t>
        <w:br/>
        <w:t>13 Response from AISCAT of 11.7.22; response from ASPI of 8.7.22; response from RAV of 11.7.22; response from SAT of 11.7.22; response from TANA of 11.7.22; response from SPN of 12.7.22; response from CAV of 6.7.22.</w:t>
      </w:r>
    </w:p>
    <w:p>
      <w:r>
        <w:rPr>
          <w:b/>
        </w:rPr>
        <w:t>[Pages 7–9]</w:t>
      </w:r>
    </w:p>
    <w:p>
      <w:r>
        <w:t>BULLETIN NO. 38 OF OCTOBER 24, 2022 9</w:t>
      </w:r>
    </w:p>
    <w:p>
      <w:r>
        <w:t>SET was introduced to allow electronic payment of highway tolls in multiple member states with a single onboard electronic device (OBU), without having to have multiple devices provided by the toll operators of different countries in the cabin during a cross-border trip. The same objective can be achieved by a national system operator (alias Telepass) only by entering into bilateral contracts with the toll operators of foreign countries, thus not through direct management (as an accredited SET operator in multiple states) but rather indirect management of the toll service in those foreign states (in this regard, it appears that Telepass has bilateral agreements for ML with operators in France, Spain, and Portugal).</w:t>
      </w:r>
    </w:p>
    <w:p>
      <w:r>
        <w:t>14. The SET constitutes, according to European-derived legislation, a "complementary" service to the national service. The Directive 2004/52/EC already clarified that anyone with the necessary requirements could operate as a SET provider [it established that “toll systems should be interoperable and based on publicly available standards for all system providers on a non-discriminatory basis” (recital 6) and that the service “will be defined by a body of contractual rules that authorize all operators and/or issuers to provide the service” (Article 3, paragraph 1)], and even more clearly this was reiterated in Directive 2019/520/EU [“toll collectors should grant access to the SET sector under their competence to SET providers in a non-discriminatory manner” (recital 19 and Article 6, paragraph 3), “users should be able to subscribe to the SET through any SET provider, regardless of their nationality, the member state of residence, or the member state of vehicle registration” (recital 26)]. The regulatory and legislative framework thus provides for a service that can be freely exercised by anyone who meets the requirements.</w:t>
      </w:r>
    </w:p>
    <w:p>
      <w:r>
        <w:t>15. While, from the available information, it does not appear that any accreditation procedure has been provided for the national service, the association AISCAT has developed an accreditation procedure to access the SET divided into three phases, which involves significant time (minimum approximately 210 days) and costs (thousands of euros borne by the aspiring FdS for the various phases of verification in which it unfolds). Furthermore, the FdS of the SET has the obligation, pursuant to Article 5 of Directive 520/2019/EU, to conclude contracts in the territory of at least 4 member states (3 others besides Italy) within 36 months of its registration.</w:t>
      </w:r>
    </w:p>
    <w:p>
      <w:r>
        <w:t>16. As for the SIT-MP, from the elements on record, it appears to be a toll service to which the highway sector has allowed access to new entrant operators limited only to MP. The service operates with the same technical-informatic protocol SET, thus the MP can only pass through the gates enabled for SET and therefore bearing the relevant signage with the blue flag (on which, see infra). The relevant FdS must have completed the accreditation process in Italy (with all its 3 phases), although it is not obliged to conclude contracts in the territory of at least 4 member states (an obligation instead, as mentioned, provided for the SET): therefore, the SIT-MP customer can only use the service within national borders, unless the FdS enters into bilateral agreements with foreign operators. In this sense, also considering from the perspective of customers with heavy vehicles, the SIT-MP is not a perfect substitute for the national service provided by Telepass. The highway sector seems to have 'devised' it precisely in response to the requests of new operators, allowing them through this means a very partial access to tolling, as it is limited by i) vehicle type and ii) type of gates (enabled for SET and with the relevant signage), and therefore, as will be seen, not usable throughout the national territory, given the still incomplete implementation of SET gates – keeping it well distinct from the 'national system', which remains the exclusive domain of Telepass.</w:t>
      </w:r>
    </w:p>
    <w:p>
      <w:r>
        <w:t>V. THE FACTS</w:t>
      </w:r>
    </w:p>
    <w:p>
      <w:r>
        <w:t>a) The closure of the national toll system</w:t>
      </w:r>
    </w:p>
    <w:p>
      <w:r>
        <w:t>17. UnipolT reports having requested accreditation for the SIT service on the Italian highway network under concession, both for ML and MP, from AISCAT in January 2019, stating that AISCAT, while initially responding that an accreditation procedure for the SIT ML service did not exist and announcing its adoption shortly, subsequently (at the end of 2019) resolved not to adopt any procedure in this regard since the accreditation procedure for the SET was about to be adopted. Therefore, AISCAT allowed UnipolT only to operate in the SIT-MP (and not ML) - a service that UnipolT began to provide concretely from February 2022. As for ML, AISCAT 'redirected' UnipolT towards access to the SET, resulting in the necessity for UnipolT to face the long and costly accreditation process related to it, during which AISCAT also requested the bidirectionality of the coupling of the device with the license plate of the owning vehicle (allegedly not required for Telepass). The accreditation procedure was concluded in December 2021, allowing UnipolT to begin commercial operations in the SET (this time for all vehicles) only from March 2022.</w:t>
      </w:r>
    </w:p>
    <w:p>
      <w:r>
        <w:t>18. According to UnipolT, the impediment to access to the national toll system for ML and MP, with the consequent systematic 'redirecting' of potential new entrant FdS (including UnipolT itself) towards the SET (and towards the SIT-MP), would be likely to discriminate and prejudice the latter, as it would hinder their full operation, while at the same time maintaining the national toll system (ML and MP) as the exclusive domain of Telepass, which would thus retain its historical position of de facto monopoly.</w:t>
      </w:r>
    </w:p>
    <w:p>
      <w:r>
        <w:t>19. Furthermore, the necessity for operators wishing to provide a toll service for light vehicles in Italy to exercise the SET option would subject them to significant burdens. Firstly, as seen, accreditation to the SET indeed presupposes the operation of the company in at least 4 member states, while – as mentioned above – Telepass can choose to operate only in Italy, or alternatively can choose to operate abroad through the less burdensome stipulation of bilateral contracts with foreign toll operators. Conversely, at least the first of these two solutions is precluded to entities operating within the SET. Secondly, while there is no standardized procedure from AISCAT to operate in the national system, and 30 years ago, ASPI merely launched the product and installed it on its own network (the main route, it is recalled, of the entire Italian highway network) and then entered into collaboration agreements with other concessionaires for its joint launch on other routes, to access the SET, the AISCAT association has developed a lengthy and significantly burdensome accreditation procedure for the aspiring FdS (see above), within which AISCAT has often assumed a dilatory behavior.</w:t>
      </w:r>
    </w:p>
    <w:p>
      <w:r>
        <w:t>20. In conclusion, according to UnipolT, the forced 'redirecting' of new operators towards the SET would discriminate against and prejudice them compared to Telepass, given precisely the greater burden of the SET compared to the national system under all the aspects just listed.</w:t>
      </w:r>
    </w:p>
    <w:p>
      <w:r>
        <w:t>23 This refers to the insertion in the device of the license plate of the associated vehicle: see UnipolT report 19.5.22 and hearing minutes 14.9.22, in which it is highlighted how Telepass would instead be allowed to associate two license plates with the same OBU.</w:t>
      </w:r>
    </w:p>
    <w:p>
      <w:r>
        <w:t>24 Article 5, paragraph 1 of Directive 2019/520/EU, cited.</w:t>
      </w:r>
    </w:p>
    <w:p>
      <w:r>
        <w:t>25 See the integration of UnipolT's report, sent on 18.7.22, in which it is stated that the conclusion of inter-operator agreements represents a more streamlined and quicker way to enter new national markets compared to the SET. See also the attached comparative table of the costs of a bilateral negotiation for the indirect management of tolling abroad compared to the costs of SET accreditation for the direct management of tolling abroad.</w:t>
      </w:r>
    </w:p>
    <w:p>
      <w:r>
        <w:t>26 A third aspect of the burden of SET accreditation was finally represented, as noted by the Commission in its letter of formal notice to Italy dated 3.12.2020 for violation of Directive 2004/52/EC, by the necessary use of GNSS (Global Navigation Satellite System) satellite technology while the national toll service was “exclusively in the hands of the Telepass operator, to whom Italian legislation allows to provide it using exclusively DSRC (Dedicated Short-Range Communication) technology. Thus, Italian legislation does not force Telepass to equip the devices, to be installed on board cars, with the more advanced and costly technology.</w:t>
      </w:r>
    </w:p>
    <w:p>
      <w:r>
        <w:rPr>
          <w:b/>
        </w:rPr>
        <w:t>[Pages 10–12]</w:t>
      </w:r>
    </w:p>
    <w:p>
      <w:r>
        <w:t>12 BULLETIN NO. 38 OF OCTOBER 24, 2022</w:t>
      </w:r>
    </w:p>
    <w:p>
      <w:r>
        <w:t>21. This forced 'diversion' towards the SET would simultaneously allow for an absolute closure of the historical national toll system, without any changes having occurred in this regard since the Commission, on 3.12.2020, put Italy on notice under Article 258 TFEU for violation of the first Directive 2004/52/EC concerning the interoperability of electronic road toll systems within the Community27, noting that the segment of the national toll system related to light vehicles was affected by a "deficit of free competition: in fact, this market is not open to the entry of operators other than Telepass. Specifically, operators wishing to provide a toll service for light vehicles in Italy must necessarily exercise the SET option”28.</w:t>
      </w:r>
    </w:p>
    <w:p>
      <w:r>
        <w:t>It should be noted that the same competition deficit is also a topic of discussion at the national institutional level, where it is similarly noted that Telepass is the only provider of toll services for the national system, effectively operating as a monopoly29.</w:t>
      </w:r>
    </w:p>
    <w:p>
      <w:r>
        <w:t>b) The further aspects of discrimination against SET operators compared to the national system operator</w:t>
      </w:r>
    </w:p>
    <w:p>
      <w:r>
        <w:t>22. The impediment to access to the national system would result in three additional detrimental and discriminatory consequences for newcomers to the FdS compared to the treatment reserved for Telepass: i) the application in relations with the highway concessionaires of a standard contract prepared by AISCAT, containing a series of clauses that burden the position of the FdS and which are not found in the so-called Framework Agreements of the highway managers with Telepass; ii) the lack of access for SET FdS to the tariff benefits instead guaranteed by the concessionaires to Telepass customers; iii) the different treatment of so-called erroneous transits, the subject of the integration recently submitted by UnipolT to its complaint30.</w:t>
      </w:r>
    </w:p>
    <w:p>
      <w:r>
        <w:t>b1) The differences between SET contracts and Telepass contracts</w:t>
      </w:r>
    </w:p>
    <w:p>
      <w:r>
        <w:t>23. Even after overcoming the delays and costs associated with accreditation, it appears that all new operators undergoing accreditation in Italy for the SET (and for the SIT-MP) are subject to a standard contract developed by AISCAT containing some particularly burdensome clauses for the FdS - which do not appear in the Agreements of the concessionaires with Telepass.</w:t>
      </w:r>
    </w:p>
    <w:p>
      <w:r>
        <w:t>However, the subsequent Directive 2019/520/EU has overcome this discriminatory aspect, allowing until 2027 for new operators to exercise the SET also with DSRC technology although only for ML (while for MP the obligation to use both DSRC and GNSS technologies remains): see the minutes of the UnipolT hearing of 14.9.22.</w:t>
      </w:r>
    </w:p>
    <w:p>
      <w:r>
        <w:t>27 See also the previous document from the Commission dated 31.5.2017 on the Impact Assessment of the proposal for a new Directive (STAFF WORKING DOCUMENT IMPACT ASSESSMENT Accompanying the document Proposal for a Directive of the European Parliament and of the Council on the interoperability of electronic road toll systems and facilitating cross-border exchange of information on the failure to pay road fees in the Union): “In some Member States, the presence of vertically integrated companies providing services in the role of toll charger as well as that of toll service provider, or the presence of long-established national toll service providers can present a potential barrier to entry to EETS providers and other toll service providers. (…) Vertically integrated companies are present, currently, in: Austria, Belgium, the Czech Republic, Germany, Italy (Telepass, the only toll service provider active in Italy at the moment of writing of this report, is not itself operating any of the ETC systems in Italy, but it is a subsidiary of the largest Italian toll charger, the motorway concession holder Autostrade per l'Italia), Poland, Slovakia, and soon Slovenia”.</w:t>
      </w:r>
    </w:p>
    <w:p>
      <w:r>
        <w:t>28 As cited in the Report concerning the financial impact arising from acts and judicial and pre-litigation procedures with the European Union, presented by the MEF on 21.2.2022.</w:t>
      </w:r>
    </w:p>
    <w:p>
      <w:r>
        <w:t>29 Chamber of Deputies, Interrogation on market access for SET operators, no. 5-0529 of January 20, 2021.</w:t>
      </w:r>
    </w:p>
    <w:p>
      <w:r>
        <w:t>30 And which DKV also refers to in its response of 28.7.22 to the request for information.</w:t>
      </w:r>
    </w:p>
    <w:p>
      <w:r>
        <w:t>BULLETIN NO. 38 OF OCTOBER 24, 2022 13</w:t>
      </w:r>
    </w:p>
    <w:p>
      <w:r>
        <w:t>24. The SET contracts (and the corresponding SIT-MP contracts)31 indeed contain the following clauses: i) the obligation of guarantee through a bank guarantee (art. 9), ii) in the event of termination of the contractual relationship with one or more concessionaires, the right of all other interconnected concessionaires to withdraw with 60 days' notice without any right to compensation for the FdS (art. 23.2), with the risk for the FdS of losing the ability to provide the service over all or part of the network, iii) the obligation for the FdS of equal treatment among the various concessionaires, that is, the commitment to apply to the concessionaire part of the contract a commission not exceeding the commission applied to other already contracted concessionaires (art. 11.7 in the SET and SIT-MP contracts of [omissis])*32, or the substantially equivalent commitment, in the case of an agreement with one or more concessionaires of a commission lower than that subject to contract, to offer that commission also to the contracted concessionaire (art. 11.1 in contracts with some other concessionaires)33 – and this in the absence of a reciprocal clause imposing on the EdP obligations of non-discrimination in remuneration among the FdS, as instead provided for under art. 7.2 of Directive 2019/520/EU; iv) the prohibition of transfer of the contract even in the case of transfer of business or business unit by the FdS (art. 20.1), which ultimately hinders legitimate transfer operations of activities even where the transferee had the qualifications to operate in the market in question.</w:t>
      </w:r>
    </w:p>
    <w:p>
      <w:r>
        <w:t>25. Different from these SET and SIT-MP contracts appear to be the acquired Agreements between the concessionaires and Telepass, Agreements dating back to the 199034 (renewable tacitly year by year), which merely regulate the cooperation between ASPI/Telepass (at that time identified as a single entity), on one side, and the individual concessionaire for its stretch, on the other, in the promotion and joint offering of the Telepass product (generally together with the ViaCard product). These Agreements do not contain any of the above clauses, which are instead present in the standard SET and SIT-MP contracts.</w:t>
      </w:r>
    </w:p>
    <w:p>
      <w:r>
        <w:t>Even the only more recent contract with Telepass acquired in the records, namely that stipulated by ASPI in 200935 - after the business unit concerning the Telepass business was transferred within the group to a separate company (Telepass S.p.A.), which remained under the control of ASPI at that time - is devoid of such clauses. This contract only provides that Telepass “guarantees pro-soluto for the payment of highway tolls due from the customer itself, thus assuming responsibility for any defaults” (art. 4), without establishing that the fulfillment of this obligation by the FdS is supported by a bank guarantee.</w:t>
      </w:r>
    </w:p>
    <w:p>
      <w:r>
        <w:t>26. With specific reference to the guarantee, the standard SET and SIT-MP contracts acquired in the pre-investigation provide that it: i) be issued in the form of a bank guarantee, ii) be issued by a primary credit institution, possessing a minimum rating level, and of “approval” by the concessionaire, iii) must cover the exact and timely fulfillment, by the FdS, of the obligations arising from the contract stipulated with the EdP (obligation to pay the toll with the burden of any defaults but net of the commission due) as well as cover any damage caused by the FdS to the EdP as a result of the execution of the contract itself, iv) must be on first demand, unconditional and irrevocable, and the related enforcement must be requested by the EdP without any obligation on the latter to first enforce the FdS, v) be of “maximum amount” equal to the average monthly turnover of the toll company multiplied by 2 (as in almost all contracts; only in rare cases is reference made to the average monthly turnover multiplied by 1.5)36 - and this while the EU Implementing Regulation 2020/204 of the Commission37, relating to the specific obligations of the European toll FdS - in Annex II, provides that the bank guarantee (to which another “equivalent financial instrument” is equated) cannot exceed “the average monthly amount of toll transactions paid by the SET provider” for its toll sector, without any further multipliers.</w:t>
      </w:r>
    </w:p>
    <w:p>
      <w:r>
        <w:t>27. UnipolT reports that, having to bear the cost of the guarantee, it “burns” the commission received for at least two months out of twelve38.</w:t>
      </w:r>
    </w:p>
    <w:p>
      <w:r>
        <w:t>b2) The exclusion of the SET regarding the possibility of granting tariff benefits to users</w:t>
      </w:r>
    </w:p>
    <w:p>
      <w:r>
        <w:t>28. The further aspect of discrimination between the new FdS that can only access the SET (and the SIT-MP), on one side, and Telepass, on the other side - an aspect reported by UnipolT and which seems to be confirmed by the responses to the requests for information - is the exclusion, for the former, from tariff benefits for customers, a business tool that is evidently crucial for attracting new demand and expressly provided for by Directive 2019/520/EU on the SET39. While in fact all highway concessionaires grant Telepass users discounts on toll rates (for some of which AISCAT has managed the dialogue with the MIT)40, which they bear, thus making the Telepass service particularly attractive, there is a substantial uniformity in the lack of provision/application of tariff benefits for users of the new FdS with which SET and SIT-MP contracts have been signed.</w:t>
      </w:r>
    </w:p>
    <w:p>
      <w:r>
        <w:t>29. In the responses to the requests for information, the concessionaires have cited as justification for this limited application of discounts to Telepass users “timing reasons for implementation”.</w:t>
      </w:r>
    </w:p>
    <w:p>
      <w:r>
        <w:rPr>
          <w:b/>
        </w:rPr>
        <w:t>[Pages 13–15]</w:t>
      </w:r>
    </w:p>
    <w:p>
      <w:r>
        <w:t>BULLETIN NO. 38 OF OCTOBER 24, 2022 15</w:t>
      </w:r>
    </w:p>
    <w:p>
      <w:r>
        <w:t>at the time and currently technical”41. Particularly noteworthy are the statements by ASPI (and its subsidiary RAV)42 according to which “The characteristics of the SET require entirely different technical solutions, for which the concessionaires are actively working, in collaboration with the new operators, to ensure the system's readiness by the end of 2022” (similarly also its subsidiary TANA-Tangenziale Napoli43). Also interesting is the statement by SAV, part of the ASTM group, which, in asserting its efforts for the extension, refers to “a joint table between SAV, RAV, and ASPI,” concerning “the management methods of such facilitations”44.</w:t>
      </w:r>
    </w:p>
    <w:p>
      <w:r>
        <w:t>However, almost all declare themselves available to extend it to the new operators entering the SET, thereby implicitly demonstrating the absence of insurmountable obstacles. Other concessionaires, as also reported by UnipolT45, cite the previously necessary authorization from the competent Ministry: in this sense, see the response to the request for information from the concessionaire SPN (Salerno-Pompei-Napoli), which states that “at the time of the introduction of the Telepass tariff modulation, it was the only producer and distributor in the Italian territory of toll devices, while now, with the implementation of the SET, other service providers operate; regarding these, the current regulations (D. Lgs 153/2021 art. 6, c. 6) provide that ‘The toll applied by toll collectors to SET users must not exceed the corresponding national or local toll, without prejudice to the possibility of providing discounts or reductions to promote electronic tolling.’” Having stated this, it is currently awaited that the grantor MIMS confirms the previously requested possibility of applying the same tariff modulation to the customers of European toll operators as applied to the customers of the national toll operator”46. In this regard, UnipolT has attached to the report its reminders to some concessionaires that would have denied it the possibility of proceeding with discounts – addressed, for information, also to the Ministry – in which UnipolT communicates that the Ministry itself, in a previous meeting, would have stated that no authorization from it is necessary for concessionaires to agree on the feasibility of tariff facilitations47. This communication, of which the Ministry has been made aware, does not appear to have ever been denied or refuted by it.</w:t>
      </w:r>
    </w:p>
    <w:p>
      <w:r>
        <w:t>30. The limitation of facilitations to Telepass users thus appears to be a remnant of the de facto monopoly it has exercised so far – which, as seen, AISCAT and its associates seem to defend by arguing that the national electronic tolling system is a ‘closed’ proprietary system. It also emerges that there are no obstacles (although a certain timing is necessary) to extending discounts to new operators, so much so that all concessionaires declare themselves available for this purpose (and a minority of them have proceeded or are negotiating to proceed), without the reference to an allegedly necessary authorization from MIMS48 being a justification for non-extension.</w:t>
      </w:r>
    </w:p>
    <w:p>
      <w:r>
        <w:t>b3) The different treatment of so-called erroneous transits</w:t>
      </w:r>
    </w:p>
    <w:p>
      <w:r>
        <w:t>31. As anticipated, UnipolT has supplemented the initial report by highlighting an additional issue, relating to the billing of amounts not due to its customers due to the so-called erroneous transits, that is, the charging of the toll for a transit despite the vehicle not being detected upon entry, thus calculated by default from the geographically furthest entry station for that stretch49.</w:t>
      </w:r>
    </w:p>
    <w:p>
      <w:r>
        <w:t>32. According to what UnipolT indicated, this would be an additional consequence of the different treatment to which the closed national Telepass system is subject, on one hand, and the competitive SET system, on the other, similarly to the different contractual regime and the different discount regime mentioned above. The different treatment of so-called erroneous transits would indeed derive from the circumstance that only Telepass would have direct access to a database shared with the various concessionaires that allows for a cross-check (via photograph) of the license plate of the vehicle entering and thus avoids charges for stretches not actually traveled – while such access would be denied to UnipolT.</w:t>
      </w:r>
    </w:p>
    <w:p>
      <w:r>
        <w:t>33. The scale of the phenomenon is reported to be growing since the beginning of UnipolT's operations in the SET (March 2022) and, although some concessionaires have declared themselves available to extend to UnipolT the shared database that allows for control to avoid charges, the problem seems to persist, with uncertainty regarding the timing necessary for its complete resolution.</w:t>
      </w:r>
    </w:p>
    <w:p>
      <w:r>
        <w:t>c) The obstacles to the SET: adjustment of the toll booths and signage</w:t>
      </w:r>
    </w:p>
    <w:p>
      <w:r>
        <w:t>34. Alongside the complete closure of the national electronic tolling system (exclusively managed by Telepass), the collected elements seem to reveal a delayed and/or incomplete implementation of the SET system, in terms of both i) the technical adjustment of the toll booths and ii) the signage. In this regard, therefore, while various operators have been contracted for the SET (as well as for the SIT-MP) – in addition to UnipolT, the German company DKV and the French company Axxès SAS – while other operators are in negotiation with the concessionaires to enter these systems, there appear to remain, at least in some local areas, certain situations obstructing the full operation of the FdS.</w:t>
      </w:r>
    </w:p>
    <w:p>
      <w:r>
        <w:t>35. Regarding the technical adjustment of the pre-existing toll booths to the SET system (supra, sub i), there remain some highway stretches where not all booths are doubly enabled (both to the national system and to the SET), with some toll gates reserved exclusively for Telepass, which seems to prevent the SET (or SIT-MP) users of the new FdS from using them for payment, resulting in reduced attractiveness of the service itself for customers and prejudice for the related operator providing it.</w:t>
      </w:r>
    </w:p>
    <w:p>
      <w:r>
        <w:t>36. Similarly, the same applies to the other reported issue (supra, sub ii), i.e., the adjustment of the signage of the toll booths (once the latter are technically adjusted to the SET). From the pre-investigation carried out, it appears that in 2017, AISCAT promoted and formally approved by the MIT50, as signage for the toll lanes that had also been adjusted to the SET, the logo bearing the blue flag of the European Union alongside the sign for telematic reception (the “waves”), a logo that was thus juxtaposed to the old Telepass logo. Subsequently, following requests from the new FdS for the placement of ‘neutral’ signage from a commercial point of view, a modification of the old Telepass logo was accepted in AISCAT and approved by the MIMS, so that it no longer bore the entire name of the company in blue italics but only the black “T,” maintaining the traditional yellow for the lanes51. However, to date, the replacement of the signage does not appear to have been completed, resulting in the continued presence of some booths and some lanes still marked by the historic Telepass brand, and therefore not adjusted to the market opening desired by Directive 2019/520/EU, or – even if technically adjusted to the SET – lacking signage that is as commercially neutral as possible in the eyes of users compared to the logo of the historical monopolist of the national system. The issue has also been noted by the Transport Regulatory Authority (ART), which has emphasized how in some cases only the lanes reserved for Telepass customers are clear and visible, unlike the lanes reserved for other electronic toll operators, generating in users the incorrect perception that there is only one supplier on the market52.</w:t>
      </w:r>
    </w:p>
    <w:p>
      <w:r>
        <w:t>VI. EVALUATIONS</w:t>
      </w:r>
    </w:p>
    <w:p>
      <w:r>
        <w:t>Markets and dominance</w:t>
      </w:r>
    </w:p>
    <w:p>
      <w:r>
        <w:t>37. The case at hand concerns the highway management market and the related market of providing electronic tolling services to users traveling on highways.</w:t>
      </w:r>
    </w:p>
    <w:p>
      <w:r>
        <w:t>38. In the first market, the concessionary companies operate, whether or not associated with the AISCAT trade association, to which the MIT has exclusively entrusted the management of one or more highway stretches, and which are therefore each in a dominant position in the management of their stretch. Among these concessionaires, ASPI is the most important Italian concessionaire, managing a significant highway portion (about 3,000 km of the 4,835 km overall managed by AISCAT associates and about 7,000 of the entire national network).</w:t>
      </w:r>
    </w:p>
    <w:p>
      <w:r>
        <w:rPr>
          <w:b/>
        </w:rPr>
        <w:t>[Pages 16–18]</w:t>
      </w:r>
    </w:p>
    <w:p>
      <w:r>
        <w:t>18 BULLETIN NO. 38 OF OCTOBER 24, 2022</w:t>
        <w:br/>
        <w:t>As seen, the following additional highway concessionary companies are also part of the Autostrade per l’Italia Group: SITMB, RAV; TANA and SAT – all associated with AISCAT53. ASPI also maintains commercial relationships with other Italian concessionaires, providing, through its wholly-owned subsidiary Movyon S.p.A., ordinary and extraordinary maintenance services to many of them, not only belonging to the group54, as well as back office services55, e.g., for the resolution of disputes regarding unpaid tolls. Finally, it should be noted that in the supplementary deed of 2022 to the Telepass-ASPI Contract of 2009, it is provided that this contract and its supplements concern the regulation of the methods and terms of acceptance and use of the payment instruments issued by Telepass on the highway network under the jurisdiction of ASPI “and of all the highway concessionary companies for which ASPI carries out the acquiring process (by virtue of the relationship arising from the Interconnection Agreement or specific bilateral agreements) of the payment instruments issued by Telepass”56.</w:t>
      </w:r>
    </w:p>
    <w:p>
      <w:r>
        <w:t>39. Due to its significance, ASPI shows that it plays a predominant role within the AISCAT association, exercising a central decision-making power therein, well known even to the press57. This is confirmed by the responses to the request for information regarding the necessary requirements for a FdS to access the national system for any means (including ML): many concessionaires have indeed responded “that, as preliminarily specified in the introduction, the national toll collection service was developed several decades ago by ASPI and, therefore, we would consider that the information elements requested by the Authority are available from ASPI itself”58. Similarly, the company BREBEMI (operator of the Brescia-Bergamo-Milan connection) responded: “for this original condition [Ed. note: the creation of Telepass by ASPI] any accreditation to the national system can only occur through ASPI”59. To the same question, ASPI - and its subsidiaries RAV and TANA - expressed “their willingness, should the need arise or a request in this sense be made, to analyze the technical and organizational methods for defining procedures that allow the extension of the national service to other operators”60.</w:t>
      </w:r>
    </w:p>
    <w:p>
      <w:r>
        <w:t>40. Several concessionaires, therefore, in their terse responses to ASPI, seem to confirm, even today, a substantial decision-making role in the noted closure of the national toll collection system (and this despite the requests for access to this system being procedurally and formally directed by newcomers to the AISCAT association), a decision-making role that is implicitly acknowledged by ASPI in declaring its willingness to work towards opening this national system in the future. Furthermore, ASPI's role in addressing some of the issues raised in complaints within the association emerges in the records, for example, regarding the adjustment of signage, where the illustrative boards of the new "T" logo attached by AISCAT61 happen to bear the ASPI brand.</w:t>
      </w:r>
    </w:p>
    <w:p>
      <w:r>
        <w:t>41. From a formal point of view, looking at the governance of the AISCAT association, ASPI's decision-making weight within the association seems to be confirmed by the statutory provisions of AISCAT, according to which (art. 8) “each effective member is entitled in the General Assembly [Ed. note: the body that makes decisions on the final budget, the appointment of the Board of Directors, statutory amendments, etc.] to a number of votes equal to the millesimal share of the annual contribution due by it,” where out of 1000 total votes of effective members, ASPI in 2022 has 401 votes62, to which must be added those of the companies in the same group (32 from TANA, 29 from SAT, 27 from RAV, 31 from SITMB)63, for a total of at least 520 votes out of 1000. Furthermore, the body responsible for decisions regarding the management of the Association, the Board of Directors (which has a maximum of 15 councilors), is appointed by the General Assembly (art. 10 Statute), which also appoints the President and Vice Presidents: in the three-year term of the current offices (from September 2021 to 2023), one of the 3 Vice Presidents is from ASPI and in the Board of Directors out of 11 members, 4 are from ASPI and 1 from its subsidiary TANA64.</w:t>
      </w:r>
    </w:p>
    <w:p>
      <w:r>
        <w:t>42. Regarding the market for the provision of toll collection services, it is connected with that of highway management as the toll collectors (EdP) are the highway concessionaires, with whom the FdS must indeed enter into contracts to provide the automated payment service on their respective routes. In this sense, the highway concessionaires are the only ones who, each for their own route, can concretely enable the execution of the toll collection service, materially proceeding with the technical adjustment of the toll booths and the adjustment of the related signage, and then managing the necessary data flow.</w:t>
      </w:r>
    </w:p>
    <w:p>
      <w:r>
        <w:t>43. Within the toll collection market, it is noteworthy that ASPI is the historical creator of the national Telepass system, created over 30 years ago. The company Telepass SpA, to which ASPI transferred the business branch related to the national toll collection system as a separate company within the group in 2008, remained under its control until May 2022, when ASPI transitioned from the control of Atlantia to that of Cassa Depositi e Prestiti, thus exiting the Atlantia group, of which Telepass continues to be a part65. Due to this vertical integration, ASPI is - or at least has been until recently - a dominant subject in the market for the provision of toll collection services on the national network, a market distinct but connected to that of highway management.</w:t>
      </w:r>
    </w:p>
    <w:p>
      <w:r>
        <w:t>The abusive discriminatory and exclusionary conduct</w:t>
      </w:r>
    </w:p>
    <w:p>
      <w:r>
        <w:t>44. The set of elements mentioned above seems to confirm, therefore, both in terms of fact and from the perspective of AISCAT governance, a predominant role of ASPI - primary highway concessionaire and historical controller of the de facto monopolist of the national toll collection system - in the associative decision-making processes, the effects of which extend and reverberate throughout the entire highway sector66.</w:t>
      </w:r>
    </w:p>
    <w:p>
      <w:r>
        <w:t>45. In this regard, the AISCAT trade association is merely a formal interlocutor for the new entrant FdS (and this is because requests for accreditation are formally directed to it and the related procedure is managed by it in the first phase, with a specific mandate conferred by the concessionaires67, as well as because it prepares the standard SET contract, mirroring that for the SIT-MP, which is uniformly applied in the relationships between FdS and EdP), and it is also an institutional interlocutor of the Ministry on the main discounts historically granted to Telepass users68 and on new proposals for SET signage. In fact, in carrying out its associative role, AISCAT seems to operate in accordance with the decision-making power exercised internally by its main member ASPI.</w:t>
      </w:r>
    </w:p>
    <w:p>
      <w:r>
        <w:t>46. Therefore, from the elements on record, it seems to emerge that ASPI, through the AISCAT association, has concretely worked to maintain the closure of the national toll collection system, which remains today exclusively in the hands of the company historically controlled by it (Telepass), as well as to delay and hinder the full operation of new entrant operators in the SET, subjected to discriminatory conditions compared to Telepass. In particular, ASPI, through AISCAT, appears to have operated for the ‘redirecting’ of FdS requesting access towards the only SET system (and SIT-MP), which is more burdensome in terms of the requirements for accreditation and the related procedure, as well as the conditions applied (different from those enjoyed by Telepass for the national system), both i) from a contractual perspective, and ii) from a regulatory perspective.</w:t>
      </w:r>
    </w:p>
    <w:p>
      <w:r>
        <w:rPr>
          <w:b/>
        </w:rPr>
        <w:t>[Pages 19–21]</w:t>
      </w:r>
    </w:p>
    <w:p>
      <w:r>
        <w:t>BULLETIN NO. 38 OF OCTOBER 24, 2022 21</w:t>
      </w:r>
    </w:p>
    <w:p>
      <w:r>
        <w:t>regarding the possibility of granting discounts to customers, as well as iii) from the perspective of the treatment of so-called erroneous transactions.</w:t>
      </w:r>
    </w:p>
    <w:p>
      <w:r>
        <w:t>With respect to such conduct, attributable to unum as they are united by a single obstructive and discriminatory purpose, further impediments and delays to the development of the SET, despite the adoption of Directive 2019/520/EU and its national implementation, appear to have been established by ASPI, through the associative instrument AISCAT, in relation to the adaptation of all motorway access points and the related signage to the SET (still not fully implemented today).</w:t>
      </w:r>
    </w:p>
    <w:p>
      <w:r>
        <w:t>47. In conclusion, ASPI, through the association AISCAT, within which the former seems to impose its decision-making role on the associates and increasingly on the entire motorway sector, appears to have established a complex excluding abuse, through a multitude of conducts, with effects in a market different from that of the management of motorway concessions, but connected to the first, namely the market of electronic toll collection, whose entry for new entrants is not allowed on equal terms with the historical monopolist Telepass.</w:t>
      </w:r>
    </w:p>
    <w:p>
      <w:r>
        <w:t>48. The abuse would appear to have been established at least since January 2019, when UnipolT submitted a formal request for accreditation to AISCAT to carry out the electronic toll collection service on the Italian motorway network under concession, both for ML and for MP69 – following which the association (behind which ASPI acted), despite the market opening already marked by Directive 2004/52/EC and which would soon be implemented by the new Directive 2019/520/EU, seems to have delayed the accreditation of the company to the SET with dilatory behaviors and imposed the option for SIT-MP. The abuse, persisting today with the absolute closure of the national electronic toll collection system and the SET system not yet definitively implemented, seems to still be ongoing.</w:t>
      </w:r>
    </w:p>
    <w:p>
      <w:r>
        <w:t>The prejudice to intra-European trade</w:t>
      </w:r>
    </w:p>
    <w:p>
      <w:r>
        <w:t>49. According to the Commission Communication “Guidelines on the notion of prejudice to trade between Member States under Articles 81 and 82 of the Treaty” (2004/C 101/07), the concept of prejudice to intra-European trade must be interpreted taking into account the direct or indirect, actual or potential influence on trade flows between Member States.</w:t>
      </w:r>
    </w:p>
    <w:p>
      <w:r>
        <w:t>50. The existence of prejudice to trade between Member States, as a result of the described behaviors, appears to exist due to the fact that, downstream of Directive 2019/520/EU, interoperability of the electronic toll collection service at the pan-European level was provided for, and its provision in Italy by entities (including foreign ones) accredited in multiple Member States. Therefore, the described conduct, which could hinder and seems to have significantly delayed the entry and full operation of current and potential competitors, including foreign ones, in the electronic toll collection market, appears likely to alter trade between Member States. It follows the opportunity to evaluate the case in question as a potential infringement of Union law, or of Article 102 TFEU.</w:t>
      </w:r>
    </w:p>
    <w:p>
      <w:r>
        <w:t>CONSIDERING, therefore, that the behaviors carried out by Autostrade per l’Italia S.p.A., through AISCAT - Italian Association of Concessionary Companies for Motorways and Tunnels, for the reasons outlined above, appear to constitute a violation of Article 102 TFEU;</w:t>
      </w:r>
    </w:p>
    <w:p>
      <w:r>
        <w:t>69 Annex 6 to the report of UnipolT dated 19.5.22.</w:t>
      </w:r>
    </w:p>
    <w:p>
      <w:r>
        <w:t>22 BULLETIN NO. 38 OF OCTOBER 24, 2022</w:t>
      </w:r>
    </w:p>
    <w:p>
      <w:r>
        <w:t>RESOLUTION</w:t>
      </w:r>
    </w:p>
    <w:p>
      <w:r>
        <w:t>a) the initiation of the investigation, pursuant to Article 14 of Law No. 287/90, against Autostrade per l’Italia S.p.A. and AISCAT - Italian Association of Concessionary Companies for Motorways and Tunnels, to ascertain the existence of competition violations pursuant to Article 102 TFEU;</w:t>
      </w:r>
    </w:p>
    <w:p>
      <w:r>
        <w:t>b) the setting of a deadline of sixty days, starting from the date of notification of this provision, for the exercise by the legal representatives of the parties of the right to be heard, specifying that the request for a hearing must be received by the Credit, Postal and Tourism Directorate of the Directorate General for Competition of this Authority at least fifteen days before the expiration of the aforementioned deadline;</w:t>
      </w:r>
    </w:p>
    <w:p>
      <w:r>
        <w:t>c) that the person responsible for the procedure is Dr. Cristina Lo Surdo;</w:t>
      </w:r>
    </w:p>
    <w:p>
      <w:r>
        <w:t>d) that the acts of the procedure can be viewed, at the Credit Directorate of the Directorate General for Competition of this Authority, by the legal representatives of the parties or by persons delegated by them;</w:t>
      </w:r>
    </w:p>
    <w:p>
      <w:r>
        <w:t>e) that the procedure must be concluded by December 31, 2023.</w:t>
      </w:r>
    </w:p>
    <w:p>
      <w:r>
        <w:t>This provision will be notified to the interested parties and published in the Bulletin of the Antitrust Authority.</w:t>
      </w:r>
    </w:p>
    <w:p>
      <w:r>
        <w:t>THE SECRETARY GENERAL THE PRESIDENT</w:t>
      </w:r>
    </w:p>
    <w:p>
      <w:r>
        <w:t>Guido Stazi Roberto Rustichelli</w:t>
      </w:r>
    </w:p>
    <w:p>
      <w:r>
        <w:t>BULLETIN NO. 38 OF OCTOBER 24, 2022 23</w:t>
      </w:r>
    </w:p>
    <w:p>
      <w:r>
        <w:t>CONCENTRATION OPERATIONS</w:t>
      </w:r>
    </w:p>
    <w:p>
      <w:r>
        <w:t>C12470 - ESPRINET/CELLULARLINE</w:t>
      </w:r>
    </w:p>
    <w:p>
      <w:r>
        <w:t>Provision No. 30322</w:t>
      </w:r>
    </w:p>
    <w:p>
      <w:r>
        <w:t>THE ANTITRUST AUTHORITY</w:t>
      </w:r>
    </w:p>
    <w:p>
      <w:r>
        <w:t>IN ITS MEETING of October 4, 2022;</w:t>
      </w:r>
    </w:p>
    <w:p>
      <w:r>
        <w:t>HEARD the Rapporteur Professor Michele Ainis;</w:t>
      </w:r>
    </w:p>
    <w:p>
      <w:r>
        <w:t>HAVING REGARD to Law No. 287 of October 10, 1990;</w:t>
      </w:r>
    </w:p>
    <w:p>
      <w:r>
        <w:t>HAVING REGARD to the Presidential Decree No. 217 of April 30, 1998;</w:t>
      </w:r>
    </w:p>
    <w:p>
      <w:r>
        <w:t>HAVING REGARD to the communication from Esprinet S.p.A., received on July 20, 2022;</w:t>
      </w:r>
    </w:p>
    <w:p>
      <w:r>
        <w:t>HAVING REGARD to the request for information sent to Esprinet S.p.A. on August 4, 2022, with consequent interruption of the terms pursuant to Article 5, paragraph 3, of Presidential Decree No. 217 of April 30, 1998;</w:t>
      </w:r>
    </w:p>
    <w:p>
      <w:r>
        <w:t>HAVING REGARD to the additional information sent by Esprinet S.p.A. on September 6, 12, 19, 2022 and the additional information sent by Cellularline S.p.A. and received on September 9, 12, 15, 20, 2022;</w:t>
      </w:r>
    </w:p>
    <w:p>
      <w:r>
        <w:t>HAVING REGARD to the documentation on file;</w:t>
      </w:r>
    </w:p>
    <w:p>
      <w:r>
        <w:t>CONSIDERING the following:</w:t>
      </w:r>
    </w:p>
    <w:p>
      <w:r>
        <w:t>I. THE PARTIES</w:t>
      </w:r>
    </w:p>
    <w:p>
      <w:r>
        <w:t>1. Esprinet is a company listed on the Milan Stock Exchange active in the business-to-business (B2B) distribution of Information Technology (hereinafter “IT”) and consumer electronics in Italy and the Iberian Peninsula (Spain and Portugal). The shareholders holding more than 5% of the company's shares are individuals and companies.</w:t>
      </w:r>
    </w:p>
    <w:p>
      <w:r>
        <w:t>In 2021, the worldwide revenue generated by the Esprinet Group was approximately [4-5]* billion euros, of which approximately [2-3] billion euros were generated in Italy.</w:t>
      </w:r>
    </w:p>
    <w:p>
      <w:r>
        <w:t>The companies held by Esprinet all carry out activities complementary and/or functional to the core business of distributing electronic products. The range of products marketed by Esprinet includes over 650 brands from leading technology manufacturers (so-called “vendors”). In addition to providing traditional wholesale sales services, Esprinet plays the role of enabler of the technological ecosystem. The Group offers, for example, a turnkey e-commerce platform to hundreds of retailers, in-shop management for thousands of retail outlets, specialized payment and financing solutions for the retailer community, also providing demand generation from end users and big data analysis to major technology manufacturers and retailers who increasingly outsource marketing activities. Cloud services, collaboration and cybersecurity software, videoconferencing systems, advanced IT infrastructures, solutions</w:t>
      </w:r>
    </w:p>
    <w:p>
      <w:r>
        <w:t>* In this version, some data are omitted, as elements of confidentiality or secrecy of the information were deemed to exist.</w:t>
      </w:r>
    </w:p>
    <w:p>
      <w:r>
        <w:rPr>
          <w:b/>
        </w:rPr>
        <w:t>[Pages 22–24]</w:t>
      </w:r>
    </w:p>
    <w:p>
      <w:r>
        <w:t>BULLETIN NO. 38 OF OCTOBER 24, 2022</w:t>
      </w:r>
    </w:p>
    <w:p>
      <w:r>
        <w:t>24</w:t>
      </w:r>
    </w:p>
    <w:p>
      <w:r>
        <w:t>specialized consumer electronics such as connected appliances or gaming platforms are new areas of value-added growth that fuel further future revenue growth for the sector, while logistics and financial services, as well as the "pay-as-you-go" sales model, offer increasing opportunities for margin expansion. Alongside these are the "traditional" wholesale distribution of branded IT products (hardware and software), mobile telephony devices, accessories for the latter, aimed at retailers targeting both "consumer" and "business" end users, and the distribution of third-party branded products made to order: NILOX, a brand under which electric mobility products, sports entertainment, and PC accessories are produced, and CELLY, a brand under which mobile phone accessories are produced.</w:t>
      </w:r>
    </w:p>
    <w:p>
      <w:r>
        <w:t>2. Cellularline is the holding company of the namesake group, active in the sector of accessories for smartphones and tablets – and, more generally, portable devices – primarily in the Europe, Middle East, and Africa (hereinafter "EMEA") area. Cellularline is listed on the Milan Stock Exchange, and shares of corporate participation exceeding 5% are held by individuals and companies. More specifically, the Cellularline group designs, distributes, and markets a range of products divided into the following product lines:</w:t>
        <w:br/>
        <w:t>- Red product line, including accessories for multimedia devices (such as cases, covers, car mounts, protective glasses, chargers, portable power banks, data and charging cables, headphones, earphones, speakers, wearable technology products, and travel adapters);</w:t>
        <w:br/>
        <w:t>- Black product line, including all products and accessories related to motorcycles and bicycles (such as intercoms and smartphone mounts);</w:t>
        <w:br/>
        <w:t>- Blue product line, which includes all products marketed in Italy under brands not owned by the Group.</w:t>
      </w:r>
    </w:p>
    <w:p>
      <w:r>
        <w:t>In 2021, Cellularline achieved a consolidated worldwide revenue of [100-517] million euros, of which [100-517] million euros in the European Union and, more specifically, [31-100] million euros at the national level.</w:t>
      </w:r>
    </w:p>
    <w:p>
      <w:r>
        <w:t>II. DESCRIPTION OF THE TRANSACTION</w:t>
      </w:r>
    </w:p>
    <w:p>
      <w:r>
        <w:t>3. The communicated transaction consists of the acquisition of exclusive control of Cellularline by Esprinet, which will acquire 100% of the share capital of the latter through a Public Purchase Offer (hereinafter "OPA") promoted by 4 Side S.r.l. – a company of the Esprinet group – and, indirectly, the share capital of the companies controlled by Cellularline.</w:t>
      </w:r>
    </w:p>
    <w:p>
      <w:r>
        <w:t>III. QUALIFICATION OF THE TRANSACTION</w:t>
      </w:r>
    </w:p>
    <w:p>
      <w:r>
        <w:t>4. The communicated transaction, aimed at acquiring exclusive control of a company, constitutes a concentration pursuant to Article 5, paragraph 1, letter b), of Law No. 287/90. It falls within the scope of application of Law No. 287/90 as the conditions set out in Article 1 of Regulation (EC) No. 139/2004 do not apply, and it is subject to the obligation of prior notification provided for by Article 16, paragraph 1, of the same law as the total revenue generated, in the last financial year at the national level, by the group of companies involved was over 517 million euros and the total revenue generated, in the last financial year at the national level, by at least two of the companies involved was over 31 million euros.</w:t>
      </w:r>
    </w:p>
    <w:p>
      <w:r>
        <w:t>BULLETIN NO. 38 OF OCTOBER 24, 2022 25</w:t>
      </w:r>
    </w:p>
    <w:p>
      <w:r>
        <w:t>IV. EVALUATION OF THE CONCENTRATION</w:t>
      </w:r>
    </w:p>
    <w:p>
      <w:r>
        <w:t>5. The Esprinet Group is active in the business-to-business (hereinafter "B2B") distribution of IT products (hardware, software, and services) and consumer electronics. With regard to the wholesale sale of mobile phone accessories, Esprinet distributes products from its subsidiary Celly (owned by the same company), as well as third-party branded products (e.g., Apple, Samsung).</w:t>
      </w:r>
    </w:p>
    <w:p>
      <w:r>
        <w:t>6. Unlike Esprinet, which is active in the wholesale of all IT products, the only activity carried out by Cellularline at the national level is the wholesale sale of accessories for digital devices to retail customers (retailers), wholesalers, and e-commerce sites. As previously represented, Cellularline's distribution model in Italy segments product types into 3 distinct macro-lines: i) "Red": accessories for digital devices with proprietary brands; ii) "Blue": accessories for digital devices with third-party brands; iii) "Black": accessories for smartphones intended for use on motorcycles (for example, intercoms for helmets and smartphone mounts for handlebars).</w:t>
      </w:r>
    </w:p>
    <w:p>
      <w:r>
        <w:t>7. Esprinet and Cellularline are not active in the production of electronic products, but rather market imported products, usually from large manufacturers (Apple and Samsung) or Asian producers.</w:t>
      </w:r>
    </w:p>
    <w:p>
      <w:r>
        <w:t>The relevant sector and market</w:t>
      </w:r>
    </w:p>
    <w:p>
      <w:r>
        <w:t>8. The notifying party recalls that in its previous decisions, the Authority identified a wholesale market for accessories intended for the mass market for portable electronic devices.</w:t>
      </w:r>
    </w:p>
    <w:p>
      <w:r>
        <w:t>9. From a geographical perspective, the Party observes that the market in question could potentially have a supranational dimension considering the following factors: homogeneity in the European Economic Area (hereinafter "EEA") of demand and supply, low transportation costs, absence of barriers to the use of distributed products, and, lastly, the fact that purchases for the type of products in question are often made by transnational purchasing centers. Nevertheless, the Party believes that the definition of the commodity or geographical market can be left open as competitive assessments would not differ regardless of the exact market definition adopted. Lastly, the Party believes that there are no barriers to entry into the market.</w:t>
      </w:r>
    </w:p>
    <w:p>
      <w:r>
        <w:t>10. Following this approach, according to the notifying party, the wholesale distribution market for smartphone accessories appears to be part of the broader market for wholesale distribution of IT and electronic products.</w:t>
      </w:r>
    </w:p>
    <w:p>
      <w:r>
        <w:t>11. In its previous decisions, the European Commission has analyzed similar concentration operations – although not exactly comparable to the case at hand – in relation to different markets, conducting market analyses with sector operators to identify, if applicable, possible segmentations of the same by product categories or sales channels. This is the case for operations M.9324 - ALSO / ABC DATA GROUP (hereinafter "M.9324"), M.8248 Tech Data/Avnet’s Technology Solutions (hereinafter "M.8248"), M. 7259 - Carphone Warehouse/Dixons (hereinafter "M7259"). In its previous decisions, the European Commission did not consider it necessary to further narrow the relevant market into segmentations by product categories or sales channels.</w:t>
      </w:r>
    </w:p>
    <w:p>
      <w:r>
        <w:t>12. In relation to the characteristics of the sector and the vertical supply chain, the Authority has sent requests for information to a plurality of companies active at various levels of the same, in order to identify the relevant market, including some of Esprinet's competitors, active both towards retailers (the so-called "consumer market") and in the professional or Business market (professionals, companies, public administrations).</w:t>
      </w:r>
    </w:p>
    <w:p>
      <w:r>
        <w:t>13. From the information collected, it appears confirmed that it is possible to identify, due to the characteristics of demand and supply, a distinct market for the wholesale distribution of smartphone and mobile phone accessories within the broader market for wholesale distribution of IT and electronic products. Furthermore, from the documentation acquired, it emerges that the market in question does not appear to present significant barriers to entry, as distributors who already have contracts with retail customers, or are already present in this specific market, or are able to adapt their product range to compete with the Party in the distribution of smartphone and mobile phone accessories.</w:t>
      </w:r>
    </w:p>
    <w:p>
      <w:r>
        <w:t>14. The subjects that make up the distribution supply chain can be identified as follows:</w:t>
        <w:br/>
        <w:t>- the "vendors": producers of technologies and/or Information Technology products that operate under their own brand;</w:t>
        <w:br/>
        <w:t>- the "distributors": operators that provide logistics, storage, credit, and marketing services. In turn, distributors can be distinguished into:</w:t>
        <w:br/>
        <w:t>i. "broad-spectrum" distributors, characterized by a wide range and high sales volumes;</w:t>
      </w:r>
    </w:p>
    <w:p>
      <w:r>
        <w:rPr>
          <w:b/>
        </w:rPr>
        <w:t>[Pages 25–27]</w:t>
      </w:r>
    </w:p>
    <w:p>
      <w:r>
        <w:t>BULLETIN NO. 38 OF OCTOBER 24, 2022 27</w:t>
      </w:r>
    </w:p>
    <w:p>
      <w:r>
        <w:t>ii. "specialized" distributors, which serve as a reference point for specific technologies and disciplines, such as intermediate systems, networking, Internet, and consulting, training, and assistance services;</w:t>
        <w:br/>
        <w:t>- "resellers": heterogeneous operators in terms of size, income and organizational structures, business models, and type of approach to the end user. The latter can further be distinguished into:</w:t>
        <w:br/>
        <w:t>i. "Professional Resellers," namely VARs ("Value Added Resellers"), Corporate Resellers, System Integrators, Dealers;</w:t>
        <w:br/>
        <w:t>ii. "Specialized Resellers," namely Telco Specialists;</w:t>
        <w:br/>
        <w:t>iii. Photo Shops, Videogame Specialists, Furniture Specialists;</w:t>
        <w:br/>
        <w:t>iv. "Retailers &amp; E-tailers": GDO/GDS (Large Organized/Specialized Distribution), Online Shops.</w:t>
      </w:r>
    </w:p>
    <w:p>
      <w:r>
        <w:t>15. From the responses of the operators to the requests for information, it emerges, similarly to what was noted in previous community assessments, that any further sub-segmentation of the relevant market by sales channel does not appear to be necessary. In fact, the presence of large retail resellers in each sales channel, interested in a wide range of technological products and capable of ordering large quantities of the same, seems adequate to ensure the existence of a sufficient degree of countervailing buyer power.</w:t>
      </w:r>
    </w:p>
    <w:p>
      <w:r>
        <w:t>16. In the retail market, downstream connected to the relevant market, there are potential vertical segmentations in product categories: original products (Samsung and Apple); compatible products (whether branded like those of Cellularline, SBS, or Puro, or private label). Given that the Parties are not active in retail sales or are so at an online level with negligible revenues and that the main competitors of Esprinet and Cellularline consulted are distributors of a range of accessory products for original and compatible smartphones, it is not necessary to transfer this segmentation to the retail marketing market.</w:t>
      </w:r>
    </w:p>
    <w:p>
      <w:r>
        <w:t>17. Based on the preceding elements, the operation in question concerns the wholesale distribution market of accessory products for smartphones and mobile phones at the national level.</w:t>
      </w:r>
    </w:p>
    <w:p>
      <w:r>
        <w:t>18. For the purposes of evaluating this operation, the definition of the relevant market (both from a product and geographical perspective) can be left open, as even in the most restrictive hypothesis, the operation does not appear to be suitable to significantly alter the existing competitive conditions.</w:t>
      </w:r>
    </w:p>
    <w:p>
      <w:r>
        <w:t>The effects of the operation</w:t>
      </w:r>
    </w:p>
    <w:p>
      <w:r>
        <w:t>19. In the relevant market identified according to the most restrictive hypothesis, namely based on the actual overlaps between the Parties, such as that of the wholesale distribution of accessory products for smartphones and mobile phones at the national level, based on elaborations on the data provided by the Parties, [Omissis] is the first operator with an estimated market share of approximately [35-40]%, the target Cellularline holds a market share of [20-25]%, followed by [Omissis] with a market share of [10-15]% and the buyer Esprinet, with [5-10]%. Other operators present are [Omissis], with [5-10]% and [Omissis] with [1-5]%. There are also other market operators.</w:t>
      </w:r>
    </w:p>
    <w:p>
      <w:r>
        <w:t>20. As a result of the concentration, therefore, Esprinet will hold a market share of approximately [25-30]%.</w:t>
      </w:r>
    </w:p>
    <w:p>
      <w:r>
        <w:t>21. This market appears characterized by the presence, in each sales channel, of large retail resellers, interested in a wide range of technological products and capable of ordering large quantities of the same, which ensures the existence of a significant degree of countervailing buyer power.</w:t>
      </w:r>
    </w:p>
    <w:p>
      <w:r>
        <w:t>22. Furthermore, the competitive context of the market is marked by the presence of operators specialized in compatible products under their own brand (SBS, Puro, JBL, Belkin) that compete with distributors of original products, which are generally more expensive, as well as the absence of significant barriers to entry.</w:t>
      </w:r>
    </w:p>
    <w:p>
      <w:r>
        <w:t>23. The overall set of these conditions seems suitable to exclude that, as a result of the operation, unilateral effects of price increases or significant and/or non-transitory reductions in quantity or quality may occur.</w:t>
      </w:r>
    </w:p>
    <w:p>
      <w:r>
        <w:t>24. Likewise, in addition to the characteristics of the market already mentioned, the absence of asymmetries between the market shares of the companies active in the relevant market appears to be a condition suitable to exclude the possibility of coordinated effects leading to price increases or reductions in quantity or quality.</w:t>
      </w:r>
    </w:p>
    <w:p>
      <w:r>
        <w:t>25. Finally, the presence in the market of alternatives to the Parties in sourcing and the absence of long-term supply relationships exclude any restrictive effects of a vertical or conglomerate nature arising from the operation.</w:t>
      </w:r>
    </w:p>
    <w:p>
      <w:r>
        <w:t>26. In light of the considerations above, the concentration in question does not appear to significantly hinder effective competition in the affected markets or to result in the establishment or strengthening of a dominant position.</w:t>
      </w:r>
    </w:p>
    <w:p>
      <w:r>
        <w:t>CONSIDERING, therefore, that the operation in question does not significantly hinder, pursuant to Article 6, paragraph 1, of Law No. 287/90, effective competition in the affected markets and does not result in the establishment or strengthening of a dominant position;</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BULLETIN NO. 38 OF OCTOBER 24, 2022 29</w:t>
      </w:r>
    </w:p>
    <w:p>
      <w:r>
        <w:t>This provision will be published in the Bulletin of the Antitrust Authority.</w:t>
      </w:r>
    </w:p>
    <w:p>
      <w:r>
        <w:t>THE SECRETARY GENERAL THE PRESIDENT</w:t>
      </w:r>
    </w:p>
    <w:p>
      <w:r>
        <w:t>Guido Stazi Roberto Rustichelli</w:t>
      </w:r>
    </w:p>
    <w:p>
      <w:r>
        <w:rPr>
          <w:b/>
        </w:rPr>
        <w:t>[Pages 28–30]</w:t>
      </w:r>
    </w:p>
    <w:p>
      <w:r>
        <w:t xml:space="preserve">30 BULLETIN NO. 38 OF OCTOBER 24, 2022  </w:t>
        <w:br/>
        <w:t xml:space="preserve">C12491 - GUCCI LOGISTICA-SPRING/MOOD  </w:t>
        <w:br/>
        <w:t xml:space="preserve">Decision No. 30323  </w:t>
        <w:br/>
        <w:t xml:space="preserve">THE ANTITRUST AUTHORITY  </w:t>
        <w:br/>
        <w:t xml:space="preserve">IN ITS MEETING of October 4, 2022;  </w:t>
        <w:br/>
        <w:t xml:space="preserve">HEARD the Rapporteur Professor Michele Ainis;  </w:t>
        <w:br/>
        <w:t xml:space="preserve">HAVING REGARD to Regulation (EC) No. 139/2004 of the Council, of January 20, 2004, concerning the control of concentrations between undertakings;  </w:t>
        <w:br/>
        <w:t xml:space="preserve">HAVING REGARD to Law No. 287 of October 10, 1990;  </w:t>
        <w:br/>
        <w:t xml:space="preserve">HAVING REGARD to the Presidential Decree No. 217 of April 30, 1998;  </w:t>
        <w:br/>
        <w:t xml:space="preserve">HAVING REGARD to the communication from Gucci Logistica S.p.A., received on September 16, 2022;  </w:t>
        <w:br/>
        <w:t xml:space="preserve">CONSIDERING the following:  </w:t>
        <w:br/>
        <w:t xml:space="preserve">I. THE PARTIES  </w:t>
        <w:br/>
        <w:t xml:space="preserve">1. Gucci Logistica S.p.A. (hereinafter, Gucci Logistica) is a company that is part of the Italian fashion house founded in 1921 by Guccio Gucci and is involved in the prototyping, sampling, and, more generally, the management of the entire supply chain of Gucci.  </w:t>
        <w:br/>
        <w:t xml:space="preserve">2. Gucci Logistica is subject to the control of the French group Kering, which ultimately can be traced back to the Pinault family.  </w:t>
        <w:br/>
        <w:t xml:space="preserve">3. In 2021, the Kering group achieved a worldwide turnover of approximately 17.6 billion euros, of which approximately [2-3]* billion euros from sales in the European Union and approximately [1-2] billion euros from sales in Italy.  </w:t>
        <w:br/>
        <w:t xml:space="preserve">4. Mood S.r.l. (hereinafter, Mood or the Target) is a company active in the textile sector, specialized in the packaging of clothing items made of cut jersey knit, on behalf of high-end brands. In particular, Mood is involved in the design and development of prototypes and samples of the garments, conducts fit tests, produces prints and embroidery, and finally carries out ironing and finishing activities.  </w:t>
        <w:br/>
        <w:t xml:space="preserve">5. The share capital of Mood is 100% owned by Spring S.r.l. (hereinafter, Spring). The share capital of Spring is equally held by two individuals (hereinafter, the Current Mood Shareholders).  </w:t>
        <w:br/>
        <w:t xml:space="preserve">6. In 2021, Mood achieved a worldwide turnover of approximately [31-100] million euros, entirely generated in the European Union, of which approximately [31-100] million euros from sales in Italy1.  </w:t>
        <w:br/>
        <w:t xml:space="preserve">* In this version, some data are omitted, as there were deemed to be elements of confidentiality or secrecy of the information.  </w:t>
        <w:br/>
        <w:t>1 It is specified that the turnover data refer to Spring, which wholly owns the newly established Mood and which in June 2022 transferred to it the entire business unit consisting of the complex of goods, both tangible and intangible, organized for the production of clothing items made of jersey fabric.</w:t>
      </w:r>
    </w:p>
    <w:p>
      <w:r>
        <w:t xml:space="preserve">BULLETIN NO. 38 OF OCTOBER 24, 2022 31  </w:t>
        <w:br/>
        <w:t xml:space="preserve">7. In 2021, the Current Mood Shareholders achieved a worldwide turnover of approximately [31-100] million euros, entirely generated in the European Union, of which approximately [31-100] million euros from sales in Italy2.  </w:t>
        <w:br/>
        <w:t xml:space="preserve">II. DESCRIPTION OF THE TRANSACTION  </w:t>
        <w:br/>
        <w:t xml:space="preserve">8. The Transaction consists of the acquisition, by Gucci Logistica, of 19% of the capital of Mood.  </w:t>
        <w:br/>
        <w:t xml:space="preserve">9. Gucci Logistica will also be able to appoint one of the three members of the board of directors (hereinafter, BdD) of Mood (the others remaining the Current Mood Shareholders). The director appointed by Gucci Logistica will have veto rights on the following matters:  </w:t>
        <w:br/>
        <w:t xml:space="preserve">i. commercial contracts, regarding the signing of all contracts with new clients and contracts with existing clients that provide for guaranteed minimums;  </w:t>
        <w:br/>
        <w:t xml:space="preserve">ii. approval of the budget, where this deviates by more than 10% from the industrial plan (hereinafter, the Industrial Plan);  </w:t>
        <w:br/>
        <w:t xml:space="preserve">iii. investments involving an expenditure exceeding 1 million euros.  </w:t>
        <w:br/>
        <w:t xml:space="preserve">10. According to the Parties' statements, the transaction does not involve ancillary restrictions.  </w:t>
        <w:br/>
        <w:t xml:space="preserve">III. QUALIFICATION OF THE TRANSACTION  </w:t>
        <w:br/>
        <w:t xml:space="preserve">11. The notified transaction, as it involves the acquisition of joint control of a company, constitutes a concentration pursuant to Article 5, paragraph 1, letter b), of Law No. 287/90.  </w:t>
        <w:br/>
        <w:t xml:space="preserve">12. It falls within the scope of application of Law No. 287/90, as the conditions of Article 1 of Regulation (EC) No. 139/04 are not met, and is subject to the obligation of prior notification provided for by Article 16, paragraph 1, of the same law, as the total turnover achieved in the last financial year at the national level by the group of interested companies exceeded 517 million euros and the turnover achieved individually at the national level by at least two of the interested companies exceeded 31 million euros.  </w:t>
        <w:br/>
        <w:t xml:space="preserve">IV. ASSESSMENT OF THE CONCENTRATION  </w:t>
        <w:br/>
        <w:t xml:space="preserve">13. Considering the activity of the Target, the transaction concerns the market for men's and women's outer knitwear intended for use in the production and marketing of clothing, at the national level3.  </w:t>
        <w:br/>
        <w:t xml:space="preserve">14. In the Italian market for men's and women's outer knitwear, the Target holds a share of less than 5%, while the Acquiring Group is not active4. The Parties also note that even narrowing the analysis to the production of cut jersey knitwear in Italian territory, the Target holds a share of less than 5%.  </w:t>
        <w:br/>
        <w:t xml:space="preserve">15. In this market, there are numerous and qualified competitors.  </w:t>
        <w:br/>
        <w:t xml:space="preserve">2 Turnover derived from the sum of the turnovers achieved by Mood and the other companies controlled by the Current Mood Shareholders.  </w:t>
        <w:br/>
        <w:t xml:space="preserve">3 See AGCM Decision No. 18804 of August 21, 2008, C9566 – OLIMPIAS/AERRE–S.C. ANTON INDUSTRIES.  </w:t>
        <w:br/>
        <w:t>4 The Kering group does not engage in the production of knitwear on behalf of third parties. Some entities of the group carry out processing, but always and only for the benefit of other entities of the Kering group itself.</w:t>
      </w:r>
    </w:p>
    <w:p>
      <w:r>
        <w:t xml:space="preserve">32 BULLETIN NO. 38 OF OCTOBER 24, 2022  </w:t>
        <w:br/>
        <w:t xml:space="preserve">16. It is finally noted that in the downstream market for luxury goods, the Acquiring Group holds a share of less than 10% both at the global and national levels.  </w:t>
        <w:br/>
        <w:t xml:space="preserve">17. In light of the above considerations, the concentration under examination does not appear to significantly hinder effective competition in the relevant market or to result in the establishment or strengthening of a dominant position.  </w:t>
        <w:br/>
        <w:t xml:space="preserve">CONSIDERING, therefore, that the transaction under examination does not significantly hinder effective competition in the relevant market pursuant to Article 6, paragraph 1, of Law No. 287/90 and does not result in the establishment or strengthening of a dominant position;  </w:t>
        <w:br/>
        <w:t xml:space="preserve">RESOLVES  </w:t>
        <w:br/>
        <w:t xml:space="preserve">not to initiate the investigation referred to in Article 16, paragraph 4, of Law No. 287/90.  </w:t>
        <w:br/>
        <w:t xml:space="preserve">The above conclusions will be communicated, pursuant to Article 16, paragraph 4, of Law No. 287/90, to the interested companies and to the Minister of Economic Development.  </w:t>
        <w:br/>
        <w:t xml:space="preserve">This decision will be published in the Bulletin of the Antitrust Authority.  </w:t>
        <w:br/>
        <w:t xml:space="preserve">THE SECRETARY GENERAL THE PRESIDENT  </w:t>
        <w:br/>
        <w:t>Guido Stazi Roberto Rustichelli</w:t>
      </w:r>
    </w:p>
    <w:p>
      <w:r>
        <w:rPr>
          <w:b/>
        </w:rPr>
        <w:t>[Pages 31–33]</w:t>
      </w:r>
    </w:p>
    <w:p>
      <w:r>
        <w:t>BULLETIN NO. 38 OF OCTOBER 24, 2022 33</w:t>
        <w:br/>
        <w:t>ACTIVITY OF REPORTING AND CONSULTATION</w:t>
        <w:br/>
        <w:t>AS1862 - MUNICIPALITY OF CASTIGLIONE DELLA PESCAIA (GR) - MARITIME STATE CONCESSIONS RELATING TO MOORING POINTS IN PORT AREAS</w:t>
        <w:br/>
        <w:t>Rome, July 26, 2022</w:t>
        <w:br/>
        <w:t>Municipality of Castiglione della Pescaia</w:t>
        <w:br/>
        <w:t>The Antitrust Authority, in its meeting of July 19, 2022, decided to express its opinion, pursuant to Article 21-bis of Law No. 287 of October 10, 1990, regarding the competitive selection procedure for the evaluation of competing applications for the assignment of maritime state concessions relating to mooring points in port areas, defined by Determination No. 1491 of November 26, 2020 (suspended and then reactivated by Determination No. 19 of January 14, 2022) and concluded with Determination No. 454 of April 20, 2022, which was reported to the Authority with communications dated May 30 and June 20, 2022.</w:t>
        <w:br/>
        <w:t>In this regard, it is generally observed that the Authority, in previous advocacy interventions, has repeatedly stated the necessity of proceeding with the assignment of concessions – including those concerning maritime state assets – through public procurement procedures, with the primary aim of capturing the benefits that arise from competition for the market and allowing for the most efficient allocation of public resources. With specific reference to maritime state concessions, competitive comparison must always be guaranteed in the assignment of services affecting scarce state resources, in a market context where, in most cases, competitive dynamics are already particularly weakened due to the long duration of existing concessions.</w:t>
        <w:br/>
        <w:t>That said, the Authority views favorably the choice made by this Municipality to carry out a competitive selection procedure for the assignment of the concessions in question. However, from the analysis of the provisions contained in the relevant Regulations (Annex 3 to Determination No. 1491 of November 26, 2020), a critical element emerges from a competitive perspective, consisting of the requirement, in Article 2 of the aforementioned Regulations, for experience gained in the management of mooring activities for boats and vessels.</w:t>
        <w:br/>
        <w:t>This requirement, in fact, assigns up to 6 points for having managed mooring activities for boats and vessels, awarding 0.5 points for each year of activity carried out, thus allowing for the valuation of previous activity up to a period of 12 years.</w:t>
      </w:r>
    </w:p>
    <w:p>
      <w:r>
        <w:t>34 BULLETIN NO. 38 OF OCTOBER 24, 2022</w:t>
        <w:br/>
        <w:t>In this regard, it is highlighted that the requirement concerning previous activity carried out in the management of mooring places is unjustifiably restrictive, as it effectively precludes the possibility of competing "on equal terms" for the assignment of concessions for entities definable as new entrants, that is, those characterized by little or no (recent) previous experience in the sector. This is, in fact, an activity typically carried out under a concession regime, for which the possession of previous experience ends up indisputably favoring operators who already have or have had maritime state concessions in the recent past. Furthermore, the activity to be carried out in relation to the maritime state concession in question – management of water surfaces for the mooring of boats and vessels aimed at non-profit activities in the nautical-sporting field – does not appear to require, in general, having carried out such services in the recent past (unless evidently regarding the availability of the necessary legal certifications). This is further demonstrated by the fact that the requirement does not preclude participation in the competitive procedure, to which sports amateur associations that submitted competing applications were nonetheless admitted.</w:t>
        <w:br/>
        <w:t>From the analysis carried out, it therefore emerges that the aforementioned provision of the tender Regulations lacks the characteristics of necessity and proportionality and is likely to result in a potential significant reduction of favor participationis, effectively precluding participation in the competitive procedure in question for new entrants in the market, as well as for entities with recent but temporally limited experience in the sector.</w:t>
        <w:br/>
        <w:t>The considerations expressed above appear even more relevant when considering that the competing applications submitted during the procedure received the maximum score concerning all evaluation criteria provided for in Article 2 of the Regulations (except for the experience requirement, which was assigned a value of zero in light of the maximum score obtained by the outgoing concessionaires), including that relating to the highest fee offered. In particular, the competing applications offered increases in the fee of 200% and 300%, compared to those of the outgoing managers of 5% and 10%. This has resulted in a clear detriment to the Municipality, corresponding to lower revenues from concession fees for the next 15 years.</w:t>
        <w:br/>
        <w:t>In conclusion, the requirement for participation in the public procedure in question, relating to the experience gained in the management of mooring activities for boats and vessels aimed at non-profit activities in the nautical-sporting field, appears to integrate a preference in favor of operators already active in the market, to the detriment of new entrants (i.e., with little or no recent experience in the sector), such as to effectively restrict the number of participants and thus the potential benefits arising from the use of tender procedures.</w:t>
        <w:br/>
        <w:t>The aforementioned requirement, therefore, constitutes a violation of Articles 10 and 12 of Directive 2006/123/EC (the so-called Services Directive) and of Articles 14 and 16 of Legislative Decree No. 59/2010 implementing the aforementioned Directive, as well as Article 30 of Legislative Decree No. 50/2016 (Public Contracts Code)1.</w:t>
        <w:br/>
        <w:t>1 Where it is particularly required that contracting authorities respect the principles of competition, non-discrimination, and proportionality (paragraph 1) and that they cannot artificially limit competition in any way to favor or disadvantage certain economic operators (paragraph 2); in this specific case, the provision that the criteria for participation in tenders must be such as not to exclude micro, small, and medium enterprises (paragraph 7) may also be relevant.</w:t>
      </w:r>
    </w:p>
    <w:p>
      <w:r>
        <w:t>BULLETIN NO. 38 OF OCTOBER 24, 2022 35</w:t>
        <w:br/>
        <w:t>The Authority therefore hopes that this Municipality will revoke in self-protection Determination No. 454 of April 20, 2022, concerning the assignment of maritime state concessions No. 18/2008 and 22/2008, and revise the evaluation criteria referred to in Article 2 of the Regulations (Annex 3 to Determination No. 1491/2020), which constitutes a prerequisite act, in order to eliminate the highlighted competitive distortions.</w:t>
        <w:br/>
        <w:t>Pursuant to Article 21-bis, paragraph 2, of Law No. 287/1990, therefore, the Municipality of Castiglione della Pescaia must communicate to the Authority, within sixty days from the receipt of this opinion, the initiatives taken to remove the competition violations outlined above. If within the aforementioned period such initiatives do not comply with the competitive principles expressed above, the Authority may file an appeal within the following thirty days.</w:t>
        <w:br/>
        <w:t>THE PRESIDENT</w:t>
        <w:br/>
        <w:t>Roberto Rustichelli</w:t>
        <w:br/>
        <w:t>___________________________________________________________________________</w:t>
        <w:br/>
        <w:t>Statement regarding the Authority's decision not to appeal pursuant to Article 21-bis of Law No. 287/1990, against Determination No. 454 of April 20, 2022, concerning the assignment of maritime state concessions relating to mooring points in port areas for which competing applications have been received</w:t>
        <w:br/>
        <w:t>The Antitrust Authority, in its meeting of October 4, 2022, decided not to challenge before the competent administrative court Determination No. 454 of April 20, 2022, concerning the competitive selection for the evaluation of competing applications for the assignment of maritime state concessions relating to mooring points in port areas in the Municipality of Castiglione della Pescaia.</w:t>
        <w:br/>
        <w:t>On July 19, 2022, the Authority had decided to send a reasoned opinion pursuant to Article 21-bis of Law No. 287/1990, in which it highlighted critical issues from a competitive perspective regarding the participation requirement in the public procedure in question, relating to the experience gained in the management of mooring activities for boats and vessels aimed at non-profit activities in the nautical-sporting field.</w:t>
        <w:br/>
        <w:t>Taking note of what was subsequently stated by the Municipality of Castiglione della Pescaia regarding the proportionality and adequacy of the experience requirement with specific reference to the case at hand, the Authority decided, in its meeting of October 4, 2022, not to file an appeal with the administrative judge.</w:t>
      </w:r>
    </w:p>
    <w:p>
      <w:r>
        <w:rPr>
          <w:b/>
        </w:rPr>
        <w:t>[Pages 34–36]</w:t>
      </w:r>
    </w:p>
    <w:p>
      <w:r>
        <w:t>36 BULLETIN NO. 38 OF OCTOBER 24, 2022</w:t>
        <w:br/>
        <w:t>UNFAIR TRADE PRACTICES</w:t>
        <w:br/>
        <w:t>IP353 - OPTIMA-COMMERCIAL OFFERS</w:t>
        <w:br/>
        <w:t>Decision No. 30324</w:t>
        <w:br/>
        <w:t>THE ANTITRUST AUTHORITY</w:t>
        <w:br/>
        <w:t>IN ITS MEETING of October 4, 2022;</w:t>
        <w:br/>
        <w:t>HEARD the Rapporteur Professor Michele Ainis;</w:t>
        <w:br/>
        <w:t>HAVING REGARD TO Part II, Title III of Legislative Decree No. 206 of September 6, 2005, containing the “Consumer Code” and subsequent amendments (hereinafter, Consumer Code);</w:t>
        <w:br/>
        <w:t>HAVING REGARD, in particular, to Article 27, paragraph 12, of the Consumer Code, according to which in the event of non-compliance with urgent measures or those prohibiting or removing effects, the Authority applies an administrative pecuniary sanction from €10,000 to €5,000,000 and in cases of repeated non-compliance, the Authority may order the suspension of business activities for a period not exceeding thirty days;</w:t>
        <w:br/>
        <w:t>HAVING REGARD TO Law No. 689 of November 24, 1981;</w:t>
        <w:br/>
        <w:t>HAVING REGARD TO its resolution No. 29772 of July 13, 2021, with which it was decided to close proceeding No. PS11854 without establishing the infringement, making the commitments proposed by Optima Italia S.p.A. (hereinafter also “Optima,” “the Company” or “the Professional”) mandatory, pursuant to and for the effects of Article 27, paragraph 7, of the Consumer Code;</w:t>
        <w:br/>
        <w:t>HAVING REGARD TO its resolution No. 30026 of February 15, 2022, with which the Authority contested to Optima the violation of Article 27, paragraph 12, of the Consumer Code, for failing to comply with the aforementioned resolution No. 29772 of July 13, 2021;</w:t>
        <w:br/>
        <w:t>HAVING REGARD TO the resolutions of May 17, July 5, and August 30, 2022, with which, pursuant to Article 7, paragraph 3,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No. 25411, the deadline for concluding the procedure was extended by a total of 111 (one hundred eleven) days, for investigative needs;</w:t>
        <w:br/>
        <w:t>HAVING REGARD TO the documents of the proceeding;</w:t>
        <w:br/>
        <w:t>CONSIDERING the following:</w:t>
        <w:br/>
        <w:t>I. INTRODUCTION</w:t>
        <w:br/>
        <w:t>1. With decision No. 30026 of February 15, 2022, proceeding IP353 was initiated against Optima Italia S.p.A. (hereinafter also “Optima” or the company or the professional”) aimed at verifying the non-compliance of the professional with the Authority's resolution No. 29772 of July 13, 2021, with which the commitments presented in the context of the investigative proceeding PS11854 initiated on October 20, 2020, aimed at ascertaining the existence of alleged unfair commercial practices in violation of Articles 20, 21, and 22, as well as Articles 24, 25, and 62 of the Consumer Code, were accepted and made mandatory.</w:t>
        <w:br/>
        <w:t>2. In particular, the Authority had initiated proceeding PS11854 to ascertain the existence of conduct: i) of a misleading and omissive nature, consisting of the incompleteness or opacity of information, within the contractual and advertising documentation, regarding the economic conditions of the proposed offers and the characteristics of the promotions, with specific reference to the omission of the indication of the deadline by which, in the event of withdrawal, the customer loses the benefits granted, in the form of bonuses/discounts; ii) of an aggressive nature, consisting of the reversal of discounts applied in the first 12 months of supply (duration of the promotion), if the consumer withdraws before 24 months (duration of the offer), as they are equivalent to the imposition of a penalty for withdrawal, such as to unduly condition them to maintain the supply relationship with the company.</w:t>
        <w:br/>
        <w:t>3. During the PS11854 proceeding, the company had presented commitments on November 16, 2020, subsequently supplemented on March 8, 2021, which provided for overcoming the informational deficiencies in the contractual documentation, in sales scripts, and in advertising messages, as well as activating billing procedures aimed at resolving the issues related to the reversal of discounts in the event of withdrawal. The professional also committed to compensating consumers harmed by the contested conduct.</w:t>
        <w:br/>
        <w:t>4. In particular, Optima had undertaken the following commitments:</w:t>
        <w:br/>
        <w:t>Commitment 1</w:t>
        <w:br/>
        <w:t>With regard to the General Terms and Conditions of Supply (“GTCS”), Optima committed to modify them in relation to all current and future offers aimed at domestic customers and micro-enterprises, in order to inform the consumer more accurately of the other costs due under the contract and not indicated in the Technical-Economic Conditions (“TEC”), as they are passed on by Optima to other operators (distributor, postal service manager, etc.). Furthermore, the professional committed to include an informational section regarding such costs on the company website, appropriately communicating this to the Customer through a specific note on the front page of the first useful bill, as well as to eliminate other administrative costs never applied by Optima;</w:t>
        <w:br/>
        <w:t>Commitment 2</w:t>
        <w:br/>
        <w:t>Regarding the duration constraint, Optima committed to modify the contractual forms, with particular reference to the clause relating to the permanence obligation of 12/24 months and the related information on the consequences in the event of early withdrawal. In particular, the professional committed to keep published, in a specific section of the website, the regulations on current promotions, as well as to attach them to the subscription forms at the time of signing the contract;</w:t>
        <w:br/>
        <w:t>Commitment 3</w:t>
        <w:br/>
        <w:t>With regard to commercial communications, Optima committed to update them by giving greater prominence to the limiting conditions of the offers, with specific attention to those relating to the duration contractual obligation and the consequences in the event of early withdrawal. In particular, in the case of consumption offers, the professional committed to present every component of cost of the price related to the commodity with the same graphic prominence, including the marketing contribution and any other contribution applied at the discretion of the Company1;</w:t>
        <w:br/>
        <w:t>Commitment 4</w:t>
        <w:br/>
        <w:t>As for the withdrawal conditions, Optima committed to recover discounts in the event of early withdrawal as follows: if the termination occurs within 12 months from activation, Optima will recover only the discounts accrued up to that moment; while if the termination occurs from the 13th month onwards, Optima will recover only any discounts accrued during the second year;</w:t>
        <w:br/>
        <w:t>Commitment 5</w:t>
        <w:br/>
        <w:t>With regard to the restitution commitment, Optima committed to ensure economic compensation for customers who, activated from January 1, 2018, may have had to return discounts accrued due to promotions related to the first 12 months of supply as a result of withdrawal from the contract communicated between the 13th and 24th month of supply despite having a contractual obligation of 24 months.</w:t>
        <w:br/>
        <w:t>5. Subsequently, from what was represented by the Professional in the compliance report2, as well as from the information acquired ex officio3, several elements emerged that revealed the inadequate implementation methods of the commitments by the Professional, both regarding the information provided in the contractual and promotional documentation about the conditions provided in the event of early withdrawal, and concerning the lack of transparency in the representation of the costs of electricity and gas supply in the advertising material, as well as regarding the compensation procedure for customers who had unduly suffered the reversal of discounts recognized by the Company during the supply.</w:t>
        <w:br/>
        <w:t>6. In light of the above, based on the overall documentation acquired in the records, the Authority, with decision No. 30026 of February 15, 2022, decided to contest to Optima the violation of Article 27, paragraph 12 of the Consumer Code for failing to comply with the provisions of its resolution No. 29772 of July 13, 2021, and ordered the initiation of proceeding IP353 for the possible imposition of the pecuniary sanction provided for by the aforementioned norm.</w:t>
        <w:br/>
        <w:t>II. THE FINDINGS OF THE PROCEEDING</w:t>
        <w:br/>
        <w:t>1) The evidence acquired</w:t>
        <w:br/>
        <w:t>7. Below are the elements that, when considered as a whole, reveal the failure to implement the commitments (except for Commitment 1 adequately implemented) by the Professional.</w:t>
        <w:br/>
        <w:t>1 The Professional had committed, in particular, to adjust the company website and/or promotional and advertising material within 30 or 60 days from the acceptance of the commitments by the Authority, according to the different technical processing times and based on the model proposed, for example.</w:t>
        <w:br/>
        <w:t>2 Compliance report received on October 4, 2021 (prot. No. 75750), supplemented on November 23, 2021 (prot. No. 87917).</w:t>
        <w:br/>
        <w:t>3 See web pages containing announcements and regulations of the offers marketed by Optima between the end of 2021 and the beginning of 2022, acquired in the case file (acquisition of documentation on January 20, 2022, from the Optima website page https://preventivi.promozioneperte.net/optima-rfn/; acquisition of documentation on February 4, 2022, from the Optima website page https://www.optimaitalia.com/privati.html).</w:t>
      </w:r>
    </w:p>
    <w:p>
      <w:r>
        <w:rPr>
          <w:b/>
        </w:rPr>
        <w:t>[Pages 37–39]</w:t>
      </w:r>
    </w:p>
    <w:p>
      <w:r>
        <w:t>BULLETIN NO. 38 OF OCTOBER 24, 2022 39</w:t>
        <w:br/>
        <w:t>Modification of contractual forms - CTE, CGF, and regulations - (Commitment 2)</w:t>
        <w:br/>
        <w:t>8. Regarding the commitment concerning the modification of contractual forms (General Conditions of Supply (CGF), Technical-Economic Conditions (CTE), and promotional regulations), based on the evidence collected, it emerged that the Professional had only partially made the proposed modifications concerning the information related to the applicability period of discounts and the consequences provided in case of early withdrawal.</w:t>
        <w:br/>
        <w:t>9. In particular, Article 3 of the General Conditions of Supply (concerning "Duration of the contract, withdrawal, and renewal") in force since September 2021 included the following paragraphs: “3.2 Unless otherwise agreed, the duration of the economic offer is 12 months starting from the activation date of the service. In the event that the termination of the contract occurs before 12 months, any discounts applied will not be recognized and will be recovered (if provided for by the regulation of the relevant promotion). If the termination of the contract occurs from the 13th month onwards, only the discounts accrued in the second contractual year will be recovered (if provided for by the Regulation of the relevant promotion).”</w:t>
        <w:br/>
        <w:t>10. At the same time, the CTE related to the promotion of the Optima Super Casa Smart offer provided that: “Optima Super Casa Smart has a contractual obligation of 24 months. 1.2 In case of withdrawal from the individual activated service (“partial contractual withdrawal”), the applied discounts will be automatically recalculated, as described in the section “Details of discounts,” since the Optima Super Casa Smart offer follows a logic of increasing/decreasing discounts based on the number of services respectively activated/deactivated, while the discounts applied by virtue of active promotions will not be recognized and will be recovered in accordance with the provisions of current regulations. 1.3 In case of early withdrawal from all services (“total contractual withdrawal”), all applied discounts will not be recognized and will be recovered in accordance with the provisions of current regulations and promotional regulations. If the termination of the contract occurs from the 13th month onwards, only the discounts accrued in the second contractual year will be recovered.”</w:t>
        <w:br/>
        <w:t>11. However, the promotional regulations, published on the professional's corporate website, to which the CTE expressly referred, maintained - until February 2022 - the original wording, already contested at the start of proceeding PS11854, according to which “the offer is subject to a contractual obligation of 24 months, therefore, in case of early termination of the contract, for any reason, the applied discounts will not be recognized and will be recovered”4 as evidenced by the following image (Fig.1).</w:t>
        <w:br/>
        <w:t>4 See Minutes of acquisition of pages from the website optimaitalia.com dated February 4, 2022.</w:t>
      </w:r>
    </w:p>
    <w:p>
      <w:r>
        <w:t>40 BULLETIN NO. 38 OF OCTOBER 24, 2022</w:t>
        <w:br/>
        <w:t>Figure 1 – Regulation Promotion RAI Fee</w:t>
        <w:br/>
        <w:t>12. Moreover, in commercial communications, customers were explicitly invited to read such Regulations, downloadable from the corporate website (“for more info and any updates go to optimaitalia.com”) in order to know the details and conditions of the advertised offers5.</w:t>
        <w:br/>
        <w:t>13. The provisions regarding the applicability period of discounts and the consequences provided in case of early withdrawal were therefore inconsistent within the contractual documentation (CGF, CTE, and Regulations), to the extent that the provisions of the General Conditions of Supply, attached to contracts signed until February 2022, did not correspond to the Technical-Economic Conditions which, in turn, were ambiguous and misleading, as they provided that the applied discounts would be recovered based on what was provided by a vaguely defined “current regulation” and by the promotional regulations published on the website, which, as highlighted, had not been modified in accordance with the commitment undertaken.</w:t>
        <w:br/>
        <w:t>Modification of commercial communications, with reference to the limiting conditions of offers and the presentation of each component of the energy price with the same graphic prominence (Commitment 3)</w:t>
        <w:br/>
        <w:t>14. With reference to the commitment concerning the modification of commercial communications, aimed at clarifying the limiting conditions of the offers, specifically regarding the consequences provided in case of early withdrawal, and to present all cost items related to the supply of energy with the same graphic prominence, it emerged that the advertising messages disseminated since July 2021 on the various channels used by the Professional did not meet the criteria of transparency and completeness indicated in the aforementioned decision accepting the commitments, according to what resulted from the official checks carried out on the Company's website, as well as from the information provided by the professional.</w:t>
        <w:br/>
        <w:t>5 Specifically, these are the regulations: “Promotion RAI Fee,” “Electronic Invoice,” and “Start&amp;Go New.”</w:t>
      </w:r>
    </w:p>
    <w:p>
      <w:r>
        <w:t>BULLETIN NO. 38 OF OCTOBER 24, 2022 41</w:t>
        <w:br/>
        <w:t>15. In particular, it is highlighted that, regarding all current and future commercial offers, Optima should have “presented for consumption offers each cost component with the same graphic prominence, including the marketing contribution and any other contribution applied at the discretion of the Company”6.</w:t>
        <w:br/>
        <w:t>16. However, as can be seen from the advertising message reported in the following Figure 2, starting from July 2021, with the end of the commercialization of the Optima Start offer and the launch of the new Optima Super Casa and Optima Super Casa Smart offers, the advertising poster indicated only the proposed discounts (“20% on the raw material for electricity and gas”), without reporting, even in a footnote, the corresponding reference prices of the raw material for electricity and gas, nor the marketing fee.</w:t>
        <w:br/>
        <w:t>Figure 2 – Dealer-consumer channel poster</w:t>
        <w:br/>
        <w:t>17. Similarly, in the case of the advertising campaigns launched for Christmas 2021 (Figures 3 and 4), neither the prices of the raw material nor the marketing charges were indicated.</w:t>
        <w:br/>
        <w:t>6 See Annex to the decision accepting the commitments, cited.</w:t>
      </w:r>
    </w:p>
    <w:p>
      <w:r>
        <w:rPr>
          <w:b/>
        </w:rPr>
        <w:t>[Pages 40–42]</w:t>
      </w:r>
    </w:p>
    <w:p>
      <w:r>
        <w:t>42 BULLETIN NO. 38 OF OCTOBER 24, 2022</w:t>
        <w:br/>
        <w:t>Figures 3 and 4 – Examples of advertising messages disseminated in the autumn of 2021</w:t>
        <w:br/>
        <w:t>18. The advertising messages disseminated in the 2021 campaign indicated the price of the energy commodity and the marketing fee only in the footnote, in the absence of clear graphic prominence7 (Figures 5 and 6).</w:t>
        <w:br/>
        <w:t>Figures 5 and 6 - Examples of advertising messages disseminated in the autumn of 2021, with prices in the footnote</w:t>
        <w:br/>
        <w:t>19. The same observations apply to the other advertising messages related to the Optima Super Casa Smart offer disseminated in November 2021, in which the price of the energy commodity and the marketing and sales fee were reported only in the footnote and with characters much less prominent than the rest of the message, unlike the examples presented by Optima as part of the commitments made to the Authority (Figure 7).</w:t>
        <w:br/>
        <w:t>Figure 7 – Advertising message from November 2021</w:t>
        <w:br/>
        <w:t>20. Even in the advertising campaign launched in January 2022, Optima emphasized the discount on the commodity and the activation cost, without mentioning the price of electricity and gas, nor the existence of the monthly marketing fee (related to both electricity and gas supplies, Figures 8 and 9).</w:t>
      </w:r>
    </w:p>
    <w:p>
      <w:r>
        <w:t>44 BULLETIN NO. 38 OF OCTOBER 24, 2022</w:t>
        <w:br/>
        <w:t>Figures 8 and 9 - Examples of advertising messages disseminated in January 2022</w:t>
        <w:br/>
        <w:t>Modification of the contractual withdrawal conditions (Commitment 4)</w:t>
        <w:br/>
        <w:t>21. With reference to the modification of the contractual provisions concerning withdrawal conditions, Optima had committed to modifying the early withdrawal conditions in order to recover exclusively the discounts applied during the supply year. The Professional had stated, in the aforementioned compliance report, that it had adjusted its billing systems to avoid the recovery of discounts applied even in the event of customer withdrawal occurring from the months following the first year of supply (i.e., from the 13th month), in all cases where the duration of the offers was longer than one year and the discounts were instead provided only for the first 12 months of supply.</w:t>
        <w:br/>
        <w:t>22. However, according to the elements acquired in the records8, even in November 2021, that is, over 3 months after the acceptance of the commitments by the Authority, the Company had not yet ceased to reverse in the invoice the discounts previously recognized.</w:t>
        <w:br/>
        <w:t>Compensations for customers from whom discounts applied due to early withdrawal were reversed even after the first year of supply (Commitment 5)</w:t>
        <w:br/>
        <w:t>23. Regarding the compensation procedures – referred to in Commitment 5 – for customers from whom discounts recognized during the first year of supply were improperly reversed during withdrawal, it emerged that only a small number of customers had received the proposed compensations. In particular: i) Optima had planned to send a total of [omitted]* communications to the customers affected by the reversal of discounts (divided into three phases – the first on October 4, 2021 – [omitted] sends; the second on December 2, 2021 – [omitted] sends; the third on February 3, 2022 – [omitted] sends); ii) following these communications, responses were received for each phase respectively</w:t>
        <w:br/>
        <w:t>8 See, among others, the report of January 17, 2022, cited.</w:t>
        <w:br/>
        <w:t>* In this version, some data is omitted, as elements of confidentiality or secrecy of the information were deemed to exist.</w:t>
      </w:r>
    </w:p>
    <w:p>
      <w:r>
        <w:rPr>
          <w:b/>
        </w:rPr>
        <w:t>[Pages 43–45]</w:t>
      </w:r>
    </w:p>
    <w:p>
      <w:r>
        <w:t>BULLETIN NO. 38 OF OCTOBER 24, 2022 45</w:t>
        <w:br/>
        <w:t>6, 14, and 8 responses from the interested customers, to which the Company had sent 28 refund request forms; iii) as of February 17, 2022, a total of [omissis] had been recognized, in addition to the credit notes issued in favor of [omissis] – reducing their debt towards Optima – for a total of [omissis], against a total anticipated refund amount of [omissis]9.</w:t>
      </w:r>
    </w:p>
    <w:p>
      <w:r>
        <w:t>24. The procedure adopted by the Professional for issuing the refund10 involved sending an email or SMS to the interested users with a generic subject (“Optima Communication”) and a summary content11, as well as lacking useful references for contacting the Company's Customer Service (such as, for example, an email address or a phone number dedicated to such requests, etc.). Furthermore, the refund request form was not attached to the communication sent to customers, thus forcing the interested consumers to take action to obtain such a form and submit the refund request. The procedure, in fact, required the interested customer to call the contact operator to request the sending of the form, as well as to know the amount of the compensation due.</w:t>
      </w:r>
    </w:p>
    <w:p>
      <w:r>
        <w:t>2) The initiatives taken by Optima after the initiation of the non-compliance proceeding</w:t>
      </w:r>
    </w:p>
    <w:p>
      <w:r>
        <w:t>25. Following the initiation of the proceeding, Optima undertook a series of activities aimed at implementing, albeit belatedly, the commitments made and eliminating the issues raised by the Authority, also through a profound corporate reorganization process12.</w:t>
      </w:r>
    </w:p>
    <w:p>
      <w:r>
        <w:t>26. With reference to the contractual documentation (General Supply Conditions, Technical-Economic Conditions, and Regulations), the Company suspended, starting from April 2022, the offers with a duration of 24 months and included on the homepage of the company website a notice to consumers, linking to the information page regarding the refund campaign and the new policies for recovering promotional discounts in case of withdrawal, starting from July 2022 (Figure 11)13.</w:t>
      </w:r>
    </w:p>
    <w:p>
      <w:r>
        <w:t>9 See compliance report, cited, Optima's response to the request for clarification of November 23, 2021, (prot. no. 87917), note from Optima of April 27, 2022 (doc. no. 8 in the index of the file).</w:t>
      </w:r>
    </w:p>
    <w:p>
      <w:r>
        <w:t>10 See “Refund Procedure for Discounts” adopted by Optima starting from September 30, 2021, attached to the cited compliance report.</w:t>
      </w:r>
    </w:p>
    <w:p>
      <w:r>
        <w:t>11 The text of the communication sent via email was as follows: “Dear user, Optima has always been by the side of its Customers. Customer satisfaction is an important value for us, which is why we inform you that you have the opportunity to request, within 6 months from this notice, the discounts recovered in the event of early withdrawal from the contract signed with Optima. Hurry up! After the 6-month period, you will lose this benefit. Call Customer Service at the Toll-Free Number or contact us on our Social channels to learn about all the ways to obtain the refund of the discounts and receive assistance.”</w:t>
      </w:r>
    </w:p>
    <w:p>
      <w:r>
        <w:t>12 See DOC14, cited.</w:t>
      </w:r>
    </w:p>
    <w:p>
      <w:r>
        <w:t>13 See DOC14 in the index of the file (Annex 1.2), which refers to “Information on new policies for recovering discounts and promotions in case of withdrawal and any refunds.”</w:t>
      </w:r>
    </w:p>
    <w:p>
      <w:r>
        <w:t>46 BULLETIN NO. 38 OF OCTOBER 24, 2022</w:t>
        <w:br/>
        <w:t>Figure 10 – Homepage of the Optima website since July 2022</w:t>
      </w:r>
    </w:p>
    <w:p>
      <w:r>
        <w:t>27. In particular, a link to the following customer information14 was added to the homepage of the company website: “Dear Customer, […] we want to inform you that we have modified in favor of Customers the criterion for the full recovery of discounts in case of early withdrawal that was provided for in the conditions of contracts with a 24-month commitment. If your contract has a 24-month commitment, the contractual provisions related to the subscribed Offer indeed provide as follows: ‘The offer is subject to a contractual commitment of 24 months, therefore, in the event of early termination of the contract for any reason, the applied discounts will not be recognized and will be recovered.’ We have reformulated the text by replacing it with the following: ‘The offer provides for a contractual commitment of 24 months, therefore, in the event of early withdrawal from the contract for any reason, the applied discount will not be recognized and will be recovered. If the withdrawal occurs from the 13th month, only the discounts applied from the 13th month onwards will be recovered.’ Therefore, in the event of withdrawal from the contract from the thirteenth month onwards, the calculation of the discounts to be returned to Optima will always refer exclusively to the current contractual year, while, for previous contractual years, no recovery of the discounts you benefited from will be carried out. In this way, Optima can always be a choice for you and never a constraint. If you have already received the charge related to the recovery of discounts in the event of early withdrawal from the contract signed with Optima prior to the modification of the above contractual clause, we have arranged for the reversal of the charged amount. To receive the refund or for any details and clarifications, call Optima Customer Service or write to servizioclienti@optimaitalia.com.”</w:t>
      </w:r>
    </w:p>
    <w:p>
      <w:r>
        <w:t>14 The same communication was sent via email to the available customer addresses and was also included in the reserved area of registered customers (see DOC17 in the index of the file).</w:t>
      </w:r>
    </w:p>
    <w:p>
      <w:r>
        <w:t>BULLETIN NO. 38 OF OCTOBER 24, 2022 47</w:t>
      </w:r>
    </w:p>
    <w:p>
      <w:r>
        <w:t>28. Finally, starting from April 2022, all Regulations published on the company website – including those related to no longer valid offers – such as the “Rai Fee,” “Electronic Invoice,” and “Start&amp;Go New” regulations, were updated, specifying the logic for recovering discounts: “The ‘Rai Fee Promotion’ can be subscribed until 02/14/2021, and is cumulative with other ongoing promotions. The ‘Rai Fee Promotion’ is valid for the entire duration of the commercial offer, unless withdrawn. The offer provides for a contractual commitment of 24 months, therefore, in the event of early withdrawal from the contract for any reason, the applied discount will not be recognized and will be recovered. If the withdrawal occurs from the 13th month, only the discounts applied from the 13th month onwards will be recovered.”15. Optima has therefore confirmed the modification, in the operating systems, of the logic for applying the recovery of discounts for all 24-month duration promotions starting from October 2021, with the explicit prohibition of recovering the discount recognized to the customer in the first contractual year in case of withdrawal in the second contractual year16.</w:t>
      </w:r>
    </w:p>
    <w:p>
      <w:r>
        <w:t>29. As for commercial communications (as per Commitment 3), starting from April 2022, as a result of the suspension from the market of a large part of the offers (such as, for example, Optima Super Casa), also considering the situation of price volatility in energy markets, Optima initiated a comprehensive reorganization of the company website. In this context, the texts of the advertisements related to the Optima Super Casa Smart offer (the only offer that could be subscribed from that moment on, Figure 10) were updated with the prominent inclusion of the following information: i) percentage of discount and details of the costs of raw materials (€/Kwh and €/Smc), costs of marketing services (€/year and €/month), and other costs applied at Optima's discretion. Furthermore, in the case of offers based on “savings leverage,” it was noted what contributes to the value of the savings, in addition to the limiting conditions of the offer and the reference to the website optimaitalia.com (with the note's font size increased by 20%)17.</w:t>
      </w:r>
    </w:p>
    <w:p>
      <w:r>
        <w:t>15 See DOC14 in the index of the file (Annex 1.7.1, 1.7.2, 1.7.3); for example, in the “Rai Fee” regulation.</w:t>
      </w:r>
    </w:p>
    <w:p>
      <w:r>
        <w:t>16 See DOC8 in the index of the file (Table in Annex A).</w:t>
      </w:r>
    </w:p>
    <w:p>
      <w:r>
        <w:t>17 See DOC8 in the index of the file, containing a Note on the activities carried out by Optima.</w:t>
      </w:r>
    </w:p>
    <w:p>
      <w:r>
        <w:rPr>
          <w:b/>
        </w:rPr>
        <w:t>[Pages 46–48]</w:t>
      </w:r>
    </w:p>
    <w:p>
      <w:r>
        <w:t>48 BULLETIN NO. 38 OF OCTOBER 24, 2022</w:t>
        <w:br/>
        <w:t>Figure 11 – Promotional page for the Optima Super Casa Smart offer April 2022</w:t>
        <w:br/>
        <w:t>30. Similarly, starting from April 2022, Optima has redefined the advertising campaign related to the new offers - also disseminated through other channels - by prominently featuring the cost items (cost of raw materials and marketing services) for energy products, as seen in Figure 1218.</w:t>
        <w:br/>
        <w:t>18 See DOC17 in the index of the file (Annex 3 Creativity).</w:t>
      </w:r>
    </w:p>
    <w:p>
      <w:r>
        <w:t>BULLETIN NO. 38 OF OCTOBER 24, 2022 49</w:t>
        <w:br/>
        <w:t>Figure 12 – Example of commercial communication from Optima from April 2022</w:t>
        <w:br/>
        <w:t>31. With reference to the compensation measures, the Company has initiated a new procedure aimed at extending the pool of beneficiaries of refunds and improving the effectiveness of the compensation activity for its customers who have received requests for the recovery of discounts, even in the absence of a specific request from the interested consumers.</w:t>
        <w:br/>
        <w:t>32. Firstly, Optima has extended the scope of refunds to all customers to whom discounts were improperly charged at the time of withdrawal, including all users affected up to September 1, 2021 (the last date on which Optima reversed the discounts according to the previous method)19.</w:t>
        <w:br/>
        <w:t>33. Specifically, Optima has launched a broader contact campaign – proactive and multichannel – with each customer, specifying “the right to a refund with precise indication of the amount due to them,” also in order to encourage the customer to provide the Company with the necessary information regarding the refund methods (i.e. bank transfer or cashier's check)20.</w:t>
        <w:br/>
        <w:t>19 See DOC14 in the index of the file, which specifies that “This group has been identified by referencing all Optima customers who received a request for the recovery of discounts, according to the contested methods, during the period from January 1, 2018, to September 1, 2021 (the last date of the charge for the recovery of discounts according to the previous method), regardless of the type of offer subscribed by the customer.”</w:t>
        <w:br/>
        <w:t>20 See DOC14 in the index of the file, which specifies “Optima will individually contact the customers in question, informing them of their right to a refund of the discounts, expressly indicating the amount individually claimed and agreeing on the fastest and most convenient refund methods (i.e. cashier's check and/or bank transfer).” This campaign will be divided into three contact cycles on a bimonthly basis, starting by July 18, 2022.</w:t>
        <w:br/>
        <w:t>34. The contact campaign was conducted starting from April 2022 and in the first phase, concluded in July 2022, [omitted] emails were sent, [omitted] SMS messages, as well as [omitted] customers were contacted by phone, out of [omitted] identified customers21.</w:t>
        <w:br/>
        <w:t>35. Following the aforementioned contact campaign, as of July 18, 2022, [omitted] had been issued, totaling approximately [omitted] in favor of about [omitted] (including both refunds and reductions of arrears). As of the same date, the actual refunds according to the payment methods chosen by the customer amounted to [omitted]. Subsequently, at the beginning of September 2022, the total amount incurred following the first cycle was [omitted], in addition to the automatic credit notes already issued for [omitted], for a total of [omitted].</w:t>
        <w:br/>
        <w:t>36. In order to complete the aforementioned refund procedure, “the Company set aside on July 5, 2022, a dedicated fund amounting to [omitted] euros, or “an amount exceeding the total sum recovered as a discount, …, also to account for the ancillary costs related to the operation.”</w:t>
        <w:br/>
        <w:t>37. Within this procedure, the Company has prepared the aforementioned “communication to be sent to those customers who have an offer – no longer subscribable today – activated prior to the opening of proceeding PS11854 and which bears the old wording of the recovery of discounts, clarifying that no costs will be recovered from the 13th month onwards”22. Furthermore, Optima has planned to attach the same communication to the invoice for three billing cycles, starting from July 2022. Information about this campaign is also provided on Optima's website (see Figure 11, above).</w:t>
        <w:br/>
        <w:t>38. Finally, to facilitate the achievement of the set goal, Optima has sent a written communication to the most representative consumer associations at the national level, outlining the adoption of a dedicated procedure that allows these Associations to directly report the positions of Optima customers, their members, who are entitled to a refund of the discounts under investigation, and makes available indefinitely a specific channel (via email) to report such positions, as well as, in the future, to manage any complaints that may concern its services and/or products, regardless of the subject of the complaint23.</w:t>
        <w:br/>
        <w:t>III. THE ARGUMENTS OF THE PARTY</w:t>
        <w:br/>
        <w:t>39. During the proceeding, the Professional submitted its defense writings24, responded to requests for information made by the Authority25, accessed the documents of the file26, and was heard in a hearing (on July 6, 2022)27.</w:t>
      </w:r>
    </w:p>
    <w:p>
      <w:r>
        <w:rPr>
          <w:b/>
        </w:rPr>
        <w:t>[Pages 49–51]</w:t>
      </w:r>
    </w:p>
    <w:p>
      <w:r>
        <w:t>BULLETIN NO. 38 OF OCTOBER 24, 2022 51</w:t>
      </w:r>
    </w:p>
    <w:p>
      <w:r>
        <w:t>40. Preliminary, Optima emphasized that the joint initiation of the non-compliance proceedings (IP353) and the assessment of the originally contested conduct (PS11854B) would be in contrast both with the principle of ne bis in idem, given the substantial overlap of the criticisms, and with the principles of economy and procedural efficiency that must characterize administrative action.</w:t>
      </w:r>
    </w:p>
    <w:p>
      <w:r>
        <w:t>41. In particular, according to Optima, it must be taken into account that the prohibition of ne bis in idem now stands “as a guarantee of a substantial nature - and no longer (only) a procedural prohibition - aimed at safeguarding the proportionality of the cumulative sanctioning treatment, so that it does not become unreasonable.” Considering that, even in the matter of unfair commercial practices, the imposition of administrative monetary sanctions assumes a substantially penal significance, the Party highlights the risk that the initiation of the two proceedings could result in “two sanctioning measures, whose fines, cumulatively, could abstractly reach double the statutory limit provided by law.”</w:t>
      </w:r>
    </w:p>
    <w:p>
      <w:r>
        <w:t>42. Secondly, Optima raised the objection that the proceeding also concerns other commercial proposals (in addition to the one named Optima Start), with the consequence that the Company “is subject to an objective extension of the scope of the Main Proceeding without however respecting the guarantees that are inherent to a fair proceeding.”</w:t>
      </w:r>
    </w:p>
    <w:p>
      <w:r>
        <w:t>43. On the merits of the measures adopted to comply with the commitments made, Optima pointed out that the failure to update the clause contained in certain regulations present on the Company's website until February 2022 - due to the lack of updating of the website itself - did not have real effects on consumers, since, during the period under analysis (October 2020-February 2022), the views of the “Promotions” page where the Optima regulations are present, compared to the total views of all pages of the site, were only [omissis]. Moreover, Optima highlighted that, starting from the end of 2021, Article 3.8 of the General Terms and Conditions (attached to the contractual package sent to the consumer) had been modified, specifying that after the 13th month, only the discounts applied in the current year would be recovered in the event of withdrawal.</w:t>
      </w:r>
    </w:p>
    <w:p>
      <w:r>
        <w:t>44. With specific reference to the clauses on the contractual duration referred to in commitment no. 2, the Company emphasized that the presence on the corporate website of the outdated promotional Regulations was due to “a mere error in updating the corporate website,” which, upon realizing the error, “Optima immediately proceeded to update,” also through the reorganization of its control functions “in order to prevent the recurrence of such misunderstandings in the future.”</w:t>
      </w:r>
    </w:p>
    <w:p>
      <w:r>
        <w:t>45. With reference to the criteria for publicizing the offers Optima Super Casa and Optima Super Casa Smart, the Company emphasized that these constitute types of offers different from the Optima Start offer “as they both add to the energy and gas supply service also internet, voice, mobile, and insurance services.” For this reason, there is “an objective difficulty in containing all the individual components of the different utilities in a single advertising message.” Moreover, Optima's commitment consisted of giving the same graphic prominence to each cost component “for consumption offers,” while “the discount does not constitute per se a cost component.”</w:t>
      </w:r>
    </w:p>
    <w:p>
      <w:r>
        <w:t>52 BULLETIN NO. 38 OF OCTOBER 24, 2022</w:t>
      </w:r>
    </w:p>
    <w:p>
      <w:r>
        <w:t>46. As for the commercial information conveyed through telemarketing services (so-called scripts), Optima clarified that it had stopped using such sales channels as of March 2020.</w:t>
      </w:r>
    </w:p>
    <w:p>
      <w:r>
        <w:t>47. Optima reiterated in its defensive memoranda that it had modified the procedures for recovering discounts in line with the commitments made as early as October 2021 and had managed the complaints received subsequently as sporadic cases of misalignment of systems, on which it intervened by recognizing a specific credit note to the affected customers.</w:t>
      </w:r>
    </w:p>
    <w:p>
      <w:r>
        <w:t>48. Regarding the restitution commitment (Commitment 5), Optima emphasized that it had “communicated the possibility of requesting a refund of the discounts recovered for early withdrawal from the contract to all customers who between January 1, 2018, and April 30, 2020, had to return discounts related to the first 12 months after exercising withdrawal from the contract in the second contractual year, also proceeding to refund the discounts to the requesting entitled parties.” Following this communication (conveyed through 991 emails and 9 SMS), credit notes were issued for a total of [omissis] euros in favor of [omissis] delinquent customers, reducing their debt owed to Optima. The fact that the return of users on refunds “has been insignificant, according to Optima, cannot constitute a non-compliance with the commitment in question.”</w:t>
      </w:r>
    </w:p>
    <w:p>
      <w:r>
        <w:t>IV. EVALUATIONS</w:t>
      </w:r>
    </w:p>
    <w:p>
      <w:r>
        <w:t>49. In light of the investigative findings, it is believed that the Professional has not correctly followed up on the commitments proposed and made mandatory by the Authority with the aforementioned resolution of July 2021, having systematically and coherently failed to update the contractual documentation aimed at informing customers of the provisions regarding duration and the consequences provided therein in the event of early withdrawal, and having not modified its advertising communications, in order to make transparent the economic conditions of energy service offers, as well as the conditions for early withdrawal, in order to avoid the recovery of discounts applied for a period exceeding the year of supply. The Professional has finally not adopted effective procedures for compensating customers who had unduly suffered the reversal of discounts accrued after the first year of supply.</w:t>
      </w:r>
    </w:p>
    <w:p>
      <w:r>
        <w:t>50. As for the defensive arguments put forward by the Professional, it is preliminarily represented, regarding the risk that the joint initiation of the two proceedings IP353 and PS11854B would be in contrast with the principle of ne bis in idem and could lead to exceeding the statutory limit imposed on the sanctioning measures imposed on Optima in the event of violations of the Consumer Code, that, as recently affirmed by the Council of State28, this eventuality does not exist, since the circumstance that the same facts are the subject of two distinct sanctioning proceedings does not necessarily entail a violation of ne bis in idem considering that: i) in one case, the proceeding concerns the assessment of violations of the Consumer Code and in the other case, the imposition of a sanction following the failure to implement commitments; and ii) the overall sanctioning system ensures a burden proportionate to the seriousness of the violations, as well as within the statutory limit.</w:t>
      </w:r>
    </w:p>
    <w:p>
      <w:r>
        <w:t>51. With reference to the possibility that the initiation of the non-compliance proceeding may constitute an objective extension of the scope of proceeding PS11854, in the absence of the related guarantees, it is emphasized that, although in proceeding PS11854 the offer named Optima Start was considered, merely as an example, the commitments made mandatory by the Authority with resolution no. 29772 of July 13, 2021, concerned all current and future consumption offers of electricity and gas, regardless of the set of services marketed even jointly (such as, for example, the internet connection service or mobile communications), as in the case of offers disseminated starting from the end of 2021.</w:t>
      </w:r>
    </w:p>
    <w:p>
      <w:r>
        <w:t>52. As for the fulfillment of the individual commitments, based on the evidence presented above, it is emphasized that the failure to update the promotional Regulations available on the corporate website (referred to in Commitment 2) cannot be attributed to a mere delay in updating the site, but constitutes a serious informational deficiency, where, as emerged, such outdated Regulations were found, in addition to being present on the corporate website, attached to the contractual documentation still used in November 2021 for the subscription of offers with a duration of 24 months.</w:t>
      </w:r>
    </w:p>
    <w:p>
      <w:r>
        <w:t>53. With reference to the advertising communications, the failure to include the economic conditions of the energy service offers on the various commercial channels (corporate website, flyers, etc.) is not compliant with commitment 3 undertaken by Optima, which provided for the transparency of the economic conditions of all consumption offers, including those comprising multiple services. In particular, the indication of only the proposed discount, in the absence of the price base on which the discount itself applies, does not constitute complete economic information, nor is it adequate to allow customers to assess the actual convenience of the offer. At the same time, the inclusion of the economic conditions only in the footnote of the advertising message does not comply with the criterion of presenting all offer conditions with equal graphic prominence, as provided in the commitments made mandatory in the aforementioned resolution of the Authority.</w:t>
      </w:r>
    </w:p>
    <w:p>
      <w:r>
        <w:t>54. Finally, the procedures for compensating customers who had suffered the reversal of discounts at the time of the initiation of the proceeding have proven completely ineffective in ensuring the actual refund of the unduly reversed discounts to the potential affected customers, as estimated by Optima itself in its proposal for commitments (about [omissis] customers for a total of about [omissis]).</w:t>
      </w:r>
    </w:p>
    <w:p>
      <w:r>
        <w:t>55. In conclusion, it is therefore evident that the behavior exhibited by the Professional constitutes non-compliance with resolution no. 29772 of July 13, 2021, as Optima has not implemented the commitments (nos. 2, 3, 4, and 5) undertaken, referred to in point 20 of the aforementioned provision, in violation of Article 27, paragraph 12, of the Consumer Code.</w:t>
      </w:r>
    </w:p>
    <w:p>
      <w:r>
        <w:rPr>
          <w:b/>
        </w:rPr>
        <w:t>[Pages 52–54]</w:t>
      </w:r>
    </w:p>
    <w:p>
      <w:r>
        <w:t xml:space="preserve">54 BULLETIN NO. 38 OF OCTOBER 24, 2022  </w:t>
        <w:br/>
        <w:t xml:space="preserve">V. QUANTIFICATION OF THE SANCTION  </w:t>
        <w:br/>
        <w:t xml:space="preserve">56. Pursuant to Article 27, paragraph 12, of the Consumer Code, the Authority orders the application of an administrative pecuniary sanction from €10,000 to €5,000,000, taking into account the severity and duration of the violation.  </w:t>
        <w:br/>
        <w:t xml:space="preserve">57. Regarding the quantification of the sanction, account must be taken, where applicable, of the criteria identified by Article 11 of Law No. 689/81, by virtue of the reference provided in Article 27, paragraph 13, of the Consumer Code: in particular, the severity of the violation, the actions taken by the company to eliminate or mitigate the infringement, as well as the economic conditions of the company itself.  </w:t>
        <w:br/>
        <w:t xml:space="preserve">58. With regard to the severity of the violation, it is noted that the non-compliance with resolution No. 29772 of July 13, 2021, has continued to affect a significantly high number of consumers and economic operators, namely the majority of users of the electricity and gas supply services subject to this provision, for whom measures aimed at improving the transparency of contractual documentation and promotional messages have not been adopted, as well as those from whom all accrued discounts were revoked in the event of early termination after the first year of supply.  </w:t>
        <w:br/>
        <w:t xml:space="preserve">59. In relation to the economic size of the Professional, it appears that Optima achieved a turnover of approximately €222 million in 2021 (with an EBITDA of approximately €44 million).  </w:t>
        <w:br/>
        <w:t xml:space="preserve">60. Also concerning the severity of the infringement, it is taken into account that the non-compliance relates to the vast majority of the commitments undertaken by the professional (except for commitment 1), made mandatory by the Authority within the framework of proceeding PS11854.  </w:t>
        <w:br/>
        <w:t xml:space="preserve">61. As for the duration, it emerges that, following the measures taken by the Professional during the non-compliance proceeding: a) the lack of transparency in the contractual documentation regarding the methods of recovering discounts in the event of early termination persisted at least until September 2021, in the case of the General Terms and Conditions, and until March 2022, in the case of the promotional Regulations; b) the information on the economic conditions of the electricity and gas offer was found to be lacking in commercial communications at least until April 2022; c) the modification of billing systems to avoid the revocation of discounts accrued in the first year of supply in the event of early termination relative to the duration of the offer was not effective at least until November 2021; d) the procedures for compensating customers who had suffered the revocation of discounts accrued following termination after the first year of contract were developed by Optima only starting from April 2022 and are still ongoing.  </w:t>
        <w:br/>
        <w:t xml:space="preserve">62. Based on these elements, it is deemed appropriate to determine the amount of the administrative pecuniary sanction applicable to Optima Italia S.p.A. in the amount of €1,000,000 (one million euros).  </w:t>
        <w:br/>
        <w:t xml:space="preserve">63. However, it must be considered that, subsequent to the initiation of the proceeding, Optima has worked, since April 2022, to implement transparency measures, as well as, since July 2022, to compensate customers to whom the revocation of discounts for early termination had been applied. Taking into account these measures, it is deemed appropriate to apply to the company Optima the administrative pecuniary sanction of €500,000 (five hundred thousand euros).  </w:t>
        <w:br/>
        <w:t>64. All of the above having been stated and considered;</w:t>
      </w:r>
    </w:p>
    <w:p>
      <w:r>
        <w:t xml:space="preserve">BULLETIN NO. 38 OF OCTOBER 24, 2022 55  </w:t>
        <w:br/>
        <w:t xml:space="preserve">RESOLUTION  </w:t>
        <w:br/>
        <w:t xml:space="preserve">a) that the behavior of the company Optima Italia S.p.A., consisting of having violated resolution No. 29772 of July 13, 2021, constitutes non-compliance with the latter;  </w:t>
        <w:br/>
        <w:t xml:space="preserve">b) to impose on the company Optima Italia S.p.A. an administrative pecuniary sanction of €500,000 (five hundred thousand euros);  </w:t>
        <w:br/>
        <w:t xml:space="preserve">c) that the company Optima Italia S.p.A. send a report informing of the results regarding the implementation of the described customer compensation procedures (see paras. 49 and 60), within six months from the notification of this provision, producing the relevant documentation in support.  </w:t>
        <w:br/>
        <w:t xml:space="preserve">The administrative sanction imposed must be paid within thirty days from the notification of this provision, using the tax codes indicated in the attached F24 model with identifying elements, pursuant to Legislative Decree No. 241/1997.  </w:t>
        <w:br/>
        <w:t xml:space="preserve">Payment must be made electronically with a debit from one's bank or postal account, through the home banking and CBI services provided by banks or by Poste Italiane S.p.A., or by using the telematic services of the Revenue Agency, available on the website www.agenziaentrate.gov.it.  </w:t>
        <w:br/>
        <w:t xml:space="preserve">After the aforementioned deadline, for the period of delay of less than six months, late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collection agent; in this case, the increase absorbs the late interest accrued in the same period.  </w:t>
        <w:br/>
        <w:t xml:space="preserve">Immediate communication of the payment must be given to the Authority by sending the documentation certifying the payment made.  </w:t>
        <w:br/>
        <w:t>This provision will be notified to the interested parties and published in the Bulletin of the Authority for Competition and Market.</w:t>
      </w:r>
    </w:p>
    <w:p>
      <w:r>
        <w:t xml:space="preserve">56 BULLETIN NO. 38 OF OCTOBER 24, 2022  </w:t>
        <w:br/>
        <w:t xml:space="preserve">Against this provision, an appeal may be filed with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the term of one hundred and twenty days from the date of notification of the provision itself.  </w:t>
        <w:br/>
        <w:t xml:space="preserve">THE SECRETARY GENERAL THE PRESIDENT  </w:t>
        <w:br/>
        <w:t>Guido Stazi Roberto Rustichelli</w:t>
      </w:r>
    </w:p>
    <w:p>
      <w:r>
        <w:rPr>
          <w:b/>
        </w:rPr>
        <w:t>[Pages 55–57]</w:t>
      </w:r>
    </w:p>
    <w:p>
      <w:r>
        <w:t>BULLETIN NO. 38 OF OCTOBER 24, 2022 57</w:t>
        <w:br/>
        <w:t>PS9388 - T-SHOCK31-TIMODELLACLUB</w:t>
        <w:br/>
        <w:t>Provision No. 30325</w:t>
        <w:br/>
        <w:t>THE ANTITRUST AUTHORITY</w:t>
        <w:br/>
        <w:t>IN ITS MEETING of October 4, 2022;</w:t>
        <w:br/>
        <w:t>HEARD the Rapporteur Professor Michele Ainis;</w:t>
        <w:br/>
        <w:t>VIEWED Part II, Title III, of Legislative Decree No. 206 of September 6, 2005, containing the “Consumer Code” and subsequent amendments (hereinafter, Consumer Code);</w:t>
        <w:br/>
        <w:t>VIEWED its provision No. 25483, of May 20, 2015, adopted at the conclusion of the investigative procedure related to case PS9388 – T-Shock31 – Timodella Club, with which it was decided that the company B&amp;M S.r.l. Marketing del Benessere (hereinafter also B&amp;M), active, among other things, in the production and marketing of cosmetics and equipment in the field of aesthetic and weight loss treatments, has engaged in an unfair commercial practice in violation of Articles 20, 21, paragraph 1, letter b), and 22 of the Consumer Code, consisting of disseminating misleading and omissive messages through print media and websites regarding the properties, results obtainable, and effectiveness of the T-Shock31 treatment;</w:t>
        <w:br/>
        <w:t>VIEWED that for the established violation, due to the seriousness and duration of the infringement, an administrative pecuniary sanction of €100,000 was imposed on the company B&amp;M S.r.l. Marketing del Benessere;</w:t>
        <w:br/>
        <w:t>VIEWED the ruling of the Council of State, section VI, of May 30, 2022, No. 4694, published on June 9, 2022, with which the ruling of the Lazio TAR, section I, of July 3, 2017, No. 7549, rejecting the appeal filed by the aforementioned company against the sanctioning provision, was partially reformed with respect to the quantification of the imposed sanction;</w:t>
        <w:br/>
        <w:t>VIEWED, in particular, the reasoning of the cited ruling of the Council of State, in the part where it states that “the conditions exist for the reduction of the sanction imposed on the sole company B&amp;M […] in the exercise of the power of re-determination of the sanction assigned to the administrative judge by Article 134, paragraph 1, letter c), of the administrative procedural code, by 30%;</w:t>
        <w:br/>
        <w:t>CONSIDERED, therefore, that it is necessary to proceed in compliance with said ruling to re-determine the amount of the sanction imposed with provision No. 25483, of May 20, 2015, against the company B&amp;M S.r.l. Marketing del Benessere, in accordance with the quantification parameter established therein;</w:t>
        <w:br/>
        <w:t>VIEWED all the acts of the procedure;</w:t>
        <w:br/>
        <w:t>CONSIDERED that, in accordance with the indications of the administrative judge in the ruling in question, the amount of the sanction imposed on the company B&amp;M S.r.l. Marketing del Benessere with provision No. 25483, of May 20, 2015, must be reduced “by thirty percent”;</w:t>
        <w:br/>
        <w:t>CONSIDERED, therefore, that the final amount of the sanction against the company B&amp;M S.r.l. Marketing del Benessere, for the conduct established with provision No. 25483, of May 20, 2015, should be re-determined to €70,000 (seventy thousand euros);</w:t>
      </w:r>
    </w:p>
    <w:p>
      <w:r>
        <w:t>58 BULLETIN NO. 38 OF OCTOBER 24, 2022</w:t>
        <w:br/>
        <w:t>All of the above having been stated and considered;</w:t>
        <w:br/>
        <w:t>RESOLVES</w:t>
        <w:br/>
        <w:t>that the administrative pecuniary sanction to be imposed on the company B&amp;M S.r.l. Marketing del Benessere, for the behaviors attributed to it in the Authority's provision No. 25483, of May 20, 2015, is re-determined to €70,000 (seventy thousand euros).</w:t>
        <w:br/>
        <w:t>Against this provision, an appeal may be submitted to the Lazio TAR, pursuant to Article 135, paragraph 1, letter b), of the Administrative Procedure Code (Legislative Decree No. 104 of July 2, 2010), within sixty days from the date of notification of the provision itself, without prejudice to the longer terms provided for in Article 41, paragraph 5, of the Administrative Procedure Code, or an extraordinary appeal may be proposed to the President of the Republic, pursuant to Article 8 of the Decree of the President of the Republic No. 1199 of November 24, 1971, within one hundred and twenty days from the date of notification of the provision itself.</w:t>
        <w:br/>
        <w:t>This provision will be notified to the interested parties and published in the Bulletin of the Antitrust Authority.</w:t>
        <w:br/>
        <w:t>THE SECRETARY GENERAL THE PRESIDENT</w:t>
        <w:br/>
        <w:t>Guido Stazi Roberto Rustichelli</w:t>
      </w:r>
    </w:p>
    <w:p>
      <w:r>
        <w:t>BULLETIN NO. 38 OF OCTOBER 24, 2022 59</w:t>
        <w:br/>
        <w:t>PS11854B - OPTIMA-COMMERCIAL OFFERS</w:t>
        <w:br/>
        <w:t>Provision No. 30326</w:t>
        <w:br/>
        <w:t>THE ANTITRUST AUTHORITY</w:t>
        <w:br/>
        <w:t>IN ITS MEETING of October 4, 2022;</w:t>
        <w:br/>
        <w:t>HEARD the Rapporteur Professor Michele Ainis;</w:t>
        <w:br/>
        <w:t>VIEWED Part II, Title III of Legislative Decree No. 206 of September 6, 2005, containing the “Consumer Code”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VIEWED its provision No. 29772 of July 13, 2021, with which it was decided to close the PS11854 procedure without establishing the infringement, making mandatory the commitments proposed by the company Optima Italia S.p.A. (hereinafter, also “Optima,” “the Company” or the “Professional”), pursuant to and for the effects of Article 27, paragraph 7, of the Consumer Code;</w:t>
        <w:br/>
        <w:t>VIEWED its resolution No. 30026 of February 15, 2022, with which the Authority initiated procedure IP353, in order to contest to Optima the violation of Article 27, paragraph 12, of the Consumer Code, for failing to comply with the commitments undertaken in procedure PS11854 and made mandatory with the aforementioned resolution No. 29772 of July 13, 2021;</w:t>
        <w:br/>
        <w:t>VIEWED its provision of February 15, 2022, with which an inspection was ordered, pursuant to Article 27, paragraphs 2 and 3, of the Consumer Code, at the headquarters of the company Optima;</w:t>
        <w:br/>
        <w:t>VIEWED the provisions of May 18 and July 5, 2022, with which, pursuant to Article 7, paragraph 3, of the Regulation, an extension of the deadline for concluding the procedure was ordered, for specific investigative needs;</w:t>
        <w:br/>
        <w:t>VIEWED the provision of August 4, 2022, with which, acknowledging the request made by the Regulatory Authority for Energy Networks and Environment (hereinafter also ARERA) regarding the issuance of its opinion on the case, a further extension of the deadline for concluding the procedure was ordered;</w:t>
        <w:br/>
        <w:t>VIEWED the acts of the procedure;</w:t>
        <w:br/>
        <w:t>I. THE PARTY</w:t>
        <w:br/>
        <w:t>1. The company Optima Italia S.p.A. as a professional, pursuant to Article 18, letter b), of the Consumer Code. The Company operates in the sector of electricity and natural gas supply. The Company reported a turnover of approximately €222 million as of December 31, 2021.</w:t>
      </w:r>
    </w:p>
    <w:p>
      <w:r>
        <w:rPr>
          <w:b/>
        </w:rPr>
        <w:t>[Pages 58–60]</w:t>
      </w:r>
    </w:p>
    <w:p>
      <w:r>
        <w:t>60 BULLETIN NO. 38 OF OCTOBER 24, 2022</w:t>
        <w:br/>
        <w:t>II. THE CONDUCTS</w:t>
        <w:br/>
        <w:t>2. The proceeding concerns the conducts carried out by Optima, regarding the commercial offers for the supply of electricity and gas in the free market, proposed since at least 2019, consisting of:</w:t>
        <w:br/>
        <w:t>a) the lack of a transparent and complete information regarding both the economic characteristics of the supply of energy and gas services, within the contractual and advertising documentation, as well as the conditions provided therein for the enjoyment of bonuses/discounts or regarding the consequences in case of early withdrawal;</w:t>
        <w:br/>
        <w:t>b) the recovery (through invoice adjustment) of discounts applied in case of early withdrawal compared to the duration of the promotional offer.</w:t>
        <w:br/>
        <w:t>III. THE OUTCOMES OF THE PROCEEDING</w:t>
        <w:br/>
        <w:t>1) The course of the proceeding</w:t>
        <w:br/>
        <w:t>a) The original proceeding PS11854</w:t>
        <w:br/>
        <w:t>3. In relation to the conducts described above, on October 8, 2020, the initiation of the investigative proceeding PS11854 was communicated to the Professional. In this context, the incorrectness of the conducts carried out by the Professional was hypothesized, characterized, one (the conduct sub A) by aspects of misleadingness and/or omission, regarding the incompleteness of the economic conditions of supply, in violation of Articles 20, 21, and 22 of the Consumer Code, the other (the conduct sub B) by aspects of aggressiveness, as the adjustment of discounts/bonuses in case of early withdrawal appeared, akin to a penalty, likely to condition the consumer to maintain the supply relationship with the Company, in violation of Articles 24 and 25 of the same Code.</w:t>
        <w:br/>
        <w:t>4. On November 16, 2020, Optima had formulated a proposal of commitments, aimed at removing the critical aspects of the conducts subject to contestation, last presented in the consolidated version on March 8, 2021.</w:t>
        <w:br/>
        <w:t>5. With resolution no. 29772 of July 13, 2021, the Authority had accepted and made mandatory the commitments presented by Optima, closing the proceeding PS11854 without ascertaining the violations.</w:t>
        <w:br/>
        <w:t>b) The reopening of the investigative proceeding (PS11854B), following the violation by Optima of the commitments made mandatory in proceeding PS11854</w:t>
        <w:br/>
        <w:t>6. Following the closure of proceeding PS11854, from the compliance report regarding the commitments made mandatory in the provision1, as well as from the information acquired ex officio and from consumer complaints, several elements emerged that allowed for the consideration of the implementation methods of the commitments by the Professional as inadequate.</w:t>
        <w:br/>
        <w:t>7. Consequently, on February 15, 2022:</w:t>
        <w:br/>
        <w:t>i) the proceeding IP353 was initiated, in order to contest to Optima the violation of Article 27, paragraph 12, of the Consumer Code, for failing to comply with the commitments undertaken in proceeding PS11854 and made mandatory by resolution no. 29772 of July 13, 2021;</w:t>
        <w:br/>
        <w:t>1 Compliance report on the commitments, received on October 4, 2021 (prot. no. 75750), supplemented on November 23, 2021 (prot. no. 87917), in response to the request for information made by the Offices.</w:t>
      </w:r>
    </w:p>
    <w:p>
      <w:r>
        <w:t>BULLETIN NO. 38 OF OCTOBER 24, 2022 61</w:t>
        <w:br/>
        <w:t>ii) on February 17, 2022, the reopening of the proceeding (PS11854B) was communicated, pursuant to Article 27 of the Consumer Code and Article 9, paragraph 3, letter a) of the Regulation, in relation to the same critical aspects already hypothesized in the communication of the initiation of proceeding PS11854, concerning the possible violation of Articles 20, 21, 22, 24, and 25 of the Consumer Code. At the same time, the Authority ordered an inspection at the headquarters of Optima, carried out on February 17, 2022.</w:t>
        <w:br/>
        <w:t>8. On March 23, 2022, Optima submitted an initial defense memorandum, subsequently supplemented, on April 27 and July 5, 2022, with the information requested in the communication of the initiation of the proceeding.</w:t>
        <w:br/>
        <w:t>9. On February 25, 2022, the company Optima accessed the documents of the file and, on July 6, 2022, was heard in a hearing.</w:t>
        <w:br/>
        <w:t>10. On June 27, 2022, pursuant to Article 16, paragraph 1 of the Regulation, the deadline for the conclusion of the investigative phase of the present proceeding PS11854B was communicated to Optima.</w:t>
        <w:br/>
        <w:t>11. The final memorandum of Optima was received on July 18, 2022.</w:t>
        <w:br/>
        <w:t>12. With communication dated July 19, 2022, the opinion was requested from the Authority for Guarantees in Communications – received on August 5, 2022 – and the opinion from the Regulatory Authority for Energy Networks and Environment – received on September 13, 2022.</w:t>
        <w:br/>
        <w:t>2) The evidence acquired</w:t>
        <w:br/>
        <w:t>i) The conduct sub A)</w:t>
        <w:br/>
        <w:t>13. With reference to conduct sub A), in the communication of the initiation of proceeding PS11854B, the alleged misleadingness and omission, within the contractual and advertising documentation, as well as the sales scripts, of the information regarding the economic conditions of the proposed offers and the characteristics of the promotions were contested, with specific reference to the duration of the offers, the applicability of discounts, and the omission of the indication of the deadline by which, in case of withdrawal, the customer loses the benefits granted, in the form of bonuses/discounts.</w:t>
        <w:br/>
        <w:t>14. Regarding the commercial communications, disseminated since 2019 through various channels, Optima promoted its offers in the absence of any indication regarding the cost of energy and the marketing and sales fees provided in the contract conditions (CTE), highlighting only the proposed discounts, such as, for example, the 100% Discount on the activation cost, 20% Loyalty Discount, 100% RAI Fee Discount, or the Locked Price for 24 months, as can be seen, for example, from the following advertising message (Figure 1). Furthermore, in the same messages, there was no reference regarding the duration of the offer, nor the period of applicability of the discounts/bonuses, or the clause that in case of early withdrawal all discounts/bonuses would be recovered. In particular, in the advertising messages, the Professional emphasized the convenience of the offers, that is, the discounts or bonuses, without specifying the supply price of the energy commodity, nor the marketing charges.</w:t>
      </w:r>
    </w:p>
    <w:p>
      <w:r>
        <w:t>62 BULLETIN NO. 38 OF OCTOBER 24, 2022</w:t>
        <w:br/>
        <w:t>Figure 1 – Example of advertising for the Optima Start offer (disseminated from 2019 to 2020)2</w:t>
        <w:br/>
        <w:t>15. As can also be seen from another example reported in Figure 2, the advertising message disseminated in November 2021 states the amount of the proposed discounts, “20% on the raw material electricity and gas,” without indicating, even in a footnote3, the reference prices for electricity and gas.</w:t>
        <w:br/>
        <w:t>2 See attachment 5 “Communication” to Optima's response of May 6, 2020, cited.</w:t>
        <w:br/>
        <w:t>3 The footnote only reports information on the duration of the promotion, the withdrawal conditions, as well as the applicable promotions (Amazon, RAI Fee, Start&amp;GO New): “Super Casa Smart has a contractual obligation of 24 months. In the event that the termination of the contract occurs before 12 months, any discounts applied will not be recognized and will be recovered (if provided for by the regulation of the relevant promotion). If the termination of the contract occurs after the 13th month, only the discounts applied from the 13th month onwards will be recovered. Offer not valid in case of takeover or first activation. If you are exempt from paying the RAI Fee, you will benefit from the Start &amp; Go New promo. The Amazon Prime service is included in the offer for one year, has a value of €3/month equal to €36/year and can be</w:t>
      </w:r>
    </w:p>
    <w:p>
      <w:r>
        <w:rPr>
          <w:b/>
        </w:rPr>
        <w:t>[Pages 61–63]</w:t>
      </w:r>
    </w:p>
    <w:p>
      <w:r>
        <w:t>BULLETIN NO. 38 OF OCTOBER 24, 2022 63</w:t>
        <w:br/>
        <w:t>Figure 2 – Poster of the dealer-consumer channel, November 20214</w:t>
        <w:br/>
        <w:t>16. Similarly, in the case of the advertising campaigns launched for Christmas 2021, (Figures 3 and 4), despite the emphasis placed on the proposed discounts, the corresponding prices of the raw material were not indicated, nor were the marketing charges5.</w:t>
      </w:r>
    </w:p>
    <w:p>
      <w:r>
        <w:t>deactivated at any time. Amazon.com, Inc. and its affiliates are not sponsors of this promotion. Amazon, Amazon Prime, and all related logos are trademarks of Amazon.com, Inc. or its affiliates. The Amazon Prime Service is provided directly by Amazon based on its commercial offer. The commercial offer is subject to changes. For more info visit optimaitalia.com”.</w:t>
        <w:br/>
        <w:t>4 See DOC93 of the inspection file, containing advertising material for Optima Super Casa Smart, distributed in the autumn of 2021.</w:t>
        <w:br/>
        <w:t>5 See DOC99 and DOC103 of the inspection file, containing advertising material for Optima Super Casa Smart, distributed in the autumn of 2021.</w:t>
      </w:r>
    </w:p>
    <w:p>
      <w:r>
        <w:t>64 BULLETIN NO. 38 OF OCTOBER 24, 2022</w:t>
        <w:br/>
        <w:t>Figures 3 and 4 – Examples of advertising messages disseminated in the autumn of 2021</w:t>
        <w:br/>
        <w:t>17. Also in the advertising campaign launched in the autumn of 20216, some messages indicated the price of the energy raw material and the marketing fee in reduced characters, only in the footnote7, in contrast to the reference to the discount, highlighted with a graphic character much larger and far more evident than the price of energy (Figures 5 and 6).</w:t>
        <w:br/>
        <w:t>6 See Annex 3 (advertising material) to the compliance report received on October 4, 2021, and supplemented on November 23, 2021, cited.</w:t>
        <w:br/>
        <w:t>7 The footnote contains the following information: “Super Casa Smart has a contractual obligation of 12 months. In case of early withdrawal, the discounts will not be recognized and will be recovered. The discounted cost of the raw material for Electricity is 0.1422 €/kWh, plus 126 €/year for the marketing contribution, for Gas 0.74 € per Smc, plus 138 € per year for the marketing contribution. For more info and any updates visit www.optimaitalia.com.”</w:t>
      </w:r>
    </w:p>
    <w:p>
      <w:r>
        <w:t>BULLETIN NO. 38 OF OCTOBER 24, 2022 65</w:t>
        <w:br/>
        <w:t>Figures 5 and 6 - Examples of advertising messages disseminated in the autumn of 2021, with prices in the footnote</w:t>
        <w:br/>
        <w:t>18. Finally, it is noted that, even in the campaign launched in November 2021 for the transition of customers from the protected market to the free market, the price of the energy raw material and the marketing and sales fee were reported only in the footnote and with characters much less evident than the rest of the message (Figure 7).</w:t>
      </w:r>
    </w:p>
    <w:p>
      <w:r>
        <w:rPr>
          <w:b/>
        </w:rPr>
        <w:t>[Pages 64–66]</w:t>
      </w:r>
    </w:p>
    <w:p>
      <w:r>
        <w:t>66 BULLETIN NO. 38 OF OCTOBER 24, 2022</w:t>
        <w:br/>
        <w:t>Figure 7 – Advertising message from November 20218</w:t>
        <w:br/>
        <w:t>19. As can be inferred from the above advertising messages, some of which were also acquired during the inspection verification9, at least until January 202210, the advertising communication on Optima's corporate website, as well as on other commercial channels, did not explicitly state the costs associated with the supply of energy.</w:t>
        <w:br/>
        <w:t>20. Furthermore, regarding the contractual documentation, as evidenced by the text of the Technical and Economic Conditions (Figure 8) related to a specific offer Optima Start marketed by Optima – starting from 2019 – with a duration of 24 months (cumulative with other promotions11), the Professional did not specify the duration of applicability of the Loyalty Discount (-25%), referring to the reading of the promotional Regulation on the corporate website, which was not attached to the contractual documentation, and whose consultation was not easy, given its placement under the “Promotions” section at the bottom of the aforementioned website, from which it emerged that the loyalty discount was recognized only for the first 12 months of supply, against a contractual obligation of 24 months12.</w:t>
        <w:br/>
        <w:t>Figure 8 – CTE offer Optima Start Consumer (2019-2020)</w:t>
        <w:br/>
        <w:t>21. The indication regarding the duration of the aforementioned Loyalty Discount -25% was only stated in the promotional Regulation, which specified that the duration of such loyalty discounts (12 months) did not coincide with the duration of the commercial offer itself (24 months). The promotional Regulations, to which the CTE referred, also provided that “in case of early withdrawal before the expiration of 24 months from the activation date of the service, the applied discounts will not be recognized and will be recovered” (Figure 9).</w:t>
        <w:br/>
        <w:t>12 See report of October 14, 2020, prot. no. 76055, in which the customer complains of never having received the contractual documentation and having exercised the right of withdrawal after 16 months of supply, realizing the excessive level of the bills.</w:t>
      </w:r>
    </w:p>
    <w:p>
      <w:r>
        <w:t>67 BULLETIN NO. 38 OF OCTOBER 24, 2022</w:t>
        <w:br/>
        <w:t>Figure 9 – Regulation Promotion Loyalty Discount -25%</w:t>
        <w:br/>
        <w:t>22. The promotional conditions stated in the promotional Regulations were therefore not known to the customers who were contracted, as such Regulations were not included in the contractual package – sent to the customer only after subscription. In general, the General Contract Conditions (GCC) and the CTE related to the various offers were not consultable from the website, and in many cases, the contractual documentation was not delivered to customers in time to verify the applicability conditions of the various promotions and possibly exercise the right of withdrawal within the 14-day period from subscription13.</w:t>
        <w:br/>
        <w:t>23. Even in the sales scripts prepared by the Professional for sales through the teleselling channel until March 2020, the duration of applicability of the discounts, limited to 12 months, was not specified. In fact, in the section “Preliminary contract information,” at point 4) it was stated “that the new contract is for an indefinite period. The right to withdraw at any time is reserved in accordance with the terms and conditions provided by current legislation. In case of termination of the contract before the end of 24 months, the applied discounts will not be recognized”14.</w:t>
        <w:br/>
        <w:t>24. Starting from September 2021, Optima proceeded to modify the contractual documentation, also in order to adjust the information regarding the contractual duration, as well as those related to the recovery methods of discounts in case of early withdrawal. In particular, a paragraph 2 was introduced in art. 3 of the General Contract Conditions, where it was specified that</w:t>
        <w:br/>
        <w:t>13 See the report of October 9, 2020, prot. no. 75093, in which the customer complains of not being adequately informed of the existence of some additional cost items to the price of the energy component, before signing the contract, with the consequence that, only upon receiving the bills, he realized the actual costs of the electricity supplies applied by Optima.</w:t>
        <w:br/>
        <w:t>14 See the texts of the scripts in attachment 1 to Optima's communication of May 6, 2020, prot. no. 36849.</w:t>
      </w:r>
    </w:p>
    <w:p>
      <w:r>
        <w:rPr>
          <w:b/>
        </w:rPr>
        <w:t>[Pages 67–69]</w:t>
      </w:r>
    </w:p>
    <w:p>
      <w:r>
        <w:t>BULLETIN NO. 38 OF OCTOBER 24, 2022 69</w:t>
        <w:br/>
        <w:t>“UNLESS OTHERWISE AGREED, THE DURATION OF THE ECONOMIC OFFER IS 12 MONTHS STARTING FROM THE DATE OF ACTIVATION OF THE SERVICE. IN THE EVENT THAT THE TERMINATION OF THE CONTRACT OCCURS BEFORE 12 MONTHS, ANY DISCOUNTS APPLIED WILL NOT BE RECOGNIZED AND WILL BE RECOVERED (IF PROVIDED FOR BY THE ECONOMIC OFFER OR BY THE REGULATIONS OF THE RELATED PROMOTION). IF THE TERMINATION OF THE CONTRACT OCCURS FROM THE 13TH MONTH ONWARDS, ONLY THE DISCOUNTS ACCRUED IN THE SECOND CONTRACTUAL YEAR WILL BE RECOVERED (IF PROVIDED FOR BY THE ECONOMIC OFFER OR BY THE REGULATIONS OF THE RELATED PROMOTION)” (emphasis in the original text)15.</w:t>
        <w:br/>
        <w:t>25. Similarly, in the CTE of the offers with a duration of 24 months, the Professional had specified that the discounts applied during the first 12 months (possibly renewable for the second year of the offer's duration) would only be recovered within the limits of the contractual year16. However, despite the changes made to the contractual documentation (CGC and CTE), as evidenced by the pages of Optima's corporate website17, the texts of the promotional Regulations – referenced by the same CTE and accessible on the website until March 2022 – had not been consistently adjusted to the contractual provisions described above. The aforementioned regulations, in fact, unlike the CTE and CGC, continued to state that “the offer is subject to a contractual obligation of 24 months, therefore, in the event of early termination of the contract, for any reason, the discounts applied will not be recognized and will be recovered.”</w:t>
        <w:br/>
        <w:t>26. The aforementioned informational deficiencies were the subject of multiple reports from consumers, already in the records of file PS1185418. For example, a consumer association reported that the customer had not received the contract and the comparability sheet of the offer, and that, having exercised the right of withdrawal after one year of supply19, had received from Optima a closing invoice that showed the reversal of the discounts applied from the date of activation of the supply (based on art. 7.6 of the contract20); following the customer's complaint, in the conciliation procedure, Optima, through its lawyer, had argued on that occasion that “the effect of the automatic annual renewal also renews the application of the penalty (making it perpetual)”21.</w:t>
        <w:br/>
        <w:t>27. Finally, similarly, in the CTE of the offers with a duration of 24 months, the text was amended in September 2021, introducing the possibility of recovering the discount in the event of withdrawal occurring from the thirteenth month onwards, based on the “current regulations,” without, however, indicating the reference regulations22.</w:t>
        <w:br/>
        <w:t>ii) The conduct under B)</w:t>
        <w:br/>
        <w:t>28. With reference to the conduct under B), concerning the recovery (reversal) of discounts – which could also be cumulative, with variable durations (12 or 24 months) – applied by Optima in the event of early withdrawal by the customer, relative to the duration of the promotion, it emerged from the inspection documentation that all discounts were fully recovered by charging them in the closing invoice as penalties for withdrawal, which the Company itself referred to as “deactivation costs”23. The underlying logic for the reversal of discounts in the event of early withdrawal, according to the head of Optima's billing systems, was to recover all discounts applied, even cumulatively, as stated in an email to his colleagues as early as November 2020, “the logic provides that the customer is entitled to a 10% discount on the list price for 12/24 months. Upon deactivation, everything that is discounted is reversed.”24.</w:t>
        <w:br/>
        <w:t>29. In particular, due to the lack of coincidence between the applicability period of the discounts (12 months) and the two-year contractual obligation (24 months), a customer who remained supplied for the entire period of applicability of the discounts (12 months), even in the event of withdrawal from the second year of supply, had all discounts accrued since the activation of the contract reversed.</w:t>
        <w:br/>
        <w:t>30. As confirmed by reports from consumers who had exercised early withdrawal relative to the duration of the signed offer, not only loyalty discounts were reversed, but also all other types of discounts applied from the beginning of the supply: among others, in particular, the case of a customer who had joined the Optima Start offer via teleselling (who, moreover, had not received a copy of the contract) and had exercised withdrawal after 16 months, receiving a closing/invoice adjustment where the loyalty discount applied in the first 12 months of supply was reversed25; or also the case of the customer who had activated a gas and electricity supply in April 2019 and after one year of supply, at the end of the promotion related to the 20% loyalty discount, had exercised withdrawal and received a closing invoice with the reversal of all discounts accrued in the first year26; as well as the customer who had subscribed to the Optima Start Luce offer in September 2019, and had decided to change supplier in March 2021, had received the adjustment with the charge of the discounts accrued from the start of the supply in April 2021 for early withdrawal from the contract27; and also the customer who had exercised the right of withdrawal from an Optima Start Luce offer in January 2021 had received an invoice adjustment related to the discounts accrued from January 201928. In this regard, see in particular the complaint from December 2021, in which a customer complained about the reversal of the discounts of the promotion Sconto Fedeltà 20%, valid for 12 months, as well as the Promo Canone RAI discount, following the withdrawal requested before the expiration of the 24-month term from the date of activation of the service, despite having remained supplied for over a year (from 01/07/2020 to 31/08/2021)29; and also the complaint of April 20, 2021, in which the customer complained about the reversal of the discounts related to the Optima Start Gas product for the period from September 2018 to May 202030.</w:t>
        <w:br/>
        <w:t>31. Based on the elements in the records31, even at the end of 2021, the Company continued to reverse the discounts applied in the first year of supply even for customers who had exercised withdrawal after the 13th month, in contrast to the same provision (subject to modification) of the CTE mentioned above, recognizing a credit note to the consumer only in the case of a specific complaint.</w:t>
        <w:br/>
        <w:t>32. In particular, the inspection documentation confirms that the Company was accustomed to reversing all discounts granted – regardless of type – in the event of early withdrawal by users, by charging in the invoice a burden equivalent to the total value of all discounts accrued since the beginning of the supply (Loyalty Discount, RAI Discount, Electronic Invoice Discount, etc.), without any underlying rationale or proportionality criterion in this modus operandi. In this regard, still in November 2021, the heads of Optima's billing service were questioning the proper functioning of the “Deactivation Cost Reversal” procedure, modified following the commitments made in the context of proceeding PS1185432.</w:t>
        <w:br/>
        <w:t>33. Finally, it emerged that, in February 2022, the main agent of Optima active in Tuscany complained that about 60 customers who had exercised early withdrawal had been charged “in the closing invoice also the deactivation costs,” as “there is no automatic flow that allows the exclusion of customers from this charge”33.</w:t>
      </w:r>
    </w:p>
    <w:p>
      <w:r>
        <w:rPr>
          <w:b/>
        </w:rPr>
        <w:t>[Pages 70–72]</w:t>
      </w:r>
    </w:p>
    <w:p>
      <w:r>
        <w:t>72 BULLETIN NO. 38 OF OCTOBER 24, 2022</w:t>
        <w:br/>
        <w:t>3) The measures adopted after the reopening of proceeding PS11854B</w:t>
        <w:br/>
        <w:t>34. Starting from February 2022, following the initiation of the proceeding, the Company proceeded with a comprehensive reorganization of the informational content related to the characteristics of the promotions.</w:t>
        <w:br/>
        <w:t>35. Firstly, the text of the promotional regulations available on the company website and attached to the CTE was modified, which, from that moment on, were characterized by a contractual obligation (duration of the offer) of 12 months and by the clause for the recovery of discounts in case of early withdrawal before the year of supply. Furthermore, the possibility of accessing the contractual documentation uploaded in the reserved area for customers on the website was introduced.</w:t>
        <w:br/>
        <w:t>36. The reorganization of the "Promotions" page of the company website involved the distinction of regulations by type of offer, in order to make the difference between the regulations related to "ongoing" promotions and those related to "no longer activatable" promotions more visible.</w:t>
        <w:br/>
        <w:t>37. In some cases, such as the promotion "Start&amp;Go new," associated with the offer "Optima Start Store Edition-Privati," which could be subscribed until February 14, 2021, the promotional regulation was supplemented with the addition of the clarification on the recovery of discounts only starting from the 13th month of supply: “The offer provides for a contractual obligation of 24 months; therefore, in case of early withdrawal from the contract for any reason, the applied discount will not be recognized and will be recovered. If the withdrawal occurs from the 13th month, only the discounts applied from the 13th month onwards will be recovered.”34. The same integration was made to the regulations related to promotions that, although no longer subscribable, are still active for a large part of users, such as the promotion "RAI Fee," "Loyalty Discount - 20%," and others included in the category "Optima Start Store Edition-Privati."</w:t>
        <w:br/>
        <w:t>38. As for the advertising messages, starting from April 2022, the Professional appears to have modified the content of the messages, limited to those disseminated through the company website, reporting for the first time with adequate graphic prominence also the prices of the raw material (€/Kwh and €/Smc), the costs of marketing services (€/year and €/month), in addition to the costs of other services related to the multi-service offer (energy services, internet connection, and mobile telephony)35.</w:t>
        <w:br/>
        <w:t>39. Subsequently, starting from July 2022, the promotions disseminated through other advertising channels were also modified with the addition of the aforementioned information on the costs of energy services.</w:t>
        <w:br/>
        <w:t>40. In line with the modification of the conditions for the recovery of discounts made since October 2021, the Company also modified its billing systems, in order to cease the commercial practice of recovering discounts applied in the first contractual year in case of withdrawal in the second year36.</w:t>
        <w:br/>
        <w:t>34 Cf. Promotion Regulation "Start&amp;Go new," associated with the offer "Optima Start Store Edition-Privati," on the Optima Italia company website (https://www.optimaitalia.com/public/files/pdf/regolamenti). Minutes of acquisition of the pages of the website optimaitalia.com dated June 24, 2022, in the records of proceeding PS11854b.</w:t>
        <w:br/>
        <w:t>35 Cf. note from the professional dated April 27, 2022 (prot. no. 36983) and promotional page of the company website related to the offer Optima Super Casa Smart.</w:t>
        <w:br/>
        <w:t>36 Cf. note from the Professional dated April 27, 2022, cited.</w:t>
      </w:r>
    </w:p>
    <w:p>
      <w:r>
        <w:t>BULLETIN NO. 38 OF OCTOBER 24, 2022 73</w:t>
        <w:br/>
        <w:t>41. Optima, in order to fully inform its customers about the modified criteria for the recovery of discounts, proceeded to send a specific communication to customers already contracted, starting from July 2022.</w:t>
        <w:br/>
        <w:t>III. THE DEFENSIVE ARGUMENTS OF THE PARTY</w:t>
        <w:br/>
        <w:t>42. In its defensive memoranda, the Professional preliminarily raised some doubts regarding possible procedural defects arising from the simultaneous initiation of the two proceedings IP353 and PS11854B and specifically: i) the possible conflict with the ne bis in idem principle, and the consequent possible multiplication of the related sanctions and potential exceeding of the statutory limit provided by law; ii) the discrepancy of this procedure compared to other cases of reopening a proceeding for alleged non-compliance with commitments previously undertaken by the investigated company; iii) as well as with the principles of economy and procedural effectiveness that must characterize administrative action.</w:t>
        <w:br/>
        <w:t>43. Furthermore, Optima contested the illegitimate objective extension of the scope of the main proceeding, effectively implemented with the initiation of proceeding PS11854B, as PS11854 concerned only one well-defined offer, Optima Start, while the proceeding also considers other commercial proposals of the Company (such as Optima Super Casa and Optima Super Casa Smart).</w:t>
        <w:br/>
        <w:t>44. Regarding the merits of the allegations made by the Authority, Optima specified that it had made contractual modifications aimed at making the duration constraints and conditions for the recovery of discounts transparent, starting from September 2021, with the integration of Article 3 of the General Conditions of Contract (see supra), as well as with the modification of the CTE related to the offers marketed from that moment on. Moreover, with reference to the lack of specification of the current regulations in the CTE, the Party argued that, unlike what is provided in other regulated sectors, “where a specific regulation for the recovery of discounts in case of early withdrawal is provided... nothing of the sort was and is provided in the energy sector.”</w:t>
        <w:br/>
        <w:t>45. Finally, while believing that the offers Optima Super Casa and Optima Super Casa Smart fall outside the scope of proceeding PS11854, which, according to the Company, concerned only the Optima Start offer, the Professional highlighted how it had worked, since April 2022, to integrate its promotional messages, including data related to the costs of electricity and gas supply.</w:t>
        <w:br/>
        <w:t>IV. THE OPINION OF THE AUTHORITY FOR GUARANTEES IN COMMUNICATIONS</w:t>
        <w:br/>
        <w:t>46. Since the commercial practice subject to this provision was disseminated via the Internet, on July 19, 2022, the opinion was requested from the Authority for Guarantees in Communications, pursuant to Article 27, paragraph 6, of the Consumer Code.</w:t>
        <w:br/>
        <w:t>47. In an opinion received on August 5, 2022, the aforementioned Authority expressed the requested opinion, limiting its evaluations to the suitability of the specific means of communication used to disseminate the commercial practices to impact and amplify any misleading and/or incorrect nature of the same practice. In particular, the opinion noted that the conduct subject to the proceeding took place through the company website used by Optima Italia to advertise its commercial offers online.</w:t>
      </w:r>
    </w:p>
    <w:p>
      <w:r>
        <w:t>74 BULLETIN NO. 38 OF OCTOBER 24, 2022</w:t>
        <w:br/>
        <w:t>48. Therefore, the aforementioned Authority confirmed that in this case, the internet is a tool “suitable for developing a significant impact on consumers, who, based on the information read on the Professional's website, could be induced to make a commercial decision that they would not otherwise have made, thus concretely developing the full promotional potential of the communications” disseminated by the Professional.</w:t>
        <w:br/>
        <w:t>V. THE OPINION OF THE REGULATORY AUTHORITY FOR ENERGY NETWORKS AND ENVIRONMENT</w:t>
        <w:br/>
        <w:t>49. Since the commercial practice subject to this provision concerns the sector of electricity and gas supply, on July 19, 2022, the opinion was requested from the Regulatory Authority for Energy Networks and Environment (ARERA), pursuant to and for the effects of Article 27, paragraph 1-bis, of the Consumer Code, introduced by Article 1, paragraph 6, letter a), of Legislative Decree No. 21/2014.</w:t>
        <w:br/>
        <w:t>50. On July 27, 2022, ARERA communicated that it would provide its opinion by September 13, 2022. The Authority took note of this circumstance on August 4, 2022.</w:t>
        <w:br/>
        <w:t>51. In an opinion received on September 13, 2022, the aforementioned Authority preliminarily represented the regulatory provisions of general interest for the evaluation of the specific case concerning:</w:t>
        <w:br/>
        <w:t>a) the informational obligations at the offer and contract signing stage;</w:t>
        <w:br/>
        <w:t>b) the prohibition of imposing penalties for withdrawal.</w:t>
        <w:br/>
        <w:t>52. The aforementioned Authority then made specific considerations on the individual conducts examined. Since, for the purposes of evaluating the conducts carried out by the Professional, at least since 2019, the provisions contained in both the text of the Code of Commercial Conduct in Annex A to Resolution 366/2018/R/COM in force until June 30, 2021, and in the text of the Code of Commercial Conduct in force from July 1, 2021, as modified and supplemented by Resolutions 426/2020/R/COM, 97/2021/R/COM, 135/2022/R/COM (for electricity) and 289/2022/R/COM (for gas) are relevant, the aforementioned Authority referred to the texts in force in both considered periods.</w:t>
        <w:br/>
        <w:t>The Code of Commercial Conduct</w:t>
        <w:br/>
        <w:t>53. With regard to the sector regulation concerned, ARERA extensively referred to the provisions of the “Code of Commercial Conduct for the sale of electricity and natural gas to final customers”37, which represents a sector-specific specification of the general regulations on consumer protection, adopted with the general objective of preventing harmful conduct towards final customers (including small non-domestic customers) when they receive offers for the conclusion of contracts for the supply of electricity and/or natural gas in the free market. The obligations on sellers concern the pre-contractual phase and specific aspects of the</w:t>
        <w:br/>
        <w:t>37 Cf. in Annex A of the resolution of June 28, 2018, 366/2018/R/COM as modified and supplemented by resolution of October 27, 2020, 426/2020/R/COM, whose provisions came into force from July 1, 2021 (except for the innovations regarding unilateral changes and automatic evolutions referred to in Articles 13 and 14, which came into force from October 1, 2021, as provided by resolution 97/2021/R/COM). Finally, the Code of Commercial Conduct was modified by resolution of March 29, 2022, 135/2022/R/COM and subsequent amendments (hereinafter: resolution 135/2022/R/COM), whose provisions will apply from October 1, 2022, for the electricity sector and from January 1, 2023, for the natural gas sector, as well as by resolution of June 28, 2022, 289/2022/R/COM (hereinafter: resolution 289/2022/R/COM), whose provisions will be effective from October 1, 2022.</w:t>
      </w:r>
    </w:p>
    <w:p>
      <w:r>
        <w:rPr>
          <w:b/>
        </w:rPr>
        <w:t>[Pages 73–75]</w:t>
      </w:r>
    </w:p>
    <w:p>
      <w:r>
        <w:t>BULLETIN NO. 38 OF OCTOBER 24, 2022 75</w:t>
      </w:r>
    </w:p>
    <w:p>
      <w:r>
        <w:t>contractual phase, within the relationship that exists between the parties following the signing of the contract. The Commercial Code of Conduct, the main provisions of which are summarized below, provides that sellers must transparently, completely, and non-discriminatorily provide information regarding their contractual offers and take all reasonable measures to meet the information and assistance needs of customers in evaluating such offers.</w:t>
      </w:r>
    </w:p>
    <w:p>
      <w:r>
        <w:t>The current text (until June 30, 2021)</w:t>
      </w:r>
    </w:p>
    <w:p>
      <w:r>
        <w:t>54. With specific reference to the pre-contractual phase, the Commercial Code of Conduct stipulates that, if information regarding the supply prices of the service is communicated, such information must comply with specific criteria, as set out in Article 538. The Commercial Code of Conduct also regulates, in Article 6, the criteria for communicating information related to the overall expenditure associated, when it is presented to final customers39. With specific reference to the contractual phase, the Commercial Code of Conduct provides, among other things, that the seller is obliged to draft supply contracts in clear and understandable language, with mandatory minimum content (Articles 10 and 11). In the case of domestic customers, the amounts billed to final customers must be summarized and correctly framed in the Comparability Sheet40.</w:t>
      </w:r>
    </w:p>
    <w:p>
      <w:r>
        <w:t>The new text (from July 1, 2021)</w:t>
      </w:r>
    </w:p>
    <w:p>
      <w:r>
        <w:t>55. The new text of the Commercial Code of Conduct introduces, starting from July 1, 2021, a revision of Article 5, on the criteria for communicating supply prices41, also through the new tool of the Summary Sheet: in particular, from July 1, 2021, the seller fulfills the preliminary informational obligations prior to the signing of the contract, providing the final customer, at the time of the proposal and in any case before the conclusion of the supply contract, the Summary Sheet (as per Annex 4 to the new text). The Summary Sheet, replacing the Information Note, is a new tool that summarizes all the informational obligations of the seller related to the offer, in a standardized format that is understandable for the final customer, to be delivered to all customers supplied at low voltage and/or with natural gas consumption not exceeding 200,000 Smc/year. Furthermore, Article 6 of the Commercial Code of Conduct also regulates the criteria for communicating information related to the overall expenditure associated with the supply prices of the service to domestic or non-domestic customers, both in the pre-contractual phase and in the contractual phase42.</w:t>
      </w:r>
    </w:p>
    <w:p>
      <w:r>
        <w:t>Considerations regarding the conduct of the Professional</w:t>
      </w:r>
    </w:p>
    <w:p>
      <w:r>
        <w:t>56. With specific reference to the conduct contested against Optima, based on the ARERA opinion, “it seems that the Professional has disregarded the provisions of the Commercial Code of Conduct, both with reference to the text in force until June 30, 2021, and with reference to the text in force from July 1, 2021, as the unfair commercial practice has been carried out since at least 2019.”</w:t>
      </w:r>
    </w:p>
    <w:p>
      <w:r>
        <w:t>57. In fact, according to ARERA, “Optima would not have complied with the provisions of the Commercial Code of Conduct that require the seller, both in the pre-contractual phase and in the contractual phase, to apply to the final customer amounts that have been communicated and determined in advance according to the criteria outlined above. In this regard, it is necessary that the expenses and fees related to the charges billed to final customers find specific and adequate correspondence within the contractual documentation and promotional material.”</w:t>
      </w:r>
    </w:p>
    <w:p>
      <w:r>
        <w:t>58. Contrary to what is established by the Commercial Code of Conduct, the information provided by the Professional regarding “the economic conditions for the supply of electricity and natural gas services contained in the contractual documentation, in advertising messages, as well as in sales scripts would be incomplete and not transparent with specific regard to the characteristics of the proposed offers and the limiting conditions thereof.” Similarly, “the description of the characteristics of the promotions would be incomplete and not transparent regarding the actual extent of the applicable discounts and the limitations and methods of recognition of bonuses and/or discounts.” In particular, with reference to the promotion “Loyalty Discount - 25%,” concerning any withdrawals of reactive energy exclusively in €/kvarh. Article 5 also specifies that the fees cannot have the same name as the unit fees, components, or elements defined by the Authority, except in cases where the values of the aforementioned fees are set equal to those in force defined by the Authority itself.</w:t>
      </w:r>
    </w:p>
    <w:p>
      <w:r>
        <w:t>59. Furthermore, “the indication of the prices of the components of energy and natural gas as well as the marketing fees would not always have been reported in the promotional material, thus violating Articles 5 and 7 of the Commercial Code of Conduct.” Finally, “the fixed component of the marketing fees would not have been correctly illustrated in the promotional material disseminated through the company website, starting from the autumn of 2021, as indicated in a unit value in terms of €/year and €/month instead of in terms of €/point of withdrawal/year, in the case of electricity supply, and €/point of return/year in the case of natural gas supply, as prescribed by the aforementioned Article 5, paragraph 1, letter b, of the Commercial Code of Conduct for the unit fees due in fixed amounts.”</w:t>
      </w:r>
    </w:p>
    <w:p>
      <w:r>
        <w:t>60. With specific reference to the regulation regarding withdrawal, the ARERA opinion specifies that, without prejudice to the terms for exercising the right of withdrawal as per resolutions of June 9, 2016, 302/2016/R/com, and related Annex A, the right of withdrawal cannot be subject to penalties or any fees and that any clauses in this regard must be considered non-existent. Consequently, according to the ARERA opinion, “the regulatory provisions regarding withdrawal seem to have been disregarded by the Professional in all cases where it has provided for the recovery of previously discounted fees in the event of early withdrawal.”</w:t>
      </w:r>
    </w:p>
    <w:p>
      <w:r>
        <w:t>61. ARERA has finally specified that, pursuant to Article 7, paragraph 5, of Legislative Decree No. 210/2021, in force since December 26, 2021, the request for a fee in the event of early withdrawal from a fixed-price or fixed-term electricity supply contract is permitted only “in compliance with specific principles of transparency and for determined contractual cases.”</w:t>
      </w:r>
    </w:p>
    <w:p>
      <w:r>
        <w:t>VI. CONCLUDING EVALUATIONS</w:t>
      </w:r>
    </w:p>
    <w:p>
      <w:r>
        <w:t>62. This provision concerns, as stated above, the evaluation of the behaviors carried out by Optima, starting from 2019, regarding the manner of presenting the characteristics and economic conditions of supply, both within the contractual documentation and the promotional material, related to the commercial offers for the supply of electricity and gas proposed by the Company. This, in particular, with regard to the incomplete, non-transparent, and misleading representation concerning the economic conditions of supply, the duration of discounts and bonuses, as well as the provisions regarding the reversal of the same in the event of early withdrawal.</w:t>
      </w:r>
    </w:p>
    <w:p>
      <w:r>
        <w:t>63. It should also be noted that the procedure represents the reopening of the investigation – pursuant to Article 27 of the Consumer Code and Article 9, paragraph 3 of the Regulation – to ascertain the existence of certain alleged unfair practices carried out by Optima, already contested in the previous investigative proceeding PS11854, closed without the ascertainment of the infringement, with resolution No. 29772, of July 13, 2021, which had accepted and made mandatory the commitments presented by the Company.</w:t>
      </w:r>
    </w:p>
    <w:p>
      <w:r>
        <w:t>64. Regarding the objection raised by the Professional, concerning the risk that the joint initiation of the two sanctioning proceedings – as in the case of IP353 and PS11854B – may result in the</w:t>
      </w:r>
    </w:p>
    <w:p>
      <w:r>
        <w:rPr>
          <w:b/>
        </w:rPr>
        <w:t>[Pages 76–78]</w:t>
      </w:r>
    </w:p>
    <w:p>
      <w:r>
        <w:t>78 BULLETIN NO. 38 OF OCTOBER 24, 2022</w:t>
      </w:r>
    </w:p>
    <w:p>
      <w:r>
        <w:t>violation of the ne bis in idem principle, it is first observed that the two proceedings mentioned have a different rationale, as the first is aimed at imposing an administrative sanction in case of non-compliance with the commitments made and made mandatory by the Authority, while the second is intended to ascertain and sanction unfair commercial practices, as provided for by Article 27 of the Consumer Code43.</w:t>
      </w:r>
    </w:p>
    <w:p>
      <w:r>
        <w:t>65. Secondly, the alleged illegitimate objective extension of the scope of the original proceeding PS11854 does not exist in the case at hand, as in proceeding PS11854, the offer named Optima Start was considered only as a mere example, as the most marketed consumption offer by Optima during the period in question. The investigation indeed concerned all current and future electricity and gas consumption offers, as specifically indicated in the resolution accepting the commitments.</w:t>
      </w:r>
    </w:p>
    <w:p>
      <w:r>
        <w:t>66. Regarding the merits of the behaviors described above, they – based on the elements that emerged during the proceeding – can be attributed to distinct unfair commercial practices in violation of the Consumer Code:</w:t>
        <w:br/>
        <w:t>- the practice under A), relating to the omission and misleading nature of the information provided in the contractual and advertising documentation regarding the economic conditions of the proposed offers and the characteristics of the promotions, specifically referring to the economic terms of the supplies and the indication of marketing costs, the duration of the offers, the applicability of discounts, and the indication of the deadline by which, in case of withdrawal, the customer loses the benefits granted, in the form of bonuses/discounts, is in violation of Articles 20, 21, and 22 of the Consumer Code;</w:t>
        <w:br/>
        <w:t>- the practice under B), relating to the cumulative recovery of all discounts applied in case of early withdrawal, in offers with a duration constraint of 24 months, by charging them in the closing invoice as a penalty for withdrawal, is in contrast with Articles 24 and 25 of the Consumer Code.</w:t>
      </w:r>
    </w:p>
    <w:p>
      <w:r>
        <w:t>The practice under A)</w:t>
      </w:r>
    </w:p>
    <w:p>
      <w:r>
        <w:t>67. With reference to the practice under A), as also confirmed in the opinion of ARERA, the lack of complete and transparent information regarding the economic conditions of electricity and/or gas supply, and, in particular, the omission of the indication of supply costs, marketing costs, as well as the characteristics of the promotions, such as the duration of discounts, the conditions for recovery in case of early withdrawal compared to the contractual duration, appear to be behaviors characterized by profiles of misleadingness and omission in violation of Articles 21 and 22 of the Consumer Code. Fundamental principles of transparency and completeness of information require that all items, discretionarily established by the supplier, that determine the expenditure for energy, must be explicitly stated so that the buyer can fully and clearly understand the economic terms and content of the offer in order to subscribe to it with full awareness.</w:t>
      </w:r>
    </w:p>
    <w:p>
      <w:r>
        <w:t>68. The precise amount of the costs of electricity and gas supplies as well as the marketing charges related to the same supply, which in the free market are discretionarily set by the seller, must be distinctly indicated in the promotional messages related to the offers of the Professional, as it significantly affects the overall assessment of the expenditure for energy, especially in the case of domestic customers and the convenience of the offer.</w:t>
      </w:r>
    </w:p>
    <w:p>
      <w:r>
        <w:t>69. Moreover, in this case, the General Terms and Conditions (GTC) and the Technical and Economic Conditions (TEC) related to the various commercial offers were not consultable from the website and, in many cases, the contractual documentation did not include the Regulations of the promotions and in many cases was not delivered to customers in time to verify the conditions of applicability of the different promotions.</w:t>
      </w:r>
    </w:p>
    <w:p>
      <w:r>
        <w:t>70. As represented above, in the commercial communications disseminated from 2019 until April 2022, Optima exclusively promoted the advantages associated with the promotional offers, specifically referring to the discounts or bonuses offered, without indicating either the duration of the offer or the period of applicability of such discounts/bonuses, and without specifying that in case of early withdrawal compared to the duration of the promotion all discounts/bonuses would have been fully recovered.</w:t>
      </w:r>
    </w:p>
    <w:p>
      <w:r>
        <w:t>71. In general, in continuous supply services, such as those of electricity and gas, the conditions of applicability of discounts and bonuses within promotional offers must be clearly indicated both at the pre-contractual stage – in sales scripts and promotional material – and at the time of subscription – within the GTC and TEC – in order to allow the consumer to make an informed economic choice.</w:t>
      </w:r>
    </w:p>
    <w:p>
      <w:r>
        <w:t>72. Specifically, the marketing by Optima of offers with a duration constraint of 24 months, without explicitly stating the duration of applicability of 12 months of the proposed discounts in the general contract conditions (GTC) and in the technical and economic conditions (TEC), but referring to the reading of the promotional Regulation on the company website, whose consultation was not easy, given its placement under the "Promotions" section at the bottom of the aforementioned website, constitutes a significant informational omission that prevents consumers from assessing the actual convenience of the offers before signing the supply contract.</w:t>
      </w:r>
    </w:p>
    <w:p>
      <w:r>
        <w:t>73. Even in the case of the scripts used by the Professional until March 2020 for the telephone promotion of offers with a contractual constraint of 24 months, the duration of applicability of the discounts, which was instead limited to 12 months, was not specified.</w:t>
      </w:r>
    </w:p>
    <w:p>
      <w:r>
        <w:t>74. In support of the observations made regarding the case in question, in its opinion, the Regulatory Authority confirmed that the Professional failed to comply with regulatory provisions regarding the representation of the charges related to electricity and gas supplies in the contractual documentation, at least until the modification of that documentation.</w:t>
      </w:r>
    </w:p>
    <w:p>
      <w:r>
        <w:t>75. Therefore, the conduct of Optima, consisting of characterizing its commercial communication – both in the pre-contractual and contractual phases – with an emphasis on the advantages and discounts of the proposed offers, without adequately indicating the limits and conditions of applicability of such promotions, did not place the customers in a situation of adequate awareness regarding the actual convenience of the Professional's commercial offers, conflicting with Articles 20, 21, and 22 of the Consumer Code.</w:t>
      </w:r>
    </w:p>
    <w:p>
      <w:r>
        <w:t>The practice under B)</w:t>
      </w:r>
    </w:p>
    <w:p>
      <w:r>
        <w:t>76. With reference to the practice under B), as emerged from the evidence on record, since 2019 and at least until November 202144, Optima has provided and applied, to customers who had made an early withdrawal compared to the duration of the contractual constraint, the improper total and cumulative recovery of all discounts/bonuses recognized since the activation of the electricity and/or gas supply service.</w:t>
      </w:r>
    </w:p>
    <w:p>
      <w:r>
        <w:t>77. Moreover, the provision regarding the non-coincidence of the period of applicability of the discounts (12 months) against a two-year contractual constraint (24 months) had effects solely to the detriment of consumers, who found themselves bearing a deactivation cost, as defined by the Professional, or a burden comparable to a penalty in the case of withdrawal made during the second year of supply, suitable to unduly condition the economic choices of consumers, inducing them to maintain the supply relationship in order to avoid incurring additional charges.</w:t>
      </w:r>
    </w:p>
    <w:p>
      <w:r>
        <w:t>78. Also in the opinion rendered by ARERA, it is emphasized that, since the right of withdrawal cannot be subject to penalties or any charges, the request for a fee in case of early withdrawal from a fixed-price or fixed-term electricity supply contract is permitted only in compliance with precise principles of transparency and for specific contractual situations. This circumstance was not found in the case at hand, where the Professional proceeded with the cumulative reversal of all discounts applied during the supply.</w:t>
      </w:r>
    </w:p>
    <w:p>
      <w:r>
        <w:t>79. In this way, the Company has engaged in a seriously incorrect and aggressive conduct in violation of Articles 24 and 25 of the Consumer Code, as it is capable, through undue conditioning, of significantly limiting the freedom of choice or behavior of the average consumer, inducing them to make a commercial decision that they would not have otherwise made. Moreover, such conduct is such as to create obstacles to the exercise of consumers' contractual rights such as, in this specific case, the right to terminate the contract without charges.</w:t>
      </w:r>
    </w:p>
    <w:p>
      <w:r>
        <w:t>VII. QUANTIFICATION OF THE SANCTION</w:t>
      </w:r>
    </w:p>
    <w:p>
      <w:r>
        <w:t>80. Pursuant to Article 27, paragraph 9, of the Consumer Code, with the provision that prohibits the unfair commercial practice, the Authority orders the application of an administrative pecuniary sanction from €5,000 to €5,000,000, taking into account the seriousness and duration of the violation.</w:t>
      </w:r>
    </w:p>
    <w:p>
      <w:r>
        <w:t>81. In the case of a proceeding concerning a plurality of established administrative offenses, the jurisprudence has clarified that in the presence of a plurality of behaviors with structural and functional autonomy, attributed to the responsibility of the professionals, the criterion of material cumulation of sanctions applies, instead of legal cumulation (see among others, Council of State, Section VI, judgment no. 6232 of October 15, 2020).</w:t>
      </w:r>
    </w:p>
    <w:p>
      <w:r>
        <w:t>82. Regarding the quantification of the sanction, account must be taken, as applicable, of the criteria identified by Article 11 of Law No. 689/81, by virtue of the reference provided for in Article 27, paragraph 13, of the Consumer Code: in particular, the seriousness of the violation, the work</w:t>
      </w:r>
    </w:p>
    <w:p>
      <w:r>
        <w:t>44 In fact, the modification of the billing systems by Optima in September 2021 was not fully effective until at least November 2021, during which there were further cases of reversal of discounts, for which, following the complaints received, the Professional recognized a credit note for the unduly recovered discounts, and also proceeded to revoke the assignment for the recovery of credit to the companies appointed.</w:t>
      </w:r>
    </w:p>
    <w:p>
      <w:r>
        <w:rPr>
          <w:b/>
        </w:rPr>
        <w:t>[Pages 79–81]</w:t>
      </w:r>
    </w:p>
    <w:p>
      <w:r>
        <w:t>BULLETIN NO. 38 OF OCTOBER 24, 2022 81</w:t>
      </w:r>
    </w:p>
    <w:p>
      <w:r>
        <w:t>carried out by the company to eliminate or mitigate the infringement, the personality of the agent, as well as the economic conditions of the company itself.</w:t>
      </w:r>
    </w:p>
    <w:p>
      <w:r>
        <w:t>83. With regard to the severity of the violations, in this case, account is taken of: i) the economic size of the Professional, which achieved a turnover of approximately 222 million euros in 2021 (with an EBITDA of approximately 44 million euros); ii) the widespread nature of the commercial practice – capable of harming the rights of all Optima customers and the extent of the economic harm caused to consumers – as well as iii) the behavior of the professional concerning the adoption, during the investigation, of corrective measures for some critical aspects contested in the communication initiating the proceeding.</w:t>
      </w:r>
    </w:p>
    <w:p>
      <w:r>
        <w:t>84. With specific reference to the commercial practice sub A), in assessing the severity of the violation, account is also taken of the specificity of the sector, in which the purchasing consumer finds themselves in a position of inevitable informational asymmetry compared to the Professional; the manner of dissemination of the offer made also through the website, a tool capable of reaching a multitude of consumers; the overall extent of the economic harm potentially resulting to consumers.</w:t>
      </w:r>
    </w:p>
    <w:p>
      <w:r>
        <w:t>85. As for the duration of the violation, from the available evidence in the records, it appears that the commercial practice sub A) was implemented by Optima at least from 2019 until April 2022, when the advertising messages for the promotion of electricity and natural gas offers were integrated across various marketing channels, with information concerning costs and contract conditions.</w:t>
      </w:r>
    </w:p>
    <w:p>
      <w:r>
        <w:t>86. In light of the above, taking into account the losses recorded by the Professional in the last financial year and more generally the liquidity crisis affecting companies in the energy sector, it is deemed appropriate to determine the amount of the administrative pecuniary sanction applicable to Optima Italia S.p.A. at the base amount of 800,000 (eight hundred thousand) euros, which is reduced to 400,000 (four hundred thousand) euros, considering the measures adopted during the proceeding.</w:t>
      </w:r>
    </w:p>
    <w:p>
      <w:r>
        <w:t>87. With specific reference to the commercial practice sub B), in assessing the severity of the violation, account is also taken of the conditioning aimed at disincentivizing users during the withdrawal phase resulting from the unjustified imposition of a penalty.</w:t>
      </w:r>
    </w:p>
    <w:p>
      <w:r>
        <w:t>88. As for the duration of the violation, from the available evidence in the records, it appears that the commercial practice sub B) was implemented from 2019 until November 2021, as the Professional, in the event of early withdrawal from the duration of the contractual obligation on promotional offers, practiced the cumulative recovery of discounts granted since the start of the supply, akin to a penalty for early withdrawal. This practice ceased in December 2021, when the Professional verified the actual modification of the billing systems through which, in the event of early withdrawal, the discounts granted in the first year of supply were also reversed.</w:t>
      </w:r>
    </w:p>
    <w:p>
      <w:r>
        <w:t>89. Therefore, taking into account the losses recorded by the Professional in the last financial year and more generally the liquidity crisis affecting companies in the energy sector, it is deemed appropriate to determine the amount of the administrative pecuniary sanction applicable to Optima Italia S.p.A. at the base amount of 800,000 (eight hundred thousand) euros, which is reduced to 400,000 (four hundred thousand) euros, considering the measures adopted during the proceeding.</w:t>
      </w:r>
    </w:p>
    <w:p>
      <w:r>
        <w:t>CONSIDERED, therefore, based on the aforementioned considerations and taking into account the opinion of the Authority for Communications Guarantees and in accordance with the opinion of the Regulatory Authority for Energy Networks and Environment, that the commercial practice sub A) is deemed unfair pursuant to Articles 20, 21, and 22 of the Consumer Code as it is capable, through misleading presentation and omission of relevant information regarding the conditions of the offer of electricity and gas supply services marketed, to appreciably distort the economic behavior of the average consumer in relation to the services offered by the Professional;</w:t>
      </w:r>
    </w:p>
    <w:p>
      <w:r>
        <w:t>CONSIDERED, therefore, based on the aforementioned considerations and taking into account the opinion of the Authority for Communications Guarantees and in accordance with the opinion of the Regulatory Authority for Energy Networks and Environment, that the commercial practice sub B) is deemed unfair pursuant to Articles 24 and 25 of the Consumer Code as it is capable of generating undue conditioning as a result of the cumulative recovery of discounts applied since the start of the supply, in the event of early withdrawal;</w:t>
      </w:r>
    </w:p>
    <w:p>
      <w:r>
        <w:t>RESOLVES</w:t>
      </w:r>
    </w:p>
    <w:p>
      <w:r>
        <w:t>a) that the commercial practice described in point II, letter a) of this provision, implemented by Optima Italia S.p.A., constitutes, for the reasons and within the limits stated in the motivation, an unfair commercial practice pursuant to Articles 20, 21, and 22 of the Consumer Code, and prohibits its dissemination;</w:t>
      </w:r>
    </w:p>
    <w:p>
      <w:r>
        <w:t>b) to impose on Optima Italia S.p.A. for the violation referred to in letter a) an administrative pecuniary sanction of 400,000 (four hundred thousand) euros;</w:t>
      </w:r>
    </w:p>
    <w:p>
      <w:r>
        <w:t>c) that the commercial practice described in point II, letter b) of this provision, implemented by Optima Italia S.p.A., constitutes, for the reasons and within the limits stated in the motivation, an unfair commercial practice pursuant to Articles 24 and 25 of the Consumer Code, and prohibits its dissemination;</w:t>
      </w:r>
    </w:p>
    <w:p>
      <w:r>
        <w:t>d) to impose on Optima Italia S.p.A. for the violation referred to in letter c) an administrative pecuniary sanction of 400,000 (four hundred thousand) euros;</w:t>
      </w:r>
    </w:p>
    <w:p>
      <w:r>
        <w:t>The administrative sanction imposed must be paid within thirty days from the notification of this provision, using the tax codes indicated in the attached model F24 with identifying elements, pursuant to Legislative Decree No. 241/1997.</w:t>
      </w:r>
    </w:p>
    <w:p>
      <w:r>
        <w:t>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collector for collection; in this case, the increase absorbs the late interest accrued in the same period.</w:t>
      </w:r>
    </w:p>
    <w:p>
      <w:r>
        <w:t>Immediate communication of the payment must be given to the Authority by sending the documentation certifying the payment made.</w:t>
      </w:r>
    </w:p>
    <w:p>
      <w:r>
        <w:t>This provision will be notified to the interested parties and published in the Bulletin of the Authority for Competition and the Market.</w:t>
      </w:r>
    </w:p>
    <w:p>
      <w:r>
        <w:t>Pursuant to Article 27, paragraph 12, of the Consumer Code, in case of non-compliance with the provision, the Authority applies an administrative pecuniary sanction from 10,000 to 5,000,000 euros. In cases of repeated non-compliance, the Authority may order the suspension of business activity for a period not exceeding thirty days.</w:t>
      </w:r>
    </w:p>
    <w:p>
      <w:r>
        <w:t>Against this provision, an appeal may be filed with the TAR of Lazio, pursuant to Article 135, paragraph 1, letter b), of the Administrative Procedure Code (Legislative Decree of July 2, 2010, No. 104), within sixty days from the date of notification of the provision itself, without prejudice to the longer terms referred to in Article 41, paragraph 5, of the Administrative Procedure Code, or an extraordinary appeal may be proposed to the President of the Republic pursuant to Article 8 of the Decree of the President of the Republic of November 24, 1971, No. 1199 within the term of one hundred and twenty days from the date of notification of the provision itself.</w:t>
      </w:r>
    </w:p>
    <w:p>
      <w:r>
        <w:t>THE SECRETARY GENERAL THE PRESIDENT</w:t>
        <w:br/>
        <w:t>Guido Stazi Roberto Rustichelli</w:t>
      </w:r>
    </w:p>
    <w:p>
      <w:r>
        <w:rPr>
          <w:b/>
        </w:rPr>
        <w:t>[Pages 82–82]</w:t>
      </w:r>
    </w:p>
    <w:p>
      <w:r>
        <w:t>Antitrust Authority Weekly Bulletin</w:t>
        <w:br/>
        <w:t>of Competition and the Market Year XXXII - No. 38 - 2022</w:t>
        <w:br/>
        <w:t>Editorial Coordination Giulia Antenucci</w:t>
        <w:br/>
        <w:t>Editorial Team Valerio Ruocco, Simonetta Schettini, Manuela Villani</w:t>
        <w:br/>
        <w:t>Antitrust Authority for Competition and the Market</w:t>
        <w:br/>
        <w:t>Statistics and IT Applications Office</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