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https://www.agcm.it/dotcmsdoc/bollettini/2024/38-24.pdf</w:t>
      </w:r>
    </w:p>
    <w:p>
      <w:r>
        <w:t>Pages translated : 38</w:t>
      </w:r>
    </w:p>
    <w:p/>
    <w:p>
      <w:r>
        <w:rPr>
          <w:b/>
        </w:rPr>
        <w:t>[Pages 1–3]</w:t>
      </w:r>
    </w:p>
    <w:p>
      <w:r>
        <w:t>Bulletin</w:t>
        <w:br/>
        <w:t>Weekly</w:t>
        <w:br/>
        <w:t>Year XXXIV - No. 38</w:t>
        <w:br/>
        <w:t>Published on the website www.agcm.it</w:t>
        <w:br/>
        <w:t>30 September 2024</w:t>
      </w:r>
    </w:p>
    <w:p>
      <w:r>
        <w:t>SUMMARY</w:t>
        <w:br/>
        <w:t>AGREEMENTS AND ABUSE OF DOMINANT POSITION 5</w:t>
        <w:br/>
        <w:t>I805D - PRICES OF CORRUGATED BOARD/REDETERMINATION OF SANCTION</w:t>
        <w:br/>
        <w:t>ONDULATI NORDEST</w:t>
        <w:br/>
        <w:t>Measure No. 31324 5</w:t>
        <w:br/>
        <w:t>I871 - PRICE AGREEMENT AMONG POTATO CHIP PRODUCERS</w:t>
        <w:br/>
        <w:t>Measure No. 31325 8</w:t>
        <w:br/>
        <w:t>CONCENTRATION OPERATIONS 12</w:t>
        <w:br/>
        <w:t>C12646B - CRISTOFORETTI-CPL CONCORDIA/CRISTOFORETTI SERVIZI ENERGIA-</w:t>
        <w:br/>
        <w:t>NON-COMPLIANCE</w:t>
        <w:br/>
        <w:t>Measure No. 31321 12</w:t>
        <w:br/>
        <w:t>C12661 - INTERGEA GROUP/MARELLI AND POZZI</w:t>
        <w:br/>
        <w:t>Measure No. 31322 20</w:t>
        <w:br/>
        <w:t>C12662 - AZZURRA LEAF TWO-INDIVIDUALS/PASFIN</w:t>
        <w:br/>
        <w:t>Measure No. 31323 25</w:t>
        <w:br/>
        <w:t>C12667 - PAC2000A/BRANCHES OF DOC ROMA-UNICOOP FIRENZE</w:t>
        <w:br/>
        <w:t>Measure No. 31329 30</w:t>
      </w:r>
    </w:p>
    <w:p>
      <w:r>
        <w:t>BULLETIN NO. 38 OF 30 SEPTEMBER 2024 5</w:t>
        <w:br/>
        <w:t>AGREEMENTS AND ABUSE OF DOMINANT POSITION</w:t>
        <w:br/>
        <w:t>I805D - PRICES OF CORRUGATED BOARD/REDETERMINATION OF SANCTION</w:t>
        <w:br/>
        <w:t>ONDULATI NORDEST</w:t>
        <w:br/>
        <w:t>Measure No. 31324</w:t>
        <w:br/>
        <w:t>THE COMPETITION AND MARKET AUTHORITY</w:t>
        <w:br/>
        <w:t>IN ITS MEETING of 10 September 2024;</w:t>
        <w:br/>
        <w:t>HEARD the Rapporteur, Professor Elisabetta Iossa;</w:t>
        <w:br/>
        <w:t>HAVING REGARD to Law No. 287 of 10 October 1990;</w:t>
        <w:br/>
        <w:t>HAVING REGARD to Presidential Decree No. 217 of 30 April 1998;</w:t>
        <w:br/>
        <w:t>HAVING REGARD to its resolution of 22 October 2014, by which the Guidelines on the application methods of the criteria for quantifying administrative pecuniary sanctions imposed by the Authority in application of Article 15, paragraph 1, of Law No. 287/90 (hereinafter, briefly, Guidelines on sanctions) were adopted;</w:t>
        <w:br/>
        <w:t>HAVING REGARD to its measure of 17 July 2019, No. 27849, with which the Authority found that the company Ondulati Nordest S.p.A.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Imballaggi Piemontesi S.r.l.,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br/>
        <w:t>HAVING REGARD that, for participation in the aforementioned agreement in the market for sheets of corrugated board, Ondulati Nordest S.p.A. has been fined 2,831,489 euros;</w:t>
        <w:br/>
        <w:t>HAVING REGARD to the ruling of the Council of State, Section VI, of 27 January 2023, No. 941, with which, in partial acceptance of the appeal filed by Ondulati Nordest S.p.A. for the reform of the ruling of the Lazio TAR, Section I, No. 6076/2021, the measure of 17 July 2019, No. 27849, was annulled only in the part relating to the determination of the sanction imposed on Ondulati Nordest S.p.A.;</w:t>
        <w:br/>
        <w:t>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rank</w:t>
      </w:r>
    </w:p>
    <w:p>
      <w:r>
        <w:rPr>
          <w:b/>
        </w:rPr>
        <w:t>[Pages 4–6]</w:t>
      </w:r>
    </w:p>
    <w:p>
      <w:r>
        <w:t>6 BULLETIN NO. 38 OF 30 SEPTEMBER 2024</w:t>
      </w:r>
    </w:p>
    <w:p>
      <w:r>
        <w:t>legislative that regulates, abstractly aimed at a differentiation of the sanction based on the specificities of the conduct and the roles attributable to each individual operator,” adding that “the rationale underlying the legal provision, identifiable in the need to contain the amount of the sanction within limits of financial sustainability, effectively limits, if not excludes, the possibility of calibrating it to the actual responsibilities of the authors of the unlawful conduct”;</w:t>
      </w:r>
    </w:p>
    <w:p>
      <w:r>
        <w:t>CONSIDERING that the Council of State has entrusted the Authority with eliminating “such discrepancy […] in the process of redefining the amounts of the sanctions considering the primary value of the provision referred to in Article 15 of Law No. 287/90, recalibrating the sanction – in this case indeed not of prohibitive amount – specifically justifying its adequacy and proportionality, in order to possibly personalize it”;</w:t>
      </w:r>
    </w:p>
    <w:p>
      <w:r>
        <w:t>HAVING REGARD to its measure of 20 February 2024, no. 31071, with which, in compliance with the aforementioned ruling, the Authority recalibrated the sanction imposed on Ondulati Nordest S.p.A. to an amount of 2,548,340 euros;</w:t>
      </w:r>
    </w:p>
    <w:p>
      <w:r>
        <w:t>HAVING REGARD to the ruling of the Council of State (hereinafter, the “Ruling”), Section VI, no. 6808/2024, with which the Judge partially upheld the appeal filed by Ondulati Nordest S.p.A. against the Authority's measure no. 31071 of 20 February 2024, specifically regarding the percentage reduction to be applied to it in relation to the antitrust compliance program prepared and implemented by Ondulati Nordest S.p.A.;</w:t>
      </w:r>
    </w:p>
    <w:p>
      <w:r>
        <w:t>HAVING REGARD, in particular, to the reasoning of the Ruling, with which the Council of State stated that “the appeal in question is well-founded in the part where the company contests the challenged act insofar as it did not intend to apply an adequate discount, having the current appellant prepared and implemented an antitrust compliance program. Such a discount appears correctly applicable, in terms of exercising the jurisdiction of merit pursuant to Article 134, paragraph 1, letter c) of the administrative procedure code, in the amount of 10% instead of the 5% applied by the Authority”;</w:t>
      </w:r>
    </w:p>
    <w:p>
      <w:r>
        <w:t>CONSIDERING that the Council of State, in exercising its jurisdiction of merit, ordered the reduction of the sanction imposed on Ondulati Nordest S.p.A. by the measure of 17 July 2019, no. 27849 “by an additional 5%”;</w:t>
      </w:r>
    </w:p>
    <w:p>
      <w:r>
        <w:t>CONSIDERING that this recalibration criterion is precise, objective, and of automatic application, leaving no discretionary margin in the implementation of the conforming obligation arising from the Ruling to be executed;</w:t>
      </w:r>
    </w:p>
    <w:p>
      <w:r>
        <w:t>THEREFORE, CONSIDERING that it is necessary to proceed, in compliance with the Ruling in accordance with the indications and criteria outlined therein, to recalibrate the sanction imposed on Ondulati Nordest S.p.A.;</w:t>
      </w:r>
    </w:p>
    <w:p>
      <w:r>
        <w:t>CONSIDERING that, in accordance with the parameters indicated in the Ruling, the further reduction of the sanction to be imposed on Ondulati Nordest S.p.A. amounts to 127,417 euros;</w:t>
      </w:r>
    </w:p>
    <w:p>
      <w:r>
        <w:t>THEREFORE, CONSIDERING that, consequently, the sanction that can be imposed on Ondulati Nordest S.p.A. amounts to 2,420,923 euros;</w:t>
      </w:r>
    </w:p>
    <w:p>
      <w:r>
        <w:t>RESOLVES</w:t>
      </w:r>
    </w:p>
    <w:p>
      <w:r>
        <w:t>that the administrative pecuniary sanction to be applied to Ondulati Nordest S.p.A. for the behavior attributed to it in the Authority's measure of 17 July 2019, no. 27849, is recalibrated to the amount of 2,420,923 € (two million four hundred twenty thousand nine hundred twenty-three/00).</w:t>
      </w:r>
    </w:p>
    <w:p>
      <w:r>
        <w:t>BULLETIN NO. 38 OF 30 SEPTEMBER 2024</w:t>
      </w:r>
    </w:p>
    <w:p>
      <w:r>
        <w:t>Against this measure, an appeal may be filed with the TAR of Lazio, pursuant to Article 135, paragraph 1, letter b), of the Administrative Procedure Code (Legislative Decree No. 104 of 2 July 2010), within sixty days from the date of notification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No. 1199 of 24 November 1971, within the term of one hundred twenty days from the date of notification of the measure itself.</w:t>
      </w:r>
    </w:p>
    <w:p>
      <w:r>
        <w:t>This measure will be notified to the interested parties and published in the Bulletin of the Competition and Market Authority.</w:t>
      </w:r>
    </w:p>
    <w:p>
      <w:r>
        <w:t>THE SECRETARY GENERAL THE PRESIDENT</w:t>
        <w:br/>
        <w:t>Guido Stazi Roberto Rustichelli</w:t>
      </w:r>
    </w:p>
    <w:p>
      <w:r>
        <w:rPr>
          <w:b/>
        </w:rPr>
        <w:t>[Pages 7–9]</w:t>
      </w:r>
    </w:p>
    <w:p>
      <w:r>
        <w:t>BULLETIN NO. 38 OF 30 SEPTEMBER 2024 9</w:t>
        <w:br/>
        <w:t>b. The production and marketing of chips</w:t>
      </w:r>
    </w:p>
    <w:p>
      <w:r>
        <w:t>5. The product involved in the report is chips, often considered part of the broader snack market and classified, within the category of potato-based food products, as an industrial dehydrated product. It is a product sold through various channels, such as proximity stores (supermarkets and bars) and large-scale distribution chains. In particular, the latter distribute both products branded by the manufacturer and private label products.</w:t>
      </w:r>
    </w:p>
    <w:p>
      <w:r>
        <w:t>6. According to press reports from February 2024, the value of the potato chip market in Italy is estimated to be around 580 million euros (600 million considering tortillas as well), with private labels accounting for approximately 10% of the market share.</w:t>
      </w:r>
    </w:p>
    <w:p>
      <w:r>
        <w:t>7. On the supply side, the production of chips appears to be quite concentrated. The main chip producers in Italy are San Carlo Gruppo Alimentare S.p.A. (hereinafter, “San Carlo”), Pata, Amica Chips, Preziosi Food, and Crik Crok S.r.l. (hereinafter, “Crik Crok”). The market shares attributable to Amica Chips and Pata, based on revenue, can be estimated at 24% and 29%, respectively. There are also several companies that produce chip brands in facilities located in other European countries and import them into Italy.</w:t>
      </w:r>
    </w:p>
    <w:p>
      <w:r>
        <w:t>8. Based on the findings, the Parties are the main Italian producers of private label chips produced for large-scale distribution chains. Specifically, Amica Chips supplies Esselunga, Lidl, Carrefour, Selex, and Crai, while Pata supplies Coop, Pam, Tigre, Conad, Eurospin, and Despar. Among other producers, Preziosi Food reportedly supplies the chains most present in southern Italy, such as MD and Penny Market, while it appears that San Carlo and Crik Crok do not produce chips for the private labels of large-scale distribution.</w:t>
      </w:r>
    </w:p>
    <w:p>
      <w:r>
        <w:t>III. ASSESSMENTS</w:t>
        <w:br/>
        <w:t>a. The relevant sector and market</w:t>
      </w:r>
    </w:p>
    <w:p>
      <w:r>
        <w:t>9. The conduct subject to the proceedings consists, as mentioned, of the coordination of price proposals to be presented to the buyers of large-scale distribution chains for the national sale of private label fried potato chips distributed at their points of sale.</w:t>
      </w:r>
    </w:p>
    <w:p>
      <w:r>
        <w:t>10. According to consistent case law regarding agreements, the definition of the relevant market is essentially aimed at identifying the characteristics of the economic and legal context in which the agreement or coordinated practice is situated. This definition is therefore functional to delineating the scope within which the agreement may restrict or distort the competitive mechanism and to deciphering its degree of offensiveness.</w:t>
      </w:r>
    </w:p>
    <w:p>
      <w:r>
        <w:t>11. In this specific case, as a first approximation, the commodity market can therefore be confined to the production and wholesale marketing of chips. From a geographical standpoint, the relevant market appears to have a national dimension considering the scope of activity of the companies involved.</w:t>
      </w:r>
    </w:p>
    <w:p>
      <w:r>
        <w:t>b. The conduct</w:t>
      </w:r>
    </w:p>
    <w:p>
      <w:r>
        <w:t>12. The report and the information collected suggest the existence, at least in 2024, of a coordination of commercial strategies between Amica Chips and Pata, capable of significantly impacting competition in the relevant market.</w:t>
      </w:r>
    </w:p>
    <w:p>
      <w:r>
        <w:t>13. The hypothesized coordination specifically concerns the concertation of price proposals to be presented to the buyers of large-scale distribution chains for the national sale of private label chips distributed at their points of sale, with the ultimate aim of dividing the clientele while maintaining prices at a supra-competitive level.</w:t>
      </w:r>
    </w:p>
    <w:p>
      <w:r>
        <w:t>14. Furthermore, in order to appreciate the restrictive nature of the reported agreement, it is noted that private labels are typically a product positioned in a medium-low price range, offered by large-scale distribution as an alternative to those bearing the manufacturers' brands. For this reason, an agreement aimed at artificially maintaining a higher price to be charged to large-scale distribution for private label products is also likely to reduce their competitive capacity against branded products and, therefore, to condition the entire wholesale market for chips, with an inevitable impact on the prices charged to end consumers.</w:t>
      </w:r>
    </w:p>
    <w:p>
      <w:r>
        <w:t>15. Such conduct, if confirmed, would reveal the existence of an alteration of competitive dynamics among the major companies operating in the national market for the production and marketing of chips and could constitute an illicit horizontal agreement, in the form of an agreement and/or coordinated practice.</w:t>
      </w:r>
    </w:p>
    <w:p>
      <w:r>
        <w:t>c. The harm to intra-European trade</w:t>
      </w:r>
    </w:p>
    <w:p>
      <w:r>
        <w:t>16. The concept of harm to intra-European trade must be interpreted taking into account the direct or indirect, actual or potential influence on trade flows between Member States.</w:t>
      </w:r>
    </w:p>
    <w:p>
      <w:r>
        <w:t>17. Considering that the contested conduct could extend across the entire national territory, the hypothesized agreement appears capable, if established, of harming trade between Member States and is therefore susceptible to constituting a violation of Article 101 TFEU.</w:t>
      </w:r>
    </w:p>
    <w:p>
      <w:r>
        <w:t>18. In conclusion, the set of elements on file allows for the hypothesis of a possible restrictive competition agreement between the Parties aimed at dividing the clientele by coordinating the price of chips produced for large-scale distribution, in violation of Article 101 TFEU.</w:t>
      </w:r>
    </w:p>
    <w:p>
      <w:r>
        <w:t>CONSIDERING, therefore, that the conduct described above, carried out by Amica Chips S.p.A. and Pata S.p.A., may constitute a restrictive competition agreement in violation of Article 101, paragraph 1, TFEU;</w:t>
      </w:r>
    </w:p>
    <w:p>
      <w:r>
        <w:t>DECIDES</w:t>
      </w:r>
    </w:p>
    <w:p>
      <w:r>
        <w:t>a) to initiate the investigation, pursuant to Article 14 of Law No. 287/1990, against Amica Chips S.p.A. and Pata S.p.A., to ascertain the existence of violations of Article 101, paragraph 1, TFEU;</w:t>
      </w:r>
    </w:p>
    <w:p>
      <w:r>
        <w:t>b) to set a deadline of sixty days from the notification of this measure for the exercise by the legal representatives of the Parties, or by persons delegated by them, of the right to be heard, specifying that the request for a hearing must be submitted to the Cartels, Leniency and Whistleblowing Directorate of this Authority at least fifteen days before the expiration of the aforementioned deadline;</w:t>
      </w:r>
    </w:p>
    <w:p>
      <w:r>
        <w:t>c) that the person responsible for the proceedings is Dr. Lorenzo Ferrari;</w:t>
      </w:r>
    </w:p>
    <w:p>
      <w:r>
        <w:t>d) that the documents of the proceedings may be viewed at the Cartels, Leniency and Whistleblowing Directorate of this Authority by the legal representatives of the Parties, as well as by persons delegated by them;</w:t>
      </w:r>
    </w:p>
    <w:p>
      <w:r>
        <w:t>e) that the proceedings must be concluded by June 30, 2026.</w:t>
      </w:r>
    </w:p>
    <w:p>
      <w:r>
        <w:t>This measure will be notified to the interested parties and published in the Bulletin of the Competition and Market Authority.</w:t>
      </w:r>
    </w:p>
    <w:p>
      <w:r>
        <w:t>THE SECRETARY GENERAL THE PRESIDENT</w:t>
        <w:br/>
        <w:t>Guido Stazi Roberto Rustichelli</w:t>
      </w:r>
    </w:p>
    <w:p>
      <w:r>
        <w:rPr>
          <w:b/>
        </w:rPr>
        <w:t>[Pages 10–12]</w:t>
      </w:r>
    </w:p>
    <w:p>
      <w:r>
        <w:t>12 BULLETIN NO. 38 OF 30 SEPTEMBER 2024</w:t>
        <w:br/>
        <w:t>CONCENTRATION OPERATIONS</w:t>
        <w:br/>
        <w:t>C12646B - CRISTOFORETTI-CPL CONCORDIA/CRISTOFORETTI SERVIZI ENERGIA-FAILURE TO COMPLY</w:t>
        <w:br/>
        <w:t>Measure no. 31321</w:t>
        <w:br/>
        <w:t>THE COMPETITION AND MARKET AUTHORITY</w:t>
        <w:br/>
        <w:t>IN ITS MEETING of 10 September 2024;</w:t>
        <w:br/>
        <w:t>HEARD the Rapporteur, Professor Elisabetta Iossa;</w:t>
        <w:br/>
        <w:t>HAVING REGARD to Law No. 287 of 10 October 1990;</w:t>
        <w:br/>
        <w:t>HAVING REGARD, in particular, to Article 19, paragraph 2, of Law No. 287/1990, pursuant to which, in the event that the companies have not complied with the obligations of prior notification referred to in paragraph 1 of Article 16 of the same law, the Authority may impose administrative monetary penalties of up to 1% of the turnover of the year preceding the year in which the contestation is made;</w:t>
        <w:br/>
        <w:t>HAVING REGARD to Law No. 689 of 24 November 1981;</w:t>
        <w:br/>
        <w:t>HAVING REGARD to Presidential Decree No. 217 of 30 April 1998;</w:t>
        <w:br/>
        <w:t>HAVING REGARD to the communication from Cristoforetti S.p.A. and CPL Concordia Società Cooperativa, received on 4 June 2024;</w:t>
        <w:br/>
        <w:t>HAVING REGARD to the information provided by Cristoforetti S.p.A. and CPL Concordia Società Cooperativa on 19 June 2024;</w:t>
        <w:br/>
        <w:t>HAVING REGARD to its resolution of 26 June 2024, regarding the assessment of the concentration operation consisting of the acquisition by Cristoforetti S.p.A. and CPL Concordia Società Cooperativa of joint control over Cristoforetti Servizi Energia S.p.A., with which the Authority decided not to initiate the investigation referred to in Article 16, paragraph 4, of Law No. 287/1990;</w:t>
        <w:br/>
        <w:t>HAVING REGARD to its resolution of 26 June 2024, notified on 1 July 2024, with which a procedure was initiated against Cristoforetti S.p.A. and CPL Concordia Società Cooperativa, in relation to the same operation, for the possible imposition of the monetary penalty referred to in Article 19, paragraph 2, of Law No. 287/1990, provided for non-compliance with the obligation of prior notification of concentration operations, established by Article 16, paragraph 1, of the same law;</w:t>
        <w:br/>
        <w:t>HAVING REGARD to the memorandum from Cristoforetti S.p.A. and CPL Concordia Società Cooperativa, received on 24 July 2024, in compliance with the deadlines set out in Article 18, paragraph 1, of Law No. 689 of 24 November 1981;</w:t>
        <w:br/>
        <w:t>HAVING REGARD to the documents of the procedure;</w:t>
        <w:br/>
        <w:t>CONSIDERING the following:</w:t>
        <w:br/>
        <w:t>I. THE PARTIES</w:t>
        <w:br/>
        <w:t>1. Cristoforetti S.p.A. (hereinafter also referred to as “Cristoforetti”) primarily operates in the sector of off-network distribution of petroleum products for consumption, with particular reference to heating diesel, automotive diesel, and agricultural diesel. The company also distributes its petroleum products to individuals and businesses for light and gas services. It is mainly operational in Trentino Alto Adige, Friuli-Venezia Giulia, Veneto, Lombardy, and Piedmont, also through controlled companies (Cristoforetti group). The Cristoforetti group is active in the retail off-network trade of petroleum products; in the on-network sale of gasoline and diesel; in the sale of methane and electricity both wholesale and to end consumers; in the on-network sale of gasoline and diesel for boats; in the sale of pellets; and in transportation activities for third parties and logistics services. The share capital of Cristoforetti is 50% held by Luna S.r.l. and 50% by Crisfin S.r.l. (the capital of these latter companies is held by individuals). The consolidated turnover of the Cristoforetti group in 2022 was nearly 270 million euros. In 2023, the consolidated turnover of the Cristoforetti group in Italy was nearly [100-567]* million euros.</w:t>
        <w:br/>
        <w:t>2. CPL Concordia Società Cooperativa (hereinafter also referred to as “CPL”), at the head of the eponymous group (“CPL Group”), is primarily focused on the facility management market, heat management in both public and private sectors, and services to utilities in the gas and energy sectors. CPL achieved a turnover of over 320 million euros in Italy in 2022. In 2023, CPL achieved a consolidated turnover of over [100-567] million euros in Italy.</w:t>
        <w:br/>
        <w:t>3. Cristoforetti Servizi Energia S.p.A. (hereinafter referred to as “SER” or “Target”) is a company active nationwide in the facility management sector, energy management, and heat management. SER serves public entities, healthcare facilities, and individuals for comprehensive management of energy systems. Specifically, SER operates as an ESCo (Energy Service Company) pursuant to the UNI CEI 11352:2014 standard, providing energy services aimed at improving energy efficiency. Prior to the operation, CPL held a 21.57% stake in SER, Cristoforetti held a 50% stake, and Cooperare S.p.A. (“Cooperare”) held a 28.43% stake. Given the absence of shareholders' agreements, no company had control over SER, and the deliberative majority was composed variably. In 2022, SER achieved a turnover of approximately 57 million euros, entirely in Italy. In 2023, SER achieved a turnover of over [35-100] million euros, entirely in Italy. * In this version, some data are omitted, as elements of confidentiality or secrecy of the information were deemed to exist.</w:t>
        <w:br/>
        <w:t>1 More specifically, the group carries out activities in the energy sector (building management system, facility and energy management, renovation interventions, and management of public lighting systems, management and maintenance of district heating systems, photovoltaic and solar thermal systems); in cogeneration (design and construction of cogeneration and trigeneration plants, with engines powered by methane gas, LNG, or biogas); in gas (design and construction of decompression stations, filtration systems, heaters, gas odorization systems; supply of products and services for odorization; gas network inspection services through gas chromatography analyses; design, installation, and maintenance of cathodic protection systems, management and control of the methane gas line and/or reduction and measurement groups, etc.); in IT solutions for utilities (offering a wide range of software, apps, and services for companies operating in the electricity, gas, and water service sectors, such as emergency services for utilities); LNG (for complete plants for industrial, civil, and automotive use); in networks (construction and maintenance of methane gas and LPG distribution networks, aqueducts and sewers, electrical networks, and data networks); in integrated water service (programmable systems for the control of plants, from monitoring water intake to remote control of purification, up to pump control).</w:t>
        <w:br/>
        <w:t>2 Furthermore, SER participates in the consortium of the National Services Consortium Cooperative (“CNS”), which it uses for the awarding of public contracts.</w:t>
      </w:r>
    </w:p>
    <w:p>
      <w:r>
        <w:t>14 BULLETIN NO. 38 OF 30 SEPTEMBER 2024</w:t>
        <w:br/>
        <w:t>II. DESCRIPTION OF THE TRANSACTION</w:t>
        <w:br/>
        <w:t>4. The transaction consisted of the acquisition of joint control of CPL and Cristoforetti over SER. On 12 February 2024, CPL acquired Cooperare's stake in SER, therefore from that moment Cristoforetti and CPL held a 50% stake each in the share capital of SER. With the transaction notified on 4 June 2024, CPL disclosed the transfer of the stake acquired from Cooperare to Cristoforetti along with a marginal portion of its own stake. Therefore, as a result of this transaction, CPL became the owner of a minority stake in the share capital of SER (equal to 20.001%), while Cristoforetti held the remaining majority stake (equal to 79.999%). However, due to the provisions contained in the Shareholders' Agreement that the Parties committed to sign on the closing date, Cristoforetti and CPL will continue to hold joint control over SER, as further argued in the decision not to initiate deliberated by this Authority on 26 June 2024, no. 31274 “C12646 - Cristoforetti-CPL Concordia/Cristoforetti Servizi Energia”. CPL is indeed granted a veto power regarding the approval of annual industrial plans and the annual budget suitable for jointly guiding the activities of SER.</w:t>
        <w:br/>
        <w:t>III. QUALIFICATION OF THE TRANSACTION</w:t>
        <w:br/>
        <w:t>5. The transaction in question constitutes a concentration, pursuant to Article 5, paragraph 1, letter b), of Law No. 287/1990, as it involved the acquisition of joint control of a company.</w:t>
        <w:br/>
        <w:t>6. It falls within the scope of application of Law No. 287/1990, as the conditions of Article 1 of Regulation (EC) No. 139/2004 do not apply, and it is subject to the obligation of prior notification established by Article 16, paragraph 1, of the same law, as the total turnover achieved at the national level by the group of companies involved in 2022 (the last turnover available to the Parties for verifying the obligation of prior notification at the time the transaction was completed) was over 532 million euros and the total turnover achieved individually at the national level by at least two of the companies involved was over 32 million euros, thresholds applicable ratione temporis.</w:t>
        <w:br/>
        <w:t>IV. VIOLATION OF THE OBLIGATION OF PRIOR NOTIFICATION</w:t>
        <w:br/>
        <w:t>7. The Transaction was not subject to prior notification to this Authority, which became aware of it only after its completion, following the communication received on 4 June 2024, regarding the transaction in which CPL Concordia Società Cooperativa transferred approximately 30% of the capital of SER to Cristoforetti S.p.A.</w:t>
        <w:br/>
        <w:t>3 CPL and Cooperare entered into a share purchase agreement concerning the acquisition by CPL of Cooperare's stake in SER equal to 28.43% of the share capital. Therefore, to date, Cristoforetti and CPL hold a 50% stake each in the share capital of SER (see Annex 23 to the Form). The Parties emphasized that the acquisition of Cooperare's stake and the subsequent sale to Cristoforetti by CPL of a stake equal to 30% of SER have a unitary nature considering the simultaneity of the individual transactions, as well as the de facto conditional link between them. They therefore represent a single concentration pursuant to paragraph 43 of the consolidated Communication of the Commission on jurisdictional competence under Regulation (EC) No. 139/2004 of the Council concerning the control of concentrations between companies on the existence of the conditional link between the operations (see case T-282/02, Cementbouw/Commission, ECR 2006, p. II-319, point 127 and seq.).</w:t>
        <w:br/>
        <w:t>4 See § 67 of the consolidated Communication of the Commission on jurisdictional competence under Regulation (EC) No. 139/2004 of the Council concerning the control of concentrations between companies (2008/C 95/01).</w:t>
      </w:r>
    </w:p>
    <w:p>
      <w:r>
        <w:rPr>
          <w:b/>
        </w:rPr>
        <w:t>[Pages 13–15]</w:t>
      </w:r>
    </w:p>
    <w:p>
      <w:r>
        <w:t>BULLETIN NO. 38 OF 30 SEPTEMBER 2024 15</w:t>
        <w:br/>
        <w:t>V. THE POSITION OF CRISTOFORETTI S.P.A. AND CPL CONCORDIA COOPERATIVE SOCIETY</w:t>
        <w:br/>
        <w:t>8. The notifying Parties highlighted that they signed (on February 12, 2024) a letter of intent (“LOI”) that governs the structure of the Transaction, concurrently with CPL's acquisition of Cooperare's stake in SER. The LOI provides that: (i) CPL will transfer 30% of SER's share capital to Cristoforetti; (ii) the Parties will enter into a Shareholders' Agreement under which CPL will hold certain veto rights over strategic decisions that would determine joint control together with Cristoforetti over SER; and (iii) the Transaction will be subject to prior authorization from the Competition and Market Authority.</w:t>
      </w:r>
    </w:p>
    <w:p>
      <w:r>
        <w:t>9. The Transaction, as presented by the Parties, would have been structured in multiple phases for tax reasons. Cristoforetti would have waived its pre-emption right under Article 9 of SER's bylaws, being aware that it could acquire a portion of that stake from CPL, concurrently with the signing of the Shareholders' Agreement. For this reason, the Parties believe that the notified transaction should be considered a single concentration due to the uniqueness of the Parties' intentions, and the starting date for establishing joint control would be identifiable as the date of signing the Shareholders' Agreement. The transfer of Cooperare's stake to CPL would represent, in this context, merely a preliminary step towards establishing joint control, and CPL would have "effectively frozen the exercise of its rights until obtaining authorization from the Authority."</w:t>
      </w:r>
    </w:p>
    <w:p>
      <w:r>
        <w:t>10. For the purposes of configuring the violation referred to in Article 19, paragraph 2, of Law No. 287/1990, both the subjective and objective elements would be lacking in this case. Not only would there have never been any intention to evade the Authority's control, given that the Parties made a voluntary notification, but the Transaction was also notified before the implementation of the phase coinciding with the signing of the Shareholders' Agreement, under which the concentration phenomenon would have occurred. The change in control over SER, in fact, would not have actually taken place until that moment, as CPL froze its rights from the date of signing the share transfer agreement with Cooperare, pending the closing of the transaction.</w:t>
      </w:r>
    </w:p>
    <w:p>
      <w:r>
        <w:t>11. The Parties conclude that the starting date for establishing joint control is identifiable as the date of signing the Shareholders' Agreement, with the Share Transfer Agreement merely representing a preliminary step. Therefore, they request the Authority not to impose any sanction as the constitutive elements of the offense referred to in Article 19, paragraph 2, of Law No. 287/1990 are lacking. In the alternative, they request that the Authority take into account the criteria set forth in Article 11 of Law No. 689/1981 in calculating any potential sanction: (i) the absence of intent and/or gross negligence; (ii) the lack of restrictive effects on competition resulting from the transaction; (iii) the spontaneity and promptness of the notification; and (iv) the cooperation provided during the proceedings.</w:t>
      </w:r>
    </w:p>
    <w:p>
      <w:r>
        <w:t>VI. ASSESSMENT REGARDING THE FAILURE TO NOTIFY</w:t>
        <w:br/>
        <w:t>12. From the documents of the proceedings, it appears that the Transaction was carried out at a time prior to when it was communicated to the Authority, thus violating the aforementioned obligation of prior notification.</w:t>
      </w:r>
    </w:p>
    <w:p>
      <w:r>
        <w:t>13. Regarding the identification of the responsible parties under Article 16 of Law No. 287/1990, it is noted that, since the obligation of prior notification falls on the companies acquiring control, the responsibility for the failure to notify the transaction can be attributed to Cristoforetti S.p.A. and CPL Concordia Cooperative Society, as acquirers of joint control over Cristoforetti Servizi Energia S.p.A.</w:t>
      </w:r>
    </w:p>
    <w:p>
      <w:r>
        <w:t>14. With regard to the subjective element of the infraction, the established circumstances lead to the exclusion of the existence of an intention to willfully evade the Authority's control over concentration operations. However, since Article 3 of Law No. 689/1981 provides for liability for a fraudulent or negligent act or omission, in this case, there is a culpable delay in notifying the concentration transaction related to the acquisition, by Cristoforetti S.p.A. and CPL Concordia Cooperative Society, of joint control over Cristoforetti Servizi Energia S.p.A., completed on February 12, 2024, and communicated only on June 4, 2024, attributable to a lack of diligence characterized by an error in assessing the timing of the change from variable control over SER by CPL Concordia, Cristoforetti S.p.A., and Cooperare to joint control over SER by CPL Concordia and Cristoforetti S.p.A.</w:t>
      </w:r>
    </w:p>
    <w:p>
      <w:r>
        <w:t>15. Following the transfer of shares from Cooperare to CPL Concordia, both CPL and Cristoforetti S.p.A. came to hold 50% each of the capital of Cristoforetti Servizi Energia S.p.A. This situation, in the absence of different agreements that were not provided by the Parties, was suitable, from the outset, to confer joint control over SER to the Parties. The subsequent transfer of shares from CPL Concordia to Cristoforetti and the related Shareholders' Agreement aimed to maintain this situation while changing the percentages of SER's share capital held by the Parties. In this case, in fact, in the absence of the Shareholders' Agreement signed by the Parties, SER would have been exclusively controlled by Cristoforetti, which would have held approximately 80% of the share capital. However, what has just been stated does not demonstrate, as the Parties would like, that joint control over SER was established at the time of signing the Shareholders' Agreement but, on the contrary, that this phase of the transaction notified on June 4, 2024, allowed for the maintenance of joint control over SER, which the Parties had already acquired as a result of the share transfer agreement from Cooperare to CPL Concordia, executed and implemented on February 12, 2024.</w:t>
      </w:r>
    </w:p>
    <w:p>
      <w:r>
        <w:t>16. Regarding the objective element of the infraction, it is noted that the transaction completed on February 12, 2024, was subject to the obligation of prior notification provided for in Article 16, paragraph 1, of Law No. 287/1990 and that it was not notified in advance, in violation of the same article.</w:t>
      </w:r>
    </w:p>
    <w:p>
      <w:r>
        <w:t>17. It is also noted that any consideration regarding the effects of the transaction is irrelevant both for the purpose of establishing the violation of the obligation of prior notification and for the purpose of imposing the related sanction. In fact, the provisions of Article 19, paragraph 2, of Law No. 287/1990 were established by the legislator to protect the respect of the Authority's competencies regarding the control of concentrations, which consists of necessarily preventive analysis and verification activities that are, consequently, irreparably evaded in the case of failure to notify.</w:t>
      </w:r>
    </w:p>
    <w:p>
      <w:r>
        <w:t>18. Having verified, based on the above considerations, the violation of Article 16, paragraph 1, of Law No. 287/1990, it is deemed appropriate to proceed with the imposition of the sanction. For this purpose, Article 11 of Law No. 689/1981 provides that, for the determination of the fine, reference should be made to "the seriousness of the violation, the efforts made by the agent to eliminate or mitigate the consequences of the violation, as well as the personality of the same and their economic conditions."</w:t>
      </w:r>
    </w:p>
    <w:p>
      <w:r>
        <w:t>19. Regarding the seriousness of the infraction, this must be assessed taking into account a set of factors, including the absence of intent and the competitive effects of the transaction notified late. From this latter point of view, in particular, no detrimental effects were produced in the relevant market, as determined in the decision of June 26, 2024, with which the Authority decided not to initiate the investigation referred to in Article 16, paragraph 4, of Law No. 287/1990.</w:t>
      </w:r>
    </w:p>
    <w:p>
      <w:r>
        <w:t>20. The extent of the delay in the communication of the transaction, amounting to less than 4 months, appears limited and, therefore, the infraction had a particularly contained duration.</w:t>
      </w:r>
    </w:p>
    <w:p>
      <w:r>
        <w:t>21. It should also be noted that the notification of the transaction, although late, occurred spontaneously and the Parties promptly responded to the requests for integration made by the Authority.</w:t>
      </w:r>
    </w:p>
    <w:p>
      <w:r>
        <w:t>22. Finally, regarding the subjective characteristics of the companies in terms of their economic conditions, it is noted that in 2023 the Cristoforetti Group achieved a consolidated national turnover of [100-567 million] euros while the CPL group in 2023 achieved a consolidated national turnover of [100-567 million] euros.</w:t>
      </w:r>
    </w:p>
    <w:p>
      <w:r>
        <w:t>23. For these reasons, considering the circumstances outlined above, the Authority deems it appropriate to impose sanctions on Cristoforetti and CPL amounting to 7,307.21 € (seven thousand three hundred seven/21 euros) and 9,049.44 € (nine thousand forty-nine/44 euros), respectively, corresponding to 0.003% of their respective relevant national turnover.</w:t>
      </w:r>
    </w:p>
    <w:p>
      <w:r>
        <w:t>CONSIDERING, therefore, that the transaction in question, as it involved the acquisition of joint control of a company, constituted a concentration under Article 5, paragraph 1, letter b), of Law No. 287/1990;</w:t>
      </w:r>
    </w:p>
    <w:p>
      <w:r>
        <w:t>CONSIDERING that the transaction in question was subject to the obligation of prior notification provided for in Article 16, paragraph 1, of the aforementioned law, since the turnover achieved at the national level in the last financial year closed prior to the execution of the aforementioned transaction by the group of interested companies and the total turnover achieved individually at the national level by at least two of the interested companies was above the thresholds set forth in Article 16, paragraph 1, of Law No. 287/1990, as provided at the time of the execution of the transaction itself;</w:t>
      </w:r>
    </w:p>
    <w:p>
      <w:r>
        <w:t>CONSIDERING that the transaction was not notified in advance pursuant to Article 16, paragraph 1, of Law No. 287/1990 and that, therefore, the Authority, pursuant to Article 19, paragraph 2, of the same law, may impose on the subject who has not complied with the related obligation, for the late notified transaction, administrative monetary sanctions of up to one percent of the turnover achieved in the year preceding the year in which the contestation was made;</w:t>
      </w:r>
    </w:p>
    <w:p>
      <w:r>
        <w:t>CONSIDERING, regarding the identification of the subjects responsible for the contested infraction, that the transaction can be individually attributed to Cristoforetti S.p.A. and CPL Concordia Cooperative Society;</w:t>
      </w:r>
    </w:p>
    <w:p>
      <w:r>
        <w:t>HAVING REGARD to the existence of the prerequisites justifying the imposition of the sanction referred to in Article 19, paragraph 2, of Law No. 287/1990, against Cristoforetti S.p.A. in the amount of</w:t>
      </w:r>
    </w:p>
    <w:p>
      <w:r>
        <w:rPr>
          <w:b/>
        </w:rPr>
        <w:t>[Pages 16–18]</w:t>
      </w:r>
    </w:p>
    <w:p>
      <w:r>
        <w:t>18 BULLETIN NO. 38 OF 30 SEPTEMBER 2024</w:t>
      </w:r>
    </w:p>
    <w:p>
      <w:r>
        <w:t>7,307.21 euros, and against CPL Concordia Società Cooperativa, in the amount of 9,049.44 euros, penalties that appear appropriate to achieve the objective of ensuring that the concentration control activity assigned to the Authority is based on the systematic and diligent compliance with the obligation of prior notification established by Article 16 of Law No. 287/1990;</w:t>
      </w:r>
    </w:p>
    <w:p>
      <w:r>
        <w:t>RESOLVES</w:t>
      </w:r>
    </w:p>
    <w:p>
      <w:r>
        <w:t>a) that the conduct carried out by the companies Cristoforetti S.p.A. and CPL Concordia Società Cooperativa, consisting of the failure to notify the acquisition of joint control over Cristoforetti Servizi Energia S.p.A., constitutes a violation of Article 16, paragraph 1, of Law No. 287/1990;</w:t>
      </w:r>
    </w:p>
    <w:p>
      <w:r>
        <w:t>b) to impose an administrative fine on Cristoforetti S.p.A. in the amount of €7,307.21 (seven thousand three hundred seven/21 euros).</w:t>
      </w:r>
    </w:p>
    <w:p>
      <w:r>
        <w:t>c) to impose an administrative fine on CPL Concordia Società Cooperativa in the amount of €9,049.44 (nine thousand forty-nine/44 euros).</w:t>
      </w:r>
    </w:p>
    <w:p>
      <w:r>
        <w:t>The above administrative fines must be paid within ninety days from the notification of this measure,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penalties is increased by one-tenth for each semester starting from the day after the payment deadline until the role is transmitted to the collection agent; in this case, the increase absorbs the late payment interest accrued during the same period. Immediate notification of the payment must be given to the Authority by sending a copy of the model certifying the payments made.</w:t>
      </w:r>
    </w:p>
    <w:p>
      <w:r>
        <w:t>This measure will be published in the Bulletin of the Competition and Market Authority.</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SECRETARY GENERAL THE PRESIDENT</w:t>
        <w:br/>
        <w:t>Guido Stazi Roberto Rustichelli</w:t>
      </w:r>
    </w:p>
    <w:p>
      <w:r>
        <w:t>20 BULLETIN NO. 38 OF 30 SEPTEMBER 2024</w:t>
      </w:r>
    </w:p>
    <w:p>
      <w:r>
        <w:t>C12661 - INTERGEA/MARELLI AND POZZI GROUP</w:t>
        <w:br/>
        <w:t>Measure No. 31322</w:t>
        <w:br/>
        <w:t>THE COMPETITION AND MARKET AUTHORITY</w:t>
        <w:br/>
        <w:t>IN ITS MEETING of 10 September 2024;</w:t>
        <w:br/>
        <w:t>HEARD the Rapporteur, Professor Elisabetta Iossa;</w:t>
        <w:br/>
        <w:t>HAVING REGARD to Regulation (EC) No. 139/2004;</w:t>
        <w:br/>
        <w:t>HAVING REGARD to Law No. 287 of 10 October 1990;</w:t>
        <w:br/>
        <w:t>HAVING REGARD to Presidential Decree No. 217 of 30 April 1998;</w:t>
        <w:br/>
        <w:t>HAVING REGARD to the communication made by Gruppo Intergea S.p.A. received on 20 August 2024;</w:t>
        <w:br/>
        <w:t>HAVING REGARD to the documentation on file;</w:t>
        <w:br/>
        <w:t>CONSIDERING the following:</w:t>
      </w:r>
    </w:p>
    <w:p>
      <w:r>
        <w:t>I. THE PARTIES</w:t>
      </w:r>
    </w:p>
    <w:p>
      <w:r>
        <w:t>1. Gruppo Intergea S.p.A. (hereinafter, “Intergea”) is the parent company of the Intergea Group, primarily active in the retail sale of new and used passenger cars and commercial vehicles, in the sale of auto parts, as well as in the provision of after-sales assistance, in various provinces of Northern Italy. The Intergea Group also holds, through its dealerships, sales mandates for various automotive brands such as the Stellantis Group (and therefore, among others, Abarth, Alfa Romeo, Chrysler, Citroën, DR, Fiat, Jeep, Lancia, Maserati, Opel, Peugeot) in addition to Volvo, Renault, Volkswagen, and others. Finally, some companies in the Group engage in real estate management activities.</w:t>
      </w:r>
    </w:p>
    <w:p>
      <w:r>
        <w:t>2. Intergea is controlled by the holding LDP Investment S.r.l., which is in turn controlled by a natural person. The consolidated revenue generated by the Intergea Group in the financial year 2022 is approximately [700-1,000]* million euros, almost entirely achieved in Italy.</w:t>
      </w:r>
    </w:p>
    <w:p>
      <w:r>
        <w:t>3. Marelli e Pozzi S.p.A. (hereinafter, “Marelli” or “Target”) is a company active in the sector of trading new and used passenger vehicles and commercial vehicles, retail sale of spare parts, and after-sales services for assistance, maintenance, and repair of motor vehicles. In particular, the Target holds sales mandates for cars and commercial vehicles, new and used, of the brands Fiat, Lancia, Abarth, Alfa Romeo, Opel, MG, Fiat Professional, JEEP (only After Sales mandate). The aforementioned activity, along with the offering of repair services and retail sale of spare parts, is carried out at the locations in Varese and Gavirate (both in the province of Varese). The company also operates through the subsidiary Autosesto S.r.l., based in Sesto Calende (also in the province of Varese). The share capital of Marelli is held by seven natural persons (hereinafter, “Target Shareholders”). The revenue generated by the Target in the financial year 2022 is estimated at approximately [35-100] million euros, entirely achieved in Italy.</w:t>
      </w:r>
    </w:p>
    <w:p>
      <w:r>
        <w:t>* In this version, some data are omitted, as elements of confidentiality or secrecy of the information were deemed to exist.</w:t>
      </w:r>
    </w:p>
    <w:p>
      <w:r>
        <w:rPr>
          <w:b/>
        </w:rPr>
        <w:t>[Pages 19–21]</w:t>
      </w:r>
    </w:p>
    <w:p>
      <w:r>
        <w:t>BULLETIN NO. 38 OF 30 SEPTEMBER 2024</w:t>
      </w:r>
    </w:p>
    <w:p>
      <w:r>
        <w:t>II. DESCRIPTION OF THE TRANSACTION</w:t>
      </w:r>
    </w:p>
    <w:p>
      <w:r>
        <w:t>4. The notified transaction consists of Intergea acquiring exclusive control of Marelli, to be achieved through the purchase of 80.5% of the share capital of the latter. In the months following the closing of the transaction, and in any case by 31 December 2025, Intergea will acquire the remaining minority stake of 19.5% of Marelli's share capital.</w:t>
      </w:r>
    </w:p>
    <w:p>
      <w:r>
        <w:t>5. A non-competition agreement is provided for, under which the Shareholders of the Target undertake for three years (starting from 1 October 2024) and within the territory of the Lombardy Region not to engage in any activity in the same sector in which the Target currently operates (limited to the brands of the FCA Group) and not to take on or hold shares in companies that operate in the Lombardy Region in the field or sector of activity of the Target and/or any company that may be controlled by the latter.</w:t>
      </w:r>
    </w:p>
    <w:p>
      <w:r>
        <w:t>6. A non-solicitation agreement is also provided for, under which the Shareholders of the Target commit not to solicit or offer employment to employees, agents, collaborators, and/or consultants of the Target and its subsidiaries and affiliates.</w:t>
      </w:r>
    </w:p>
    <w:p>
      <w:r>
        <w:t>7. The rationale for the transaction lies in Intergea's intention to consolidate its business and achieve adequate economies of scale.</w:t>
      </w:r>
    </w:p>
    <w:p>
      <w:r>
        <w:t>III. QUALIFICATION OF THE TRANSACTION</w:t>
      </w:r>
    </w:p>
    <w:p>
      <w:r>
        <w:t>8. The notified transaction, aimed at acquiring exclusive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 the last financial year at the national level, by at least two of the companies involved was over 35 million euros.</w:t>
      </w:r>
    </w:p>
    <w:p>
      <w:r>
        <w:t>9. The non-competition agreement and the non-solicitation agreement described above can be qualified as directly connected and necessary for the realization of the concentration transaction in question, as they are functional to safeguarding the value of the Target, provided that they have a duration limited to two years, do not prevent the acquisition or holding of shares solely for financial investment purposes, without this resulting, directly or indirectly, in the assignment of management roles or substantial influence in the competing company, do not exceed the product and geographical scope of the Target's activity, and are established solely in the interest of the latter.</w:t>
      </w:r>
    </w:p>
    <w:p>
      <w:r>
        <w:t>IV. EVALUATION OF THE TRANSACTION</w:t>
      </w:r>
    </w:p>
    <w:p>
      <w:r>
        <w:t>The product market</w:t>
      </w:r>
    </w:p>
    <w:p>
      <w:r>
        <w:t>10. From a product perspective, the markets affected by the transaction are those in which the company subject to acquisition operates, namely:</w:t>
      </w:r>
    </w:p>
    <w:p>
      <w:r>
        <w:t>11. The market under i) concerns the retail distribution of new and used passenger and commercial vehicles to end consumers. Manufacturers market their vehicles through distribution companies (controlled companies or third-party operators) which, in turn, utilize a sales network to customers. Within this market, various segments can be identified, distinguishing between passenger vehicles and commercial vehicles, new and used vehicles, based on performance, size, and price of the marketed cars. However, distributors often offer different types of products (city cars, mid-range, premium, etc.), and the differences have been decreasing over the years due to manufacturers' trends to offer more accessories even for mid-range and small cars. For the purposes of this transaction, however, it does not seem necessary to arrive at an exact product delimitation of the market.</w:t>
      </w:r>
    </w:p>
    <w:p>
      <w:r>
        <w:t>12. Regarding the market under ii), related to the retail marketing of spare parts and accessories for passenger vehicles and commercial vehicles, two categories of products can be identified: original spare parts and equivalent ones (i.e., of corresponding quality). Original spare parts are marketed under the manufacturer's brand; equivalent spare parts, on the other hand, are supplied by independent operators in the component sector (who may also supply the same manufacturers). The prices of equivalent spare parts are significantly lower, varying depending on the type of spare part considered.</w:t>
      </w:r>
    </w:p>
    <w:p>
      <w:r>
        <w:t>13. Furthermore, the different types of spare parts for vehicles (gaskets, pads, shock absorbers, belts, spark plugs, filters, lighting, etc.) are not substitutable from the final demand side, which evidently depends on the maintenance or repair work to be carried out. However, there is significant substitutability from the demand side between original and equivalent spare parts (provided they are of corresponding quality), varying depending on the age and economic class of the vehicle, as well as the type of spare part. From the supply side, moreover, the manufacturers' service centers (generally dealerships and authorized workshops) can distribute both original and equivalent spare parts. Finally, from the supply side, operators generally distribute a wide range of spare parts. For the purposes of this transaction, however, it does not seem necessary to arrive at an exact product delimitation of the market.</w:t>
      </w:r>
    </w:p>
    <w:p>
      <w:r>
        <w:t>14. The market under iii) is characterized by extreme fragmentation of supply. The repair and maintenance activity is carried out by a wide range of operators such as: authorized dealerships and retailers; independent workshops; service stations; specialized auto centers; quick service assistance (the warranty assistance is instead carried out by the same manufacturers' dealerships or by other subjects authorized by them). For the purposes of this transaction, however, it does not seem necessary to arrive at an exact product delimitation of the market.</w:t>
      </w:r>
    </w:p>
    <w:p>
      <w:r>
        <w:t>The geographical market</w:t>
      </w:r>
    </w:p>
    <w:p>
      <w:r>
        <w:t>15. The size of the markets under i), ii), and iii) can be considered local, taking into account consumer purchasing behaviors and, in particular, the importance attributed to the proximity of sales and assistance points.</w:t>
      </w:r>
    </w:p>
    <w:p>
      <w:r>
        <w:t>16. In the various precedents related to the markets in question, the Authority has defined local markets based on administrative boundaries, identifying markets with a tendency towards provincial size. In this case, following this approach, considering the operational scope of the Target and the related overlap with Intergea's activity, the relevant geographical market could be considered confined to the province of Varese.</w:t>
      </w:r>
    </w:p>
    <w:p>
      <w:r>
        <w:t>17. Alternatively, local markets can be defined taking into account the size of the catchment areas of the individual sales points of the companies involved and the propensity for mobility from the demand side. In this regard, the notifying party believes it is possible to hypothesize the existence of a catchment area identified by the areas located around the two operational sites of the Target (Gavirate and Varese), reachable within 40 or 60 minutes of driving for the market under i) and within 20 minutes of driving for the markets under ii) and iii) (so-called isochrones).</w:t>
      </w:r>
    </w:p>
    <w:p>
      <w:r>
        <w:t>18. For the purposes of this transaction, however, it does not seem necessary to arrive at an exact geographical delimitation of the market as this would not affect the assessment of the transaction in question.</w:t>
      </w:r>
    </w:p>
    <w:p>
      <w:r>
        <w:t>The effects of the transaction</w:t>
      </w:r>
    </w:p>
    <w:p>
      <w:r>
        <w:t>19. The notified transaction does not appear to be capable of producing distortive effects on competition.</w:t>
      </w:r>
    </w:p>
    <w:p>
      <w:r>
        <w:t>20. In fact, regarding the market under i) related to the distribution of new and used passenger and commercial vehicles to end consumers, considered to be of provincial size, according to the data provided by the parties, following the concentration Intergea will hold a market share, calculated in volume, of less than [5-10%] in the province of Varese. Furthermore, even considering a more restricted geographical market size, corresponding to the area delineated by a 60-minute driving isochrone built around each of the Target's operational sites, the parties will hold joint market shares, calculated in volume, respectively, of less than [5-10%] (Gavirate) and [5-10%] (Varese). Finally, considering an even more restricted size, corresponding to the area delineated by a 40-minute driving isochrone built around each of the Target's operational sites, there is no overlap between the activities of the parties.</w:t>
      </w:r>
    </w:p>
    <w:p>
      <w:r>
        <w:t>21. Regarding the markets under ii) and iii), related to the retail distribution of spare parts for passenger vehicles and commercial vehicles and to post-sale assistance, maintenance, and repair services for vehicles, according to the data provided by the parties, Intergea does not operate in either of the two product markets mentioned above, neither within the geographical perimeter coinciding with the province of Varese nor within that coinciding with the 20-minute isochrones from the respective Gavirate and Varese sites of the Target. Consequently, in these markets, where the Target holds a market share of less than [1-5%] whether considering the province of Varese or the aforementioned 20-minute isochrones, no overlap is found.</w:t>
      </w:r>
    </w:p>
    <w:p>
      <w:r>
        <w:rPr>
          <w:b/>
        </w:rPr>
        <w:t>[Pages 22–24]</w:t>
      </w:r>
    </w:p>
    <w:p>
      <w:r>
        <w:t>24 BULLETIN NO. 38 OF 30 SEPTEMBER 2024</w:t>
      </w:r>
    </w:p>
    <w:p>
      <w:r>
        <w:t>among the activities of the parties, thus the operation consists of a mere substitution of one operator with another.</w:t>
      </w:r>
    </w:p>
    <w:p>
      <w:r>
        <w:t>22. Furthermore, in all markets affected by the operation, there are numerous and qualified competitors active.</w:t>
      </w:r>
    </w:p>
    <w:p>
      <w:r>
        <w:t>23. Finally, the operation will not have any vertical effects, since the Intergea Group is no longer active in the importation of vehicles through the company Diventa S.r.l., as it has recently sold its stake in this latter company.</w:t>
      </w:r>
    </w:p>
    <w:p>
      <w:r>
        <w:t>24. In light of the above considerations, the concentration under examination does not appear to hinder competition in the relevant markets and does not lead to the establishment or strengthening of a dominant position.</w:t>
      </w:r>
    </w:p>
    <w:p>
      <w:r>
        <w:t>CONSIDERING, therefore, that the operation under examination does not significantly hinder effective competition in the relevant markets pursuant to Article 6, paragraph 1, of Law No. 287/1990 and does not lead to the establishment or strengthening of a dominant position;</w:t>
      </w:r>
    </w:p>
    <w:p>
      <w:r>
        <w:t>CONSIDERING, also, that the non-competition agreement and the non-solicitation agreement are ancillary to this operation only to the extent indicated above and that the Authority reserves the right to evaluate, where the conditions exist, the aforementioned agreements if they exceed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Competition and Market Authority.</w:t>
      </w:r>
    </w:p>
    <w:p>
      <w:r>
        <w:t>THE SECRETARY GENERAL THE PRESIDENT</w:t>
        <w:br/>
        <w:t>Guido Stazi Roberto Rustichelli</w:t>
      </w:r>
    </w:p>
    <w:p>
      <w:r>
        <w:t>BULLETIN NO. 38 OF 30 SEPTEMBER 2024</w:t>
      </w:r>
    </w:p>
    <w:p>
      <w:r>
        <w:t>C12662 - AZZURRA LEAF TWO-INDIVIDUALS/PASFIN</w:t>
        <w:br/>
        <w:t>Measure no. 31323</w:t>
        <w:br/>
        <w:t>THE COMPETITION AND MARKET AUTHORITY</w:t>
        <w:br/>
        <w:t>IN ITS MEETING of 10 September 2024;</w:t>
      </w:r>
    </w:p>
    <w:p>
      <w:r>
        <w:t>HEARD the Rapporteur, Saverio Valentino;</w:t>
      </w:r>
    </w:p>
    <w:p>
      <w:r>
        <w:t>HAVING REGARD to Regulation (EC) No. 139/2004;</w:t>
      </w:r>
    </w:p>
    <w:p>
      <w:r>
        <w:t>HAVING REGARD to Law No. 287 of 10 October 1990;</w:t>
      </w:r>
    </w:p>
    <w:p>
      <w:r>
        <w:t>HAVING REGARD to the communication made by Azzurra Leaf Two S.r.l., received on 26 August 2024;</w:t>
      </w:r>
    </w:p>
    <w:p>
      <w:r>
        <w:t>HAVING REGARD to the documentation on file;</w:t>
      </w:r>
    </w:p>
    <w:p>
      <w:r>
        <w:t>CONSIDERING the following:</w:t>
      </w:r>
    </w:p>
    <w:p>
      <w:r>
        <w:t>I. THE PARTIES</w:t>
      </w:r>
    </w:p>
    <w:p>
      <w:r>
        <w:t>1. Azzurra Leaf Two S.r.l. (hereinafter, “Azzurra”) is an Italian law company exclusively active in the acquisition and management of corporate participations. It is subject to the control of Azzurra Leaf One S.r.l. which, in turn, is subject to the direction and coordination of Azzurra Capital Investments SICAV-RAIF SCSp (hereinafter, “Azzurra Capital”).</w:t>
      </w:r>
    </w:p>
    <w:p>
      <w:r>
        <w:t>2. Azzurra Capital, an international private equity operator recently established, with offices in Dubai, London, Luxembourg, and Milan, is a limited partnership under Luxembourg law, classified as a reserved alternative investment fund, established in the form of an investment company with variable capital. In 2023, Azzurra Capital achieved, through its subsidiary, a turnover of approximately [100-567]* million euros worldwide, of which approximately [100-567] million euros in the European Union and [100-567] million euros in Italy.</w:t>
      </w:r>
    </w:p>
    <w:p>
      <w:r>
        <w:t>3. Pasfin S.p.A. (hereinafter, “Pasfin” or “Target”), a company dedicated to the management of corporate participations, is the non-operating holding company at the head of the Lucart group (hereinafter, “Lucart Group” or “Target Group”), primarily active, internationally, in the production and marketing of paper rolls, as well as finished paper products, both made from pure virgin cellulose raw materials or recycled paper.</w:t>
      </w:r>
    </w:p>
    <w:p>
      <w:r>
        <w:t>4. Pasfin, whose share capital is entirely held by certain individuals belonging to the [omitted] family (hereinafter, “Individuals”), holds 100% of the share capital of Lucart S.p.A. (“Lucart”) which, in turn, controls the foreign subsidiaries of the Target Group and holds 40% of the share capital of NewPal S.p.A., a company active in the production of pallets made using secondary raw materials from recycled materials. The turnover achieved by the Lucart Group in the financial year 2023 is approximately [700-1000] million euros worldwide, of which approximately [567-700] million euros in the European Union, of which approximately [100-567] million euros in Italy.</w:t>
      </w:r>
    </w:p>
    <w:p>
      <w:r>
        <w:t>1 At the date of notification of the operation, Azzurra Capital holds only one equity participation, related to the Desa Group S.p.A., an Italian company active in the production of detergents and soaps, over which it holds joint control.</w:t>
        <w:br/>
        <w:t>* In this version, some data are omitted, as it was deemed that there were elements of confidentiality or secrecy of the information.</w:t>
      </w:r>
    </w:p>
    <w:p>
      <w:r>
        <w:t>2 Lucart S.a.s. in France, Lucart Tissue &amp; Soap S.L.U. in Spain, Lucart Kft in Hungary, Lucart Deutschland GmbH in Germany, Lucart Hygiene Ltd. and ESP Blackmore Park Ltd. in the United Kingdom, and Circular Shield DOO in Slovenia.</w:t>
      </w:r>
    </w:p>
    <w:p>
      <w:r>
        <w:t>26 BULLETIN NO. 38 OF 30 SEPTEMBER 2024</w:t>
      </w:r>
    </w:p>
    <w:p>
      <w:r>
        <w:t>II. DESCRIPTION OF THE TRANSACTION</w:t>
      </w:r>
    </w:p>
    <w:p>
      <w:r>
        <w:t>5. The notified transaction consists of Azzurra acquiring joint control over Pasfin and, through it, over the Target Group, together with the Individuals who currently hold exclusive control.</w:t>
      </w:r>
    </w:p>
    <w:p>
      <w:r>
        <w:t>6. The transaction is structured in two phases, at the end of which Azzurra will acquire 59% of Pasfin's share capital. As part of the transaction, the Parties (Azzurra and the Individuals) will enter into a shareholders' agreement granting them joint control over Pasfin; [omitted].</w:t>
      </w:r>
    </w:p>
    <w:p>
      <w:r>
        <w:t>7. The rationale for the transaction lies in Azzurra's intention to pursue its investment strategies and diversify its portfolio by entering a market in which it is currently not present.</w:t>
      </w:r>
    </w:p>
    <w:p>
      <w:r>
        <w:t>8. A non-competition and non-solicitation agreement is provided for, for the duration of the joint venture and for the [omitted] years following when each Individual ceases to hold a participation in Pasfin (or Lucart, upon the occurrence of certain conditions), under which the same Individuals undertake to refrain from: [omitted].</w:t>
      </w:r>
    </w:p>
    <w:p>
      <w:r>
        <w:t>III. QUALIFICATION OF THE TRANSACTION</w:t>
      </w:r>
    </w:p>
    <w:p>
      <w:r>
        <w:t>9. The notified transaction, aimed at acquiring joint control of a company, constitutes a concentration pursuant to Article 5, paragraph 1, letter b), of Law No. 287/1990.</w:t>
      </w:r>
    </w:p>
    <w:p>
      <w:r>
        <w:t>10. It falls within the scope of application of Law No. 287/1990 as the conditions of Article 1 of Regulation (EC) No. 139/2004 are not met, and it is subject to the obligation of prior notification provided for by Article 16, paragraph 1, of the same law as the total turnover achieved, in the last financial year at the national level, by the group of interested companies exceeded 567 million euros and the total turnover achieved, in the last financial year at the national level, by at least two of the interested companies exceeded 35 million euros.</w:t>
      </w:r>
    </w:p>
    <w:p>
      <w:r>
        <w:t>11. The non-competition agreement and the non-solicitation agreement can be considered directly connected to the realization of the concentration operation and necessary for the duration of the joint venture, to the extent that the individual Individuals continue to hold (joint) control of the Target, provided that they do not exceed the product and geographic scope of the Target's activity, and do not prevent the acquisition or holding of shares solely for financial investment purposes, without this resulting, directly or indirectly, in the conferment of management assignments or substantial influence in the competing company.</w:t>
      </w:r>
    </w:p>
    <w:p>
      <w:r>
        <w:t>IV. EVALUATION OF THE TRANSACTION</w:t>
      </w:r>
    </w:p>
    <w:p>
      <w:r>
        <w:t>The relevant markets</w:t>
      </w:r>
    </w:p>
    <w:p>
      <w:r>
        <w:t>12. Regarding the product market, the Target Group operates in the following markets:</w:t>
      </w:r>
    </w:p>
    <w:p>
      <w:r>
        <w:t>i) the market for the production and marketing of so-called mother paper rolls (both tissue type for sanitary use and dry airlaid type);</w:t>
      </w:r>
    </w:p>
    <w:p>
      <w:r>
        <w:t>ii) the market for the production and marketing of finished paper products (both tissue type for sanitary use and dry airlaid type).</w:t>
      </w:r>
    </w:p>
    <w:p>
      <w:r>
        <w:rPr>
          <w:b/>
        </w:rPr>
        <w:t>[Pages 25–27]</w:t>
      </w:r>
    </w:p>
    <w:p>
      <w:r>
        <w:t>BULLETIN NO. 38 OF 30 SEPTEMBER 2024</w:t>
      </w:r>
    </w:p>
    <w:p>
      <w:r>
        <w:t>13. In general, the paper products sector is characterized by a production process that starts with the treatment of raw materials (wood pulp and/or recycled paper) for subsequent processing of the fiber-water mixture, namely a drainage that sheets and compresses the pulp to eliminate moisture, forming a large sheet that, once dried, is then wound onto the so-called parent roll. Finally, the parent roll is unwound and transformed into a finished product: depending on the characteristics and finishes required, it is decorated, perforated, and cut to the necessary width. The offer may therefore include the initial paper pulp, parent rolls, and/or finished products.</w:t>
      </w:r>
    </w:p>
    <w:p>
      <w:r>
        <w:t>14. Some operators, particularly large multinationals, are vertically integrated throughout the supply chain: intermediate products (pulp and rolls) are retained in-house or sold to third parties, while finished products are marketed mainly under their own brands. Other entities are only partially integrated, having to resort to purchasing pulp (independent national producers) or even rolls (independent converters, small and medium-sized enterprises active locally or nationally) for subsequent conversion into finished paper products; they (also called converters) use their own brands less frequently than multinationals.</w:t>
      </w:r>
    </w:p>
    <w:p>
      <w:r>
        <w:t>15. Parent rolls differ in characteristics and quality depending on the combinations of paper pulp used and the processing method adopted. However, all major operators are capable of producing rolls of comparable quality. According to the Authority's practice, it does not currently appear necessary to segment this market, except for the possible distinction between tissue and airlaid (see infra).</w:t>
      </w:r>
    </w:p>
    <w:p>
      <w:r>
        <w:t>16. Finished paper products (generally defined as tissue products) encompass various types of thin, soft, and absorbent paper used for hygienic purposes for drying and cleaning (toilet paper, tissues, kitchen paper towels, napkins, etc.). These products possess different characteristics (for example, absorbency, softness, strength, waterproofing) that depend mainly on the type of fiber mixture contained in the wood pulp used for their manufacture and the processing method itself. Tissue products also differ in price (kitchen paper towels and toilet paper are generally the cheapest products, while facial tissues are the most expensive) and, above all, by the use for which they are intended and for which they are purchased by consumers (substitutability can only be identified in marginal cases and in situations of necessity).</w:t>
      </w:r>
    </w:p>
    <w:p>
      <w:r>
        <w:t>17. In consideration of these factors, the Authority has considered each type of paper product distinct from the others. In order to take into account further factors, such as diversity in terms of clientele, distribution methods, brand importance, quality, and price, the Authority has also deemed that each paper product belongs, in turn, to two distinct markets depending on whether it is intended for final consumers or for other sectors (particularly the so-called away from home, i.e., businesses and public facilities or, in general, facilities other than private residences).</w:t>
      </w:r>
    </w:p>
    <w:p>
      <w:r>
        <w:t>18. The main final buyers of the away from home type are indeed medium to large enterprises or public entities that purchase large quantities of products (for example, wipes and absorbent cloths) to be used in various facilities (offices, plants, hospitals, etc.). Away from home products are mainly sold through specialized distributors who, to a significant and growing extent, use their own brand. Conversely, goods intended for final consumers are sold through the retail distribution channel and, as a rule, are used in domestic settings; the brands are those of the manufacturer, especially in the case of more prestigious items, or those of the distributor, particularly in the case of large-scale distribution.</w:t>
      </w:r>
    </w:p>
    <w:p>
      <w:r>
        <w:t>19. Regarding this latter aspect, there is the possibility of further segmenting the market for paper goods intended for final consumers, distinguishing between branded products (with the manufacturer's brand) and so-called private label products (with the distributor's brand). The two categories imply different relationships between producers and distributors (bilateral distribution agreements in the first case, supply contracts in the second), but are generally placed on the same retail shelves, positioning themselves in physical proximity and thus in direct competition. However, the Authority has left open the question of the possible further subdivision of each product for the final consumer into two species, depending on whether it is branded or private label.</w:t>
      </w:r>
    </w:p>
    <w:p>
      <w:r>
        <w:t>20. Finally, the Authority has considered, while also leaving this question open, the distinction between finished tissue paper products and so-called airlaid paper. The latter is a dry paper that falls within the category of so-called non-woven fabric and differs from standard tissue paper due to a series of elements, such as: the specific production process (the bonds between cellulose fibers are not made through the natural process of felting, which occurs by diluting the fibers in large amounts of water, but through the addition of synthetic resins/chemical binders and the movement of fibers by means of air jets); particular properties and characteristics of use (greater thickness, porosity, absorbency, resistance both dry and wet, and consequently the possibility of repeated reusability, due to the different structure of the paper); high-end positioning (the appearance and feel of use refer to a fabric product rather than paper, particularly in the case of tablecloths and napkins); consequent price differentiation (significantly higher); significant production specialization.</w:t>
      </w:r>
    </w:p>
    <w:p>
      <w:r>
        <w:t>21. For the purposes of this operation, however, it does not appear necessary to arrive at an exact delimitation of the market due to the absence of significant effects on competition in all possible definitions of the market from a product perspective.</w:t>
      </w:r>
    </w:p>
    <w:p>
      <w:r>
        <w:t>22. As for the geographical dimension, in the Authority's practice, the exact definition of the geographical dimension of the market for the production and marketing of so-called parent rolls has been left open, as it may be of national or even European dimension. The geographical dimension of the market for the production and marketing of finished paper products has instead been considered national due to the differences present in the various Member States of the European Union regarding preferences and consumption trends for individual products, as well as prices and brands under which finished paper products are marketed.</w:t>
      </w:r>
    </w:p>
    <w:p>
      <w:r>
        <w:t>The effects of the operation</w:t>
      </w:r>
    </w:p>
    <w:p>
      <w:r>
        <w:t>23. The notified operation does not appear to be capable of producing distortive effects on competition, neither horizontally nor vertically, in the market for the production and marketing of so-called parent rolls, nor in the market for the production and marketing of finished paper products, given that Azzurra does not hold any stake (nor control) in companies active in the production and marketing of paper products.</w:t>
      </w:r>
    </w:p>
    <w:p>
      <w:r>
        <w:t>24. The Target Group holds market shares at the national level of approximately (i) [5-10%] in the market for the production and marketing of tissue-type parent rolls, (ii) [20-25%] in the market for the production and marketing of airlaid-type parent rolls, (iii) [10-15%] and [20-25%] in the market for the production and marketing of finished tissue paper products for home and away from home, respectively, (iv) [15-20%] in the market for the production and marketing of finished airlaid paper products.</w:t>
      </w:r>
    </w:p>
    <w:p>
      <w:r>
        <w:t>25. Finally, in the aforementioned relevant markets, multiple and qualified competitors are active.</w:t>
      </w:r>
    </w:p>
    <w:p>
      <w:r>
        <w:t>26. In light of the above considerations, the concentration under examination does not appear to hinder competition in the relevant markets or to lead to the establishment or strengthening of a dominant position.</w:t>
      </w:r>
    </w:p>
    <w:p>
      <w:r>
        <w:t>THEREFORE, IT IS CONSIDERED that the operation under examination does not significantly hinder effective competition in the relevant markets, pursuant to Article 6, paragraph 1, of Law No. 287/1990, and does not lead to the establishment or strengthening of a dominant position;</w:t>
      </w:r>
    </w:p>
    <w:p>
      <w:r>
        <w:t>IT IS ALSO CONSIDERED that the non-compete and non-solicitation agreements may be considered ancillary to this operation only to the limits indicated above and that the Authority reserves the right to evaluate, where the conditions exist, the aforementioned agreements if they are realized beyond those limits;</w:t>
      </w:r>
    </w:p>
    <w:p>
      <w:r>
        <w:t>DECIDES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Competition and Market Authority.</w:t>
      </w:r>
    </w:p>
    <w:p>
      <w:r>
        <w:t>THE SECRETARY GENERAL THE PRESIDENT</w:t>
      </w:r>
    </w:p>
    <w:p>
      <w:r>
        <w:t>Guido Stazi Roberto Rustichelli</w:t>
      </w:r>
    </w:p>
    <w:p>
      <w:r>
        <w:rPr>
          <w:b/>
        </w:rPr>
        <w:t>[Pages 28–30]</w:t>
      </w:r>
    </w:p>
    <w:p>
      <w:r>
        <w:t>30 BULLETIN NO. 38 OF 30 SEPTEMBER 2024</w:t>
        <w:br/>
        <w:t>C12667 - PAC2000A/BRANCHES OF BUSINESS OF DOC ROMA-UNICOOP FIRENZE</w:t>
        <w:br/>
        <w:t>Measure no. 31329</w:t>
        <w:br/>
        <w:t>THE COMPETITION AND MARKET AUTHORITY</w:t>
        <w:br/>
        <w:t>IN ITS MEETING of 24 September 2024;</w:t>
        <w:br/>
        <w:t>HEARD the Rapporteur, Saverio Valentino;</w:t>
        <w:br/>
        <w:t>HAVING REGARD to Regulation (EC) No. 139/2004;</w:t>
        <w:br/>
        <w:t>HAVING REGARD to Law No. 287 of 10 October 1990;</w:t>
        <w:br/>
        <w:t>HAVING REGARD to the communication from PAC 2000A Soc. Coop., received on 3 September 2024;</w:t>
        <w:br/>
        <w:t>HAVING REGARD to the documentation on file;</w:t>
        <w:br/>
        <w:t>CONSIDERING the following:</w:t>
        <w:br/>
        <w:t>I. THE PARTIES</w:t>
        <w:br/>
        <w:t>I.1. Conad</w:t>
        <w:br/>
        <w:t>1. PAC 2000A Soc.coop. (hereinafter, “PAC”) is the largest cooperative of the National Consortium Retailers CONAD S.c.a.r.l. (hereinafter, “CONAD”) and is active in the distribution of food and non-food consumer products.</w:t>
        <w:br/>
        <w:t>2. The organizational model of the CONAD system is structured on three levels: (i) the first level is represented by individual entrepreneurs, members of the cooperatives and owners of the retail outlets, who conduct the business and manage the retail outlets in the territory, operating independently and at their own business risk, relying on the supply of goods and services from the individual cooperative. The individual member is therefore, at the same time, a trader, entrepreneur, and cooperator; (ii) the second level, where PAC is located, is represented by the five cooperative members of the national consortium (in addition to PAC, Conad Nord Ovest, Conad Adriatico, Conad Centro Nord, and Commercianti Indipendenti Associati), which support and coordinate the individual entrepreneurs by providing administrative, commercial, logistical, and financial services; (iii) the third level is constituted by the national consortium CONAD, which operates as a purchasing and service center, is responsible for strategic planning, marketing, and communication activities for the entire system, as well as the production, promotion, and development of the CONAD brand.</w:t>
        <w:br/>
        <w:t>PAC operates through a network of direct and associated sales, consisting of retail outlets under the Conad and Todis1 brands, active in central-southern Italy (Umbria, Lazio, Campania, Calabria, and Sicily). In 2023, PAC achieved a turnover of approximately [4-5]* billion euros in Italy.</w:t>
        <w:br/>
        <w:t>I.2. The branches of business of DOC Roma and Unicoop Firenze</w:t>
        <w:br/>
        <w:t>3. The branches of business subject to acquisition (hereinafter, “Target branches” or “Target”) are currently owned by DOC Roma S.r.l. (hereinafter, “DOC”) and/or its parent company Unicoop Firenze soc. coop. (hereinafter, “Unicoop”).</w:t>
        <w:br/>
        <w:t>4. In particular, the Target branches consist of thirteen retail outlets under the DOC brand, all located in the territory of Rome and province (of which twelve under the DOC brand owned by DOC and one branch of business under the DOC brand owned by the parent company Unicoop and managed, under a lease of branch of business, by DOC itself). Also included in the business assets subject to transfer are: (i) a branch of business consisting of four commercial establishments owned by DOC, leased to third-party operators not operating in organized large-scale distribution (respectively, a pet shop, a bar, a mobile phone store, and an optician); (ii) a branch of business consisting of two commercial establishments owned by DOC, leased to third-party operators not operating in organized distribution (respectively, a bar and an optician); and (iii) two branches of business owned by Unicoop intended for "car garage."</w:t>
        <w:br/>
        <w:t>5. The turnover achieved by the Target in 2023 was approximately [100-567] million euros, entirely realized in Italy.</w:t>
        <w:br/>
        <w:t>II. DESCRIPTION OF THE TRANSACTION</w:t>
        <w:br/>
        <w:t>6. The notified transaction (hereinafter, “Transaction”) aims at the acquisition by PAC, directly or through controlled companies, of ownership of thirteen retail outlets, of which twelve branches of business under the DOC brand owned by DOC and one branch of business under the DOC brand owned by the parent company Unicoop and managed under a lease of branch of business by DOC.</w:t>
        <w:br/>
        <w:t>7. Furthermore, it is planned that DOC will transfer: (i) a branch of business consisting of four commercial establishments owned by DOC, leased to third-party operators not operating in organized large-scale distribution (respectively, a pet shop, a bar, a mobile phone store, and an optician); and (ii) a branch of business consisting of two commercial establishments owned by DOC, leased to third-party operators not operating in organized distribution (respectively, a bar and an optician). Finally, it is planned that Unicoop will transfer two branches of business both intended for "car garage."</w:t>
        <w:br/>
        <w:t>8. The Transaction is not subject to any suspensive or resolutory conditions. In particular, the closing of the transaction is scheduled for 16 September 2024. On that date, ownership of the branches of business will be transferred. It is expected that the consolidation of the transaction, with the acquisition of full ownership and possession of all retail outlets, will be completed gradually by the end of September 2024.</w:t>
        <w:br/>
        <w:t>9. Within the framework of the preliminary contract signed between the parties, they have provided for a non-compete clause for a period of two years, under which DOC and Unicoop undertake not to start, directly or indirectly, a new business that, by object, location in the Municipality of Rome or Marino, as well as neighboring municipalities with the Municipality of Rome or the Municipality of Marino or other circumstances, is likely to divert customers from each respective retail outlet subject to the proposed transaction.</w:t>
        <w:br/>
        <w:t>10. Furthermore, under the framework contract, PAC undertakes, for a period of five years, [omitted].</w:t>
        <w:br/>
        <w:t>III. QUALIFICATION OF THE TRANSACTION</w:t>
        <w:br/>
        <w:t>11. The Transaction, as it involves the acquisition of exclusive control over parts of a business, constitutes a concentration pursuant to Article 5, paragraph 1, letter b), of Law No. 287/1990.</w:t>
        <w:br/>
        <w:t>12. The Transaction falls within the scope of application of Law No. 287/1990, as the conditions set out in Article 1 of Regulation (EC) No. 139/2004 do not apply, and is subject to the obligation of prior notification provided for by Article 16, paragraph 1, of the same law, as the total turnover achieved, in the last financial year at the national level, by the group of companies involved in the transaction was over 567 million euros and the turnover achieved in the last financial year at the national level by at least two of the companies involved was over 35 million euros.</w:t>
      </w:r>
    </w:p>
    <w:p>
      <w:r>
        <w:t>32 BULLETIN NO. 38 OF 30 SEPTEMBER 2024</w:t>
        <w:br/>
        <w:t>13. The non-compete agreement and the agreement that limits any future transfer of the Target branches, as described above, will be subject to further examination during the investigation to assess their accessory nature in relation to the notified transaction.</w:t>
        <w:br/>
        <w:t>IV. EVALUATION OF THE TRANSACTION</w:t>
        <w:br/>
        <w:t>IV.1. The relevant markets</w:t>
        <w:br/>
        <w:t>14. The Transaction concerns the sector of modern distribution of food and non-food products of mass and general consumption (hereinafter, “GDO”). Competition in this sector is extremely complex, taking place on various strategic variables and across different territorial areas.</w:t>
        <w:br/>
        <w:t>15. In particular, in this sector, entities with extremely varied sizes, characteristics, and organizational formulas operate. A first major distinction in this regard is made between Large Distribution (hereinafter, “GD”), consisting of chains of retail outlets belonging to a single company or group of companies (the so-called branch companies), and Organized Distribution (hereinafter, “DO”), which includes chains of retail outlets belonging to legally distinct entrepreneurial entities (generally small or medium-sized companies), but linked by a relationship of voluntary collaboration, formalized through contractual ties and/or associative formulas such as consortia, voluntary unions, consumer cooperatives, etc.</w:t>
        <w:br/>
        <w:t>16. Currently, despite the variety of their respective legal forms and organizational structures, all DO groups can in fact be considered aggregations of retailers aimed at developing more or less intense forms of collaboration on various business functions, including, in all cases, that of negotiating purchases.</w:t>
        <w:br/>
        <w:t>17. In particular, the exploitation of synergies arising from the centralization of purchasing negotiations has been supplemented over time by other areas of collaboration on functions such as logistics, brand policy, management of private label products, etc., thus generating the need to share, within the group, a good part of the business know-how, strategic coordination, promotional initiatives, and, more generally, commercial policies2.</w:t>
        <w:br/>
        <w:t>18. Regarding the procurement policy, initially, individual retail outlets are grouped by a distribution center (hereinafter, “CE.DI”), which represents the central facility of a chain of supermarkets or hypermarkets that receives the goods, stores them, and supplies the retail outlets. A second level of aggregation is represented by purchasing centers, which perform the task of centralized negotiation of supplies (purchasing centers). In turn, purchasing centers can further aggregate into supercenters.</w:t>
        <w:br/>
        <w:t>19. Therefore, at the national level, competition within the GDO sector essentially develops between distribution chains, understood as sets of retail outlets that operate with a substantial uniformity of brand and image. Competitive comparison occurs on the overall size of the chain itself, the image and penetration capacity of the brand, the location of retail outlets, the coverage of different local markets, procurement policies, etc.</w:t>
        <w:br/>
        <w:t>20. In this regard, it should be noted that certain GDO chains - such as Conad, Coop, Pam, Carrefour, Lidl, Eurospin - show significant uniformity among retail outlets and, in general, in the commercial policies of the chain itself, consequently emerging a role of the chain in terms of strategies with strategic impact beyond the local perimeter. Conversely, some</w:t>
      </w:r>
    </w:p>
    <w:p>
      <w:r>
        <w:rPr>
          <w:b/>
        </w:rPr>
        <w:t>[Pages 31–33]</w:t>
      </w:r>
    </w:p>
    <w:p>
      <w:r>
        <w:t>BULLETIN NO. 38 OF 30 SEPTEMBER 2024</w:t>
      </w:r>
    </w:p>
    <w:p>
      <w:r>
        <w:t>“alliances” of the GDO - such as, for example, those related to Selex Commerciale or the Végé Group - show a greater differentiation among members who, therefore, often define the sales format, the store brands (which often differ significantly and have a more local connotation) and other characteristic elements of the commercial profile of the store in an autonomous manner.</w:t>
      </w:r>
    </w:p>
    <w:p>
      <w:r>
        <w:t>21. At the local level, on the other hand, competitive comparison takes place more properly on policies directed at consumers, focused on selling prices, assortment, promotions, loyalty policies at the point of sale, and, more generally, retail-level commercial strategies.</w:t>
      </w:r>
    </w:p>
    <w:p>
      <w:r>
        <w:t>22. As will be seen more extensively later, it is therefore possible to identify a first aspect, represented by the local markets for the retail sale of food and non-food consumer goods, and another aspect represented by the national market for the procurement of food and non-food consumer goods.</w:t>
      </w:r>
    </w:p>
    <w:p>
      <w:r>
        <w:t>IV.1.a. The markets for the retail sale of food and non-food consumer goods</w:t>
      </w:r>
    </w:p>
    <w:p>
      <w:r>
        <w:t>23. The Operation concerns the markets for the retail sale of food and non-food consumer goods through GDO points of sale. In this sector, various operators operate at the national level, with varied sizes and organizational formulas. In particular, the following types of points of sale are distinguished within the GDO: hypermarkets, supermarkets, convenience stores, and discount stores.</w:t>
      </w:r>
    </w:p>
    <w:p>
      <w:r>
        <w:t>24. In the context of the most recent measures related to concentration operations in the GDO sector, the Authority has, first of all, included points of sale managed under the discount format in the relevant markets related to the corresponding types of GDO points of sale, namely convenience stores (100-399 sqm), supermarkets (400-2,499 sqm), and hypermarkets (from 2,500 sqm and above), as they are considered by consumers a substitutable purchasing option with such other types of GDO points of sale.</w:t>
      </w:r>
    </w:p>
    <w:p>
      <w:r>
        <w:t>25. Furthermore, with reference to hypermarkets, supermarkets, and convenience stores, the Authority has defined the following distinct product markets:</w:t>
        <w:br/>
        <w:t>i. the market for convenience stores, including all points of sale with a size between 100 and 2,499 sqm (i.e., the same convenience stores, supermarkets, and discount stores with a size below 2,500 sqm);</w:t>
        <w:br/>
        <w:t>ii. the market for supermarkets, including all points of sale with a size from 100 sqm and above (i.e., supermarkets, convenience stores, hypermarkets, and discount stores);</w:t>
        <w:br/>
        <w:t>iii. the market for hypermarkets, including all points of sale from 400 sqm and above (i.e., hypermarkets, supermarkets, and discount stores with a size equal to or greater than 400 sqm).</w:t>
      </w:r>
    </w:p>
    <w:p>
      <w:r>
        <w:t>26. From a geographical perspective, local markets have been defined consisting of isochrone curves centered on the target points of sale with a width of 10 minutes of driving for the market of convenience stores and 15 minutes of driving for the markets of supermarkets and hypermarkets.</w:t>
      </w:r>
    </w:p>
    <w:p>
      <w:r>
        <w:t>27. The Target branches consist of thirteen GDO points of sale under the DOC brand located in Rome and province listed in Table 1 below, all falling within the category of supermarkets. Therefore, in this case, the relevant markets are those of supermarkets, thus including all points of sale larger than 100 sqm located within a maximum 15-minute driving isochrone from each point of sale subject to transfer.</w:t>
      </w:r>
    </w:p>
    <w:p>
      <w:r>
        <w:t>Table 1 - List of points of sale subject to transfer</w:t>
        <w:br/>
        <w:t>No. Address Municipality Province Region Area</w:t>
        <w:br/>
        <w:t>1 [omitted] [omitted] RM Lazio 400-2499</w:t>
        <w:br/>
        <w:t>2 [omitted] [omitted] RM Lazio 400-2499</w:t>
        <w:br/>
        <w:t>3 [omitted] [omitted] RM Lazio 400-2499</w:t>
        <w:br/>
        <w:t>4 [omitted] [omitted] RM Lazio 400-2499</w:t>
        <w:br/>
        <w:t>5 [omitted] [omitted] RM Lazio 400-2499</w:t>
        <w:br/>
        <w:t>6 [omitted] [omitted] RM Lazio 400-2499</w:t>
        <w:br/>
        <w:t>7 [omitted] [omitted] RM Lazio 400-2499</w:t>
        <w:br/>
        <w:t>8 [omitted] [omitted] RM Lazio 400-2499</w:t>
        <w:br/>
        <w:t>9 [omitted] [omitted] RM Lazio 400-2499</w:t>
        <w:br/>
        <w:t>10 [omitted] [omitted] RM Lazio 400-2499</w:t>
        <w:br/>
        <w:t>11 [omitted] [omitted] RM Lazio 400-2499</w:t>
        <w:br/>
        <w:t>12 [omitted] [omitted] RM Lazio 400-2499</w:t>
        <w:br/>
        <w:t>13 [omitted] [omitted] RM Lazio 400-2499</w:t>
      </w:r>
    </w:p>
    <w:p>
      <w:r>
        <w:t>IV.1.b. The markets for the procurement of food and non-food consumer goods</w:t>
      </w:r>
    </w:p>
    <w:p>
      <w:r>
        <w:t>28. The markets for the procurement of food and non-food consumer goods pertain to purchases made by GDO chains, which represent the demand side, directly from producers of food and non-food consumer goods, which constitute the supply side, for resale in the modern distribution channel.</w:t>
      </w:r>
    </w:p>
    <w:p>
      <w:r>
        <w:t>29. As is known, in order to obtain more favorable conditions regarding the quantities demanded for branded products from the industry, it is common for GDO chains to aggregate (in the form of business associations and medium-large consortia) in so-called purchasing centers (or alliances).</w:t>
      </w:r>
    </w:p>
    <w:p>
      <w:r>
        <w:t>30. Since the service offered by the GDO to consumers consists of the possibility of purchasing the entire basket of food and non-food products, of everyday use, each belonging to a distinct product category, the Authority has previously considered that different procurement markets could be identified, distinct by product categories. Within the GDO's offer, it is also possible to distinguish procurement markets based on the brand of the products (for example, private label or distributor products, branded products, unbranded products).</w:t>
      </w:r>
    </w:p>
    <w:p>
      <w:r>
        <w:t>31. In more recent precedents related to concentration operations, the Authority has left the exact product market definition open. In this case, it is believed that the exact delimitation of the procurement markets can be left open, since, as will be better illustrated below, the Operation does not appear to be capable of creating significant effects on competition in the markets for the procurement of food and non-food consumer goods.</w:t>
      </w:r>
    </w:p>
    <w:p>
      <w:r>
        <w:t>32. The latter generally have a national dimension, with both purchases and related negotiations taking place at the national level. Some categories of fresh or locally typical products, characterized by more limited market sizes, may be exceptions, but they are generally excluded from the scope of negotiation of purchasing centers.</w:t>
      </w:r>
    </w:p>
    <w:p>
      <w:r>
        <w:t>IV.2. The effects of the Operation</w:t>
      </w:r>
    </w:p>
    <w:p>
      <w:r>
        <w:t>IV.2.a. The markets for the retail sale of food and non-food consumer goods</w:t>
      </w:r>
    </w:p>
    <w:p>
      <w:r>
        <w:t>33. In the local markets, consisting of all GDO points of sale larger than 100 sqm located within a maximum 15-minute driving isochrone from each point of sale subject to transfer, the Operation will involve the acquisition of the DOC-branded points of sale by PAC/Conad. Table 2 shows the market shares before the Operation and after the Operation, as well as the market share of the main competitor. The Operation appears to be capable of producing considerable anticompetitive effects in almost all the relevant local markets. In particular, as a result of the Operation, in the local markets identified by isochrones No. 1-6 and 10-13, the entity resulting from the concentration will hold significant shares, exceeding 25% and, in detail:</w:t>
        <w:br/>
        <w:t>a) in isochrones No. 1, 3, 12, 13, the shares that the new entity will hold will be greater than 35% and up to about 40% with an increase of more than 5% in three out of four local markets. The new entity will also have a market share greater than 2-3 times and, in some cases, greater than 4 times compared to that of the main competitor;</w:t>
        <w:br/>
        <w:t>b) in isochrone No. 2, the joint share of the Parties is between 30% and 35%, with a significant increase (about [1-5%]) nearly 5 times greater than that of the main competitor;</w:t>
        <w:br/>
        <w:t>c) in isochrones No. 4, 5, 6, 10, and 11, the post-merger market share will be between 25%-30%, with significant increases (well above 2%), with a significant distance from the main competitor.</w:t>
      </w:r>
    </w:p>
    <w:p>
      <w:r>
        <w:rPr>
          <w:b/>
        </w:rPr>
        <w:t>[Pages 34–36]</w:t>
      </w:r>
    </w:p>
    <w:p>
      <w:r>
        <w:t>36 BULLETIN NO. 38 OF 30 SEPTEMBER 2024</w:t>
        <w:br/>
        <w:t>Table 2 - Market Shares</w:t>
        <w:br/>
        <w:t>Share Share Share Share first Delta</w:t>
        <w:br/>
        <w:t>No. Address</w:t>
        <w:br/>
        <w:t>CONAD Target Joint Competitor HHI</w:t>
        <w:br/>
        <w:t>1 [omitted] 30-35% 5-10% 35-40% 15-20% 379</w:t>
        <w:br/>
        <w:t>2 [omitted] 30-35% 1-5% 30-35% 5-10% 127</w:t>
        <w:br/>
        <w:t>3 [omitted] 30-35% &lt;1% 35-40% 5-10% 64</w:t>
        <w:br/>
        <w:t>4 [omitted] 20-25% 1-5% 25-30% 15-20% 180</w:t>
        <w:br/>
        <w:t>5 [omitted] 20-25% 1-5% 25-30% 20-25% 184</w:t>
        <w:br/>
        <w:t>6 [omitted] 20-25% 1-5% 25-30% 20-25% 117</w:t>
        <w:br/>
        <w:t>7 [omitted] 20-25% 1-5% 20-25% 20-25% 98</w:t>
        <w:br/>
        <w:t>8 [omitted] 15-20% 1-5% 20-25% 15-20% 127</w:t>
        <w:br/>
        <w:t>9 [omitted] 15-20% 5-10% 20-25% 15-20% 190</w:t>
        <w:br/>
        <w:t>10 [omitted] 20-25% 1-5% 25-30% 15-20% 162</w:t>
        <w:br/>
        <w:t>11 [omitted] 20-25% 1-5% 25-30% 15-20% 183</w:t>
        <w:br/>
        <w:t>12 [omitted] 30-35% 5-10% 35-40% 10-15% 432</w:t>
        <w:br/>
        <w:t>13 [omitted] 30-35% 5-10% 35-40% 10-15% 420</w:t>
        <w:br/>
        <w:t>34. In addition to the structural elements considered so far, it should be noted that Conad and DOC may have a greater competitive proximity, due to the commercial format and the quality level characterizing the DOC-branded stores and those of Conad. Therefore, the market shares may not fully capture the significant anti-competitive effects.</w:t>
        <w:br/>
        <w:t>35. Furthermore, it is deemed appropriate to evaluate the Operation as a whole, as it effectively entails the disappearance of Unicoop/DOC in the territory of Rome and its province.</w:t>
        <w:br/>
        <w:t>36. In particular, Table 3 below shows the market shares calculated based on Nielsen data regarding the competitive weight of the individual second-level purchasing centers (and, specifying, in relevant cases, the CE.DI, including PAC and Unicoop/Doc) in the Lazio region and the municipality of Rome.</w:t>
        <w:br/>
        <w:t>37. In Lazio, and particularly in the territory of Rome, there is a high concentration among GDO operators. In particular, the Conad group holds stores that represent over 25% of the revenue generated in Rome (and PAC holds a share of about 21%) and represents the second distribution center after CE.DI.GROS.</w:t>
        <w:br/>
        <w:t>8 In particular, the data used is from the NielsenIQ Largo Consumo Guide - First Edition 2024 and analyzes the competitive weight of the individual purchasing centers and CE.DI. of the GDO based on the revenue of modern distribution, considering the distinction between store formats and breaking it down according to the three macro-indices (i) potential packaged consumer goods, (ii) potential fresh products, (iii) potential non-food.</w:t>
        <w:br/>
        <w:t>9 CE.DI GROS is a consortium of organized distribution operators, primarily located in the territory of Rome, to which the following branded stores refer: Agorà Piazza Del Fresco; CTS Supermarkets; Dem; Idromarket Dem; Iper Dem; Ipercarni; Ipertriscount; Lemark; Ma Supermarkets; Iper Pewex; Pewex; Pewex City EffepiuEffepiù; Il Castoro; Pim and Sacoph.</w:t>
      </w:r>
    </w:p>
    <w:p>
      <w:r>
        <w:t>BULLETIN NO. 38 OF 30 SEPTEMBER 2024</w:t>
        <w:br/>
        <w:t>38. The concentration operation, transferring Unicoop-Doc's share (about 2%) to PAC and resulting in the exit of a significant operator from that geographical area, which is part of the Coop group, could exacerbate the effects of concentration (in terms of strengthening, in a macro area such as Rome and more generally in Lazio, of brand capabilities and, therefore, of the Conad chain) resulting in an even more significant impact at the local level of individual stores.</w:t>
        <w:br/>
        <w:t>Table 3 - Large Distribution in the Lazio Region and the Municipality of Rome</w:t>
        <w:br/>
        <w:t>Purchasing Center Lazio Municipality of Rome</w:t>
        <w:br/>
        <w:t>Conad 31% 25%</w:t>
        <w:br/>
        <w:t>of which PAC 26% 21%</w:t>
        <w:br/>
        <w:t>Coop Italia 4% 4%</w:t>
        <w:br/>
        <w:t>of which Unicoop (DOC) 1% 2%</w:t>
        <w:br/>
        <w:t>Selex Commerciale 29% 40%</w:t>
        <w:br/>
        <w:t>of which CE.DI GROS Scarl 23% 32%</w:t>
        <w:br/>
        <w:t>of which Gabrielli Magazzini S.p.A. 3% 3%</w:t>
        <w:br/>
        <w:t>Carrefour Italia 7% 9%</w:t>
        <w:br/>
        <w:t>Pam 6% 7%</w:t>
        <w:br/>
        <w:t>Eurospin 10% 6%</w:t>
        <w:br/>
        <w:t>Lidl Italia 4% 3%</w:t>
        <w:br/>
        <w:t>Gruppo Végé 2% 1%</w:t>
        <w:br/>
        <w:t>Others 7% 5%</w:t>
        <w:br/>
        <w:t>Total 100% 100%</w:t>
        <w:br/>
        <w:t>IV.2.b. The markets for the supply of food and non-food consumer goods</w:t>
        <w:br/>
        <w:t>39. In the GDO sector, there are currently over twenty distribution chains, of which ten have a total national share exceeding 3%. The market shares calculated based on Nielsen data regarding the competitive weight of the individual purchasing centers are shown in Table 4 below.</w:t>
        <w:br/>
        <w:t>10 In particular, the data used is from the NielsenIQ Largo Consumo Guide - First Edition 2024 and analyzes the competitive weight of the individual purchasing centers and super purchasing centers, according to the methodology already indicated previously.</w:t>
      </w:r>
    </w:p>
    <w:p>
      <w:r>
        <w:t>BULLETIN NO. 38 OF 30 SEPTEMBER 2024</w:t>
        <w:br/>
        <w:t>Table 4 - Estimate of the weight of GDO purchasing centers</w:t>
        <w:br/>
        <w:t>Super Purchasing Center Purchasing Center Share %</w:t>
        <w:br/>
        <w:t>Aicube 12.20%</w:t>
        <w:br/>
        <w:t>Gruppo Carrefour Italia Spa 3.92%</w:t>
        <w:br/>
        <w:t>Gruppo Végé 8.27%</w:t>
        <w:br/>
        <w:t>Conad + Finiper 17.33%</w:t>
        <w:br/>
        <w:t>Conad 15.01%</w:t>
        <w:br/>
        <w:t>Finiper 2.33%</w:t>
        <w:br/>
        <w:t>Coop 11.41%</w:t>
        <w:br/>
        <w:t>Coop Italia 11.41%</w:t>
        <w:br/>
        <w:t>(of which DOC) (0.11%)</w:t>
        <w:br/>
        <w:t>Esd Italia 21.43%</w:t>
        <w:br/>
        <w:t>Agora' Network Scarl 4.22%</w:t>
        <w:br/>
        <w:t>Aspiag 2.14%</w:t>
        <w:br/>
        <w:t>Selex Commerciale 15.06%</w:t>
        <w:br/>
        <w:t>Esselunga Esselunga 7.51%</w:t>
        <w:br/>
        <w:t>Forum 7.05%</w:t>
        <w:br/>
        <w:t>C3 1.83%</w:t>
        <w:br/>
        <w:t>Coralis 0.17%</w:t>
        <w:br/>
        <w:t>Crai 1.74%</w:t>
        <w:br/>
        <w:t>D.It. Distribuzione Italiana 1.45%</w:t>
        <w:br/>
        <w:t>Despar Servizi 1.87%</w:t>
        <w:br/>
        <w:t>Gruppo Pam Gruppo Pam 2.88%</w:t>
        <w:br/>
        <w:t>Italy Discount Italy Discount 0.49%</w:t>
        <w:br/>
        <w:t>Others 19.71%</w:t>
        <w:br/>
        <w:t>Aldi 0.73%</w:t>
        <w:br/>
        <w:t>Independent Chains 0.12%</w:t>
        <w:br/>
        <w:t>Eurospin 7.41%</w:t>
        <w:br/>
        <w:t>Lidl Italia 5.95%</w:t>
        <w:br/>
        <w:t>Md Spa 3.30%</w:t>
        <w:br/>
        <w:t>Independent Stores 0.37%</w:t>
        <w:br/>
        <w:t>Prix Quality 0.50%</w:t>
        <w:br/>
        <w:t>Rewe 1.34%</w:t>
        <w:br/>
        <w:t>40. Currently, the Conad+Finiper purchasing alliance is the second largest alliance by size, aggregating stores that account for about 17.33% of the total revenue of the DO in Italy. According to the same data, the stores of DOC represent about 0.11% of the total in Italy.</w:t>
        <w:br/>
        <w:t>41. Due to the reduced weight attributable, in the context of national purchasing alliances, to the business complex subject to transfer, it is not believed that the Operation could have effects</w:t>
      </w:r>
    </w:p>
    <w:p>
      <w:r>
        <w:rPr>
          <w:b/>
        </w:rPr>
        <w:t>[Pages 37–38]</w:t>
      </w:r>
    </w:p>
    <w:p>
      <w:r>
        <w:t>BULLETIN NO. 38 OF 30 SEPTEMBER 2024</w:t>
      </w:r>
    </w:p>
    <w:p>
      <w:r>
        <w:t>significant effects on the national markets for the supply of food and non-food consumer goods.</w:t>
      </w:r>
    </w:p>
    <w:p>
      <w:r>
        <w:t>IV.3. Conclusions</w:t>
      </w:r>
    </w:p>
    <w:p>
      <w:r>
        <w:t>42. The analyses above lead to the conclusion that in the retail markets for food and non-food consumer goods - particularly in isochrones no. 1, 2, 3, 4, 5, 6, 10, 11, 12, 13 - the implementation of the Transaction is likely to significantly hinder effective competition, also due to the establishment or strengthening of a dominant position.</w:t>
      </w:r>
    </w:p>
    <w:p>
      <w:r>
        <w:t>THEREFORE, it is deemed that the Transaction appears likely to significantly hinder effective competition, pursuant to Article 6, paragraph 1, of Law No. 287/1990, also due to the establishment or strengthening of a dominant position, in the markets for the supply of food and non-food consumer goods (isochrones no. 1 to 6 and 10 to 13);</w:t>
      </w:r>
    </w:p>
    <w:p>
      <w:r>
        <w:t>RESOLVES</w:t>
      </w:r>
    </w:p>
    <w:p>
      <w:r>
        <w:t>a) to initiate the investigation, pursuant to Article 16, paragraph 4, of Law No. 287/1990, against the companies PAC 2000A Soc.coop. and Unicoop Firenze soc. coop.;</w:t>
      </w:r>
    </w:p>
    <w:p>
      <w:r>
        <w:t>b) to set a deadline of ten days, starting from the date of notification of this measure, for the exercise by the legal representatives of the Parties, or by persons delegated by them, of the right to be heard, pursuant to Article 14, paragraph 1, of Law No. 287/1990, specifying that the request for a hearing must be received by the Manufacturing, Agri-food, Pharmaceutical and Commercial Distribution Directorate of the Competition Department - 2 of this Authority, at least three days before the expiration of the aforementioned deadline;</w:t>
      </w:r>
    </w:p>
    <w:p>
      <w:r>
        <w:t>c) that the person responsible for the procedure is Dr. Vincenzo Alberto Cirrito;</w:t>
      </w:r>
    </w:p>
    <w:p>
      <w:r>
        <w:t>d) that the documents of the procedure can be viewed at the Manufacturing, Agri-food, Pharmaceutical and Commercial Distribution Directorate of the Competition Department - 2 of this Authority by the legal representatives of the Parties, as well as by persons with a legally relevant interest or by persons delegated by them;</w:t>
      </w:r>
    </w:p>
    <w:p>
      <w:r>
        <w:t>e) that the procedure must be concluded within ninety days from the date of resolution of this measure.</w:t>
      </w:r>
    </w:p>
    <w:p>
      <w:r>
        <w:t>This measure will be published in the Bulletin of the Competition and Market Authority.</w:t>
      </w:r>
    </w:p>
    <w:p>
      <w:r>
        <w:t>THE SECRETARY GENERAL THE PRESIDENT</w:t>
      </w:r>
    </w:p>
    <w:p>
      <w:r>
        <w:t>Guido Stazi Roberto Rustichelli</w:t>
      </w:r>
    </w:p>
    <w:p>
      <w:r>
        <w:t>Competition Authority Weekly Bulletin</w:t>
        <w:br/>
        <w:t>of competition and market Year XXXIV- No. 38 - 2024</w:t>
        <w:br/>
        <w:t>Editorial coordination Giulia Antenucci</w:t>
        <w:br/>
        <w:t>Editorial staff Angela D’Auria, Valerio Ruocco, Manuela Villani</w:t>
        <w:br/>
        <w:t>Competition and Market Authority</w:t>
        <w:br/>
        <w:t>Document management, protocol and statistical services Directorate</w:t>
        <w:br/>
        <w:t>Piazza Giuseppe Verdi, 6/a - 00198 Rome</w:t>
        <w:br/>
        <w:t>Tel.: 06-858211 Fax: 06-85821256</w:t>
        <w:br/>
        <w:t>Web: https://www.agcm.it</w:t>
        <w:br/>
        <w:t>Graphic realization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