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https://agcm.it/dotcmsdoc/bollettini/2021/39-21.pdf</w:t>
      </w:r>
    </w:p>
    <w:p>
      <w:r>
        <w:t>Pages translated : 47</w:t>
      </w:r>
    </w:p>
    <w:p/>
    <w:p>
      <w:r>
        <w:rPr>
          <w:b/>
        </w:rPr>
        <w:t>[Pages 1–3]</w:t>
      </w:r>
    </w:p>
    <w:p>
      <w:r>
        <w:t>Bulletin</w:t>
        <w:br/>
        <w:t>Weekly</w:t>
        <w:br/>
        <w:t>Year XXXI - No. 39</w:t>
        <w:br/>
        <w:t>Published on the website www.agcm.it</w:t>
        <w:br/>
        <w:t>October 4, 2021</w:t>
      </w:r>
    </w:p>
    <w:p>
      <w:r>
        <w:t>SUMMARY</w:t>
        <w:br/>
        <w:t>AGREEMENTS AND ABUSE OF DOMINANT POSITION 5</w:t>
        <w:br/>
        <w:t>I844 - ANIA ANTI-FRAUD PROJECT</w:t>
        <w:br/>
        <w:t>Decision No. 29826 5</w:t>
        <w:br/>
        <w:t>CONCENTRATION OPERATIONS 18</w:t>
        <w:br/>
        <w:t>C12386 - TAMOIL ITALIA/REPSOL ITALIA</w:t>
        <w:br/>
        <w:t>Decision No. 29824 18</w:t>
        <w:br/>
        <w:t>C12392 - OAKTREE GROUP/MARINI INDUSTRIAL PLANTS-BRANCH OF THE COMPANY</w:t>
        <w:br/>
        <w:t>INNOVATIVE TECHNOLOGIES</w:t>
        <w:br/>
        <w:t>Decision No. 29825 29</w:t>
        <w:br/>
        <w:t>ACTIVITIES OF REPORTING AND CONSULTATION 34</w:t>
        <w:br/>
        <w:t>AS1790 - MUNICIPALITY OF LAVELLO (PZ) - PURCHASE OF SHARES OF THE CONSORTIUM COMPANY ASMEL 34</w:t>
        <w:br/>
        <w:t>AS1791 - SICILIAN REGION - MODALITIES FOR ACCESS TO FREE CHOICE PEDIATRICS 40</w:t>
        <w:br/>
        <w:t>AS1792 - MUNICIPALITY OF CASTELLANETA (TA) - EXTENSION OF MARITIME STATE CONCESSIONS FOR TOURIST-RECREATIONAL PURPOSES 44</w:t>
      </w:r>
    </w:p>
    <w:p>
      <w:r>
        <w:t>BULLETIN NO. 39 OF OCTOBER 4, 2021 5</w:t>
        <w:br/>
        <w:t>AGREEMENTS AND ABUSE OF DOMINANT POSITION</w:t>
        <w:br/>
        <w:t>I844 - ANIA ANTI-FRAUD PROJECT</w:t>
        <w:br/>
        <w:t>Decision No. 29826</w:t>
        <w:br/>
        <w:t>THE ANTITRUST AUTHORITY</w:t>
        <w:br/>
        <w:t>IN THE MEETING of September 21, 2021;</w:t>
        <w:br/>
        <w:t>HEARD the Rapporteur Professor Michele Ainis;</w:t>
        <w:br/>
        <w:t>HAVING REGARD to Article 101 of the Treaty on the Functioning of the European Union (hereinafter TFEU);</w:t>
        <w:br/>
        <w:t>HAVING REGARD to Regulation (EC) No. 1/2003 of the Council of December 16, 2002, concerning the application of the competition rules laid down in Articles 81 and 82 of the EC Treaty (now Articles 101 and 102 of the TFEU);</w:t>
        <w:br/>
        <w:t>HAVING REGARD to Law No. 287 of October 10, 1990, and in particular Article 14-ter;</w:t>
        <w:br/>
        <w:t>HAVING REGARD to the Decree of the President of the Republic No. 217 of April 30, 1998;</w:t>
        <w:br/>
        <w:t>HAVING REGARD to its resolution No. 28435 of November 3, 2020, which initiated an investigation pursuant to Article 14 of Law No. 287/90, against ANIA-National Association of Insurance Companies to ascertain the existence of any violations of Article 101 of the TFEU;</w:t>
        <w:br/>
        <w:t>HAVING REGARD to the request for participation in the proceedings submitted by the Association CODICI Center for Citizen Rights, accepted with communication of November 26, 2020;</w:t>
        <w:br/>
        <w:t>HAVING REGARD to the "Communication on the procedures for the application of Article 14-ter of Law No. 287 of October 10, 1990," adopted in the meeting of September 6, 2012 and published in Bulletin No. 35 of September 17, 2012;</w:t>
        <w:br/>
        <w:t>HAVING REGARD to the communication of March 18, 2021, by which ANIA-National Association of Insurance Companies submitted commitments pursuant to Article 14-ter of Law No. 287/1990, according to the methods indicated in the specific "Form for the submission of commitments pursuant to Article 14-ter of Law No. 287/1990";</w:t>
        <w:br/>
        <w:t>HAVING REGARD to its resolution No. 29638 of April 27, 2021, which ordered the publication, on April 29, 2021, of the commitments proposed by ANIA-National Association of Insurance Companies on the Authority's website, in order to allow interested third parties to express their observations;</w:t>
        <w:br/>
        <w:t>HAVING REGARD to the observations of interested third parties;</w:t>
        <w:br/>
        <w:t>HAVING REGARD to the accessory modifications to the commitments, submitted by ANIA-National Association of Insurance Companies on June 28, 2021;</w:t>
        <w:br/>
        <w:t>HAVING REGARD to its communication to the European Commission, pursuant to Article 11, paragraph 4, of Regulation No. 1/2003;</w:t>
      </w:r>
    </w:p>
    <w:p>
      <w:r>
        <w:rPr>
          <w:b/>
        </w:rPr>
        <w:t>[Pages 4–6]</w:t>
      </w:r>
    </w:p>
    <w:p>
      <w:r>
        <w:t>6 BULLETIN NO. 39 OF OCTOBER 4, 2021</w:t>
      </w:r>
    </w:p>
    <w:p>
      <w:r>
        <w:t>HAVING REGARD to the opinion of IVASS, received on September 14, 2021, pursuant to Article 20, paragraph 4, of Law No. 287/90;</w:t>
      </w:r>
    </w:p>
    <w:p>
      <w:r>
        <w:t>HAVING REGARD to the acts of the proceedings and the documentation acquired during the investigation;</w:t>
      </w:r>
    </w:p>
    <w:p>
      <w:r>
        <w:t>CONSIDERED the following:</w:t>
      </w:r>
    </w:p>
    <w:p>
      <w:r>
        <w:t>I. THE PARTIES</w:t>
      </w:r>
    </w:p>
    <w:p>
      <w:r>
        <w:t>1. ANIA - National Association of Insurance Companies (hereinafter, ANIA) is the national association of insurance companies, active in Italy since 1944. The association, as indicated in its Statute, aims, among other things, “a. to protect the interests of the sector while reconciling them with the general interests of the Country […] f. to provide for the study and to collaborate, also with other entities or associations, in solving problems of a technical, economic, financial, administrative, fiscal, social, legal, and legislative nature, concerning the insurance industry; g. to collect, process, and provide all elements, news, data, and IT tools that may be of interest to the sector; h. to provide continuous assistance to members on all matters of their interest; […] i.bis to promote the development of the insurance market by carrying out any activity or initiative related and instrumental to such promotion, including support or assistance activities for member companies or in their interest.”</w:t>
      </w:r>
    </w:p>
    <w:p>
      <w:r>
        <w:t>2. CODICES Association Center for Citizens' Rights, whose request to participate in the proceedings was accepted with communication dated November 26, 2020.</w:t>
      </w:r>
    </w:p>
    <w:p>
      <w:r>
        <w:t>II. THE INVESTIGATIVE PROCEDURE</w:t>
      </w:r>
    </w:p>
    <w:p>
      <w:r>
        <w:t>3. On March 12, 2020, ANIA sent a communication to the Authority, which was supplemented several times (last on August 7, 2020), informing that it had initiated an initiative aimed at combating insurance fraud, namely the so-called “anti-fraud project,” which is in the design phase and not yet implemented, providing, in particular: i. the preparation of a Platform for the exchange of information on fraudulent phenomena (hereinafter “Platform”), to collect information on the various macro-fraudulent phenomena observed by insurance companies during their anti-fraud activities, with the aim of pooling “recurring” fraud incidents; ii. the establishment of a database, for life insurance (pure risk) and non-life insurance, excluding the motor liability branch (hereinafter “Portal”), fed by insurance companies and to be used both in the claims settlement phase and in the underwriting phase; more specifically, the purpose of the Portal is to allow the company that queries it to have information on the fraud risk related to a subject/claim, particularly through a series of indicators identified by specific algorithms. The initiative was launched in 2019 and is being implemented. The objective of the “anti-fraud project” is to support insurance companies, judicial authorities, and supervisory Authorities in carrying out anti-fraud activities; according to ANIA, this project could bring benefits to the entire system, improving its efficiency, considering the widespread occurrence of fraudulent activities in the insurance sector, with potential savings that ANIA has estimated to be equal to [omitted]* euros, which could also produce benefits in terms of lower prices for the insured.</w:t>
      </w:r>
    </w:p>
    <w:p>
      <w:r>
        <w:t>4. The Authority hypothesized that the conduct under examination could fall within the scope of Article 101 of the TFEU, being potentially capable of hindering intra-community trade, as it concerns the entire national territory and involves the national association of insurance companies, to which companies that collectively achieve a significant share of premium collection in Italy belong, several of which are part of internationally significant groups. On November 3, 2020, the Authority therefore decided to initiate proceedings against ANIA to verify the existence of violations of Article 101 of the TFEU arising from the implementation of the “anti-fraud project” as initially proposed by ANIA.</w:t>
      </w:r>
    </w:p>
    <w:p>
      <w:r>
        <w:t>5. During the proceedings, ANIA further clarified the objectives, content, and functioning methods of the “anti-fraud project,” in its planned components of the Platform and the Portal; hearings were also held with IVASS and the Data Protection Authority. In particular, IVASS provided a technical contribution, also based on and due to the experience gained by the Institute in the anti-fraud activity for motor liability, including the management of the so-called AIA - Integrated Anti-Fraud Archive, particularly in the claims settlement phase. A collaboration was also initiated with the Data Protection Authority, which is examining the “anti-fraud project” for the relevant aspects of its competence.</w:t>
      </w:r>
    </w:p>
    <w:p>
      <w:r>
        <w:t>6. With communication dated March 18, 2021, ANIA submitted a proposal for commitments pursuant to Article 14-ter of Law No. 287/90. Starting from April 29, 2021, the proposed commitments were published on the Authority's website for the purpose of conducting a market test. On May 28, 2021, comments from SNA were received. On June 10, 2021, IVASS and the Data Protection Authority represented in a hearing some considerations on the “anti-fraud project,” in light of the commitments presented by ANIA.</w:t>
      </w:r>
    </w:p>
    <w:p>
      <w:r>
        <w:t>7. On June 28, 2021, ANIA then submitted an integrated version of the commitments, including the accessory modifications made to incorporate the observations received during the market test.</w:t>
      </w:r>
    </w:p>
    <w:p>
      <w:r>
        <w:t>III. RELEVANT MARKETS</w:t>
      </w:r>
    </w:p>
    <w:p>
      <w:r>
        <w:t>8. It is preliminarily noted that, according to established case law of the Council of State, in evaluating an agreement, the definition of the relevant market is essentially aimed at identifying the characteristics of the economic and legal context in which the agreement or the agreed practice is situated. This definition is, therefore, functional to delineating the scope within which the agreement can restrict or distort competitive dynamics and to deciphering the degree of offensiveness of the unlawful act.</w:t>
      </w:r>
    </w:p>
    <w:p>
      <w:r>
        <w:t>9. That said, the ANIA “anti-fraud project” concerns the life and non-life insurance sector and, in relation to the Portal, life insurance (pure risk) and non-life insurance (excluding the motor liability branch). For the purpose of identifying the relevant markets – namely those for the production and distribution of insurance products in the life and non-life branches, as indicated above – it seems possible to refer to the established orientation of the Authority according to which insurance products can be distinguished based on the risk they cover. From the demand side, the substitutability between the different types of risk for which insurance coverage can be requested is extremely limited.</w:t>
      </w:r>
    </w:p>
    <w:p>
      <w:r>
        <w:t>10. From a geographical perspective, the markets for the production of life and non-life insurance policies are generally considered to be of national size, also due to the fact that the preparation of the tariff, on the basis of which the premium that the individual insured must pay for the requested insurance service is determined, occurs at the national level, although insurance products are sold extensively throughout the national territory and there exists a tariff differentiation that can also take into account factors related to the geographical location of the insured and/or the risk to be insured. Moreover, in this specific case, the “anti-fraud project” has been communicated by ANIA, the national association of insurance companies. The markets for the distribution of insurance products are generally of local size, in the first approximation provincial, considering the importance, for the demand, of the proximity service provided by the distributor/intermediary and the existence of a trust relationship with the latter.</w:t>
      </w:r>
    </w:p>
    <w:p>
      <w:r>
        <w:t>IV. COMPETITION CRITICISMS IDENTIFIED IN THE INITIATION OF THE INVESTIGATION</w:t>
      </w:r>
    </w:p>
    <w:p>
      <w:r>
        <w:t>11. The Authority, in the decision to initiate the investigation, while recognizing that fraudulent activity can generate costs for the insurance industry and for the community of insured parties, considered that the “anti-fraud project,” as initially proposed by ANIA, presented certain competitive criticisms. In the initiation decision, the Authority particularly identified the risk of a lack of guarantees of impartiality, given that the prevention and counteraction of fraudulent phenomena in the insurance sector should be carried out for the benefit of the entire insurance system, which could also lead to potential anti-competitive exclusion. The Authority also represented the risk that the project could lead to the development, starting from a volume of data variably combined with unclear criteria, of common algorithms for determining homogeneous fraud risk indicators, usable by insurance companies both in the claims settlement phase and in the underwriting phase, thus potentially standardizing the activities of companies in essential phases of insurance activity. In this context, the Authority also identified the risk of a pervasive exchange of potentially sensitive information between competing operators.</w:t>
      </w:r>
    </w:p>
    <w:p>
      <w:r>
        <w:t>V. COMMITMENTS PROPOSED BY ANIA</w:t>
      </w:r>
    </w:p>
    <w:p>
      <w:r>
        <w:t>12. In response to the competitive criticisms raised by the Authority in the initiation decision, ANIA proposed commitments consisting, in summary, of modifications to the content of the “anti-fraud project,” as illustrated in the “Summary Document” attached to the “Form for the</w:t>
      </w:r>
    </w:p>
    <w:p>
      <w:r>
        <w:rPr>
          <w:b/>
        </w:rPr>
        <w:t>[Pages 7–9]</w:t>
      </w:r>
    </w:p>
    <w:p>
      <w:r>
        <w:t>BULLETIN NO. 39 OF OCTOBER 4, 2021</w:t>
      </w:r>
    </w:p>
    <w:p>
      <w:r>
        <w:t>9. the presentation of commitments. Below is a brief description of the commitments presented, as published for submission to the market test, concerning:</w:t>
        <w:br/>
        <w:t>1. the conditions for participation, with the commitment to ensure access to the Platform and the Portal for all interested insurance companies, even if not members of ANIA, in a manner and under conditions that respect the principles of equal treatment and non-discrimination (commitment 1);</w:t>
        <w:br/>
        <w:t>2. the use of the Portal, with the commitment to allow the use of the Portal exclusively in the claims settlement phase (until such time as regulations allow the use of databases in the underwriting phase, it being understood that, if regulations are enacted that allow the potential use of the Portal also in the underwriting phase, it will be submitted to the Authority in advance) and not also - as originally hypothesized - in the underwriting phase (commitment 2);</w:t>
        <w:br/>
        <w:t>3. the use of the Portal, with the commitment to adopt a Regulation for the use of the Portal which, in addition to clarifying the possibility of participation in the project for companies not associated with ANIA, will specify: the purposes for which access to the database is permitted, namely the verification of the anomaly (fraud risk) of the claim, in order to proceed with further anti-fraud investigations; the list of authorized entities to consult the database, including member companies (the individuals responsible for anti-fraud activities), Law Enforcement Agencies, Authorities, and other Bodies for research related to their institutional functions, the maximum timelines for data submission by companies, the list of obligations to which users are subject, as well as the controls carried out by ANIA on the use of the Portal and the related penalties, including those provided for in case of violations of the provisions of the Regulation (commitment 3);</w:t>
        <w:br/>
        <w:t>4. the input data, with the commitment to define in advance and communicate to the Authority the input data deemed necessary to ensure the operation of the Portal, also considering discussions with the Data Protection Authority, as well as to communicate to the Authority any changes to such data following the launch of the Portal (commitment 4);</w:t>
        <w:br/>
        <w:t>5. the output data, with particular regard to the criteria/principles for processing the rules that determine such data, with the commitment, among other things, to develop so-called expert rules (i.e., parameters derived from industry experience) based on which to assess the potential anomaly of the claim, exclusively starting from the logical areas to which the rules of the AIA database of IVASS are attributable and requiring the provider to adopt all precautions (e.g., segregation of information) aimed at preventing the circulation of the collected information; this remains without prejudice to each insurance company's right to choose from the list the rules of interest and to assign them a different weight than that identified by the indicated procedure (commitment 5);</w:t>
        <w:br/>
        <w:t>6. the output data, with particular regard to the criteria/principles for processing the rules that determine the so-called Anomaly Index, with the commitment, among other things, to use an algorithm from the family of so-called anomaly detection, non-self-learning (i.e., capable of learning from the outcome of the processed indications), equipped with the characteristics indicated in the commitments (commitment 6); essentially, with regard to the output data, it is specifically provided that the Portal, for each claim submitted, will process two anomaly indicators based respectively on expert rules (Expert Index) and on statistical analyses (Anomaly Index), summarized in a synthetic index (Risk Index), with the possibility for each company to customize the respective weights used for the construction of the indices.</w:t>
        <w:br/>
        <w:t>7. the security measures, with the commitment to adopt all those reported in the expected Regulation for the use of the Portal, necessary to ensure access to the Portal only to those entitled and to prevent improper uses of the database (commitment 7);</w:t>
      </w:r>
    </w:p>
    <w:p>
      <w:r>
        <w:t>10 BULLETIN NO. 39 OF OCTOBER 4, 2021</w:t>
      </w:r>
    </w:p>
    <w:p>
      <w:r>
        <w:t>8. the management of any issues related to the use of the Portal by the insurance company responsible for handling the claim, with the commitment, among other things, to establish a Guarantee Body to which the insured parties can turn, composed of individuals independent from the insurance companies, which, in light of its position of impartiality, will carry out supervisory activities on the operations of the companies themselves, and may also order, in the most serious cases, the exclusion of the insurance company from the Portal (commitment 8).</w:t>
      </w:r>
    </w:p>
    <w:p>
      <w:r>
        <w:t>13. Regarding the validity period of the commitments, ANIA has stated that, considering that the Portal is currently under review by various supervisory Authorities, it will not execute the commitments until the consultation process with such Authorities is concluded; only from that moment will the commitments be implemented, remaining valid as long as the Portal remains in operation. In any case, ANIA reserves the right to submit to the Authority any changes to the commitments that may become necessary, both as a result of discussions with the supervisory Authorities and following the launch of the Portal, in order to improve its operation.</w:t>
      </w:r>
    </w:p>
    <w:p>
      <w:r>
        <w:t>14. In conclusion, in ANIA's opinion, the implementation of the commitments would remove the competitive concerns arising from the initiation order, as the structure of the anti-fraud project that will be outlined will be significantly different from that on which the Authority based the initiation of this proceeding. Furthermore, the approval of the commitments would allow the start of a project that would have beneficial effects for the entire market, primarily for consumers.</w:t>
      </w:r>
    </w:p>
    <w:p>
      <w:r>
        <w:t>The outcome of the market test</w:t>
      </w:r>
    </w:p>
    <w:p>
      <w:r>
        <w:t>15. During the market test, on May 28, 2021, comments were received from SNA - National Union of Insurance Agents (hereinafter, SNA). In particular, SNA observed that: i. the Platform for the exchange of information is a topic that the Authority had already addressed in 2000, imposing a very high fine on various companies operating in the motor liability insurance market, and at that time ANIA had stated that it did not understand what was objectionable about purchasing a market survey; ii. the current initiative of ANIA presents, in SNA's view, elements of non-transparency for the management of databases, especially due to the absence of elements of impartiality and independence in data processing. There is also the risk of lack of public control and the absence of public corrective interventions in case of improper use of the data. Public intervention and oversight appear particularly relevant for the proper functioning - in terms of transparency, to protect both the consumer and the intermediary professional - of the Guarantee Body provided for in commitment 8 for the management of possible discriminatory situations against consumers; iii. the Authority's investigation should intervene to restore to the insurance market and consumers the qualified assistance of the agent intermediary, considering that the fundamental elements of the contractual relationship with clients are impartiality and consultancy (foundational to EU Directive No. 2016/17 and the Insurance Code); the limitation of the use of the anti-fraud Portal to the claims settlement phase certainly represents a reduction of the competitive risks attributable to the exchange of information (even if it could impact the activities of intermediaries if they are also delegated to the settlement of claims). If, in the future, the database were to be used also in the underwriting phase, the critical issues for possible underwriting blocks in the quotation phase and/or risk rejection would need to be managed; iv. with regard to privacy profiles, according to the provisions of European GDPR regulations, EU Regulation 2016/679, the data collected in the ANIA project could lack the characteristic of availability, being largely sensitive data, for which specific authorization from the data subject is required for their processing.</w:t>
      </w:r>
    </w:p>
    <w:p>
      <w:r>
        <w:t>16. On June 10, 2021, IVASS and the Data Protection Authority made some considerations on the "anti-fraud project," in light of the commitments presented by ANIA. Specifically, IVASS, in the context of the technical contribution provided, noted how the commitments - if correctly implemented - address, in the sense of resolving or at least mitigating, several possible critical issues related to the initially communicated "anti-fraud project," mainly concerning: the possible disadvantages for companies that could not participate in the project (where participation in the AIA database of IVASS is mandatory); the verification of the existence of safeguards for the proper functioning of the Portal, referencing those of the AIA database; the quality of the scoring system; the use of the Portal in the underwriting phase, as it is now provided for use only in the claims settlement phase, as is currently the case for the AIA database. IVASS, however, noted the persistence of differences compared to the anti-fraud activities carried out by the Institute in the motor liability insurance sector, in relation to governance/impartiality - given that IVASS has public functions and operates based on specific primary regulations that define its tasks and functions, while ANIA is a private entity - as well as regarding oversight powers, since the regulations do not provide for specific oversight powers over the system in question. That said, IVASS saw the opportunity for an improvement of the self-regulatory safeguards provided by ANIA, for example concerning the functioning of the Guarantee Body, which could be strengthened by providing, for example, rules regarding budget autonomy.</w:t>
      </w:r>
    </w:p>
    <w:p>
      <w:r>
        <w:t>17. The Data Protection Authority, on the other hand, pointed out that the evaluation of the "anti-fraud project" is ongoing for aspects within its competence, including the sensitive nature of certain types of data; regarding the Code of Conduct (pursuant to Article 40 of the GDPR) referenced in relation to ANIA's commitments, it is a tool that can be adopted by data controllers, which concerns profiles specifically related to the privacy of the processed data, under the competence of the Data Protection Authority, on which the Authority has not yet expressed itself.</w:t>
      </w:r>
    </w:p>
    <w:p>
      <w:r>
        <w:t>VI. ACCESSORY MODIFICATIONS TO THE COMMITMENTS</w:t>
      </w:r>
    </w:p>
    <w:p>
      <w:r>
        <w:t>18. On June 28, 2021, ANIA presented a consolidated version of the commitments, in order to incorporate the observations received during the market test and the indications expressed by the sector authorities (IVASS and the Data Protection Authority), including the subsequently updated version of the "Summary Document," attached to the "Commitment Submission Form" and an integral part of the Form. In particular, commitments 1 and 8 were strengthened.</w:t>
      </w:r>
    </w:p>
    <w:p>
      <w:r>
        <w:t>19. Regarding commitment 1, related to the conditions for access to the Platform and the Portal, these are further specified to ensure the possibility of participation in the "anti-fraud project," not only for companies associated with ANIA but also for non-associated companies, both Italian and European, and for companies that carry out settlement activities for insurance companies (where they do not directly participate), thus including figures that are very common in other EU countries, such as so-called Managing General Agents. In ANIA's view, this ensures the absence of</w:t>
      </w:r>
    </w:p>
    <w:p>
      <w:r>
        <w:rPr>
          <w:b/>
        </w:rPr>
        <w:t>[Pages 10–12]</w:t>
      </w:r>
    </w:p>
    <w:p>
      <w:r>
        <w:t>12 BULLETIN NO. 39 OF OCTOBER 4, 2021</w:t>
      </w:r>
    </w:p>
    <w:p>
      <w:r>
        <w:t>any form of discrimination by ANIA towards the aforementioned subjects, and promotes greater market integration, as non-Italian companies (regardless of their establishment in the national territory) will also be able to consult the database and have the same informational set as their Italian competitors. This also allows for overcoming the observations of SNA according to which the "anti-fraud project" would be characterized by "the absence of elements of impartiality and independence in data processing."</w:t>
      </w:r>
    </w:p>
    <w:p>
      <w:r>
        <w:t>20. Regarding commitment 8, concerning the establishment of a Guarantee Body tasked with supervising the proper use of the Portal, ANIA, in order to address the observations related to the issue of impartiality and the indications of IVASS, which has identified the opportunity to strengthen the Body, also by providing rules regarding budget autonomy, has further specified its prerogatives and assigned it an annual budget, indicating the minimum amount that the Body may use to carry out its tasks.</w:t>
      </w:r>
    </w:p>
    <w:p>
      <w:r>
        <w:t>21. ANIA has also further specified the deadline for the implementation of the commitments, considering that "the Portal is currently under review by various supervisory Authorities," so: ANIA will not execute the commitments until the consultation process with these Authorities is concluded and only from that moment will the commitments be implemented, while "Commitment 1 - regarding the Platform - will instead be implemented within 15 days from the acceptance of the commitments."</w:t>
      </w:r>
    </w:p>
    <w:p>
      <w:r>
        <w:t>VII. THE OPINION OF IVASS</w:t>
      </w:r>
    </w:p>
    <w:p>
      <w:r>
        <w:t>22. IVASS, in an opinion received on September 14, 2021, first recalled the observations made during the hearings held during the procedure, primarily regarding the characteristics of the "anti-fraud project" initially communicated by ANIA and secondly in relation to the commitments published for the market test. Regarding the first aspect, IVASS stated that "during the various phases that characterized the investigation of the project, this Institute highlighted some critical issues, focused on the Portal and substantially related to the absence of a primary norm establishing the database and the consequent lack of regulatory tools, control, and related supervisory powers over the entire system, with a possible oversight gap particularly concerning consumer protection; the ownership of the same by ANIA, considering the enormous amount of data to be managed and their sensitivity; the scoring system; the need for adequate safeguards aimed at ensuring the 'non-improper' use of the vast amount of data contained; the voluntary nature of adherence for companies and, above all, the planned extension to the underwriting phase." In relation to the second aspect, IVASS recalled what was already expressed in the hearing of June 10, 2021, stating that "the commitments undertaken by ANIA - in their abstract formulation and if correctly and exhaustively implemented - appear suitable to alleviate the concerns expressed regarding the voluntary nature of adherence, the safeguards, the scoring system, and the extension (no longer foreseen) to the underwriting phase. The same cannot be said for the concern regarding the ownership of the Project by ANIA and the potential (feared) regulatory/supervisory gap regarding the proper functioning of the portal largely attributable to the absence of a primary norm at the origin of the establishment of this new database"; in this regard, IVASS recalled having highlighted, during the hearing, the opportunity for an improvement/strengthening of the self-regulation safeguards provided for the Portal, suggesting the provision "to guarantee the effective functioning and autonomy of the Guarantee Body," of "rules regarding budget autonomy."</w:t>
      </w:r>
    </w:p>
    <w:p>
      <w:r>
        <w:t>23. That said, IVASS stated that "Considering the observations and technical remarks made by the Institute during the two hearings held before this Authority" and "considering that the final consolidated version of the Commitments undertaken by ANIA overcomes many of the critical issues raised and incorporates the observations recently made by the Institute regarding the need to strengthen the impartiality and autonomy of the Guarantee Body tasked with supervising the proper use of the Portal, also through the provision of rules regarding budget autonomy, 'This Institute believes that the commitments undertaken by ANIA - if correctly and exhaustively implemented - are suitable, with the above specifications, to overcome the previously raised concerns.' This, continues IVASS, 'without prejudice to: - the already expressed reflections regarding the absence of a specific primary norm - which evidently prescinds from the commitments that the Association can undertake within this procedure - that regulates, delineates, and circumscribes the anti-fraud activity that is intended to be initiated with the establishment of the Portal, and the consequent concerns regarding the effectiveness of consumer protection; - the evaluations of the Guarantor for the protection of personal data, exclusively competent regarding the legitimate and correct processing of the big data that will be collected and managed through the Portal, currently unknown to this Institute."</w:t>
      </w:r>
    </w:p>
    <w:p>
      <w:r>
        <w:t>VIII. EVALUATIONS</w:t>
      </w:r>
    </w:p>
    <w:p>
      <w:r>
        <w:t>24. The present procedure concerns the verification of possible competitive criticalities, with reference to the "anti-fraud project" communicated by ANIA, in the design phase and not yet realized, relevant pursuant to Article 101 of the TFEU, with particular regard to the risks of absence of guarantees of impartiality, competitive foreclosure, as well as the risk that the development - starting from a large amount of data combined with unclear criteria - of common algorithms to determine homogeneous fraud risk indicators, usable by insurance companies both in the liquidation phase and in the underwriting phase, could standardize the activities of companies in essential phases of insurance activity and, in this specific context, of exchanges of sensitive information between competing operators.</w:t>
      </w:r>
    </w:p>
    <w:p>
      <w:r>
        <w:t>25. During the procedure, as illustrated above, ANIA presented commitments pursuant to Article 14-ter of Law No. 287/90, in order to overcome the competitive criticalities contested by the Authority in the initiation provision of the investigation.</w:t>
      </w:r>
    </w:p>
    <w:p>
      <w:r>
        <w:t>26. Whereas fraudulent activity can generate costs for the insurance industry and for the community of insured parties, the commitments presented by ANIA, in their final version including the accessory modifications made following the market test, insofar as they modify the project initially communicated, appear suitable to remedy the competitive concerns expressed at the initiation of the procedure. This in a context where anti-fraud activity can lead to savings, estimated by ANIA at [omitted] euros, which could also translate into lower prices for the insured.</w:t>
      </w:r>
    </w:p>
    <w:p>
      <w:r>
        <w:t>27. Specifically, Commitment 1, as integrated with the accessory modifications, as it guarantees adherence to the "anti-fraud project" (Platform and Portal), in compliance with the principles of equal treatment and non-discrimination, to the interested insurance companies, regardless of their membership in the association, both Italian and foreign, and to companies that carry out liquidation activities for insurance companies (where they do not adhere directly), removes the risk of anti-competitive foreclosure concerning both the Portal and the Platform. Regarding the Platform, during the procedure, its structure and purposes were further clarified, emerging among other things that the main competitive criticality related to it appears to be that concerning the conditions of adherence, which Commitment 1 allows to remove. This commitment also promotes greater integration of national markets within the European Union, in the perspective of the single market, allowing non-Italian companies, regardless of their establishment in the territory, to have the same information as Italian companies, assisting in evaluating the type and spread of fraudulent phenomena, to be used for anti-fraud activity. Furthermore, precisely because it aims to ensure the absence of discrimination among operators, this commitment also goes in the direction of strengthening ANIA's position of impartiality in managing the "anti-fraud project," helping to mitigate the risk of absence of impartiality indicated at the outset and thus responding to the observations made on the issue of impartiality in the market test. In this regard, it is also useful to recall that among the subjects authorized to access both the Platform and the Portal, there are, in addition to the member companies, institutional subjects who can access all the information contained in the databases free of charge.</w:t>
      </w:r>
    </w:p>
    <w:p>
      <w:r>
        <w:t>28. Commitment 2, as it limits the use of the Portal to the only phase of claims settlement, eliminates any possible criticality related to the use of the Portal in the underwriting phase; this commitment particularly removes the competitive concern related to the use of homogeneous fraud risk indicators (determined through common algorithms) that could have standardized the activities of insurance companies in a particularly important phase, as it is the moment when contracts are signed and thus the contractual and economic conditions come into play and, in this specific context, also the risk of exchanges of sensitive information. Therefore, the observations of SNA regarding the use of the Portal in the underwriting phase no longer appear current. Furthermore, by providing for a use of the Portal similar to that currently of the AIA managed by IVASS (for the RC Auto branch), this commitment also helps to alleviate concerns regarding impartiality.</w:t>
      </w:r>
    </w:p>
    <w:p>
      <w:r>
        <w:t>29. Commitments 4, 5, and 6 in relation to the Portal, which provide for the advance communication of input data (commitment 4) and the definition of the criteria/principles for processing the rules that determine the output data, taking into account the logical areas to which the rules of the AIA database of IVASS are attributable and providing for the adoption of the necessary precautions to prevent the circulation of the collected information (commitments 5 and 6), go in the direction of ensuring greater transparency regarding the actual functioning of the Portal, positively impacting the concerns expressed at the time of initiation regarding the lack of clarity of the "anti-fraud project"; moreover, the reference to criteria/methodologies employed by IVASS in its anti-fraud activity constitutes a useful safeguard to ensure the proper functioning of the Portal, also contributing to reduce the competitive risks identified at the outset regarding impartiality; moreover, the anticipated precautions regarding the circulation of information and the anticipated possibility for each company to modify the rules and their relative weight assigned for identifying fraud risk indicators (specifically in commitment 5 regarding the Portal's output), further contribute to mitigate the competitive concerns expressed in the initiation provision regarding the possible standardization of companies' conduct.</w:t>
      </w:r>
    </w:p>
    <w:p>
      <w:r>
        <w:rPr>
          <w:b/>
        </w:rPr>
        <w:t>[Pages 13–15]</w:t>
      </w:r>
    </w:p>
    <w:p>
      <w:r>
        <w:t>BULLETIN NO. 39 OF OCTOBER 4, 2021</w:t>
      </w:r>
    </w:p>
    <w:p>
      <w:r>
        <w:t>30. Commitment 7 provides for the introduction of security measures/technical safeguards (as reported in the Regulation for the use of the Portal) necessary to allow access to the Portal only to entitled parties and to prevent improper use of this database; in light of the commitments, it is also provided that the Portal will not be consultable by companies in a massive manner, but only with reference to a specific claim code. This commitment is also subject to positive evaluation as it identifies specific rules for the use of the Portal and restricts the consultation methods, contributing to the removal of the risk, identified at the outset, of exchanges of sensitive information from a competitive perspective between insurance companies, given the specific operational methods of the Portal.</w:t>
      </w:r>
    </w:p>
    <w:p>
      <w:r>
        <w:t>31. Commitments 3 and 8, in addition to what has already been represented regarding commitments 1, 2, 5, and 6, contribute to overcoming the competitive concerns expressed in the initiation order regarding the possible absence of guarantees of impartiality, since the activity of preventing and combating fraudulent phenomena in the insurance sector should be carried out for the benefit of the entire insurance system. Specifically, Commitment 3, as it provides for the adoption of a Regulation that governs both the various aspects related to the functioning of the Portal and the rights and obligations of users, allows for transparency regarding the activities related to the Portal and establishes a framework of rules applicable to all companies (whether or not they are members of ANIA) and to ANIA itself. Commitment 8 provides for the establishment of a Guarantee Body for the evaluation of any issues/"anomalies" reported by consumers related to the use of the Portal of the company with which they are insured. In the version of the commitments integrated with the ancillary modifications, in light of the observations from the market test and the indications provided in particular by IVASS, ANIA has further specified the prerogatives of the Guarantee Body and has endowed it with its own budget, in order to allow for more effective functioning and to strengthen its autonomy. Overall, commitments 3 and 8 are likely to be positively evaluated, as they provide for the introduction of self-regulation safeguards, with the aim of defining transparent and non-discriminatory operating rules, also allowing for intervention - with a tool that can be activated by the consumers/insured parties themselves - to address any anomalies/issues that may arise. Regarding the role that could be played by specific public oversight of the "anti-fraud project," mentioned by IVASS and SNA, while a revision of the regulatory framework in this direction is desirable, these are in any case issues that fall outside the conduct of the association.</w:t>
      </w:r>
    </w:p>
    <w:p>
      <w:r>
        <w:t>IX. CONCLUSIONS</w:t>
      </w:r>
    </w:p>
    <w:p>
      <w:r>
        <w:t>32. In conclusion, the commitments proposed by ANIA, as integrated by the ancillary modifications, consisting, in summary, of changes to the content of the "anti-fraud project," as illustrated in the "Summary Document" attached to the "Form for the submission of commitments," address in a targeted manner the possible competitive criticalities related to the "anti-fraud project" initially proposed by ANIA, consequently modifying it and, therefore, are suitable, as a whole, to remedy the competitive concerns that led to the opening of the present investigation procedure.</w:t>
      </w:r>
    </w:p>
    <w:p>
      <w:r>
        <w:t>33. The Authority will monitor the execution of the commitments presented by ANIA and reserves the right to reopen the procedure ex officio for the purposes and effects of what is provided for in Article 14-ter, paragraphs 2 and 3, of Law No. 287/1990.</w:t>
      </w:r>
    </w:p>
    <w:p>
      <w:r>
        <w:t>CONSIDERING, therefore, that the commitments presented by ANIA - National Association of Insurance Companies are suitable to eliminate the anticompetitive profiles subject to the investigation;</w:t>
      </w:r>
    </w:p>
    <w:p>
      <w:r>
        <w:t>CONSIDERING to order the mandatory nature of the commitments presented by ANIA - National Association of Insurance Companies, pursuant to Article 14-ter, paragraph 1, of Law No. 287/1990;</w:t>
      </w:r>
    </w:p>
    <w:p>
      <w:r>
        <w:t>All of the above having been stated and considered:</w:t>
      </w:r>
    </w:p>
    <w:p>
      <w:r>
        <w:t>RESOLVES</w:t>
      </w:r>
    </w:p>
    <w:p>
      <w:r>
        <w:t>a) to make mandatory the commitments presented by ANIA - National Association of Insurance Companies pursuant to Article 14-ter, paragraph 1, of Law No. 287/1990, in the terms described above and attached to this provision, which form an integral part thereof;</w:t>
      </w:r>
    </w:p>
    <w:p>
      <w:r>
        <w:t xml:space="preserve">b) that ANIA - National Association of Insurance Companies informs the Authority of the actions taken to execute the commitments undertaken and made mandatory by this provision and in particular that ANIA - National Association of Insurance Companies: </w:t>
        <w:br/>
        <w:t xml:space="preserve">b.1) within 1 month from the notification of the closure of the investigation, submits to the Authority a report regarding compliance with commitment 1, for the part related to the Platform; </w:t>
        <w:br/>
        <w:t xml:space="preserve">b.2) within fifteen days from the conclusion of the consultation process with the supervisory Authorities (referred to in the Commitments Form, section titled "Possible validity period") informs the Authority of the conclusion of the aforementioned consultation process and communicates to the Authority the date of actual operation of the Portal; </w:t>
        <w:br/>
        <w:t xml:space="preserve">b.3) within two months from the date of actual operation of the Portal, referred to in point b.2, submits to the Authority a report regarding compliance with commitment 1, for the part related to the Portal and all other commitments presented by ANIA; </w:t>
        <w:br/>
        <w:t>b.4) every two years, submits to the Authority a report on the overall state of implementation of the commitments. The first of such reports must be presented two years from the date of submission of the report referred to in the previous point (b.3);</w:t>
      </w:r>
    </w:p>
    <w:p>
      <w:r>
        <w:t>c) to close the procedure without establishing the infringement, pursuant to Article 14-ter, paragraph 1, of Law No. 287/1990.</w:t>
      </w:r>
    </w:p>
    <w:p>
      <w:r>
        <w:t>This provision will be notified to the interested parties and published in the Bulletin of the Authority for Competition and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r>
    </w:p>
    <w:p>
      <w:r>
        <w:t xml:space="preserve">THE SECRETARY GENERAL THE PRESIDENT </w:t>
        <w:br/>
        <w:t>Filippo Arena Roberto Rustichelli</w:t>
      </w:r>
    </w:p>
    <w:p>
      <w:r>
        <w:rPr>
          <w:b/>
        </w:rPr>
        <w:t>[Pages 16–18]</w:t>
      </w:r>
    </w:p>
    <w:p>
      <w:r>
        <w:t>18 BULLETIN NO. 39 OF OCTOBER 4, 2021</w:t>
      </w:r>
    </w:p>
    <w:p>
      <w:r>
        <w:t xml:space="preserve">CONCENTRATION OPERATIONS  </w:t>
        <w:br/>
        <w:t xml:space="preserve">C12386 - TAMOIL ITALIA/REPSOL ITALIA  </w:t>
        <w:br/>
        <w:t>Provision No. 29824</w:t>
      </w:r>
    </w:p>
    <w:p>
      <w:r>
        <w:t xml:space="preserve">THE ANTITRUST AUTHORITY  </w:t>
        <w:br/>
        <w:t xml:space="preserve">IN ITS MEETING of September 14, 2021;  </w:t>
        <w:br/>
        <w:t xml:space="preserve">HEARD the Rapporteur, President Roberto Rustichelli;  </w:t>
        <w:br/>
        <w:t xml:space="preserve">SEEN Regulation (EC) No. 139/2004;  </w:t>
        <w:br/>
        <w:t xml:space="preserve">SEEN Law No. 287 of October 10, 1990;  </w:t>
        <w:br/>
        <w:t xml:space="preserve">SEEN D.P.R. No. 217 of April 30, 1998;  </w:t>
        <w:br/>
        <w:t xml:space="preserve">SEEN the decision of the European Commission of July 19, 2021, C(2021) 5504 final, to refer the case M.10310 – Tamoil Italia/Repsol Italia back to Italy following a reasoned request pursuant to Article 4, paragraph 4 of Regulation (EC) No. 139/2004 and Article 57 of the Agreement on the European Economic Area;  </w:t>
        <w:br/>
        <w:t xml:space="preserve">SEEN the communication from Tamoil Italia S.p.A. pursuant to Law No. 287/90, received on July 27, 2021;  </w:t>
        <w:br/>
        <w:t xml:space="preserve">SEEN its request for information sent on August 5, 2021, with consequent interruption of the deadlines pursuant to Article 5, paragraph 3, of D.P.R. No. 217 of April 30, 1998;  </w:t>
        <w:br/>
        <w:t xml:space="preserve">SEEN the response from Tamoil Italia S.p.A. to the aforementioned request for information, received on August 24, 2021;  </w:t>
        <w:br/>
        <w:t xml:space="preserve">SEEN the documentation on file;  </w:t>
        <w:br/>
        <w:t>CONSIDERED the following:</w:t>
      </w:r>
    </w:p>
    <w:p>
      <w:r>
        <w:t xml:space="preserve">I. THE PARTIES  </w:t>
        <w:br/>
        <w:t xml:space="preserve">1. Tamoil Italia S.p.A. (“Tamoil”) is a company active in the procurement, handling, and storage of petroleum products and lubricants, as well as in their distribution both on and off the network and in the supply of jet fuel at major Italian airports. Tamoil is ultimately controlled by the Dutch company Oilinvest (Holdings) N.V., which holds stakes in companies active in the oil sector in Europe (operating under the two brands Tamoil and Hem). In 2020, the Tamoil group generated a worldwide revenue of approximately [4-5]* billion euros, of which approximately [4-5] was generated in the European Union and approximately [1-2] was generated in Italy.  </w:t>
        <w:br/>
        <w:t xml:space="preserve">2. Repsol Italia S.p.A. (“Repsol”) is a company active in the distribution, both on and off the network, of petroleum products and in the production and sale of lubricants. The capital of Repsol is wholly owned by the Spanish company Repsol S.A., which is active in the oil and gas sector. In 2020,  </w:t>
        <w:br/>
        <w:t>* In this version, some data are omitted as elements of confidentiality or secrecy of the information were deemed to exist.</w:t>
      </w:r>
    </w:p>
    <w:p>
      <w:r>
        <w:t xml:space="preserve">BULLETIN NO. 39 OF OCTOBER 4, 2021 19  </w:t>
        <w:br/>
        <w:t>Repsol generated, net of the business branch related to the production and sale of lubricants, a worldwide revenue of approximately [511-700] million euros, of which [511-700] was generated in the European Union, all in Italy.</w:t>
      </w:r>
    </w:p>
    <w:p>
      <w:r>
        <w:t xml:space="preserve">II. DESCRIPTION OF THE TRANSACTION  </w:t>
        <w:br/>
        <w:t>3. The communication in question concerns the acquisition of the entire share capital of Repsol by Tamoil, excluding the business branch of Repsol related to the marketing of lubricants, which will be liquidated prior to the closing of the communicated transaction.</w:t>
      </w:r>
    </w:p>
    <w:p>
      <w:r>
        <w:t xml:space="preserve">III. JURISDICTION  </w:t>
        <w:br/>
        <w:t>4. The transaction in question is of community dimension as it meets the thresholds set out in Article 1, paragraph 2 of Regulation No. 139/2004/EC (hereinafter, Regulation). However, by act of July 19, 2021, the Commission, accepting a request made by the Parties, decided to refer the entire transaction back to Italy, in application of Article 4, paragraph 4, of the Regulation and Article 57 of the Agreement on the European Economic Area. The transaction must therefore be assessed pursuant to Article 4, paragraph 4, of the Regulation, applying national competition law.</w:t>
      </w:r>
    </w:p>
    <w:p>
      <w:r>
        <w:t xml:space="preserve">IV. QUALIFICATION OF THE TRANSACTION  </w:t>
        <w:br/>
        <w:t>5. The communicated transaction, as it involves the acquisition of control of a company, constitutes a concentration pursuant to Article 5, paragraph 1 letter b), of Law No. 287/90.</w:t>
      </w:r>
    </w:p>
    <w:p>
      <w:r>
        <w:t xml:space="preserve">V. ASSESSMENT OF THE CONCENTRATION  </w:t>
        <w:br/>
        <w:t xml:space="preserve">Relevant markets and effects of the transaction  </w:t>
        <w:br/>
        <w:t xml:space="preserve">6. Due to the operations of the acquired company, the transaction results in horizontal overlaps in the markets (of local dimension, see below) for the distribution of fuels for automotive use on the ordinary road network and in the markets for off-network fuel distribution.  </w:t>
        <w:br/>
        <w:t xml:space="preserve">The market for the distribution of fuels for automotive use on the ordinary road network  </w:t>
        <w:br/>
        <w:t xml:space="preserve">7. The market for the distribution of fuels for automotive use on the ordinary road network, based on the Authority's practice, is distinct from the market for the distribution of fuels for automotive use on the motorway network and, conversely, does not present segmentation regarding the type of fuel offered. Repsol is not present with its own refueling stations along the motorway network.  </w:t>
        <w:br/>
        <w:t xml:space="preserve">1 The acquiring group is also active in the oil logistics market, vertically linked to the operational markets of the target company, but does not hold a position in these markets that would suggest potential vertical effects associated with the transaction.  </w:t>
        <w:br/>
        <w:t>2 See inter alia AGCM, provision 26909 of December 20, 2017, C12131 – API/TotalErg; provision 27459 of December 12, 2018, C12204 – Vega Carburanti/Carburanti 3.0; provision 26332 of January 11, 2017, C12078 – Petrolifera Adriatica/Ramo di Azienda di Esso Italiana. Specifically regarding methane distributors, the Parties have indicated that the only overlaps would occur in the Biella area, resulting in a very limited overall effect (estimated at less than 5% at the provincial level) and with a negligible contribution attributable to the acquired company (and therefore to the transaction).</w:t>
      </w:r>
    </w:p>
    <w:p>
      <w:r>
        <w:t xml:space="preserve">20 BULLETIN NO. 39 OF OCTOBER 4, 2021  </w:t>
        <w:br/>
        <w:t xml:space="preserve">8. The national market share in the fuel distribution sector on the ordinary network of the Parties is approximately [5-10%] of the volumes dispensed.  </w:t>
        <w:br/>
        <w:t xml:space="preserve">9. Repsol holds a network of fuel retail outlets for automotive use on the ordinary road network consisting of 274 stations located in Italian territory (with an additional one located in the territory of San Marino, for a total of 275 stations). The refueling stations that make up this network, based on the ownership and management of the same, can be grouped into the following categories:  </w:t>
        <w:br/>
        <w:t xml:space="preserve">- 13 retail outlets owned by Repsol and operated by Repsol itself (Company Owned and Company Operated - “COCO”);  </w:t>
        <w:br/>
        <w:t xml:space="preserve">- 14 retail outlets that Repsol has leased from third parties and that it operates (Company Leased and Company Operated - “CLOCO”);  </w:t>
        <w:br/>
        <w:t xml:space="preserve">- 52 retail outlets owned by Repsol and operated by a third-party dealer, who purchases fuel from Repsol – at a price calculated based on a discount from the retail price recommended by Repsol – and sells it independently deciding freely the retail price (Company Owned and Dealer Operated - “CODO”);  </w:t>
        <w:br/>
        <w:t xml:space="preserve">- 42 retail outlets that Repsol has leased from third parties and that are operated by a third-party dealer, who purchases fuel from Repsol – at a price calculated based on a discount from the retail price recommended by Repsol – and sells it independently deciding freely the retail price (Company Leased and Dealer Operated - “CLODO”);  </w:t>
        <w:br/>
        <w:t xml:space="preserve">- 154 retail outlets owned by third parties and operated by third-party dealers who exclusively purchase fuel from Repsol based on two different pricing formulas: (i) for the majority (approximately 140), the so-called Platts+ formula applies, under which Repsol supplies fuel to the third-party dealer at a selling price established with reference to the international Platts quotation, to which a remuneration delta is added. In this case, Repsol does not recommend any retail selling price to the dealer; and (ii) for a very small number of service stations (approximately 14), the so-called Listino formula applies, under which Repsol supplies fuel to the third-party dealer at a selling price established based on a discount from the retail price recommended by Repsol, and the dealer independently decides the retail resale price, being able to deviate from the prices recommended by Repsol (Dealer Owned and Dealer Operated - “DODO”).  </w:t>
        <w:br/>
        <w:t xml:space="preserve">10. As a result of the concentration, Tamoil will acquire ownership of the refueling stations owned by Repsol (COCO and CODO) and will take over the rental and fuel supply contracts in a position similar to that currently held by the target company (CLOCO, CLODO, and DODO).  </w:t>
        <w:br/>
        <w:t xml:space="preserve">11. Regarding the geographical dimension of the market for the distribution of fuels on the ordinary network, the Authority's guidelines provide, consistently with what has occurred for all retail distribution sectors, that it should be defined based on the actual substitutability links of the retail outlets for final consumers and thus within specific catchment areas (“c.a.”) identified around the facilities subject to acquisition. It is believed that even in this case, as already in the previous C12131, also considering the [omitted], the same should apply.  </w:t>
        <w:br/>
        <w:t>3 See provision 26909 of December 20, 2017, C12131 – API/TotalErg. In particular, in that provision, the catchment areas estimated by the parties of the relevant transaction were traced, based on the available information, with a radius of approximately 20 km from the central facility, for the facilities related to the provinces in which the merging parties held a cumulative market share in terms of volume of at least 30%.</w:t>
      </w:r>
    </w:p>
    <w:p>
      <w:r>
        <w:rPr>
          <w:b/>
        </w:rPr>
        <w:t>[Pages 19–21]</w:t>
      </w:r>
    </w:p>
    <w:p>
      <w:r>
        <w:t>BULLETIN NO. 39 OF OCTOBER 4, 2021</w:t>
      </w:r>
    </w:p>
    <w:p>
      <w:r>
        <w:t>21. catchment areas with a radius of 20 km drawn around all the facilities of the acquired company Repsol.</w:t>
      </w:r>
    </w:p>
    <w:p>
      <w:r>
        <w:t>12. With reference to the analysis of the position of the Parties within the catchment areas that can be traced around each of the 275 facilities of the target company, in the absence of public data on the volumes dispensed by the individual facilities of competitors (and generally of public data on the volumes dispensed at the catchment area level), it is possible, in the first instance, to compute the actual market share in terms of the number of refueling stations.</w:t>
      </w:r>
    </w:p>
    <w:p>
      <w:r>
        <w:t>13. In 38 catchment areas, there is no overlap between the parties to this concentration (as Tamoil does not have its own distribution facilities) and therefore the transaction under consideration does not entail horizontal effects. In 225 catchment areas where there is an overlap of market shares measured by the number of facilities, the position of the Parties is below 25%; this is a threshold below which, also based on community practice and this Authority, competitive concerns can be excluded. In the remaining 12 catchment areas, the Parties would hold a share, in terms of the number of refueling stations, exceeding 25%. These shares are reported in the table below (see Tab. 1). As can be seen from the data presented in the table, the shares range from a minimum of 25% to maximum levels slightly below 45%.</w:t>
      </w:r>
    </w:p>
    <w:p>
      <w:r>
        <w:t>Table 1 – Shares of the Parties for c.a. in terms of the number of stations equal to or greater than 25%</w:t>
        <w:br/>
        <w:t>Catchment area Tamoil Repsol Total</w:t>
        <w:br/>
        <w:t>Cerreto d’Asti (AT) [25-30%] [5-10%] [30-35%]</w:t>
        <w:br/>
        <w:t>Comelico Superiore (BL) [25-30%] [10-15%] [35-40%]</w:t>
        <w:br/>
        <w:t>Cusano Mutri (BN) [5-10%] [20-25%] [25-30%]</w:t>
        <w:br/>
        <w:t>Borgo Virgilio (MN) [25-30%] [5-10%] [30-35%]</w:t>
        <w:br/>
        <w:t>Suzzara (MN) [15-20%] [5-10%] [25-30%]</w:t>
        <w:br/>
        <w:t>Brez (TN) [10-15%] [30-35%] [40-45%]</w:t>
        <w:br/>
        <w:t>Coredo (TN) [10-15%] [10-15%] [25-30%]</w:t>
        <w:br/>
        <w:t>Rumo (TN) [10-15%] [25-30%] [40-45%]</w:t>
        <w:br/>
        <w:t>Sanzeno (TN) [5-10%] [20-25%] [30-35%]</w:t>
        <w:br/>
        <w:t>Montanaro (TO) [25-30%] [1-5%] [25-30%]</w:t>
        <w:br/>
        <w:t>Locana (TO) [10-15%] [10-15%] [25-30%]</w:t>
        <w:br/>
        <w:t>Ceres (TO) [25-30%] [5-10%] [35-40%]</w:t>
        <w:br/>
        <w:t>Source: data provided by the Parties</w:t>
      </w:r>
    </w:p>
    <w:p>
      <w:r>
        <w:t>14. For each of these 12 catchment areas, further investigations were carried out. Firstly, estimates of market shares in terms of volumes dispensed were constructed, using actual data on the volumes dispensed by the facilities attributable to the Parties and, for third-party facilities, estimates of the volumes dispensed provided by the Parties (see Table 2).</w:t>
      </w:r>
    </w:p>
    <w:p>
      <w:r>
        <w:t>15. Furthermore, for the c.a. contained in Table 2, where the Parties present a joint market share exceeding 30%, in order to assess the degree of competitive pressure exerted by the target retail outlets on the retail outlets of the acquiring company, which would cease to exist due to the concentration under consideration, an estimate of the so-called diversion ratio target/acquirer was also made, which represents an indicator capable of capturing the actual substitutability (and mutual competition) relationships between retail outlets included in the same relevant market. In this case, considering that within the same catchment area the substitutability between retail outlets for consumers is greater the closer the retail outlets are to each other, the retail outlets present in the catchment area were weighted based on their distance from the target retail outlet at the center of the catchment area.</w:t>
      </w:r>
    </w:p>
    <w:p>
      <w:r>
        <w:t>Table 2 – Estimate of the shares of the Parties for c.a. in volumes</w:t>
        <w:br/>
        <w:t>Catchment area Tamoil Repsol Total</w:t>
        <w:br/>
        <w:t>Cerreto d’Asti (AT) [5-10%] [15-20%] [25-30%]</w:t>
        <w:br/>
        <w:t>Comelico Superiore (BL) [20-25%] [10-15%] [30-35%]</w:t>
        <w:br/>
        <w:t>Cusano Mutri (BN) [25-30%] [10-15%] [35-40%]</w:t>
        <w:br/>
        <w:t>Borgo Virgilio (MN) [20-25%] [1-5%] [20-25%]</w:t>
        <w:br/>
        <w:t>Suzzara (MN) [15-20%] [1-5%] [20-25%]</w:t>
        <w:br/>
        <w:t>Brez (TN) [1-5%] [25-30%] [30-35%]</w:t>
        <w:br/>
        <w:t>Coredo (TN) [1-5%] [10-15%] [15-20%]</w:t>
        <w:br/>
        <w:t>Rumo (TN) [1-5%] [5-10%] [10-15%]</w:t>
        <w:br/>
        <w:t>Sanzeno (TN) [1-5%] [15-20%] [15-20%]</w:t>
        <w:br/>
        <w:t>Montanaro (TO) [35-40%] [1-5%] [35-40%]</w:t>
        <w:br/>
        <w:t>Locana (TO) [25-30%] [5-10%] [30-35%]</w:t>
        <w:br/>
        <w:t>Ceres (TO) [15-20%] [1-5%] [20-25%]</w:t>
        <w:br/>
        <w:t>Source: Elaborations on data provided by the Parties</w:t>
      </w:r>
    </w:p>
    <w:p>
      <w:r>
        <w:t>Table 3 – Estimate of the diversion ratios</w:t>
        <w:br/>
        <w:t>Catchment area Total</w:t>
        <w:br/>
        <w:t>Comelico Superiore (BL) 31.3%</w:t>
        <w:br/>
        <w:t>Cusano Mutri (BN) 5.0%</w:t>
        <w:br/>
        <w:t>Brez (TN) 11.0%</w:t>
        <w:br/>
        <w:t>Montanaro (TO) 23.3%</w:t>
        <w:br/>
        <w:t>Locana (TO) 11.1%</w:t>
        <w:br/>
        <w:t>Source: Elaborations on data provided by the Parties</w:t>
      </w:r>
    </w:p>
    <w:p>
      <w:r>
        <w:t>16. As can be observed, in seven of the twelve c.a. in Table 2, the joint market share is below - or at least in a rather limited range of - the attention threshold of 25% (Cerreto d’Asti, Borgo Virgilio, Suzzara, Coredo, Rumo, Sanzeno, and Ceres), thus excluding any competitive concern arising from this transaction in each of them.</w:t>
      </w:r>
    </w:p>
    <w:p>
      <w:r>
        <w:t>17. Regarding the remaining 5 c.a., a very low diversion ratio value constructed based on distance (ranging from 5% to 11%) tends to exclude any incentive for the acquiring company to raise prices following the concentration (or to worsen other supply conditions) in three c.a. (Cusano Mutri, Brez, Locana). In the remaining two c.a. (Comelico Superiore and Montanaro), where the diversion ratio takes on higher values, respectively 31.3% and 23.3%, the transaction does not appear to be capable of producing significant competitive effects due to the not particularly high market share, the limited increase in the market share of the acquirer resulting from this transaction (in the case of Montanaro), as well as the presence in both markets.</w:t>
      </w:r>
    </w:p>
    <w:p>
      <w:r>
        <w:rPr>
          <w:b/>
        </w:rPr>
        <w:t>[Pages 22–24]</w:t>
      </w:r>
    </w:p>
    <w:p>
      <w:r>
        <w:t>24 BULLETIN NO. 39 OF OCTOBER 4, 2021</w:t>
      </w:r>
    </w:p>
    <w:p>
      <w:r>
        <w:t>local operators of other leading and vertically integrated players such as, for example, Agip-Eni, Esso, and Q8.</w:t>
      </w:r>
    </w:p>
    <w:p>
      <w:r>
        <w:t>18. In conclusion, in light of the above, the transaction in question does not lead to the establishment or strengthening of a dominant position in any of the catchment areas in which it creates horizontal overlaps.</w:t>
      </w:r>
    </w:p>
    <w:p>
      <w:r>
        <w:t>Wholesale and retail markets for off-network petroleum products</w:t>
      </w:r>
    </w:p>
    <w:p>
      <w:r>
        <w:t>19. The Parties are active in the off-network markets for petroleum products, particularly gasoline, diesel for automotive use, agricultural diesel, and heating diesel. Each of these markets can theoretically be divided into off-network wholesale and retail markets, although this distinction may in some cases be blurred. Estimates of the market shares of the Parties have therefore been analyzed for each type of product sold off-network, separately for the wholesale market and the retail market.</w:t>
      </w:r>
    </w:p>
    <w:p>
      <w:r>
        <w:t>20. In this regard, it should be noted, first of all, that Repsol does not own any petroleum product storage infrastructure, so the transaction in question does not result in a concentration in the ownership of infrastructural assets. Repsol, as well as the acquirer Tamoil in cases where it does not use its own storage facilities, operates in the off-network petroleum product sales markets using storage capacity from facilities owned by third parties or purchasing products from other operators at the depots to then resell them.</w:t>
      </w:r>
    </w:p>
    <w:p>
      <w:r>
        <w:t>21. Also in the case of off-network sales, the relevant geographic market for each of the affected products is identified by the catchment areas, corresponding to a sales basin of a certain radius that can be delineated around each storage facility (depot) used for the sale of petroleum products.</w:t>
      </w:r>
    </w:p>
    <w:p>
      <w:r>
        <w:t>22. At the same time, it is observed that, in this case, it is possible to appreciate the potential effects of the concentration in the off-network sales markets of individual petroleum products using market shares calculated on product sales at the macro-regional level (North West, North East, Central, South), constructed from publicly available databases (organized with provincial detail).</w:t>
      </w:r>
    </w:p>
    <w:p>
      <w:r>
        <w:t>23. The rather limited extent of the positions that, as will be seen, the Parties hold at the macro-regional level, together with the specific location of the storage facilities used by the Parties and the distribution of sales among those facilities, tends to suggest that the assessment of the effects of the concentration in those markets would not change even if one were to identify the total sales made by all operators, for each type of product, within catchment areas traced around those facilities. From the Authority's precedents, in fact, it appears that the distance within which such supplies generally occur is in the order of 150-250 km, which could produce user basins of an extent generally comparable to that of a macro-region. Furthermore, in this case, it is noted that the facilities from which Repsol has made most of its off-network petroleum product sales are located in areas that are absolutely central to the perimeter of the conventionally defined macro-regions and far from the borders between different macro-regions.</w:t>
      </w:r>
    </w:p>
    <w:p>
      <w:r>
        <w:t>24. That said, from the macro-regional data, it can be observed, first of all, that for gasoline, diesel for automotive use, and heating diesel, the macro-regional shares held by the Parties in the off-network retail sales markets are very limited. For retail diesel for automotive use, in fact, the Parties recorded combined sales in 2020 of less than 5% in the macro-regions of North West and South and less than 1% in the other macro-regions. Regarding gasoline and heating diesel, in the year 2020 there were no overlaps in the macro-regions, as in each of them at least one of the Parties was inactive.</w:t>
      </w:r>
    </w:p>
    <w:p>
      <w:r>
        <w:t>25. With reference instead to agricultural diesel – for which, as mentioned, the Parties have not had the opportunity to distinguish between wholesale and retail sales of the rest of the market – the merged entity would hold a cumulative share (aggregated between wholesale and retail sales) of less than 10% in all macro-regions, with a generally negligible contribution from the target company. However, from the sales made by the Parties from the individual facilities, it emerges that almost all of those sales concern the wholesale market, while retail sales play a residual role.</w:t>
      </w:r>
    </w:p>
    <w:p>
      <w:r>
        <w:t>26. Regarding off-network wholesale sales (thus to final retail dealers), the available macro-regional data indicate, in addition to what has already been stated for agricultural diesel, that the Parties, with reference to diesel for automotive use and heating diesel, report for 2020 a cumulative share exceeding 10% (but less than 15%) only in the macro-regions North West and North East, in both cases with a limited contribution (less than 5% in the case of diesel for automotive use and less than 1% in the case of heating diesel) from the target company. Similarly, in the off-network wholesale gasoline market, the Parties estimate a cumulative share of less than 10% in all macro-regions, with the exception of North West, where they would hold about [20-25%] of sales, achieved, however, with a limited contribution from Repsol, amounting to about [1-5%].</w:t>
      </w:r>
    </w:p>
    <w:p>
      <w:r>
        <w:t>27. Using the capacity data of the storage facilities utilized by the Parties in their off-network petroleum product sales activities, it is also possible to arrive, even in the absence of a distinction by type of petroleum product, at an estimate of the share attributable to the Parties in terms of total capacity used within definable catchment areas around the facilities used by the acquired company Repsol in off-network sales of petroleum products. In particular, the catchment areas used are defined by the set of petroleum product storage facilities located at a road distance of 250 km or less from each facility used by the acquired company Repsol.</w:t>
      </w:r>
    </w:p>
    <w:p>
      <w:r>
        <w:t>28. From these estimates, as illustrated in the table that follows (see Table 4), it appears that only in one of the catchment areas traceable around the facilities used by Repsol, centered on a depot located in Mantova, the share of the total storage capacity of the facilities held by the Parties following the Transaction would be slightly above 10%. In the remaining 18 catchment areas, however, the share of capacity cumulatively held by the Parties following the Transaction is, in both formulations, below, often well below, 10%. Finally, it should be noted that these estimates have been made adopting a cautious approach that tends to possibly overestimate the share held by the Parties.</w:t>
      </w:r>
    </w:p>
    <w:p>
      <w:r>
        <w:rPr>
          <w:b/>
        </w:rPr>
        <w:t>[Pages 25–27]</w:t>
      </w:r>
    </w:p>
    <w:p>
      <w:r>
        <w:t xml:space="preserve">BULLETIN NO. 39 OF OCTOBER 4, 2021 27  </w:t>
        <w:br/>
        <w:t xml:space="preserve">Table 4 – Capacity share held by the Parties in the catchment areas around the depots used by Repsol in the distribution of off-network petroleum products  </w:t>
        <w:br/>
        <w:t xml:space="preserve">Capacity share held Capacity share held  </w:t>
        <w:br/>
        <w:t xml:space="preserve">Catchment area  </w:t>
        <w:br/>
        <w:t xml:space="preserve">by the Parties (standard) by the Parties (weighted distance)  </w:t>
        <w:br/>
        <w:t xml:space="preserve">Marghera 1 [5-10%] [5-10%]  </w:t>
        <w:br/>
        <w:t xml:space="preserve">Marcianise [1-5%] [1-5%]  </w:t>
        <w:br/>
        <w:t xml:space="preserve">Arluno [1-5%] [1-5%]  </w:t>
        <w:br/>
        <w:t xml:space="preserve">Ravenna [5-10%] [1-5%]  </w:t>
        <w:br/>
        <w:t xml:space="preserve">Vado Ligure [1-5%] [1-5%]  </w:t>
        <w:br/>
        <w:t xml:space="preserve">Chivasso [5-10%] [5-10%]  </w:t>
        <w:br/>
        <w:t xml:space="preserve">Vibo Valentia [1-5%] [1-5%]  </w:t>
        <w:br/>
        <w:t xml:space="preserve">Napoli 1 [1-5%] [1-5%]  </w:t>
        <w:br/>
        <w:t xml:space="preserve">Rho [1-5%] [1-5%]  </w:t>
        <w:br/>
        <w:t xml:space="preserve">Taranto [1-5%] [1-5%]  </w:t>
        <w:br/>
        <w:t xml:space="preserve">Fiorenzuola [1-5%] [5-10%]  </w:t>
        <w:br/>
        <w:t xml:space="preserve">Volpiano [5-10%] [5-10%]  </w:t>
        <w:br/>
        <w:t xml:space="preserve">Pomezia [1-5%] [less than 1%]  </w:t>
        <w:br/>
        <w:t xml:space="preserve">Marghera 2 [5-10%] [5-10%]  </w:t>
        <w:br/>
        <w:t xml:space="preserve">Vibo Valentia 2 [1-5%] [1-5%]  </w:t>
        <w:br/>
        <w:t xml:space="preserve">Ortona [1-5%] [1-5%]  </w:t>
        <w:br/>
        <w:t xml:space="preserve">Calenzano [1-5%] [1-5%]  </w:t>
        <w:br/>
        <w:t xml:space="preserve">Napoli 2 [1-5%] [1-5%]  </w:t>
        <w:br/>
        <w:t xml:space="preserve">Mantova [10-15%] [10-15%]  </w:t>
        <w:br/>
        <w:t xml:space="preserve">Source: Elaborations based on data provided by the Parties  </w:t>
        <w:br/>
        <w:t xml:space="preserve">29. In conclusion, the analysis of the information on the total capacity shares held by the Parties in the facilities used for the sale of off-network petroleum products in the traceable catchment areas around the facilities used by the target company largely confirms what is suggested by the observation of the macro-regional market shares for each individual petroleum product and by the location of the main logistics facilities used, leading to the belief that the concentration under examination does not have significant competitive repercussions in the markets for the sale of off-network petroleum products.  </w:t>
        <w:br/>
        <w:t xml:space="preserve">30. In light of the above considerations, the concentration under examination does not appear to be capable of establishing a dominant position or significantly altering the competitive conditions in the relevant markets mentioned.  </w:t>
        <w:br/>
        <w:t>CONSIDERING, therefore, that the operation under examination does not entail, pursuant to Article 6, paragraph 1, of Law No. 287/90, the establishment or strengthening of a dominant position in the affected markets, such as to eliminate or substantially and durably reduce competition;</w:t>
      </w:r>
    </w:p>
    <w:p>
      <w:r>
        <w:t xml:space="preserve">28 BULLETIN NO. 39 OF OCTOBER 4, 2021  </w:t>
        <w:br/>
        <w:t xml:space="preserve">RESOLUTION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provision will be published in the Bulletin of the Antitrust Authority.  </w:t>
        <w:br/>
        <w:t xml:space="preserve">THE SECRETARY GENERAL THE PRESIDENT  </w:t>
        <w:br/>
        <w:t>Filippo Arena Roberto Rustichelli</w:t>
      </w:r>
    </w:p>
    <w:p>
      <w:r>
        <w:t xml:space="preserve">BULLETIN NO. 39 OF OCTOBER 4, 2021 29  </w:t>
        <w:br/>
        <w:t xml:space="preserve">C12392 - OAKTREE GROUP / MARINI INDUSTRIAL PLANTS - BUSINESS BRANCH OF INNOVATIVE TECHNOLOGIES COMPANY  </w:t>
        <w:br/>
        <w:t xml:space="preserve">Provision No. 29825  </w:t>
        <w:br/>
        <w:t xml:space="preserve">THE ANTITRUST AUTHORITY  </w:t>
        <w:br/>
        <w:t xml:space="preserve">IN ITS MEETING of September 14, 2021;  </w:t>
        <w:br/>
        <w:t xml:space="preserve">HEARD the Rapporteur Professor Michele Ainis;  </w:t>
        <w:br/>
        <w:t xml:space="preserve">SEEN Law No. 287 of October 10, 1990;  </w:t>
        <w:br/>
        <w:t xml:space="preserve">SEEN the Presidential Decree No. 217 of April 30, 1998;  </w:t>
        <w:br/>
        <w:t xml:space="preserve">SEEN the act of the company OCM Luxembourg EPF V S.à r.l., received on August 23, 2021;  </w:t>
        <w:br/>
        <w:t xml:space="preserve">CONSIDERED the following:  </w:t>
        <w:br/>
        <w:t xml:space="preserve">I. THE PARTIES  </w:t>
        <w:br/>
        <w:t xml:space="preserve">1. OCM Luxembourg EPF V S.à r.l. (OCM) is a Luxembourg company indirectly controlled by Oaktree European Principal Fund V LP (Oaktree EPF V), managed by Oaktree Capital Management LP (hereinafter, collectively, the Oaktree Group), a private equity fund with experience in investments across various asset classes, including credit, private equity, real estate, and publicly traded equity.  </w:t>
        <w:br/>
        <w:t xml:space="preserve">2. Ultimately, Oaktree Capital Management LP is jointly controlled by Oaktree Capital Group Holdings GP, LLC (OCGH) and Brookfield Asset Management Inc.1 (Brookfield, together with the controlled entities – other than the Oaktree Group - Brookfield Group). The investments of the Brookfield Group are focused on real estate, infrastructure, renewable energy, and private equity globally.  </w:t>
        <w:br/>
        <w:t xml:space="preserve">3. In 2020, the revenue generated by OCGH and that generated by Brookfield amounted, when considered together, to [80-90]* billion euros, of which [7-8] billion euros generated in Europe and [700-1,000] million euros in Italy.  </w:t>
        <w:br/>
        <w:t xml:space="preserve">4. Marini Impianti Industriali S.p.A. (“MII”) is a company with its registered office in the province of Latina engaged in the design and production of signaling and safety systems in the field of railway traffic and, to a lesser extent, for the aerospace and defense sector. Its core business consists of solutions capable of measuring the deviation between the rails, ensuring the functionality of level crossings even in the event of power interruptions, controlling the operation of level crossings, or providing auxiliary light signals for the movement of rolling stock. The share capital of MII is held by two individuals with shares of 90% and 10%, respectively.  </w:t>
        <w:br/>
        <w:t xml:space="preserve">5. In 2020, the total revenue of MII was [31-100] million euros, entirely generated in Italy.  </w:t>
        <w:br/>
        <w:t xml:space="preserve">6. The Business Branch of Innovative Technologies Company S.r.l. (respectively, “STI Branch” and “STI”) carries out intra-group activities and, in particular, is responsible for the assembly and testing activities of  </w:t>
        <w:br/>
        <w:t>* In this version, some data is omitted, as there were deemed to be elements of confidentiality or secrecy of the information.</w:t>
      </w:r>
    </w:p>
    <w:p>
      <w:r>
        <w:rPr>
          <w:b/>
        </w:rPr>
        <w:t>[Pages 28–30]</w:t>
      </w:r>
    </w:p>
    <w:p>
      <w:r>
        <w:t>30 BULLETIN NO. 39 OF OCTOBER 4, 2021</w:t>
      </w:r>
    </w:p>
    <w:p>
      <w:r>
        <w:t>electronic and mechanical components used in MII systems for railway applications (particularly those related to railway traffic safety). STI is controlled by the same individual who holds the majority of MII's capital.</w:t>
      </w:r>
    </w:p>
    <w:p>
      <w:r>
        <w:t>7. In 2020, the revenue attributable to the STI Branch was approximately [10-31] million euros, entirely generated in Italy.</w:t>
      </w:r>
    </w:p>
    <w:p>
      <w:r>
        <w:t>II. DESCRIPTION OF THE TRANSACTION</w:t>
      </w:r>
    </w:p>
    <w:p>
      <w:r>
        <w:t>8. The Transaction consists of the indirect acquisition by the Oaktree Group of exclusive control of MII, including the STI Branch which, at the date of closing, will have been transferred to MII by STI. As a result of the transaction, MII will be indirectly held, for a [majority] portion of its share capital, by the Oaktree Group, and for the remaining portion - [minority] - of its share capital - by the previous controlling shareholder of MII and the STI Branch.</w:t>
      </w:r>
    </w:p>
    <w:p>
      <w:r>
        <w:t>9. It is also provided that OCM and the minority shareholder will sign a Shareholders’ Agreement concerning the governance of MII, according to which the minority shareholder will hold the position of CEO for a period [omitted]. Subsequently, this position will be appointed by the majority shareholder.</w:t>
      </w:r>
    </w:p>
    <w:p>
      <w:r>
        <w:t>10. The decisions of the Assembly and the Board of Directors will be made by simple majority, and the minority shareholder will not benefit from any veto rights on strategic decisions relevant for antitrust purposes, with the exception of the following two situations2: [omitted]. In the normal course of corporate life, the aforementioned decisions will therefore be made by simple majority.</w:t>
      </w:r>
    </w:p>
    <w:p>
      <w:r>
        <w:t>11. The terms of the transaction also provide that until [omitted] the year following the divestment by the minority shareholder of a qualified stake in MII ([omitted]) - the same assumes, on its own behalf and on behalf of its controlled companies, limited to the Italian territory, the obligation not to engage, directly or indirectly, in activities in competition with MII, as well as not to solicit or poach employees of MII.</w:t>
      </w:r>
    </w:p>
    <w:p>
      <w:r>
        <w:t>III. QUALIFICATION OF THE TRANSACTION</w:t>
      </w:r>
    </w:p>
    <w:p>
      <w:r>
        <w:t>12. The notified transaction, as it involves the acquisition of exclusive control of a company, constitutes a concentration pursuant to Article 5, paragraph 1, letter b), of Law No. 287/90.</w:t>
      </w:r>
    </w:p>
    <w:p>
      <w:r>
        <w:t>13.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companies involved exceeded 511 million euros and the revenue generated individually at the national level by at least two of the companies involved exceeded 31 million euros.</w:t>
      </w:r>
    </w:p>
    <w:p>
      <w:r>
        <w:t>14. The non-competition and non-solicitation obligations signed by the parties and described in the previous paragraphs can be considered directly connected and necessary for the realization of the concentration transaction in question, as they are functional to safeguarding the value of the acquired company, provided that they are geographically limited to the area of activity of the acquired company, do not exceed a duration of two years, and do not prevent the sellers from acquiring or holding shares solely for financial investment purposes3.</w:t>
      </w:r>
    </w:p>
    <w:p>
      <w:r>
        <w:t>IV. ASSESSMENT OF THE CONCENTRATION</w:t>
      </w:r>
    </w:p>
    <w:p>
      <w:r>
        <w:t>Relevant markets</w:t>
      </w:r>
    </w:p>
    <w:p>
      <w:r>
        <w:t>15. With regard to the activities of the Targets, the Transaction concerns the following relevant markets: (i) signaling, safety, and automation systems, of national size; and (ii) defense and security electronics, of national or broader size.</w:t>
      </w:r>
    </w:p>
    <w:p>
      <w:r>
        <w:t>(i) signaling, safety, and automation systems</w:t>
      </w:r>
    </w:p>
    <w:p>
      <w:r>
        <w:t>16. The Authority, in its previous decisions4, has considered that signaling, safety, and automation systems constitute a standalone product market, including: the devices used in stations for routing trains; those installed on the sections between stations for train spacing (automatic block, axle counting block, automatic train control, level crossings); and finally, the systems that from the stations serve to remotely control and monitor the devices along one or more routes (centralized traffic control, command and control system, etc.). According to the same cited practice, the geographical dimension of the signaling, safety, and automation systems market has been deemed national, given the strong technical specificity of the systems required in individual Member States and the need for their approval at the national level. However, it is noted that the assessment of the transaction would not change if different market segmentations or a broader geographical market were considered.</w:t>
      </w:r>
    </w:p>
    <w:p>
      <w:r>
        <w:t>(ii) defense and security electronics</w:t>
      </w:r>
    </w:p>
    <w:p>
      <w:r>
        <w:t>17. The market for the supply of electronic systems for national defense and security includes a wide range of products, systems, and solutions with specific applications valid for both the military sector and civil institutions5. It can be segmented based on a series of parameters related to the products in question, including the end use (military/civil) for which they are intended, the platform (land/naval/air) for which they are designed, the specific function they are called to perform, and other characteristics (system/subsystem, finished product/components, off-the-shelf/custom product). However, in the case at hand, the issue of the precise identification of the relevant product market can be left open, due to the entirely marginal presence of the Target.</w:t>
      </w:r>
    </w:p>
    <w:p>
      <w:r>
        <w:t>18. Similarly, for the purposes of assessing the present transaction, it is not necessary to arrive at a more precise definition of the relevant geographical market, and, in particular, whether this market is national or broader.</w:t>
      </w:r>
    </w:p>
    <w:p>
      <w:r>
        <w:t>Effects of the transaction</w:t>
      </w:r>
    </w:p>
    <w:p>
      <w:r>
        <w:t>(i) signaling, safety, and automation systems</w:t>
      </w:r>
    </w:p>
    <w:p>
      <w:r>
        <w:t>19. MII is active in the national market for signaling, safety, and automation systems intended for traditional railway infrastructure (non-high-speed), in which it generates over 90% of its revenue, with an estimated share for the year 2020 of approximately [10-15%]. Since MII operates only in Italy, this share would be even more marginal if referred to a broader relevant geographical market. The STI Branch conducts intra-group activities and, in particular, is involved in the assembly and testing of electronic and mechanical components used in MII systems.</w:t>
      </w:r>
    </w:p>
    <w:p>
      <w:r>
        <w:t>20. The Oaktree Group, on the other hand, is active in the relevant market with a completely residual share (less than 1% in 2020), while the Brookfield Group is not active in the considered market. Neither of the two groups, Oaktree and Brookfield, appears to operate in upstream or downstream markets.</w:t>
      </w:r>
    </w:p>
    <w:p>
      <w:r>
        <w:t>21. In the identified relevant market, there are large competing operators, including, among others, international groups such as Hitachi, Siemens, and Thales, as well as several medium-small sized operators.</w:t>
      </w:r>
    </w:p>
    <w:p>
      <w:r>
        <w:t>22. In light of the low market share held by the Target and the not significant share held by the Acquirer, the Transaction does not appear to be capable of producing anti-competitive effects in the market for signaling, safety, and automation systems, however defined.</w:t>
      </w:r>
    </w:p>
    <w:p>
      <w:r>
        <w:t>(ii) defense and security electronics</w:t>
      </w:r>
    </w:p>
    <w:p>
      <w:r>
        <w:t>23. MII is residually active in the relevant market in question, with a share of less than 1% at the national level in 2020. Since MII operates only in Italy, this share would be even more marginal if referred to a broader relevant geographical market. Neither the Oaktree Group nor the Brookfield Group are active in the market in question, nor in upstream or downstream markets.</w:t>
      </w:r>
    </w:p>
    <w:p>
      <w:r>
        <w:t>24. Other significant operators active in the market in question include, by way of example, the Thales Group and the Fincantieri Group.</w:t>
      </w:r>
    </w:p>
    <w:p>
      <w:r>
        <w:t>25. Given the negligible market share held by the Target and the absence of horizontal or vertical overlaps with the Acquirer, the Transaction does not appear to be capable of producing anti-competitive effects in the market for defense and security electronics, however defined, resulting in the replacement of one operator with another, which will take over - moreover - in a position of entirely marginal market presence.</w:t>
      </w:r>
    </w:p>
    <w:p>
      <w:r>
        <w:t>26. In light of the above considerations, it is believed that in the relevant markets the transaction will not have detrimental effects on competition, not resulting in substantial changes in the competitive structure of the same.</w:t>
      </w:r>
    </w:p>
    <w:p>
      <w:r>
        <w:t>THEREFORE, it is deemed that the transaction in question does not result, pursuant to Article 6, paragraph 1, of Law No. 287/90, in the establishment or strengthening of a dominant position in the relevant markets, such as to eliminate or substantially and durably reduce competition;</w:t>
      </w:r>
    </w:p>
    <w:p>
      <w:r>
        <w:rPr>
          <w:b/>
        </w:rPr>
        <w:t>[Pages 31–33]</w:t>
      </w:r>
    </w:p>
    <w:p>
      <w:r>
        <w:t>BULLETIN NO. 39 OF OCTOBER 4, 2021</w:t>
      </w:r>
    </w:p>
    <w:p>
      <w:r>
        <w:t>33</w:t>
        <w:br/>
        <w:t>CONSIDERING, furthermore, that the non-competition obligations between the parties are ancillary to the present transaction only to the extent described above and that the Authority reserves the right to evaluate the aforementioned agreements that exceed the indicated limits;</w:t>
      </w:r>
    </w:p>
    <w:p>
      <w:r>
        <w:t>RESOLUTION</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This provision will be published in the Bulletin of the Competition and Market Authority.</w:t>
      </w:r>
    </w:p>
    <w:p>
      <w:r>
        <w:t xml:space="preserve">THE SECRETARY GENERAL THE PRESIDENT </w:t>
        <w:br/>
        <w:t>Filippo Arena Roberto Rustichelli</w:t>
      </w:r>
    </w:p>
    <w:p>
      <w:r>
        <w:t>34 BULLETIN NO. 39 OF OCTOBER 4, 2021</w:t>
      </w:r>
    </w:p>
    <w:p>
      <w:r>
        <w:t xml:space="preserve">ACTIVITY OF REPORTING AND CONSULTATION </w:t>
        <w:br/>
        <w:t xml:space="preserve">AS1790 - MUNICIPALITY OF LAVELLO (PZ) - PURCHASE OF SHARES OF THE </w:t>
        <w:br/>
        <w:t xml:space="preserve">ASMEL CONSORTIUM COMPANY </w:t>
        <w:br/>
        <w:t xml:space="preserve">Rome, May 6, 2021 </w:t>
        <w:br/>
        <w:t xml:space="preserve">City of Lavello </w:t>
        <w:br/>
        <w:t xml:space="preserve">The Competition and Market Authority, in its meeting of April 27, 2021, resolved to express an opinion, pursuant to Article 21-bis of Law No. 287 of October 10, 1990, regarding the Resolution of the City Council (D.C.C.) No. 51 of December 29, 2020, concerning "Compliance pursuant to Article 37, paragraph 4, of Legislative Decree No. 50 of April 18, 2016 – Purchase of shares of the Asmel consortium s.c. a r.l. for adherence to the in-house procurement center", transmitted to the Authority on March 9, 2021, pursuant to Article 5, paragraph 3, of Legislative Decree No. 175/2016 (Consolidated Law on Publicly Held Companies – TUSPP). </w:t>
        <w:br/>
        <w:t xml:space="preserve">With Resolution No. 51/2020, the Municipality decided to join Asmel consortium s.c. a r.l. (hereinafter also "Asmel") through the purchase of a share of participation equal to € 2,025, for the purpose of conferring to said company the exercise of the activities and functions of the procurement center pursuant to Articles 37 and 38 of Legislative Decree No. 50/2016 (Public Contracts Code, hereinafter also CCP). With this resolution, the Municipality also acknowledged that Asmel consortium operates according to the in-house providing model and, recalling the regulations concerning auxiliary procurement services (Article 3, paragraph 2, letter m), and 39 CCP), approved the Statute of Asmel which expressly provides for the exercise of auxiliary procurement services. </w:t>
        <w:br/>
        <w:t xml:space="preserve">Asmel consortium is a company participated by 816 members, including hundreds of public entities holding negligible shares of a few hundred euros (mostly municipalities, some public companies, and some mountain unions and municipalities), as well as the companies Asmenet soc. cons. a r.l. and Asmenet Calabria soc. cons. a r.l., which in turn are participated by hundreds of public entities. The corporate purpose of Asmel consortium, pursuant to Article 2 of its corporate Statute, consists of the exercise, throughout the national territory, of the activities and functions of the procurement center pursuant to Articles 37 and 38 of the CCP. </w:t>
        <w:br/>
        <w:t xml:space="preserve">Article 13 of the Statute of Asmel consortium ("Administration, joint control and representation") provides that "the administration of the company is entrusted to a board of directors, composed of three members appointed for an indefinite period. Two members are chosen by the assembly even among non-members and one by the Asmez Consortium". </w:t>
        <w:br/>
        <w:t xml:space="preserve">With reference to the methods of exercising in-house providing, with the same Resolution No. 51/2020, the Municipality also approved the "Regulation of the activities of joint direction and control similar to the Asmel consortium s.c. a r.l.", which constitutes an integral and substantial part of the D.C.C. This Regulation establishes a "Joint Control Board" (Article 2), composed of three local administrators of member entities, in office for three years (unless confirmed), chosen from among the social assembly. </w:t>
        <w:br/>
        <w:t xml:space="preserve">Pursuant to Article 1 of the Regulation, the Board and/or the members carry out activities of: direction (preventive control: receipt by the company of the documentation necessary for the adoption of decisions of primary relevance); monitoring (concurrent control: receipt by the company of updates on the progress of corporate management and the entrusted services); verification (subsequent control: presentation by the company of the periodic report of corporate management and the services performed, in order to allow the member entities to exercise the powers pursuant to Articles 2422 and following of the Civil Code and the economic-financial control, to verify whether the economic-revenue results are in line with those expected, as well as to exercise control over corporate management "by verifying that the actions of the sole director are consistent with the resolutions and directions defined"). </w:t>
        <w:br/>
        <w:t xml:space="preserve">Furthermore, pursuant to Article 5 of the Regulation, the Board: exercises all control activities on the quality of administration and on the budget, also through the exercise of direct inspection powers "on any act of the sole director"; periodically monitors, "through the request for documents, periodic reports or hearings of the sole director the state of implementation of management activities"; subsequently verifies that "the activity carried out by the sole director has been carried out in accordance with the directives given"; "makes available on the company's website", in a reserved form to the members, the minutes and resolutions of its meetings; presents a "report on the activities carried out" at the end of the term of office. </w:t>
        <w:br/>
        <w:t xml:space="preserve">That said, also in light of the consolidated administrative jurisprudence, as well as the observations made by the National Anti-Corruption Authority (ANAC) regarding the Asmel association and the companies connected to it, the Authority deemed it appropriate to make the following considerations. </w:t>
        <w:br/>
        <w:t>First of all, Article 37, paragraph 4, of the CCP is recalled, in the part in which it provides that if the contracting authority is a municipality that is not a provincial capital, as in this case, among the various methods allowed for the acquisition of goods, services or works, recourse to a procurement center or qualified aggregators is provided. Article 3, paragraph 1, letter i), of the Public Contracts Code, therefore, defines a procurement center as "a contracting authority or an entity.</w:t>
      </w:r>
    </w:p>
    <w:p>
      <w:r>
        <w:rPr>
          <w:b/>
        </w:rPr>
        <w:t>[Pages 34–36]</w:t>
      </w:r>
    </w:p>
    <w:p>
      <w:r>
        <w:t>36 BULLETIN NO. 39 OF OCTOBER 4, 2021</w:t>
      </w:r>
    </w:p>
    <w:p>
      <w:r>
        <w:t>the awardee that provides centralization activities for contracts and, if applicable, auxiliary contracting activities.”</w:t>
      </w:r>
    </w:p>
    <w:p>
      <w:r>
        <w:t>That said, the activity of the contracting authority can be carried out, in addition to public entities, also by private entities, provided that the conditions for in-house awarding are met.</w:t>
      </w:r>
    </w:p>
    <w:p>
      <w:r>
        <w:t>As is known, for the recourse to in-house providing - pursuant to Article 5 of the CCP - the simultaneous existence of the requirements of public participation, predominant activity, and control similar to that exercised by the entity over its own administrative branches is necessary.</w:t>
      </w:r>
    </w:p>
    <w:p>
      <w:r>
        <w:t>Furthermore, paragraph 5 of the aforementioned Article 5 CCP states that joint similar control is exercised by an administration when all of the following conditions are met: a) the decision-making bodies of the controlled legal entity are composed of representatives from all awarding administrations or participating awarding entities. Individual representatives may represent various or all participating awarding administrations or entities; b) such awarding administrations or entities are able to jointly exercise a decisive influence on the strategic objectives and significant decisions of the said legal entity; c) the controlled legal entity does not pursue interests contrary to those of the awarding administrations or controlling awarding entities.</w:t>
      </w:r>
    </w:p>
    <w:p>
      <w:r>
        <w:t>In the case at hand, it should first be noted that, regarding the board of directors of Asmel consortile, the provision of the aforementioned Article 13 of the Statute – whereby the appointment of one of the three members is assigned to an entity external to the social structure (Consorzio Asmez) while the other two members can also be chosen from non-members – appears to be in conflict with the aforementioned Article 5, paragraph 5, CCP, where it provides that the social bodies must be composed of representatives of the awarding administrations.</w:t>
      </w:r>
    </w:p>
    <w:p>
      <w:r>
        <w:t>In this regard, the Tar Campania, sitting in Salerno, has indeed observed that “the administration of the company is entrusted to a board of directors whose composition shows ties with the private promoting entities, as it is composed of three members appointed for an indefinite period, two of whom are chosen by the assembly from among non-members and one designated by the consorzio Asmez, a consortium made up of private companies (which still hold 30 percent of the shares) and in which only subsequently have local entities acquired stakes.”</w:t>
      </w:r>
    </w:p>
    <w:p>
      <w:r>
        <w:t>Moreover, with reference to joint similar control, it is noted that recently the Council of State, with ruling no. 6975/2020, deemed this requirement not satisfied precisely in relation to Asmel consortile, observing that “even assuming the recourse to private entities, it should, however, involve in-house organisms, whose activity is limited to the territory of the founding municipalities, whereas, in the specific case, the provision for a legitimization to perform the function of a contracting authority at the national level would lack both the aspect of similar control and that of territorial limits.”</w:t>
      </w:r>
    </w:p>
    <w:p>
      <w:r>
        <w:t>Furthermore, pursuant to Article 2, paragraph 1, letter d), of Legislative Decree no. 175/2016 (TUSPP), joint similar control is “the situation in which the administration exercises with other administrations on a company a control similar to that exercised over its own services,” provided that the conditions of the aforementioned Article 5, paragraph 5, of Legislative Decree no. 50/2016 are met. Letter c), of the aforementioned Article 2, paragraph 1, of the TUSPP, in turn, qualifies similar control as “the situation in which the administration exercises on a company a control similar to that exercised over its own services, exercising a decisive influence both on the strategic objectives and on the significant decisions of the controlled company. This control can also be exercised by a different legal entity, which is in turn controlled in the same way by the participating administration.”</w:t>
      </w:r>
    </w:p>
    <w:p>
      <w:r>
        <w:t>The Tar Lombardia, sitting in Milan, with ruling no. 240/2020, also specifically regarding Asmel, highlighted that “the participation of a very high number of associated municipalities (in the order of thousands, by the applicant's own admission) also means that the individual small municipality associated with Asmel (Association) has a fragmented and diluted power as it is shared with a very high number of associates and, therefore, quite limited regarding associative life in relation to management guidelines, activities, the appointment of directors, etc.; It can be said that none of the municipalities adhering to the ‘Asmel system’ (excluding the founding municipality) has the ownership of an effective control power over the Association and, therefore, over Asmel Società Consortile a r.l., which goes beyond “a purely formal presence in the structure of such entity.”</w:t>
      </w:r>
    </w:p>
    <w:p>
      <w:r>
        <w:t>That said, although, as highlighted by administrative jurisprudence (ex multis, see Council of State, ruling of January 23, 2019, no. 578), joint similar control by a myriad of public members can be exercised, in the presence of certain circumstances, also through the provision of specific shareholders' agreements and/or the establishment of special bodies, in the specific case, the “Committee for similar control” and the adoption of the related “Regulation for the activities of guidance and joint similar control over the company Asmel consortile s.c. a r.l.” cannot be considered sufficient tools to meet the conditions set forth by the aforementioned Article 5, paragraph 5, letters a) and b), of the CCP for the exercise of joint similar control.</w:t>
      </w:r>
    </w:p>
    <w:p>
      <w:r>
        <w:t>Indeed, firstly, regarding the composition of the aforementioned committee, the fact that it is formed by only three members (among whom the same president is identified) in the face of thousands of members (considering also the indirectly associated entities through Asmenet s.c.a r.l. and Asmenet Calabria s.c. a r.l.) appears to be a critical element in terms of the actual representativeness of the will of the entire membership. Additionally, the Regulation does not even provide for the possibility that the assembly may revoke the appointment during the three years.</w:t>
      </w:r>
    </w:p>
    <w:p>
      <w:r>
        <w:t>Secondly, the control exercised through this body is to be considered purely formal, as it intervenes ex post with respect to the management activity, not allowing the actual exercise of the similar control required by law.</w:t>
      </w:r>
    </w:p>
    <w:p>
      <w:r>
        <w:t>The powers conferred to the committee, in fact, are not sufficient to influence the strategic choices of Asmel consortile and to express the common will of the members for the purpose of making “binding determinations for the administrative bodies,” considering that the guidance activity is limited to receiving documentation on the most significant decisions made by the company.</w:t>
      </w:r>
    </w:p>
    <w:p>
      <w:r>
        <w:t>The Court of Justice of the European Union has recognized as valid tools for the exercise of joint similar control (together with shareholders' agreements, ruling of November 29, 2012 in cases C-182/11 and 183/11, Econord) special bodies such as Joint Committees and Technical Committees (in the ruling of September 10, 2009 in case C-573/07, SEA) provided that: a) in them each public member has its own representative and that decisions are made with majorities formed by units and b) that powers of control and management are provided that restrict the decision-making autonomy of the board of directors by imposing guidelines and prescriptions, as well as providing for preventive consultative powers. In the SEA ruling, moreover, the CJEU observed that “To assess whether the contracting authority exercises on the awarded company a control similar to that exercised over its own services, it is necessary to take into account all the regulatory provisions and relevant circumstances. From this examination, it must emerge that the awarded company is subject to a control that allows the contracting authority to influence its decisions. It must be a possibility of decisive influence both on the strategic objectives and on the important decisions of the said company” (§ 65).</w:t>
      </w:r>
    </w:p>
    <w:p>
      <w:r>
        <w:t>Council of State, ruling of October 26, 2020, no. 6460: “The participating public members appoint common representatives in the decision-making bodies, agree on the most significant decisions for the social life, mutually control that the guidelines developed do not harm their own interests; the term “joint” then means “shared” exercise; it describes a management mode by the controlling public members characterized by coordination of decisions.”</w:t>
      </w:r>
    </w:p>
    <w:p>
      <w:r>
        <w:t>The mere activity of monitoring and/or ex post control, therefore, cannot be considered by itself an element suitable to allow the public member to jointly exercise a decisive influence on the strategic objectives and significant decisions of the company. This assumption finds support in the aforementioned ruling no. 1/2021 of the Tar Salerno, in the part where it highlights the absence of joint similar control by the member municipalities of Asmel as “the committee for similar control indeed has only a formal role, which makes the members and the committee recipients of mere information, without any power of guidance.”</w:t>
      </w:r>
    </w:p>
    <w:p>
      <w:r>
        <w:t>Furthermore, in the absence of the prerequisites for in-house providing, it is to be considered that Asmel consortile cannot even be directly entrusted with auxiliary contracting activities which, pursuant to Article 39, paragraph 2, CCP, can be entrusted to service providers following a competitive procedure, unless it is a sub-threshold award pursuant to Article 36, letter a), CCP, as noted in the aforementioned ruling of the Tar Salerno.</w:t>
      </w:r>
    </w:p>
    <w:p>
      <w:r>
        <w:t>Lastly, also regarding auxiliary contracting activities, it is noted that, should the Municipality of Lavello intend to entrust these services directly to Asmel consortile while respecting the prerequisites of Article 36 CCP, it cannot require the payment of a fee from the awarded competitor for the provision of auxiliary contracting services, as this burden also affects the offer, as it “reduces the possibility for the competitors to formulate their proposal in a fully free manner, impacting the ability to develop a technical and economic proposal that is a concrete expression of entrepreneurial choices constrained solely by the technical needs of the contracting authority, by the formulated base auction, and by the interests of the competitor itself” (see Tar Campania, Salerno section, ruling no. 1/2021).</w:t>
      </w:r>
    </w:p>
    <w:p>
      <w:r>
        <w:t>In light of the above considerations, it is believed that the Resolution of the City Council 51/2020 of the Municipality of Lavello violates Articles 5, paragraph 5, 38, and 39 of the CCP, as well as Article 2, paragraph 1, letters c) and d), of the TUSPP.</w:t>
      </w:r>
    </w:p>
    <w:p>
      <w:r>
        <w:t>Pursuant to Article 21-bis, paragraph 2, of Law no. 287/90, this Administration must communicate to the Authority, within sixty days from the receipt of this opinion, the initiatives taken to remove the competition violations outlined above. If within the aforementioned term such initiatives do not prove to be compliant with the competitive principles expressed above, the Authority may file an appeal within the following thirty days.</w:t>
      </w:r>
    </w:p>
    <w:p>
      <w:r>
        <w:t>This opinion will be published in the Bulletin of the Authority for the Guarantee of Competition and the Market.</w:t>
      </w:r>
    </w:p>
    <w:p>
      <w:r>
        <w:t>THE PRESIDENT</w:t>
        <w:br/>
        <w:t>Roberto Rustichelli</w:t>
      </w:r>
    </w:p>
    <w:p>
      <w:r>
        <w:t>so that the public interests pursued by each of the participating entities are synthesized in the common public interest pursued by the company in the execution of the service. For there to be shared control, it is then essential to have a seat in which the common will can take the form of binding determinations for the administrative bodies and that is not the assembly of members due to the prevalence that majority members exercise according to ordinary deliberative rules (principle of majority shareholding) and due to the predominance, in the resolutions adopted therein, of the interest in the economic result of the company.</w:t>
      </w:r>
    </w:p>
    <w:p>
      <w:r>
        <w:rPr>
          <w:b/>
        </w:rPr>
        <w:t>[Pages 37–39]</w:t>
      </w:r>
    </w:p>
    <w:p>
      <w:r>
        <w:t>BULLETIN NO. 39 OF OCTOBER 4, 2021</w:t>
      </w:r>
    </w:p>
    <w:p>
      <w:r>
        <w:t>Communication regarding the failure of the City of Lavello (PZ) to comply with the opinion expressed by the Authority pursuant to Article 21-bis of Law No. 287/1990 regarding the Resolution of the City Council No. 51 of December 29, 2020, "Compliance pursuant to Article 37, paragraph 4, of Legislative Decree No. 50 of April 18, 2016 – Purchase of shares of the company Asmel consortile s.c. a r.l. for adherence to the in-house procurement center."</w:t>
      </w:r>
    </w:p>
    <w:p>
      <w:r>
        <w:t>In the opinion adopted in the meeting of April 27, 2021, pursuant to Article 21-bis of Law No. 287/1990, the Authority noted the existence of certain competitive criticalities attributable to the lack of prerequisites for a legitimate in-house assignment of the procurement center services and auxiliary procurement to Asmel consortile s.c. a r.l., in light of what is provided for by the Statute of Asmel consortile s.c. a r.l. and the Regulation on analogous control, both approved by the City with the Resolution in question.</w:t>
      </w:r>
    </w:p>
    <w:p>
      <w:r>
        <w:t>By communications dated June 29, 2021, and July 6, 2021, the Municipality of Lavello informed the Authority of some amendments planned to the Statute and the Regulation for the analogous control of Asmel consortile aimed at allowing its registration in the list of contracting authorities operating through in-house bodies pursuant to Article 192, paragraph 1, of Legislative Decree No. 50/2016, which, however, do not appear to have been approved by the shareholders' meeting and consequently implemented.</w:t>
      </w:r>
    </w:p>
    <w:p>
      <w:r>
        <w:t>Noting the failure of the administration to comply with the aforementioned reasoned opinion, the Italian Competition Authority, in its meeting of August 31, 2021, decided to challenge before the Regional Administrative Court for Basilicata the Resolution of the City Council of Lavello No. 51 of December 29, 2020, "Compliance pursuant to Article 37, paragraph 4, of Legislative Decree No. 50 of April 18, 2016 – Purchase of shares of the company Asmel consortile s.c. a r.l. for adherence to the in-house procurement center."</w:t>
      </w:r>
    </w:p>
    <w:p>
      <w:r>
        <w:t>AS1791 – SICILIAN REGION – MODALITIES FOR ACCESS TO FREE CHOICE PEDIATRICS</w:t>
      </w:r>
    </w:p>
    <w:p>
      <w:r>
        <w:t>Rome, September 21, 2021</w:t>
      </w:r>
    </w:p>
    <w:p>
      <w:r>
        <w:t>Department of Health of the Sicilian Region</w:t>
      </w:r>
    </w:p>
    <w:p>
      <w:r>
        <w:t>Provincial Health Authority of Catania</w:t>
      </w:r>
    </w:p>
    <w:p>
      <w:r>
        <w:t>Ministry of Health</w:t>
      </w:r>
    </w:p>
    <w:p>
      <w:r>
        <w:t>The Italian Competition Authority, in exercising the power conferred by Article 21 of Law No. 287 of October 10, 1990, in its meeting of September 14, 2021, resolved to formulate the following considerations regarding the competitive criticalities arising from the modalities of access to the profession of Free Choice Pediatrician (PLS) in the Sicilian Region.</w:t>
      </w:r>
    </w:p>
    <w:p>
      <w:r>
        <w:t>For the assignment of new PLS positions, the discipline arising from the National Collective Agreement of Free Choice Pediatricians (ACN) and from the regional supplementary agreement for Pediatrics (AIR, or the Decree of the Health Commissioner of the Sicilian Region of June 29, 2011, containing "Regional supplementary agreement for pediatrics," published in the Official Gazette of the Sicilian Region on July 22, 2011) distinguishes between so-called ordinary territorial areas with shortages and areas in extraordinary shortage or assistance distress.</w:t>
      </w:r>
    </w:p>
    <w:p>
      <w:r>
        <w:t>Regarding the application of the discipline arising from the agreements by the Region and the Provincial Health Authorities, the Authority considers it appropriate to make the following observations, with reference to the adoption of calls for a reduced number of positions in light of the assistance distress and the assignment of patients in excess to the available pediatricians.</w:t>
      </w:r>
    </w:p>
    <w:p>
      <w:r>
        <w:t>As for the first aspect, regarding the calls aimed at inserting a reduced number of positions among the PLS in light of the assistance distress, Article 21 of the AIR ("Areas in assistance distress") is recalled, which governs the coverage of areas in extraordinary shortage or assistance distress. In particular, paragraph 6 provides that: "In any case, the entry of new pediatricians will be gradual and therefore, if the calculation should involve the insertion of more pediatricians, the Company must insert only one unit and reassess within the company committee, after 12 months, the persistence of the distress conditions, according to what has been previously specified and the potential for accommodating the area."</w:t>
      </w:r>
    </w:p>
    <w:p>
      <w:r>
        <w:t>Thus, the application of this provision has resulted in – in light of numerous areas where a shortage of PLS was recorded across different territorial areas in assistance distress – the competent Committees of the Provincial Health Authorities (ASP), such as the ASP of Catania, approving a number of new assignments significantly lower than the established need for PLS.</w:t>
      </w:r>
    </w:p>
    <w:p>
      <w:r>
        <w:t>What has just been stated constitutes a competitive criticality, as it unjustifiably restricts access to the profession of PLS despite high demand, thereby impacting the freedom of choice of the patients, guaranteed also by Law No. 833/1978.</w:t>
      </w:r>
    </w:p>
    <w:p>
      <w:r>
        <w:t>This decision does not appear to be justified even by reasons of cost-effectiveness, considering that the provision of new assignments in a number adequate to the need does not alter the public health expenditure related to primary pediatrics, since the economic treatment of contracted pediatricians for primary care consists of a fixed fee per patient and a variable fee, as provided for by Article 28 of the ACN.</w:t>
      </w:r>
    </w:p>
    <w:p>
      <w:r>
        <w:t>The selection of a number of pediatricians lower than the actual need results, conversely, in an additional serious competitive criticality potentially capable of impacting the protection of health guaranteed by Article 32 of the Constitution, consisting of the assignment of patients in excess to the available pediatricians.</w:t>
      </w:r>
    </w:p>
    <w:p>
      <w:r>
        <w:t>Article 38, paragraph 1, of the ACN specifies that pediatricians registered in the lists can acquire a maximum number of choices equal to 800 units, as also confirmed by the regional agreement. This limit can be exceeded, as a result of the exceptions provided for by Article 32 (newborns and members of families in which the pediatrician is already caring for another pediatric patient), however for a limited period of time and not exceeding 10% of the maximum, thus the maximum ceiling is equal to 880 units. Furthermore, pursuant to Articles 39 paragraphs 7, 9, and 11, as well as Article 38, paragraph 13, of the ACN, temporary choices (non-EU patients and non-resident patients), patients over fourteen years old with chronic diseases (and until the sixteenth year of age), and patients who have exercised the right of revocation towards an over-maximal pediatrician do not count towards the determination of the maximum.</w:t>
      </w:r>
    </w:p>
    <w:p>
      <w:r>
        <w:t>The fact that certain categories of patients are excluded from the maximum further impacts the distortion arising from the provision to exceed the maximum of 800 patients.</w:t>
      </w:r>
    </w:p>
    <w:p>
      <w:r>
        <w:rPr>
          <w:b/>
        </w:rPr>
        <w:t>[Pages 40–42]</w:t>
      </w:r>
    </w:p>
    <w:p>
      <w:r>
        <w:t>42 BULLETIN NO. 39 OF OCTOBER 4, 2021</w:t>
      </w:r>
    </w:p>
    <w:p>
      <w:r>
        <w:t>configuring for the available pediatrician a number of patients exceeding well beyond the limit of 880. Furthermore, in practice, there is also a tendency to exceed this limit, allowing available PLS to accept up to a thousand choices, as decided by the Pediatric Company Committee of the ASP of Catania in the meeting of October 30, 2019, which states to "Resort to what is provided for in Article 39 - paragraph 12/ACN3 by assigning in excess the patients to available pediatricians within a maximum of 1000 choices," instead of calling for procedures to identify new PLS.</w:t>
      </w:r>
    </w:p>
    <w:p>
      <w:r>
        <w:t>Additionally, the chronic assignment of a number exceeding the limit to available pediatricians appears to be a widespread practice at the ASP of Catania, divided into 9 territorial areas, where currently 122,080 patients are assisted by 148 pediatricians of free choice, of which 62 (equal to 42%) are over-limit, meaning they have more than 880 patients. This can only negatively impact the level of services offered to patients, clearly influenced by the abnormal number of patients determined by the blockage of new pediatricians entering the system.</w:t>
      </w:r>
    </w:p>
    <w:p>
      <w:r>
        <w:t>In this perspective, the Authority has already hoped for a reconsideration, at the national level, of the calculation methods for the optimal ratio for determining the number of active general pediatricians in a given territorial area, in order to make the calculation basis consistent with the number of children actually assisted by general pediatricians, with a view to improving the offer and well-being of users, without altering the public health expenditure related to general pediatrics. The administrative jurisprudence has also expressed itself along the same lines, recently finding a violation of competitive principles by stating that, "an unjustified restriction has effectively been created on access to the profession of free choice pediatrics, which has thus become, substantially, a closed number. In this regard, it is noted that the small number of entries allowed by the regional notices challenged here is disrespectful of the pro-competitive principles to which the administration's actions should instead conform in light of the significant staffing shortages found in the records, which are compensated by increasing the number of patients assigned to each pediatrician, exceeding the limits imposed by the ACN, and restricting the pool of available pediatricians for users."</w:t>
      </w:r>
    </w:p>
    <w:p>
      <w:r>
        <w:t>In conclusion, considering that from what has been stated an unjustified restriction on access to the profession of PLS is configured, with serious repercussions also on the level of services offered and, consequently, on the right to health guaranteed by Article 32 of the Constitution, the Authority hopes for a reconsideration of the criteria adopted for the inclusion of new pediatricians in areas experiencing care shortages, ensuring the expansion of the number of active pediatricians.</w:t>
      </w:r>
    </w:p>
    <w:p>
      <w:r>
        <w:t>The Authority also hopes for the limitation of recourse to the derogation of the limits provided for in Article 12, paragraph 3, ACN, allowing it only and exclusively for a clearly determined time, as well as the adoption of a mechanism that allows for the consideration for the determination of the limit also of temporary choices (non-EU patients and non-resident patients), of patients over fourteen years old with chronic pathologies (up to the age of sixteen), and of patients who have exercised the right of revocation towards an over-limit pediatrician, in order to make the related count of patients more consistent with the number of patients actually assisted by the PLS.</w:t>
      </w:r>
    </w:p>
    <w:p>
      <w:r>
        <w:t>Finally, the Authority invites these Administrations to communicate, within thirty days from the receipt of this report, the decisions taken regarding the competitive issues highlighted above.</w:t>
      </w:r>
    </w:p>
    <w:p>
      <w:r>
        <w:t>This report will be published in the Bulletin referred to in Article 26 of Law No. 287/90.</w:t>
      </w:r>
    </w:p>
    <w:p>
      <w:r>
        <w:t xml:space="preserve">THE PRESIDENT </w:t>
        <w:br/>
        <w:t>Roberto Rustichelli</w:t>
      </w:r>
    </w:p>
    <w:p>
      <w:r>
        <w:t>44 BULLETIN NO. 39 OF OCTOBER 4, 2021</w:t>
      </w:r>
    </w:p>
    <w:p>
      <w:r>
        <w:t>AS1792 - MUNICIPALITY OF CASTELLANETA (TA) - EXTENSION OF MARITIME PUBLIC CONCESSIONS FOR TOURIST-RECREATIONAL PURPOSES</w:t>
      </w:r>
    </w:p>
    <w:p>
      <w:r>
        <w:t>Rome, May 21, 2021</w:t>
      </w:r>
    </w:p>
    <w:p>
      <w:r>
        <w:t>Municipality of Castellaneta</w:t>
      </w:r>
    </w:p>
    <w:p>
      <w:r>
        <w:t>The Antitrust Authority, in its meeting of May 18, 2021, resolved to express its opinion, pursuant to Article 21-bis of Law No. 287 of October 10, 1990, regarding the Municipal Council Resolution of December 17, 2020, No. 143, concerning "Law No. 145 of December 30, 2018 &lt;&lt;State Budget for the financial year 2019 and Multiannual Budget for the three-year period 2019-2021&gt;&gt;, Article 1, paragraphs 682, 683, 684 in conjunction with Law No. 77 of July 17, 2010, converting into law, with amendments, Decree-Law No. 34 of May 19, 2010. Guidance Act for the application of the ex lege extension of the duration of existing maritime public concessions for tourist-recreational purposes," and any other act presupposed and consequent to it.</w:t>
      </w:r>
    </w:p>
    <w:p>
      <w:r>
        <w:t>In particular, through the aforementioned administrative act, the Municipality of Castellaneta has extended the duration of concessions of maritime public property for tourist-recreational purposes in favor of existing concessionaires, based on what is provided for in Article 1, paragraphs 682, 683, and 684, of Law No. 145/2018 (which has established a new expiration date for maritime public concessions for tourist-recreational purposes as of December 31, 2033), as well as Article 182, paragraph 2, of Decree-Law No. 34 of May 19, 2020, as converted by Law No. 77 of July 17, 2020 (insofar as these provisions refer, confirming it, to the mechanism of ex lege extension of maritime public concessions).</w:t>
      </w:r>
    </w:p>
    <w:p>
      <w:r>
        <w:t>In general terms, the Authority reminds that, in matters concerning the assignment of the use of public property (falling within the public domain or the unavailable assets of the State or local authorities), the identification of the private contractor must occur through the conduct, by the Public Administration, of public evidence procedures.</w:t>
      </w:r>
    </w:p>
    <w:p>
      <w:r>
        <w:t>1 Including therein the existing maritime public concessions as of January 1, 2019, relating to: management of bathing establishments; catering and beverage service, precooked food and monopoly goods; rental of boats and vessels in general; management of accommodation facilities and recreational and sports activities; commercial establishments; services of another nature, compatible with the utilization needs of the previous categories.</w:t>
      </w:r>
    </w:p>
    <w:p>
      <w:r>
        <w:t>2 See, among others, Council of State, ruling of September 25, 2009, No. 5765, and Council of State, Section VI, ruling of November 18, 2019, No. 7874, as well as, lastly, Council of State, Section IV, ruling of February 16, 2021, No. 1416 and Council of State, Section VI, ruling of March 9, 2021, No. 2002.</w:t>
      </w:r>
    </w:p>
    <w:p>
      <w:r>
        <w:t>In this sense, ANAC has also expressed itself with the resolution of January 17, 2019, No. 25.</w:t>
      </w:r>
    </w:p>
    <w:p>
      <w:r>
        <w:rPr>
          <w:b/>
        </w:rPr>
        <w:t>[Pages 43–45]</w:t>
      </w:r>
    </w:p>
    <w:p>
      <w:r>
        <w:t>BULLETIN NO. 39 OF OCTOBER 4, 2021</w:t>
      </w:r>
    </w:p>
    <w:p>
      <w:r>
        <w:t>45</w:t>
        <w:b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national legislation that allows for the automatic extension of existing public domain concessions for tourist-recreational activities must be considered in violation of these provisions.</w:t>
      </w:r>
    </w:p>
    <w:p>
      <w:r>
        <w:t>Furthermore, Directive 2006/123/EC (the so-called Services Directive) provides, in Article 12, that “where the number of authorizations available for a specific activity is limited due to the scarcity of natural resources or usable technical capacities, Member States shall apply a selection procedure among potential candidates, which presents guarantees of impartiality and transparency and provides, in particular, adequate publicity for the initiation of the procedure and its conduct and completion” (par. 1), and that, in such cases, “the authorization is granted for a limited duration and may not provide for an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cited Directive, conflicting in turn with the principles of free movement and freedom of establishment, its relative disapplication is imposed.</w:t>
      </w:r>
    </w:p>
    <w:p>
      <w:r>
        <w:t>In this sense, the Authority, in previous advocacy interventions, has repeatedly expressed the need to proceed with the awarding of concessions – including those concerning public maritime domain assets for tourist-recreational purposes – through the conduct of public evidence procedures.</w:t>
      </w:r>
    </w:p>
    <w:p>
      <w:r>
        <w:t>In particular, it has been observed that in markets where, due to the specific objective characteristics of technical, economic, and financial activities, there is exclusivity or a limited number of subjects are allowed to operate, the awarding of concessions must still occur through transparent and competitive tendering procedures, in order to mitigate the distorting effects of competition associated with the privileged position attributed to the concessionaire.</w:t>
      </w:r>
    </w:p>
    <w:p>
      <w:r>
        <w:t>3 See the judgment of the Court of Justice of July 14, 2016, joined cases C-458/14 and C-67/15, Promoimpresa srl et al. v. Consortium of the municipalities of the Brescia Shore of Lake Garda and Lake Idro et al.</w:t>
      </w:r>
    </w:p>
    <w:p>
      <w:r>
        <w:t>4 It is recalled, in fact, that according to established European jurisprudence, all national administrations, in the exercise of their functions, are required to apply the provisions of European law, disapplying national norms that are not compliant; see, among others, the judgments issued by the Court of Justice of the European Union in case 103/88, Fratelli Costanzo v. Municipality of Milan, as well as in case C-224/97, Ciola, and in case C-198/01, Consortium of Matchstick Industries (CIF) v. Competition Authority and Market.</w:t>
      </w:r>
    </w:p>
    <w:p>
      <w:r>
        <w:t>In this sense, the Court of Justice of the European Union has reiterated, most recently in the judgment of December 4, 2018, case C-378/17, that “the principle of the primacy of Union law imposes not only on judicial bodies but also on all institutions of the Member State to give full effect to Union rules” (par. 39), and has recalled that the disapplication of the internal norm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Court of Justice of the European Union in case 106/77, Administration of State Finances v. Simmenthal SpA, in case C-119/05, Lucchini, in case C-614/14, Ognyanov, and in joined cases C-52/16 and C-113/16, “SEGRO” Kft.</w:t>
      </w:r>
    </w:p>
    <w:p>
      <w:r>
        <w:t>5 See the report made by the Authority on December 12, 2018, pursuant to Articles 21 and 22 of Law No. 287/1990 (AS1550 – Concessions and competitive issues, in Bulletin No. 48/2018).</w:t>
      </w:r>
    </w:p>
    <w:p>
      <w:r>
        <w:t>6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w:t>
      </w:r>
    </w:p>
    <w:p>
      <w:r>
        <w:t>46 BULLETIN NO. 39 OF OCTOBER 4, 2021</w:t>
      </w:r>
    </w:p>
    <w:p>
      <w:r>
        <w:t>With specific reference to the procedures and measures for the extension of existing concessions, the Authority has repeatedly emphasized that it is in the interest of the market to carefully balance short-term benefits against the possible costs that may manifest over a longer time horizon.</w:t>
      </w:r>
    </w:p>
    <w:p>
      <w:r>
        <w:t>The granting of extensions in favor of existing concessionaires, in fact, further postpones competitive confrontation for the market, thus preventing the benefits that would arise from periodic competition for the awarding through public evidence procedures. Therefore, any extensions of the awards should not exceed the actual needs of the Administrations, to allow for the efficient allocation of public resources through competitive procedures as soon as possible.</w:t>
      </w:r>
    </w:p>
    <w:p>
      <w:r>
        <w:t>Finally, in the recent report pursuant to Articles 21 and 22 of Law No. 287/90 regarding “Proposals for competitive reform for the Annual Law for the Market and Competition for the year 2021” dated March 22, 2021, sent to the President of the Council of Ministers, the Authority observed how the awarding of concessions through competitive procedures allows for the full enhancement of the public domain asset of the Italian coasts which, as recognized also in Article 1, protects competition, respecting the principles of free movement of services, equal treatment, impartiality, proportionality, non-discrimination, and transparency.</w:t>
      </w:r>
    </w:p>
    <w:p>
      <w:r>
        <w:t>In this regard, see, among others, TAR Veneto, judgment No. 218/2020, TAR Puglia, judgment No. 36/2020, and Council of State, Section VI, judgment No. 7874/2019, cited; as well as, most recently, on the subject of the automatic extension of existing public maritime concessions, TAR Toscana, judgment No. 363/2021, Council of State, Section IV, judgment February 16, 2021, No. 1416, cited, and Council of State, Section VI, judgment March 9, 2021, No. 2002, cited. In particular, in the last two cited judgments, the Council of State ruled, in the first case, that “any national or regional legislation must in this matter be inspired by the rules of the European Union regarding the calling of tenders (see Cons. Stato, Section VI, April 13, 2017, No. 1763), given the direct effectiveness in the internal legal order of the Member States of the Court's rulings,” and, in the second case, that “the new context is characterized by the consideration of the effectiveness of the Union legal framework, which can be inferred, in support of the municipality's thesis, from the well-known judgment of the Court of the EU Promoimpresa of July 14, 2016, as a legal framework that imposes the selective procedure, where the municipality decides to outsource the management of beaches for tourist-recreational purposes due to the scarcity of the aforementioned resource.”</w:t>
      </w:r>
    </w:p>
    <w:p>
      <w:r>
        <w:t>In particular, regarding the disapplication of national legislation conflicting with Union law, reference is also made, most recently, to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still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during the precise fulfillment of the institutional tasks of that body, with the consequence that the related ruling is binding”) and TAR Campania, judgment No. 265, of January 29, 2021 (where the Judge noted that “The plaintiff's assumption of the automatic fifteen-year extension of the relationship established with previous public maritime concessions collides, therefore, against the disapplicative jurisprudential direction of the dilatory legislative norms issued in this subject matter, advocated also by this Section in judgments No. 1697 of October 2, 2019, and No. 221 of February 10, 2020, and inspired by the ruling established in this matter by the Court of Justice of the EU, Section V, in the cited judgment of July 14, 2016, C-458/14 and C-67/15”).</w:t>
      </w:r>
    </w:p>
    <w:p>
      <w:r>
        <w:t>7 It is also recalled that the Court of Justice of the European Union, in establishing that the awarding of public maritime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national legislation providing for an automatic extension by law of the expiration date of such concessions amounts to an automatic renewal in contrast with the provisions of Article 12, par. 2, of Directive 2006/123/EC (see CJEU, Section V, judgment of July 14, 2016, joined cases C-458/14 and C-67/15, cited).</w:t>
      </w:r>
    </w:p>
    <w:p>
      <w:r>
        <w:t>8 See the report made by the Authority on July 1, 2020, pursuant to Article 21 of Law No. 287/1990, AS 1684 – Observations regarding the provisions contained in the Relaunch Decree, in Bulletin No. 28/2020. See also the reports AS 135 – Extensions of highway concessions, in Bulletin No. 19/98; AS491 – Provisions on the granting of public domain concessions and on the direct exercise of administrative functions in the field of maritime domain, in Bulletin No. 46/2008; AS1114 – Concession regime present in the port of Livorno, in Bulletin No. 12/2014; AS1137 – Proposals for competitive reform for the annual law for the market and competition for the year 2014, in Bulletin No. 27/2014.</w:t>
      </w:r>
    </w:p>
    <w:p>
      <w:r>
        <w:t>BULLETIN NO. 39 OF OCTOBER 4, 2021</w:t>
      </w:r>
    </w:p>
    <w:p>
      <w:r>
        <w:t>47</w:t>
        <w:br/>
        <w:t>paragraph 675, of the same Law No. 145/2018, represents a strategic element for the economic system of the Country.</w:t>
      </w:r>
    </w:p>
    <w:p>
      <w:r>
        <w:t>These principles have recently been confirmed by TAR Toscana, which fully accepted the appeal pursuant to Article 21-bis of Law No. 287/90 with which the undersigned Authority challenged a measure (issued by another municipal Administration) similar to the one under examination, thus recognizing the full legitimacy of the Authority's intervention, in the exercise of the powers conferred upon it by the aforementioned provision, regarding the automatic extension, without tender, of public maritime concessions for tourist-recreational purposes.</w:t>
      </w:r>
    </w:p>
    <w:p>
      <w:r>
        <w:t>In light of all that precedes, the Authority believes that, for the reasons outlined above, this Municipality should have disapplied the national legislation underlying the cited administrative act (Municipal Council Resolution No. 143/2020) due to its contradiction with the principles and EU regulations mentioned above. The provisions regarding the extension of public maritime concessions for tourist-recreational purposes contained in the administrative measure in question indeed constitute specific violations of competitive principles, insofar as they prevent the competitive confrontation that should be guaranteed in the awarding of services affecting scarce public domain resources, in a market context where competitive dynamics are already particularly weakened due to the long duration of the currently existing concessions.</w:t>
      </w:r>
    </w:p>
    <w:p>
      <w:r>
        <w:t>In conclusion, therefore, the municipal administrative act in question (Municipal Council Resolution No. 143 of December 17, 2020) is in contrast with Articles 49 and 56 of the TFEU, as it is likely to unjustifiably limit the freedom of establishment and the free movement of services in the internal market, as well as with the EU regulatory provisions regarding public awards, with particular reference to Article 12 of the so-called Services Directive.</w:t>
      </w:r>
    </w:p>
    <w:p>
      <w:r>
        <w:t>Pursuant to Article 21-bis, paragraph 2, of Law No. 287/1990, the Municipality of Castellaneta must therefore communicate to the Authority, within sixty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subsequent thirty days.</w:t>
      </w:r>
    </w:p>
    <w:p>
      <w:r>
        <w:t xml:space="preserve">THE PRESIDENT </w:t>
        <w:br/>
        <w:t>Roberto Rustichelli</w:t>
      </w:r>
    </w:p>
    <w:p>
      <w:r>
        <w:t>_______________________________________________________________________________</w:t>
      </w:r>
    </w:p>
    <w:p>
      <w:r>
        <w:t>9 See judgment No. 363 of March 8, 2021, cited.</w:t>
      </w:r>
    </w:p>
    <w:p>
      <w:r>
        <w:t>10 In particular, TAR Toscana annulled the Executive Determination No. 408 of May 21, 2020, of the Municipality of Piombino, subject to reasoned opinion of the Authority pursuant to Article 21-bis of Law No. 287/90 (see AS1701 – Municipality of Piombino (LI): public maritime concessions for tourist-recreational purposes, in Bulletin No. 41/2020), with which the local authority in question had initiated the procedure for the extension of the temporal validity of the public maritime concessions existing in the municipal territory without proceeding with the comparative procedure provided for in Article 12 of Directive 2006/123/EC. In this ruling, the administrative judge expressly stated that the Municipality should have disapplied the national normative provisions that provide for automatic extensions without tender of the concessions, due to their conflict with the EU legislation referred to in Article 12 of Directive 2006/123/EC, and carry out public evidence procedures for the identification of new concessionaires once the existing concessions expire.</w:t>
      </w:r>
    </w:p>
    <w:p>
      <w:r>
        <w:rPr>
          <w:b/>
        </w:rPr>
        <w:t>[Pages 46–47]</w:t>
      </w:r>
    </w:p>
    <w:p>
      <w:r>
        <w:t>48 BULLETIN NO. 39 OF OCTOBER 4, 2021</w:t>
      </w:r>
    </w:p>
    <w:p>
      <w:r>
        <w:t>Communication regarding the failure of the Municipality of Castellaneta to comply with the reasoned opinion expressed by the Authority, pursuant to Article 21-bis of Law No. 287/1990, against the Resolution of the Municipal Executive of December 17, 2020, No. 143, concerning the automatic extension, without public tender, of the temporal validity of the maritime state concessions for tourism and recreational purposes in force, particularly in execution of the legislative provisions for the extension of the deadline to December 31, 2033 (Law No. 145/2018, Article 1, paragraphs 682, 683, and 684, and the so-called Relaunch Decree).</w:t>
      </w:r>
    </w:p>
    <w:p>
      <w:r>
        <w:t>In its meeting of May 18, 2021, the Antitrust Authority decided to send a reasoned opinion pursuant to Article 21-bis of Law No. 287 of October 10, 1990, regarding the content of the Resolution of the Municipal Executive of December 17, 2020, No. 143, adopted by the Municipality of Castellaneta and concerning the automatic extension to December 31, 2033, of the temporal validity of the maritime state concessions for tourism and recreational purposes located in the municipal territory.</w:t>
      </w:r>
    </w:p>
    <w:p>
      <w:r>
        <w:t>In particular, with the aforementioned Resolution of the Municipal Executive, the Municipality of Castellaneta ordered the automatic extension, without public tender, of the temporal deadline of the maritime state concessions for tourism and recreational purposes, applying the aforementioned national legislation which, however - being in contrast with EU law, and in particular with Articles 49 and 56 of the TFEU and with the principles of competition and public evidence in assignments - should have been disapplied.</w:t>
      </w:r>
    </w:p>
    <w:p>
      <w:r>
        <w:t>Following the receipt of said reasoned opinion, the Municipality of Castellaneta did not provide the Authority, within the legal deadlines, with any feedback.</w:t>
      </w:r>
    </w:p>
    <w:p>
      <w:r>
        <w:t>Having noted the failure of the municipal administration to comply with the reasoned opinion, the Antitrust Authority, in its meeting of July 27, 2021, decided to challenge before the Regional Administrative Court for Puglia the Resolution of the Municipal Executive of December 17, 2020, No. 143, adopted by the Municipality of Castellaneta and concerning the automatic extension without tender of the municipal maritime concessions for tourism and recreational use.</w:t>
      </w:r>
    </w:p>
    <w:p>
      <w:r>
        <w:t>Antitrust Authority Weekly Bulletin</w:t>
        <w:br/>
        <w:t>of Competition and Market Year XXXI - No. 39 - 2021</w:t>
        <w:br/>
        <w:t>Editorial Coordination Giulia Antenucci</w:t>
        <w:br/>
        <w:t>Editorial Staff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