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https://www.agcm.it/dotcmsdoc/bollettini/2023/39-23.pdf</w:t>
      </w:r>
    </w:p>
    <w:p>
      <w:r>
        <w:t>Pages translated : 57</w:t>
      </w:r>
    </w:p>
    <w:p/>
    <w:p>
      <w:r>
        <w:rPr>
          <w:b/>
        </w:rPr>
        <w:t>[Pages 1–3]</w:t>
      </w:r>
    </w:p>
    <w:p>
      <w:r>
        <w:t>Bulletin</w:t>
        <w:br/>
        <w:t>Weekly</w:t>
        <w:br/>
        <w:t>Year XXXIII - no. 39</w:t>
        <w:br/>
        <w:t>Published on the website www.agcm.it</w:t>
        <w:br/>
        <w:t>16 October 2023</w:t>
      </w:r>
    </w:p>
    <w:p>
      <w:r>
        <w:t>SUMMARY</w:t>
        <w:br/>
        <w:t>AGREEMENTS AND ABUSE OF DOMINANT POSITION 5</w:t>
        <w:br/>
        <w:t>I820 - MONTHLY BILLING WITH TARIFF RESTRUCTURING</w:t>
        <w:br/>
        <w:t>Measure no. 30791 5</w:t>
        <w:br/>
        <w:t>I820 - MONTHLY BILLING WITH TARIFF RESTRUCTURING</w:t>
        <w:br/>
        <w:t>Measure no. 30792 8</w:t>
        <w:br/>
        <w:t>I820 - MONTHLY BILLING WITH TARIFF RESTRUCTURING</w:t>
        <w:br/>
        <w:t>Measure no. 30793 11</w:t>
        <w:br/>
        <w:t>I820 - MONTHLY BILLING WITH TARIFF RESTRUCTURING</w:t>
        <w:br/>
        <w:t>Measure no. 30794 14</w:t>
        <w:br/>
        <w:t>A569 - NATIONAL CONSORTIUM OF USED OILS CONOU - RESTRICTIVE CONDUCT IN THE</w:t>
        <w:br/>
        <w:t>REGENERATION SECTOR</w:t>
        <w:br/>
        <w:t>Measure no. 30797 17</w:t>
        <w:br/>
        <w:t>CONCENTRATION OPERATIONS 34</w:t>
        <w:br/>
        <w:t>C12564 - FIBONACCI BIDCO/OCS</w:t>
        <w:br/>
        <w:t>Measure no. 30790 34</w:t>
        <w:br/>
        <w:t>REPORTING AND CONSULTATIVE ACTIVITIES 39</w:t>
        <w:br/>
        <w:t>AS1915 - ALESSANDRINO BASIN CONSORTIUM - AWARD OF THE SERVICE FOR THE COLLECTION</w:t>
        <w:br/>
        <w:t>AND TRANSPORT OF URBAN SOLID WASTE 39</w:t>
        <w:br/>
        <w:t>AS1916 - ACCREDITATION AND CONVENTION OF PRIVATE HEALTHCARE FACILITIES 46</w:t>
        <w:br/>
        <w:t>AS1917 - CALABRIA REGION - ISSUANCE OF AUTHORIZATION FOR THE CONSTRUCTION OF</w:t>
        <w:br/>
        <w:t>HEALTHCARE FACILITIES 49</w:t>
        <w:br/>
        <w:t>UNFAIR TRADE PRACTICES 52</w:t>
        <w:br/>
        <w:t>PS12572 - POLIFRA-MONOROTOLO DELJS</w:t>
        <w:br/>
        <w:t>Measure no. 30796 52</w:t>
      </w:r>
    </w:p>
    <w:p>
      <w:r>
        <w:t>BULLETIN NO. 39 OF 16 OCTOBER 2023 5</w:t>
        <w:br/>
        <w:t>AGREEMENTS AND ABUSE OF DOMINANT POSITION</w:t>
        <w:br/>
        <w:t>I820 - MONTHLY BILLING WITH TARIFF RESTRUCTURING</w:t>
        <w:br/>
        <w:t>Measure no. 30791</w:t>
        <w:br/>
        <w:t>THE COMPETITION AND MARKET AUTHORITY</w:t>
        <w:br/>
        <w:t>IN ITS MEETING of 26 September 2023;</w:t>
        <w:br/>
        <w:t>HEARD the Rapporteur, Professor Elisabetta Iossa;</w:t>
        <w:br/>
        <w:t>HAVING REGARD to the law of 10 October 1990, no. 287;</w:t>
        <w:br/>
        <w:t>HAVING REGARD to the decree of the President of the Republic of 30 June 1998, no. 217;</w:t>
        <w:br/>
        <w:t>HAVING REGARD to its resolution of 22 October 2014 by which the Guidelines on the methods of application of the criteria for quantifying the administrative pecuniary sanctions imposed by the Authority pursuant to Article 15, paragraph 1, of law no. 287/1990 (hereinafter, in short, "Guidelines") were adopted;</w:t>
        <w:br/>
        <w:t>HAVING REGARD to its measure no. 28102 of 28 January 2020 (hereinafter the "Measure"), adopted at the conclusion of proceeding no. I/820 – Monthly billing with tariff restructuring, with which the Authority established that Telecom Italia S.p.A., Vodafone Italia S.p.A., Fastweb S.p.A. (hereinafter also Fastweb) and Wind Tre S.p.A. have engaged in a secret, unique, complex, and ongoing restrictive agreement contrary to Article 101 TFEU, aimed at maintaining the existing price level and hindering the mobility of their respective customer bases, preventing the proper functioning of competitive dynamics among operators in the fixed telephony and mobile telephony services markets;</w:t>
        <w:br/>
        <w:t>HAVING REGARD that, for the established violation, an administrative pecuniary sanction of 14,756,250 euros was imposed on Fastweb S.p.A.;</w:t>
        <w:br/>
        <w:t>HAVING REGARD to the ruling of the Council of State of 25 July 2023 no. 7272 which upheld the Authority's appeal and, reforming the ruling of the Lazio TAR of 12 July 2021, no. 8233, confirmed the finding of the infringement conducted in the Measure, in particular, with reference to the nature of the agreement by object and the severity of the infringement, while, in partial acceptance of Fastweb's appeal, annulled the aforementioned measure to the extent that it quantifies the sanction imposed on Fastweb;</w:t>
        <w:br/>
        <w:t>HAVING REGARD, in particular, to the reasoning of the cited ruling, with which the Council of State set the parameters for the recalculation of the sanction to be imposed on the appellant, referring the documents to the Authority so that it may concretely quantify the amount thereof in accordance with the indications provided in the aforementioned ruling at paragraph 31;</w:t>
        <w:br/>
        <w:t>HAVING REGARD to the parameters for the recalculation of the amount of the pecuniary sanction imposed, as identified by the administrative judge in the part of the ruling mentioned above: "the reasons reiterated by Fastweb can be accepted only with regard to the recalculation of the final date of the agreement, to be set at 23 March 2018, instead of 13 April 2018. […] This sanction must be</w:t>
      </w:r>
    </w:p>
    <w:p>
      <w:r>
        <w:rPr>
          <w:b/>
        </w:rPr>
        <w:t>[Pages 4–6]</w:t>
      </w:r>
    </w:p>
    <w:p>
      <w:r>
        <w:t>6 BULLETIN NO. 39 OF OCTOBER 16, 2023</w:t>
        <w:br/>
        <w:t>reassessed by the AGCM taking into account what has been previously established regarding the final date of the agreement, and in application of points 15 and 16 of the Guidelines on the quantification of antitrust sanctions";</w:t>
        <w:br/>
        <w:t>CONSIDERING that the criteria identified by the Council of State in the exercise of its jurisdiction on the merits for the reassessment of the sanction imposed on Fastweb are precise, objective, and of automatic application and leave no discretionary margin in the implementation of the conforming obligation arising from the judgment to be executed;</w:t>
        <w:br/>
        <w:t>THEREFORE CONSIDERED necessary to proceed, in compliance with the aforementioned judgment of the Council of State and in accordance with the indications and parameters outlined therein, to the concrete reassessment of the sanction imposed by the Measure against the appellant;</w:t>
        <w:br/>
        <w:t>HAVING REGARD to all the acts of the proceeding;</w:t>
        <w:br/>
        <w:t>CONSIDERING that, in accordance with the parameters identified by the administrative judge in the judgment in question, the amount of the sanction is recalculated based on the duration of the infringement as identified by the Council of State, particularly confirming November 14, 2017, as the start date of the unlawful act and backdating by twenty-one days, thus to March 23, 2018, the date of cessation of the infringement, resulting in a duration of four months and nine days;</w:t>
        <w:br/>
        <w:t>CONSIDERING that, in the process of determining the sanction imposed on Fastweb by the Measure, the Authority referred to the sales value of 2017, given that the established conduct took place between November 2017 and April 2018; it qualified the secret agreement and the infringement as very serious, applying a severity coefficient of 15%; it took into account the duration of the agreement, established at 4 months and 30 days; it then applied, based on point 34 of the Guidelines, a special reduction of 70% due to the adoption of precautionary measures;</w:t>
        <w:br/>
        <w:t>CONSIDERING that, in accordance with the temporal parameters indicated in the judgment of July 25, 2023, no. 7272, following the recalculation of the sanction based on the duration of the infringement as identified by the Council of State, the amount of the sanction is reassessed at 12,690,375 euros corresponding to approximately 0.6% of the revenues achieved by Fastweb in 2017, the reference year for identifying the relevant turnover for the calculation of the sanction;</w:t>
        <w:br/>
        <w:t>CONSIDERING that, in application of the aforementioned quantification parameters defined by the judgment of the Council of State of July 25, 2023, no. 7272, the final amount of the sanction to be imposed on Fastweb S.p.A. for the conduct established by measure no. 28102 of January 28, 2020, amounts to 12,690,375 euros.</w:t>
        <w:br/>
        <w:t>All of the above having been stated and considered;</w:t>
        <w:br/>
        <w:t>RESOLVES</w:t>
        <w:br/>
        <w:t>that the administrative pecuniary sanction to be applied to Fastweb S.p.A. for the behavior attributed to it in the Authority's measure no. 28102 of January 28, 2020, in relation to the restrictive agreement of competition aimed at maintaining the existing level of prices for fixed and mobile telephone services, is reassessed at 12,690,375 euros.</w:t>
      </w:r>
    </w:p>
    <w:p>
      <w:r>
        <w:t>BULLETIN NO. 39 OF OCTOBER 16, 2023 7</w:t>
        <w:br/>
        <w:t>The above administrative sanctions must be paid within thirty days from the notification of this measure, using the tax codes indicated in the attached F24 model with identifying elements, pursuant to Legislative Decree no. 241/1997.</w:t>
        <w:br/>
        <w:t>Payment must be made electronically, debited from one's bank or postal account, through home banking and CBI services provided by banks or Poste Italiane S.p.A., or by using the telematic services of the Revenue Agency, available on the website www.agenziaentrate.gov.it.</w:t>
        <w:br/>
        <w:t>Pursuant to Article 37, paragraph 49, of Decree-Law no. 223/2006, VAT holders are required to submit the F24 model electronically.</w:t>
        <w:br/>
        <w:t>After the aforementioned deadline, for a delay period of less than six months, late payment interest must be paid at the legal rate starting from the day after the payment deadline until the date of payment. In case of further delay in compliance, pursuant to Article 27, paragraph 6, of Law no. 689/1981, the amount due for the imposed sanction is increased by one-tenth for each semester starting from the day after the payment deadline until the role is transmitted to the concessionaire for collection; in this case, the increase absorbs the late payment interest accrued during the same period.</w:t>
        <w:br/>
        <w:t>Immediate notification of payments made must be given to the Authority, by sending a copy of the model certifying the payment made.</w:t>
        <w:br/>
        <w:t>Pursuant to Article 26 of the same law, companies in economic distress may request the installment payment of the sanction.</w:t>
        <w:br/>
        <w:t>Against this measure, an appeal may be submitted to the TAR of Lazio, pursuant to Article 135, paragraph 1, letter b), of the Code of Administrative Procedure (Legislative Decree of July 2, 2010, no. 104), within sixty days from the date of notification of the measure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one hundred and twenty days from the date of notification of the measure itself.</w:t>
        <w:br/>
        <w:t>This measure will be notified to the interested party and published in the Bulletin of the Competition and Market Authority.</w:t>
        <w:br/>
        <w:t>THE SECRETARY GENERAL THE PRESIDENT</w:t>
        <w:br/>
        <w:t>Guido Stazi Roberto Rustichelli</w:t>
      </w:r>
    </w:p>
    <w:p>
      <w:r>
        <w:t>8 BULLETIN NO. 39 OF OCTOBER 16, 2023</w:t>
        <w:br/>
        <w:t>I820 - MONTHLY BILLING WITH TARIFF RESTRUCTURING</w:t>
        <w:br/>
        <w:t>Measure no. 30792</w:t>
        <w:br/>
        <w:t>THE COMPETITION AND MARKET AUTHORITY</w:t>
        <w:br/>
        <w:t>IN ITS MEETING of September 26, 2023;</w:t>
        <w:br/>
        <w:t>HEARD the Rapporteur, Professor Elisabetta Iossa;</w:t>
        <w:br/>
        <w:t>HAVING REGARD to the law of October 10, 1990, no. 287;</w:t>
        <w:br/>
        <w:t>HAVING REGARD to the decree of the President of the Republic of June 30, 1998, no. 217;</w:t>
        <w:br/>
        <w:t>HAVING REGARD to its resolution of October 22, 2014 by which the Guidelines on the methods of application of the criteria for quantifying the administrative pecuniary sanctions imposed by the Authority pursuant to Article 15, paragraph 1, of law no. 287/1990 (hereinafter, in short, "Guidelines") were adopted;</w:t>
        <w:br/>
        <w:t>HAVING REGARD to its measure no. 28102 of January 28, 2020 (hereinafter the "Measure"), adopted at the conclusion of proceeding no. I/820 – monthly billing with tariff restructuring, with which the Authority established that Telecom Italia S.p.A. (hereinafter also Telecom), Vodafone Italia S.p.A., Fastweb S.p.A. and Wind Tre S.p.A. engaged in a secret, unique, complex, and ongoing restrictive agreement of competition contrary to Article 101 TFEU, aimed at maintaining the existing level of prices and hindering the mobility of their respective customer bases, preventing the proper conduct of competitive dynamics among operators in the markets for fixed and mobile telephone services;</w:t>
        <w:br/>
        <w:t>HAVING REGARD that, for the established violation, an administrative pecuniary sanction of 114,398,325 euros was imposed on Telecom Italia S.p.A.;</w:t>
        <w:br/>
        <w:t>HAVING REGARD to the judgment of the Council of State of July 25, 2023, no. 7270, which upheld the appeal of the Authority and, reforming the judgment of the TAR Lazio of July 12, 2021, no. 8236, confirmed the finding of the infringement conducted in the Measure, particularly with reference to the nature of the agreement by object and the severity of the infringement, while, in partial acceptance of Telecom's appeal, annulled the aforementioned measure to the extent that it quantifies the sanction imposed on Telecom;</w:t>
        <w:br/>
        <w:t>HAVING REGARD, in particular, to the reasoning of the cited judgment, with which the Council of State set the parameters for the reassessment of the sanction to be imposed on the appellant, referring the acts to the Authority so that it may quantify, in concrete terms, the amount thereof in accordance with the indications provided in the aforementioned judgment in paragraph 31.5;</w:t>
        <w:br/>
        <w:t>HAVING REGARD to the parameters for the reassessment of the amount of the pecuniary sanction imposed, as identified by the administrative judge in the reasoning of the above-mentioned judgment: “the reasons put forward by Telecom can be accepted only with regard to the reassessment of the final date of the agreement, to be set at March 26, 2018, instead of April 13, 2018. […] This sanction must be reassessed by the AGCM taking into account what has been previously established regarding the final date of the agreement, and in application of points 15 and 16 of the Guidelines on the quantification of antitrust sanctions”;</w:t>
      </w:r>
    </w:p>
    <w:p>
      <w:r>
        <w:rPr>
          <w:b/>
        </w:rPr>
        <w:t>[Pages 7–9]</w:t>
      </w:r>
    </w:p>
    <w:p>
      <w:r>
        <w:t>BULLETIN NO. 39 OF OCTOBER 16, 2023 9</w:t>
        <w:br/>
        <w:t xml:space="preserve">CONSIDERING that the criteria identified by the Council of State in the exercise of its jurisdiction on the merits for the recalculation of the sanction imposed on Telecom Italia S.p.A. are precise, objective, and of automatic application and leave no discretionary margin in the implementation of the conforming obligation arising from the judgment to be executed; </w:t>
        <w:br/>
        <w:t xml:space="preserve">CONSIDERED, therefore, that it is necessary to proceed, in compliance with the aforementioned judgment of the Council of State and in accordance with the indications and parameters outlined therein, to the concrete recalculation of the sanction imposed by the Measure against the appellant; </w:t>
        <w:br/>
        <w:t xml:space="preserve">HAVING REGARD to all the acts of the proceeding; </w:t>
        <w:br/>
        <w:t xml:space="preserve">CONSIDERING that, in accordance with the parameters identified by the administrative judge in the judgment in question, the amount of the sanction is recalculated based on the duration of the infringement as identified by the Council of State, specifically confirming November 14, 2017, as the start date of the unlawful act and backdating by eighteen days, thus to March 26, 2018, the date of cessation of the infringement, resulting in a duration of four months and twelve days; </w:t>
        <w:br/>
        <w:t xml:space="preserve">CONSIDERING that, in the process of determining the sanction imposed on Telecom as per the Measure, the Authority referenced the sales value of 2017, given that the established conduct took place between November 2017 and April 2018; it qualified the secret agreement and the infringement as very serious, applying a severity coefficient of 15%; it took into account the duration of the agreement, established at 4 months and 30 days; it granted TIM a mitigating factor of 5% for having modified its compliance programs; it then applied, based on point 34 of the Guidelines, a special reduction of 70% due to the adoption of precautionary measures; </w:t>
        <w:br/>
        <w:t xml:space="preserve">CONSIDERING that, in accordance with the temporal parameters indicated in the judgment of July 25, 2023, no. 7270, following the recalculation of the sanction based on the duration of the infringement as identified by the Council of State, the amount of the sanction is recalculated to 100,670,526 euros corresponding to approximately 0.5% of the revenues achieved by Telecom in 2017, the reference year for identifying the relevant turnover for the calculation of the sanction; </w:t>
        <w:br/>
        <w:t xml:space="preserve">CONSIDERING that, in application of the aforementioned quantification parameters defined by the judgment of the Council of State of July 25, 2023, no. 7270, the final amount of the sanction to be imposed on Telecom Italia S.p.A. for the conduct established by measure no. 28102 of January 28, 2020, is equal to 100,670,526 euros. </w:t>
        <w:br/>
        <w:t xml:space="preserve">All of the above having been stated and considered; </w:t>
        <w:br/>
        <w:t xml:space="preserve">RESOLVES </w:t>
        <w:br/>
        <w:t>that the administrative pecuniary sanction to be applied to Telecom Italia S.p.A. for the behavior attributed to it in the Authority's measure no. 28102 of January 28, 2020, in relation to the restrictive agreement aimed at maintaining the existing level of prices for fixed and mobile telephone services, is recalculated to the amount of 100,670,526 euros.</w:t>
      </w:r>
    </w:p>
    <w:p>
      <w:r>
        <w:t>10 BULLETIN NO. 39 OF OCTOBER 16, 2023</w:t>
        <w:br/>
        <w:t xml:space="preserve">The above administrative sanctions must be paid within thirty days from the notification of this measure, using the tax codes indicated in the attached F24 model with identifying elements, pursuant to Legislative Decree no. 241/1997. </w:t>
        <w:br/>
        <w:t xml:space="preserve">Payment must be made electronically, debited from one's bank or postal account, through home banking and CBI services provided by banks or Poste Italiane S.p.A., or by using the telematic services of the Revenue Agency, available on the website www.agenziaentrate.gov.it. </w:t>
        <w:br/>
        <w:t xml:space="preserve">Pursuant to Article 37, paragraph 49, of Decree-Law no. 223/2006, VAT-registered persons are required to submit the F24 model electronically. </w:t>
        <w:br/>
        <w:t xml:space="preserve">After the aforementioned deadline, for a delay period of less than six months, late payment interest must be paid at the legal rate starting from the day after the payment deadline until the date of payment. In case of further delay in compliance, pursuant to Article 27, paragraph 6, of Law no. 689/1981, the amount due for the imposed sanction is increased by one-tenth for each semester starting from the day after the payment deadline until the role is transmitted to the collection agent; in this case, the increase absorbs the late payment interest accrued during the same period. </w:t>
        <w:br/>
        <w:t xml:space="preserve">Immediate communication of the payments made must be given to the Authority, by sending a copy of the model certifying the payment made. </w:t>
        <w:br/>
        <w:t xml:space="preserve">Pursuant to Article 26 of the same law, companies in economic difficulty may request the installment payment of the sanction. </w:t>
        <w:br/>
        <w:t xml:space="preserve">Against this measure, an appeal may be submitted to the TAR of Lazio, pursuant to Article 135, paragraph 1, letter b), of the Code of Administrative Procedure (Legislative Decree of July 2, 2010, no. 104), within sixty days from the date of notification of the measure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the term of one hundred and twenty days from the date of notification of the measure itself. </w:t>
        <w:br/>
        <w:t xml:space="preserve">This measure will be notified to the interested party and published in the Bulletin of the Competition and Market Authority. </w:t>
        <w:br/>
        <w:t xml:space="preserve">THE SECRETARY GENERAL THE PRESIDENT </w:t>
        <w:br/>
        <w:t>Guido Stazi Roberto Rustichelli</w:t>
      </w:r>
    </w:p>
    <w:p>
      <w:r>
        <w:t>BULLETIN NO. 39 OF OCTOBER 16, 2023 11</w:t>
        <w:br/>
        <w:t xml:space="preserve">I820 - MONTHLY BILLING WITH TARIFF RESTRUCTURING </w:t>
        <w:br/>
        <w:t xml:space="preserve">Measure no. 30793 </w:t>
        <w:br/>
        <w:t xml:space="preserve">THE COMPETITION AND MARKET AUTHORITY </w:t>
        <w:br/>
        <w:t xml:space="preserve">IN ITS MEETING of September 26, 2023; </w:t>
        <w:br/>
        <w:t xml:space="preserve">HEARD the Rapporteur, Professor Elisabetta Iossa; </w:t>
        <w:br/>
        <w:t xml:space="preserve">HAVING REGARD to the law of October 10, 1990, no. 287; </w:t>
        <w:br/>
        <w:t xml:space="preserve">HAVING REGARD to the decree of the President of the Republic of June 30, 1998, no. 217; </w:t>
        <w:br/>
        <w:t xml:space="preserve">HAVING REGARD to its resolution of October 22, 2014 by which the Guidelines on the methods of application of the criteria for quantifying the administrative pecuniary sanctions imposed by the Authority pursuant to Article 15, paragraph 1, of law no. 287/1990 (hereinafter, in short, "Guidelines") were adopted; </w:t>
        <w:br/>
        <w:t xml:space="preserve">HAVING REGARD to its measure no. 28102 of January 28, 2020 (hereinafter the "Measure"), adopted at the conclusion of proceeding no. I/820 – monthly billing with tariff restructuring, with which the Authority established that Telecom Italia S.p.A., Vodafone Italia S.p.A. (hereinafter also Vodafone), Fastweb S.p.A. and Wind Tre S.p.A. engaged in a secret, unique, complex, and ongoing restrictive agreement of competition contrary to Article 101 TFEU, aimed at maintaining the existing level of prices and hindering the mobility of their respective customer bases, preventing the proper conduct of competitive dynamics among operators in the markets for fixed and mobile telephone services; </w:t>
        <w:br/>
        <w:t xml:space="preserve">HAVING REGARD that, for the established violation, an administrative pecuniary sanction of 59,970,351.25 euros was imposed on Vodafone Italia S.p.A.; </w:t>
        <w:br/>
        <w:t xml:space="preserve">HAVING REGARD to the judgment of the Council of State of July 25, 2023, no. 7273, which upheld the appeal of the Authority and, reforming the judgment of the TAR Lazio of July 12, 2021, no. 8239, confirmed the finding of the infringement conducted in the Measure, in particular, with reference to the nature of the agreement by object and the severity of the infringement, while, in partial acceptance of Vodafone's appeal, annulled the aforementioned measure to the extent that it quantifies the sanction imposed on Vodafone; </w:t>
        <w:br/>
        <w:t xml:space="preserve">HAVING REGARD, in particular, to the reasoning of the cited judgment, with which the Council of State set the parameters for the recalculation of the sanction to be imposed on the appellant, referring the acts to the Authority so that it quantifies, in concrete terms, the amount of the same in accordance with the indications provided in the referred judgment at paragraph 32; </w:t>
        <w:br/>
        <w:t>HAVING REGARD to the parameters for the recalculation of the amount of the pecuniary sanction imposed, as identified by the administrative judge in the reasoning of the aforementioned ruling: "the reasons reiterated by Vodafone can be accepted only with regard to the recalculation of the final date of the agreement, to be set at March 26, 2018, instead of April 13, 2018. […] This sanction must be recalculated by the AGCM taking into account what has been previously established regarding the final date of the agreement, and in application of points 15 and 16 of the Guidelines on the quantification of antitrust sanctions";</w:t>
      </w:r>
    </w:p>
    <w:p>
      <w:r>
        <w:rPr>
          <w:b/>
        </w:rPr>
        <w:t>[Pages 10–12]</w:t>
      </w:r>
    </w:p>
    <w:p>
      <w:r>
        <w:t>12 BULLETIN NO. 39 OF OCTOBER 16, 2023</w:t>
        <w:br/>
        <w:t>CONSIDERING that the criteria identified by the Council of State in the exercise of its jurisdiction of merit for the recalculation of the sanction imposed on Vodafone are precise, objective, and of automatic application and leave no discretionary margin in the implementation of the conforming obligation arising from the judgment to be executed;</w:t>
        <w:br/>
        <w:t>THEREFORE CONSIDERED necessary to proceed, in compliance with the aforementioned judgment of the Council of State and in accordance with the indications and parameters outlined therein, to the concrete recalculation of the sanction imposed by the Measure against the appellant;</w:t>
        <w:br/>
        <w:t>HAVING REGARD to all the acts of the proceeding;</w:t>
        <w:br/>
        <w:t>CONSIDERING that, in accordance with the parameters identified by the administrative judge in the judgment in question, the amount of the sanction is recalculated based on the duration of the infringement as identified by the Council of State, particularly confirming November 14, 2017, as the start date of the unlawful act and backdating by eighteen days, thus to March 26, 2018, the end date of the infringement, resulting in a duration of four months and twelve days;</w:t>
        <w:br/>
        <w:t>CONSIDERING that, in the process of determining the sanction imposed on Vodafone as per the Measure, the Authority referenced the sales value of 2017, given that the established conduct occurred between November 2017 and April 2018; it classified the secret agreement and the infringement as very serious, applying a severity coefficient of 15%; it took into account the duration of the agreement, established at 4 months and 30 days; it granted Vodafone a mitigating factor of 5% for having modified its compliance programs; it granted Vodafone an additional mitigating factor of 5% for the particular manner in which it complied with the precautionary measures adopted by the Authority; it then applied, based on point 34 of the Guidelines, a special reduction of 70% due to the adoption of precautionary measures;</w:t>
        <w:br/>
        <w:t>CONSIDERING that, in accordance with the temporal parameters indicated in the judgment of July 25, 2023, no. 7273, following the recalculation of the sanction based on the duration of the infringement as identified by the Council of State, the amount of the sanction is recalculated to 52,773,909.10 euros corresponding to approximately 0.9% of the revenues achieved by Vodafone at the end of the fiscal year closed on March 31, 2018;</w:t>
        <w:br/>
        <w:t>CONSIDERING that, in application of the aforementioned quantification parameters defined by the judgment of the Council of State of July 25, 2023, no. 7273, the final amount of the sanction to be imposed on Vodafone Italia S.p.A. for the conduct established by measure no. 28102 of January 28, 2020, amounts to 52,773,909.10 euros.</w:t>
        <w:br/>
        <w:t>All of the above having been stated and considered;</w:t>
        <w:br/>
        <w:t>RESOLVES</w:t>
        <w:br/>
        <w:t>that the administrative pecuniary sanction to be applied to Vodafone Italia S.p.A. for the behavior attributed to it in the Authority's measure no. 28102 of January 28, 2020, in relation to the restrictive agreement aimed at maintaining the existing level of prices for fixed and mobile telephone services, is recalculated to the amount of 52,773,909.10 euros.</w:t>
      </w:r>
    </w:p>
    <w:p>
      <w:r>
        <w:t>BULLETIN NO. 39 OF OCTOBER 16, 2023 13</w:t>
        <w:br/>
        <w:t>The above administrative sanctions must be paid within thirty days from the notification of this measure, using the tax codes indicated in the attached F24 model with identifying elements, pursuant to Legislative Decree no. 241/1997.</w:t>
        <w:br/>
        <w:t>Payment must be made electronically, debited from one's bank or postal account, through home banking and CBI services provided by banks or Poste Italiane S.p.A., or by using the telematic services of the Revenue Agency, available on the website www.agenziaentrate.gov.it.</w:t>
        <w:br/>
        <w:t>Pursuant to Article 37, paragraph 49, of Decree-Law no. 223/2006, VAT-registered persons are required to submit the F24 model electronically.</w:t>
        <w:br/>
        <w:t>After the aforementioned deadline, for a delay period of less than six months, late payment interest must be paid at the legal rate starting from the day after the payment deadline until the date of payment. In case of further delay in compliance, pursuant to Article 27, paragraph 6, of Law no. 689/1981, the amount due for the imposed sanction is increased by one-tenth for each semester starting from the day after the payment deadline until the role is transmitted to the collector for collection; in this case, the increase absorbs the late payment interest accrued during the same period.</w:t>
        <w:br/>
        <w:t>Immediate notification of payments made must be given to the Authority, by sending a copy of the model certifying the payment made.</w:t>
        <w:br/>
        <w:t>Pursuant to Article 26 of the same law, companies in economically disadvantaged conditions may request the installment payment of the sanction.</w:t>
        <w:br/>
        <w:t>Against this measure, an appeal may be submitted to the TAR of Lazio, pursuant to Article 135, paragraph 1, letter b), of the Code of Administrative Procedure (Legislative Decree of July 2, 2010, no. 104), within sixty days from the date of notification of the measure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one hundred and twenty days from the date of notification of the measure itself.</w:t>
        <w:br/>
        <w:t>This measure will be notified to the interested party and published in the Bulletin of the Competition and Market Authority.</w:t>
        <w:br/>
        <w:t>THE SECRETARY GENERAL THE PRESIDENT</w:t>
        <w:br/>
        <w:t>Guido Stazi Roberto Rustichelli</w:t>
      </w:r>
    </w:p>
    <w:p>
      <w:r>
        <w:t>14 BULLETIN NO. 39 OF OCTOBER 16, 2023</w:t>
        <w:br/>
        <w:t>I820 - MONTHLY BILLING WITH TARIFF RESTRUCTURING</w:t>
        <w:br/>
        <w:t>Measure no. 30794</w:t>
        <w:br/>
        <w:t>THE COMPETITION AND MARKET AUTHORITY</w:t>
        <w:br/>
        <w:t>IN ITS MEETING of September 26, 2023;</w:t>
        <w:br/>
        <w:t>HEARD the Rapporteur, Professor Elisabetta Iossa;</w:t>
        <w:br/>
        <w:t>HAVING REGARD to the law of October 10, 1990, no. 287;</w:t>
        <w:br/>
        <w:t>HAVING REGARD to the decree of the President of the Republic of June 30, 1998, no. 217;</w:t>
        <w:br/>
        <w:t>HAVING REGARD to its resolution of October 22, 2014 by which the Guidelines on the methods of application of the criteria for quantifying the administrative pecuniary sanctions imposed by the Authority pursuant to Article 15, paragraph 1, of law no. 287/1990 (hereinafter, in short, "Guidelines") were adopted;</w:t>
        <w:br/>
        <w:t>HAVING REGARD to its measure no. 28102 of January 28, 2020 (hereinafter the "Measure"), adopted at the conclusion of proceeding no. I/820 – monthly billing with tariff restructuring, with which the Authority established that Telecom Italia S.p.A., Vodafone Italia S.p.A., Fastweb S.p.A. and Wind Tre S.p.A. (hereinafter also Wind Tre) engaged in a secret, unique, complex, and continuous restrictive agreement contrary to Article 101 TFEU, aimed at maintaining the existing level of prices and hindering the mobility of their respective customer bases, preventing the proper conduct of competitive dynamics among operators in the markets for fixed and mobile telephone services;</w:t>
        <w:br/>
        <w:t>HAVING REGARD that, for the established violation, an administrative pecuniary sanction of 38,973,750 euros was imposed on Wind Tre S.p.A.;</w:t>
        <w:br/>
        <w:t>HAVING REGARD to the judgment of the Council of State of July 25, 2023, no. 7271, which upheld the appeal of the Authority and, reforming the judgment of the TAR Lazio of July 12, 2021, no. 8240, confirmed the finding of the infringement conducted in the Measure, particularly with reference to the nature of the agreement by object and the severity of the infringement, while, in partial acceptance of Wind Tre's appeal, annulled the aforementioned measure limited to the part in which it quantifies the sanction imposed on Wind Tre;</w:t>
        <w:br/>
        <w:t>HAVING REGARD, in particular, to the reasoning of the cited judgment, with which the Council of State set the parameters for the recalculation of the sanction to be imposed on the appellant, referring the acts to the Authority so that it quantifies, in concrete terms, the amount of the same in accordance with the indications provided in the referred judgment at paragraph 32;</w:t>
        <w:br/>
        <w:t>HAVING REGARD to the parameters for the recalculation of the amount of the pecuniary sanction imposed, as identified by the administrative judge in the reasoning part of the aforementioned ruling: "the reasons reiterated by Wind can be accepted only with regard to the recalculation of the final date of the agreement, to be set at April 3, 2018, instead of April 13, 2018. […] This sanction must be recalculated by the AGCM taking into account what has been previously stated regarding the final date of the agreement, and in application of points 15 and 16 of the Guidelines on the quantification of antitrust sanctions";</w:t>
      </w:r>
    </w:p>
    <w:p>
      <w:r>
        <w:rPr>
          <w:b/>
        </w:rPr>
        <w:t>[Pages 13–15]</w:t>
      </w:r>
    </w:p>
    <w:p>
      <w:r>
        <w:t>BULLETIN NO. 39 OF OCTOBER 16, 2023 15</w:t>
        <w:br/>
        <w:t xml:space="preserve">CONSIDERING that the criteria identified by the Council of State in the exercise of its jurisdiction for the recalculation of the sanction imposed on Wind Tre are precise, objective, and of automatic application and leave no discretionary margin in the implementation of the conforming obligation arising from the judgment to be executed; </w:t>
        <w:br/>
        <w:t xml:space="preserve">CONSIDERED, therefore, that it is necessary to proceed, in compliance with the aforementioned judgment of the Council of State and in accordance with the indications and parameters outlined therein, to the concrete recalculation of the sanction imposed by the Measure against the appellant; </w:t>
        <w:br/>
        <w:t xml:space="preserve">HAVING REGARD to all the acts of the proceeding; </w:t>
        <w:br/>
        <w:t xml:space="preserve">CONSIDERING that, in accordance with the parameters identified by the administrative judge in the judgment in question, the amount of the sanction is recalculated based on the duration of the infringement as identified by the Council of State, specifically confirming November 14, 2017, as the start date of the unlawful act and backdating by ten days, thus to April 3, 2018, the cessation date of the infringement, resulting in a duration of four months and twenty days; </w:t>
        <w:br/>
        <w:t xml:space="preserve">CONSIDERING that, in the process of determining the sanction imposed on Wind Tre in the Measure, the Authority referred to the sales value of 2017, given that the established conduct took place between November 2017 and April 2018; it qualified the secret agreement and the infringement as very serious, applying a severity coefficient of 15%; it took into account the duration of the agreement, established at 4 months and 30 days; it granted Wind Tre a mitigating factor of 5% for having modified its compliance programs; it then applied, based on point 34 of the Guidelines, a special reduction of 70% due to the adoption of precautionary measures; </w:t>
        <w:br/>
        <w:t xml:space="preserve">CONSIDERING that, in accordance with the temporal parameters indicated in the judgment of July 25, 2023, no. 7271, following the recalculation of the sanction based on the duration of the infringement as identified by the Council of State, the amount of the sanction is recalculated to 36,375,500 euros corresponding to approximately 0.6% of the revenues achieved by Wind Tre in 2017, the reference year for identifying the relevant turnover for the calculation of the sanction; </w:t>
        <w:br/>
        <w:t xml:space="preserve">CONSIDERING that, in application of the aforementioned quantification parameters defined by the judgment of the Council of State of July 25, 2023, no. 7271, the final amount of the sanction to be imposed on Wind Tre S.p.A. for the conduct established by measure no. 28102 of January 28, 2020, is 36,375,500 euros. </w:t>
        <w:br/>
        <w:t xml:space="preserve">All of the above having been stated and considered; </w:t>
        <w:br/>
        <w:t xml:space="preserve">RESOLVES </w:t>
        <w:br/>
        <w:t>that the administrative pecuniary sanction to be applied to Wind Tre S.p.A. for the behavior attributed to it in the Authority's measure no. 28102 of January 28, 2020, in relation to the restrictive agreement aimed at maintaining the existing level of prices for fixed and mobile telephone services, is recalculated to the amount of 36,375,500 euros.</w:t>
      </w:r>
    </w:p>
    <w:p>
      <w:r>
        <w:t>16 BULLETIN NO. 39 OF OCTOBER 16, 2023</w:t>
        <w:br/>
        <w:t xml:space="preserve">The above administrative sanctions must be paid within thirty days from the notification of this measure, using the tax codes indicated in the attached F24 model with identifying elements, pursuant to Legislative Decree no. 241/1997. </w:t>
        <w:br/>
        <w:t xml:space="preserve">Payment must be made electronically, debited from one's bank or postal account, through home banking and CBI services provided by banks or by Poste Italiane S.p.A., or by using the telematic services of the Revenue Agency, available on the website www.agenziaentrate.gov.it. </w:t>
        <w:br/>
        <w:t xml:space="preserve">Pursuant to Article 37, paragraph 49, of Decree-Law no. 223/2006, VAT-registered persons are required to submit the F24 model electronically. </w:t>
        <w:br/>
        <w:t xml:space="preserve">After the aforementioned deadline, for a delay period of less than six months, late payment interest must be paid at the legal rate starting from the day after the payment deadline until the date of payment. In case of further delay in compliance, pursuant to Article 27, paragraph 6, of Law no. 689/1981, the amount due for the imposed sanction is increased by one-tenth for each semester starting from the day after the payment deadline until the date on which the role is transmitted to the collection agent; in this case, the increase absorbs the late payment interest accrued during the same period. </w:t>
        <w:br/>
        <w:t xml:space="preserve">Immediate communication of the payments made must be given to the Authority, by sending a copy of the model certifying the payment made. </w:t>
        <w:br/>
        <w:t xml:space="preserve">Pursuant to Article 26 of the same law, companies in economically disadvantaged conditions may request the installment payment of the sanction. </w:t>
        <w:br/>
        <w:t xml:space="preserve">Against this measure, an appeal may be submitted to the TAR of Lazio, pursuant to Article 135, paragraph 1, letter b), of the Code of Administrative Procedure (Legislative Decree of July 2, 2010, no. 104), within sixty days from the date of notification of the measure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the term of one hundred and twenty days from the date of notification of the measure itself. </w:t>
        <w:br/>
        <w:t xml:space="preserve">This measure will be notified to the interested party and published in the Bulletin of the Competition and Market Authority. </w:t>
        <w:br/>
        <w:t xml:space="preserve">THE SECRETARY GENERAL THE PRESIDENT </w:t>
        <w:br/>
        <w:t>Guido Stazi Roberto Rustichelli</w:t>
      </w:r>
    </w:p>
    <w:p>
      <w:r>
        <w:t>BULLETIN NO. 39 OF OCTOBER 16, 2023 17</w:t>
        <w:br/>
        <w:t xml:space="preserve">A569 - NATIONAL USED OIL CONSORTIUM CONOU - RESTRICTIVE CONDUCT IN THE REGENERATION SECTOR </w:t>
        <w:br/>
        <w:t xml:space="preserve">Measure no. 30797 </w:t>
        <w:br/>
        <w:t xml:space="preserve">THE COMPETITION AND MARKET AUTHORITY </w:t>
        <w:br/>
        <w:t xml:space="preserve">IN ITS MEETING of October 2, 2023; </w:t>
        <w:br/>
        <w:t xml:space="preserve">HEARD the Rapporteur, Professor Elisabetta Iossa; </w:t>
        <w:br/>
        <w:t xml:space="preserve">HAVING REGARD to Article 102 of the Treaty on the Functioning of the European Union (TFEU); </w:t>
        <w:br/>
        <w:t xml:space="preserve">HAVING REGARD to Council Regulation (EC) no. 1/2003 of December 16, 2002; </w:t>
        <w:br/>
        <w:t xml:space="preserve">HAVING REGARD to Law of October 10, 1990, no. 287; </w:t>
        <w:br/>
        <w:t xml:space="preserve">HAVING REGARD to the D.P.R. no. 217 of April 30, 1998; </w:t>
        <w:br/>
        <w:t xml:space="preserve">HAVING REGARD to the report from ROBI S.r.l. received on February 2, 2023 and subsequently supplemented on April 4, 2023, July 7, 2023, and September 22, 2023; </w:t>
        <w:br/>
        <w:t xml:space="preserve">HAVING REGARD to the report from Grassano S.p.A., received on September 25, 2023; </w:t>
        <w:br/>
        <w:t xml:space="preserve">HAVING REGARD to the acts of the proceeding; </w:t>
        <w:br/>
        <w:t xml:space="preserve">CONSIDERING as follows: </w:t>
        <w:br/>
        <w:t xml:space="preserve">I. THE PARTIES </w:t>
        <w:br/>
        <w:t xml:space="preserve">i) The Reporters </w:t>
        <w:br/>
        <w:t xml:space="preserve">1. ROBI S.r.l. (acronym for “Raccolta Oli Bruciati Industriali”, hereinafter also “ROBI”) is a company based in the province of Bergamo (Treviolo). Founded in 1958 by a natural person, it operates in the collection of used oils in the Bergamo area. Initially focused on the collection of oils, it has gradually expanded to include the collection of other materials, all classified as special waste: solvents, batteries, electrical and electronic equipment, tires, sludge, pharmaceuticals, etc. Since 2005, ROBI has developed and implemented a proximity plant for the treatment of used lubricating oils aimed at producing base oil for the rubber and bitumen industry. The turnover of ROBI S.r.l. in 2022 was approximately 11 million euros. </w:t>
        <w:br/>
        <w:t xml:space="preserve">2. Grassano S.p.A. (hereinafter also “Grassano”) is part of the Riccoboni group, which includes the company Riccoboni S.p.A., which carries out environmental activities throughout the national territory, the two platforms for the treatment of industrial waste, Grassano S.p.A. located in Predosa (AL), Eco. Impresa S.r.l. of Ostuni (BR) is a facility for the final disposal of non-hazardous special waste located in Sezzadio (AL). The Riccoboni Group also has two owned laboratories specializing in ecological services related to waste analysis, located at the Tecnoambiente offices in Predosa (AL) and Ostuni (BR). Grassano collects and manages approximately [5,000/10,000]* tons of used mineral oils per year and also provides collection, storage, sorting, and </w:t>
        <w:br/>
        <w:t>* In this version, some data are omitted, as there are deemed to be elements of confidentiality or secrecy of the information.</w:t>
      </w:r>
    </w:p>
    <w:p>
      <w:r>
        <w:rPr>
          <w:b/>
        </w:rPr>
        <w:t>[Pages 16–18]</w:t>
      </w:r>
    </w:p>
    <w:p>
      <w:r>
        <w:t>18 BULLETIN NO. 39 OF OCTOBER 16, 2023</w:t>
        <w:br/>
        <w:t>pre-treatment of used mineral oil. Grassano's revenue in 2022 was approximately 38 million euros.</w:t>
      </w:r>
    </w:p>
    <w:p>
      <w:r>
        <w:t>ii) The reported subject</w:t>
      </w:r>
    </w:p>
    <w:p>
      <w:r>
        <w:t>3. CONOU is the "National Consortium for the management, collection, and treatment of Used Mineral Oils" (hereinafter also referred to as the "Consortium"), established for the management of the recycling and recovery of used lubricating oil, in compliance with the extended producer responsibility (EPR) obligations that burden producers and importers of lubricating oils. The Consortium operates under a legal monopoly and is governed by Article 236 of Legislative Decree No. 152/2006 (the so-called Consolidated Environmental Act, hereinafter also "TUA"), has legal personality under private law, and carries out its activities on a non-profit basis, based on a statute approved by the MATTM (now, MASE)1, most recently on November 7, 2017. The revenue of CONOU in 2022 was approximately 72 million euros.</w:t>
      </w:r>
    </w:p>
    <w:p>
      <w:r>
        <w:t>II. THE REGULATORY FRAMEWORK</w:t>
      </w:r>
    </w:p>
    <w:p>
      <w:r>
        <w:t>II.1 The regeneration of used lubricating oils</w:t>
      </w:r>
    </w:p>
    <w:p>
      <w:r>
        <w:t>4. The matter at hand centers on a dispute that arose between CONOU and the Reporters regarding which recovery processes for used lubricating oils can be classified as "regeneration" (and consequently, which used oils can be defined as "regenerated"), also for the purpose of recognizing the compensation for such activity provided for by Article 236 of the TUA.</w:t>
      </w:r>
    </w:p>
    <w:p>
      <w:r>
        <w:t>5. Article 236 of the TUA, in particular, provides that, in order to rationalize and organize the management of used mineral oils (which must be mandatorily sent for regeneration aimed at the production of base oils), the companies in the relevant supply chain are required to fulfill EPR obligations by joining CONOU.</w:t>
      </w:r>
    </w:p>
    <w:p>
      <w:r>
        <w:t>6. In this regard, Article 236 of the TUA, without prejudice to the application of Part IV of the TUA on waste in general, defines: (i) used oil: "[...] any industrial or lubricating oil, whether mineral or synthetic, that has become unsuitable for the use for which it was originally intended" (Article 183, paragraph 1, letter c), emphasis added)2; (ii) regeneration: "[...] any recycling operation that allows for the production of base oils through the refining of used oils that involves, in particular, the separation of contaminants, oxidation products, and additives contained in such oils" (Article 183, paragraph 1, letter v)), TUA, emphasis added)3.</w:t>
      </w:r>
    </w:p>
    <w:p>
      <w:r>
        <w:t>7. Regeneration is a recycling operation that specifically concerns oils. Recycling, in turn, is that recovery operation through which waste is treated to obtain products to be used "[...] for their original function or for other purposes" (emphasis added), excluding energy recovery (Article 183, paragraph 1, letter u), TUA)4.</w:t>
      </w:r>
    </w:p>
    <w:p>
      <w:r>
        <w:t>1 In agreement with the Ministry of Economic Development, now the Ministry of Enterprises and Made in Italy.</w:t>
        <w:br/>
        <w:t>2 The definition is the same as that provided at the EU level by Directive 2008/98/EC (the so-called Waste Framework Directive).</w:t>
        <w:br/>
        <w:t>3 This definition also derives from Directive 75/439/EEC and the Waste Framework Directive. The definition of regeneration is also present in Article 1 of Legislative Decree No. 95/1992 (Article 1).</w:t>
        <w:br/>
        <w:t>4 Annex C of Part IV of the TUA ("Recovery Operations") contains a non-exhaustive list of recovery operations, including "R9 - Regeneration or other reuses of oils".</w:t>
      </w:r>
    </w:p>
    <w:p>
      <w:r>
        <w:t>BULLETIN NO. 39 OF OCTOBER 16, 2023 19</w:t>
      </w:r>
    </w:p>
    <w:p>
      <w:r>
        <w:t>II.2 The authorization of regeneration plants</w:t>
      </w:r>
    </w:p>
    <w:p>
      <w:r>
        <w:t>8. From the perspective of the distribution of institutional competencies in these matters, in general, MASE oversees compliance with extended producer responsibility obligations (Article 178-ter TUA). Previously, it was also responsible for determining the technical standards for issuing authorizations for the collection and disposal of used oils (Article 4 of Legislative Decree No. 95/1992, repealed by the TUA).</w:t>
      </w:r>
    </w:p>
    <w:p>
      <w:r>
        <w:t>9. The competence to issue the authorization for the establishment and management of new waste recovery plants, however, lies with the competent Region (Article 208, TUA) or the entities delegated by it. In the case of hazardous waste recovery plants with a capacity of over 10 mg per day, which carry out "regeneration or other reuses of oils," the single authorization referred to in Article 208 TUA is replaced by the Integrated Environmental Authorization (hereinafter also "AIA"), which remains under regional competence5.</w:t>
      </w:r>
    </w:p>
    <w:p>
      <w:r>
        <w:t>10. Ultimately, the competence to qualify the process of a specific waste recovery plant as regeneration lies with the Region in whose territory the plant is located or the administration delegated by it6, which relies on the regional ARPA for technical aspects (Article 29-quater, paragraph 6, TUA).</w:t>
      </w:r>
    </w:p>
    <w:p>
      <w:r>
        <w:t>II.3 CONOU: establishment, obligations, and governance</w:t>
      </w:r>
    </w:p>
    <w:p>
      <w:r>
        <w:t>11. CONOU, which operates under a legal monopoly, was originally established by Presidential Decree No. 691/1982 under the name of the Mandatory Consortium for Used Oils (or "COOU"). Currently, the Consortium is governed by the combined provisions of Article 11 of Legislative Decree No. 95/1992, partially still in force, and Article 236 TUA.</w:t>
      </w:r>
    </w:p>
    <w:p>
      <w:r>
        <w:t>12. Companies that are required to join the mandatory consortium, also to fulfill their EPR obligations, include those that: (i) produce, import, or market virgin base oils; (ii) produce base oils through the regeneration process; (iii) carry out the recovery and collection of used oils; (iv) carry out the replacement and sale of lubricating oils. Companies join the Consortium "on an equal basis."</w:t>
      </w:r>
    </w:p>
    <w:p>
      <w:r>
        <w:t>13. For the fulfillment of extended producer responsibility obligations through consortium compliance systems, producers, importers, or users must pay the consortium or existing consortia (in this case, unique by law) a contribution, defined by the consortium itself and subject to periodic revisions, called "environmental contribution," which serves to reimburse the costs of the consortium and the activities it carries out on behalf of producers for waste management. In the case of CONOU, the contribution is determined annually, with reference to the costs incurred in the year (net of revenues) for the fulfillment of EPR obligations, and is set per kilogram of lubricating oil placed on the market in the following year (Article 236, paragraph 7, TUA)7.</w:t>
      </w:r>
    </w:p>
    <w:p>
      <w:r>
        <w:t>5 See Article 208, paragraph 2, Article 7, paragraph 4-ter, and Annex VIII to Part II of the TUA.</w:t>
        <w:br/>
        <w:t>6 As in the case of Lombardy and Piedmont where this competence is, respectively, delegated to the Provinces and the metropolitan city of Turin.</w:t>
        <w:br/>
        <w:t>7 In the case of lubricating oils, the environmental contribution must cover the costs of collection and regeneration of used oils where they are not compensated or more than compensated by the proceeds from the sale of regenerated oils. For this reason, the environmental contribution and the same compensations recognized to the actors in the supply chain are subject to fluctuation based on the market prices of regenerated oils, which in turn depend on crude oil prices.</w:t>
      </w:r>
    </w:p>
    <w:p>
      <w:r>
        <w:t>20 BULLETIN NO. 39 OF OCTOBER 16, 2023</w:t>
      </w:r>
    </w:p>
    <w:p>
      <w:r>
        <w:t>14. Under Article 236 TUA, the Consortium has several obligations, including: (i) ensuring and incentivizing the collection of used oils; (ii) prioritizing the transfer of used oils to regeneration aimed at the production of base oils and, only in the case of actual technical-economic and organizational constraints, to combustion or co-incineration; (iii) operating in compliance with the principles of competition, free movement of goods, cost-effectiveness of management, and protection of health and the environment. These functions can be performed either directly or through agents, under the direction and responsibility of the Consortium.</w:t>
      </w:r>
    </w:p>
    <w:p>
      <w:r>
        <w:t>15. Lastly, in 20098, additional important obligations were added for the Consortium, including Article 236, paragraph 12, letter l-bis, which contemplates the obligation to "transfer the collected regenerable used oils to regeneration companies that request them based on the ratio between collected quantities and requests, the production capacities of the plants provided for by the relevant authorizations, and the previous production of regenerated lubricating bases of suitable quality for consumption." Letter l-ter also contemplates the obligation to "pay regeneration companies a compensation based on the treatment determined according to the current market situation of regenerated lubricating bases, the refining costs, and the price obtainable from the initiation of used oils for reuse through combustion; this compensation will be provided with reference to the quantity of lubricating base obtained per ton of used oil, of suitable quality for consumption and effectively obtained from the regeneration process of the used oils transferred by the consortium to the company itself."</w:t>
      </w:r>
    </w:p>
    <w:p>
      <w:r>
        <w:t>16. At the governance level of the Consortium, the TUA provides that in the Board of Directors, the number of directors representing collectors and recyclers of waste must be equal to that of producers. The shares of participation in the Consortium are distributed among the categories of member companies and within each of them are allocated in proportion to the quantities of lubricants produced, marketed, regenerated, or recovered (Article 236, paragraph 6 TUA)9.</w:t>
      </w:r>
    </w:p>
    <w:p>
      <w:r>
        <w:t>III. THE RELEVANT SUPPLY CHAIN</w:t>
      </w:r>
    </w:p>
    <w:p>
      <w:r>
        <w:t>17. Lubricating oils are products obtained from the mixing of base oils (mineral or synthetic) and additives, and are primarily used in the industrial and automotive sectors, as they allow for the proper functioning of systems and engines (of vehicles, motorcycles, machinery, etc.) by reducing the friction of moving mechanical components. The "residue," at the conclusion of the so-called "technical life," in terms of used oil varies for each type of oil and application, and therefore, the recoverability in used oil at the end of life of a lubricant depends on the methods of use of the oil itself10. Given their highly polluting potential in the event of dispersion in the environment, community and national regulations have been concerned since the years</w:t>
      </w:r>
    </w:p>
    <w:p>
      <w:r>
        <w:t>8 See Decree-Law No. 135/2009, converted with amendments into Law No. 166/2009, Article 13.</w:t>
        <w:br/>
        <w:t>9 According to the CONOU statute, the shares of participation are divided equally among the different categories of member companies and thus in the amount of 25% for each category (Article 7).</w:t>
        <w:br/>
        <w:t>10 The improvement of production technologies, which has led to longer usage periods and reduced consumption of lubricants, both in vehicles and for industrial uses, along with other factors (for example, the spread of electric vehicles, which use less lubricating oils compared to traditional internal combustion vehicles) has resulted in a significant contraction in the overall market size over the last twenty years (approximately -40% since 2000).</w:t>
      </w:r>
    </w:p>
    <w:p>
      <w:r>
        <w:rPr>
          <w:b/>
        </w:rPr>
        <w:t>[Pages 19–21]</w:t>
      </w:r>
    </w:p>
    <w:p>
      <w:r>
        <w:t>BULLETIN NO. 39 OF OCTOBER 16, 2023 21</w:t>
        <w:br/>
        <w:t>‘70/’80 to ensure the existence of collective systems for the management and recovery of used lubricating oils11.</w:t>
      </w:r>
    </w:p>
    <w:p>
      <w:r>
        <w:t>18. Quantitatively, in 2022, the consumption of lubricating oils in Italy amounted to approximately 384 thousand tons12. Of these, about 52% of the uses occur in the industrial sector, while the remaining 48% is in the automotive sector. Furthermore, of the 384 thousand tons consumed, more than half represent lubricating oils physiologically consumed during use, while the remaining 181 thousand are the residues collected and managed within the consortial system (CONOU, as mentioned, currently represents the only existing consortium in Italy for the management of this category of waste). Of the 181 thousand tons managed by the Consortium, approximately 98.3% has been "sent for regeneration," that is, delivered by collectors to the two companies currently recognized for carrying out this activity13.</w:t>
      </w:r>
    </w:p>
    <w:p>
      <w:r>
        <w:t>19. Finally, regarding the products of the regeneration process, from the approximately 177.4 thousand tons processed, the two official regenerators produced about 118 thousand tons of lubricating bases (with a "yield" in terms of new bases, therefore, according to CONOU terminology, equal to about 67%), while secondary products of the regeneration process include bitumen (26.8 kton) and diesel (11.7 kton), with the remaining portion consisting of water and process residues (21 kton).</w:t>
      </w:r>
    </w:p>
    <w:p>
      <w:r>
        <w:t>20. As for the active subjects in the supply chain, CONOU currently counts 995 members, divided into the four categories already mentioned, expressly provided for by the TUA: 2 regeneration companies (operating the 3 plants currently recognized in the national territory), 9 producers/importers of virgin base oils and lubricating oils that also use regenerated base oil, 64 collection companies, and 920 retailers/workshops.</w:t>
      </w:r>
    </w:p>
    <w:p>
      <w:r>
        <w:t>21. Among these subjects, the collectors are considered the upstream "suppliers" of the supply chain, as they collect used oil from the holders (workshops, companies, etc.). CONOU relies on this collection network, distributed throughout the national territory and composed of private companies authorized to collect used oils, to then store them in their plants and subsequently, after a first selection, transport them to consortial depots, where they are analyzed to determine their qualitative characteristics and decide on the correct recovery or disposal channel. Collection from used oil holders is carried out free of charge. The Consortium recognizes compensation to the concessionaires for activities performed such as, for example, transportation, sorting services, and micro-collection (less than 720 kg).</w:t>
      </w:r>
    </w:p>
    <w:p>
      <w:r>
        <w:t>22. For the downstream phase of collection, regeneration, as mentioned, only two companies currently recognized by CONOU are active in Italy, equipped with three plants: Itelyum Regeneration S.p.A. (formerly Viscolube, hereinafter also referred to as "Itelyum"), which holds two plants, one in the province of Lodi and another in the province of Frosinone, and Ra.M.Oil S.p.A. ("RAMOIL"), which has one plant in the province of Naples. In particular, after collection and analyses carried out at the CONOU depots14, the used oil is delivered to the regeneration plants for treatment, aimed at the priority production of new lubricating bases. The Consortium recognizes the regeneration companies a fee, defined on a quarterly basis and equal for the two companies currently recognized, based on the quantity of lubricating bases obtained from the processing of used oil transferred from the CONOU system (aimed at compensating for the higher production costs and, in this way, incentivizing the use of used oil compared to virgin bases derived from petroleum).</w:t>
      </w:r>
    </w:p>
    <w:p>
      <w:r>
        <w:t>23. As mentioned, the financing of the aforementioned fees and the activities of the Consortium occurs through the annual collection of the so-called "CONOU contribution" that the members who place lubricating oils on the market (i.e., the "producers" and importers, as provided for by Article 236, paragraphs 7-9, of the TUA) pay in fulfillment of EPR obligations. This contribution is then passed downstream in the marketing chain and, ultimately, is paid by the buyers of the finished products. Regarding its quantification, the CONOU contribution appears to be counter-cyclical with respect to the trend of crude oil prices and therefore of lubricating bases, whose forecasts are referenced by the Consortium for adjustments to the contribution to ensure the maintenance of the economic balance of the system15.</w:t>
      </w:r>
    </w:p>
    <w:p>
      <w:r>
        <w:t>IV. REPORTED CONDUCTS</w:t>
      </w:r>
    </w:p>
    <w:p>
      <w:r>
        <w:t>IV.1. The report on ROBI</w:t>
      </w:r>
    </w:p>
    <w:p>
      <w:r>
        <w:t>24. According to the report received, with the initial support of the supply chain consortium (CONOU) and under the supervision of the competent authorities, ROBI, a company active in Lombardy in the collection of used oils, invested in the early 2000s to expand its scope of activity in the downstream market of regeneration, establishing a small plant at the same site where it collects used oils, in Treviolo (Bergamo). The plant obtained the release of integrated environmental authorization in 2007, later expanded by a series of subsequent determinations, which also include so-called "R9" recovery activities (in order to produce the so-called "ROBI OIL").</w:t>
      </w:r>
    </w:p>
    <w:p>
      <w:r>
        <w:t>25. CONOU initially participated in a collaborative spirit in ROBI's experiments, signing a specific program agreement with it and the Lombardy Region in 200516. On October 26, 2017, CONOU then signed a private agreement with ROBI, committing to pay the fee for the regeneration activity after the pronouncement by the competent authority, third to the parties (i.e., ARPA Lombardia), "[...] confirming that the processes carried out at the ROBI Used Oils plants constitute 'regeneration of used oils' pursuant to Article 183, paragraph 1, letter v) of the TUA" (Article 8)17.</w:t>
      </w:r>
    </w:p>
    <w:p>
      <w:r>
        <w:t>26. According to ROBI, when the company requested the fee for regeneration, the Consortium began to oppose its treatment activity, claiming that it could not be classified as "regeneration," as the base oils obtained at its plants are intended for the bitumen and rubber supply chain (even though this purpose was originally provided for in ROBI's experimentation)18 and do not qualify as highly refined regenerated oils. In particular, CONOU would have imposed a series of requirements that companies must meet to qualify as "regenerators" recognized by the Consortium. Essentially, they must be refineries capable of regenerating used oils for the production of new lubricating oils19. However, these requirements would not be imposed by current environmental legislation, which would not bind the use of regenerated base oils solely to the production of new finished lubricating oils.</w:t>
      </w:r>
    </w:p>
    <w:p>
      <w:r>
        <w:t>27. In the same agreement of 2017, it was also provided that CONOU would pay ROBI the contribution for collection (Article 6), which was paid until the end of December 2018. From January 1, 2019, therefore, ROBI does not receive either the contribution for collection or the fee for regeneration on the volumes processed at its plant.</w:t>
      </w:r>
    </w:p>
    <w:p>
      <w:r>
        <w:t>28. Contrary to what CONOU claims, according to the reporter, its oil treatment process would provide overall environmental benefits, as a "proximity" regeneration is carried out at the same location where the used oils are collected, limiting their circulation, reducing the risks of accidental spillage and, in any case, the environmental costs of transporting hazardous waste20. Also regarding the destination after treatment, the product of ROBI's regeneration process is sold to companies in the rubber and bitumen supply chain, productions particularly relevant in the area of Bergamo (and Brescia), where there is a true industrial district, closing the recycling loop of such waste in the same territorial area of the ROBI plant, in full compliance with a circular economy logic.</w:t>
      </w:r>
    </w:p>
    <w:p>
      <w:r>
        <w:t>29. As a result of its restrictive interpretation of the regeneration activity, the Consortium: (i) does not recognize ROBI the regeneration fee provided for by Article 236 of the TUA; (ii) does not allow used oil to be transferred to it by its collectors21 (and does not pay ROBI the fee for regeneration)17. In particular, with this private agreement [omitted].</w:t>
      </w:r>
    </w:p>
    <w:p>
      <w:r>
        <w:t>18 According to the Consortium, "[...] Regeneration is aimed at producing a Lubricating Base Oil of such quality that it can be used for its original purpose, that is, for the production of Lubricating Oils, in line with the objectives of the so-called 'circular economy.' The production of oils intended, for example, for bitumen, rubber mixtures, or other uses does not fall within the notion of Regeneration" (see attachments to the report of February 2, doc. 1).</w:t>
      </w:r>
    </w:p>
    <w:p>
      <w:r>
        <w:t>19 According to CONOU's interpretation, compliance with the waste hierarchy would mean that only if it is not possible to regenerate used oils in a suitable quality for being destined to the production of new finished lubricating oils due to technical, economic, and organizational constraints, they may be destined for "other" recovery operations of material or energy.</w:t>
      </w:r>
    </w:p>
    <w:p>
      <w:r>
        <w:t>20 It is noted that, as mentioned, historical regenerators have only three plants in Italy, with significant movements of oils across the national territory for delivery to these facilities.</w:t>
      </w:r>
    </w:p>
    <w:p>
      <w:r>
        <w:t>21 According to what ROBI reported, in 2021 CONOU would have modified the concession contract with collectors by inserting an unduly restrictive definition of regeneration, tailored to that currently performed by the only two companies recognized by CONOU and binding the concessionaires to transfer oils only to these, under penalty of contract termination. To prove this circumstance, ROBI has produced contractual documentation before and after this modification; in the last contract, the definition of the regeneration company in question was included, according to which, in</w:t>
      </w:r>
    </w:p>
    <w:p>
      <w:r>
        <w:rPr>
          <w:b/>
        </w:rPr>
        <w:t>[Pages 22–24]</w:t>
      </w:r>
    </w:p>
    <w:p>
      <w:r>
        <w:t>24 BULLETIN NO. 39 OF OCTOBER 16, 2023</w:t>
        <w:br/>
        <w:t>on the same, not even the contributions provided for the collection activity22); (iii) intervened in the periodic review procedure of the AIA of the ROBI plant at the Province of Bergamo, arguing that ROBI should not be authorized to carry out regeneration activities23. Finally, CONOU also intervened in opposition in another proceeding at the Province of Bergamo aimed at authorizing the mere modification of the operating hours of the ROBI plant (from 8h to 24h daily, with the same authorized production capacity, for reasons of electrical economy), in that case also raising concerns about "negative environmental effects" of the extension of the plant's operation, since, according to CONOU, the activities of ROBI "do not bring any improvement to the waste subject to treatment," which would exit the plant in essentially the same condition as it entered24.</w:t>
      </w:r>
    </w:p>
    <w:p>
      <w:r>
        <w:t>30. ROBI believes that the Consortium's interest in excluding it from the used oil regeneration market is related to the significance, within the governance of CONOU, of the only two national consortium members that are regenerators. In fact, these entities not only represent one of the four categories of Consortium members, and share common interests with the additional category of importers/producers (see infra), but they have also expanded into the category of collectors through the acquisition of numerous corporate stakes.</w:t>
      </w:r>
    </w:p>
    <w:p>
      <w:r>
        <w:t>31. ROBI has pointed out that the category of producers, besides being responsible for fulfilling EPR obligations by paying the environmental contribution, is also a customer of the two regenerators regarding the regenerated oils produced by them, which are used for the production of new lubricating oils with blend formulations (i.e., a mix of virgin base oils and a portion of regenerated bases). In this way, they presumably achieve a reduction in the production costs of the lubricating oils they market25. For this reason, producers would support the reasons of the two regenerators recognized by the Consortium, sharing with them the economic reasons for maximizing the production of regenerated oils useful for the production of new lubricating oils26.</w:t>
      </w:r>
    </w:p>
    <w:p>
      <w:r>
        <w:t>32. The Consortium's conduct, according to ROBI, would limit its operational and profit margins since it forces it to rely on lower volumes of oils compared to other regenerators and, in any case, lower than the treatment capacity of its plant27, as well as precluding it from receiving compensation from CONOU for the oils it collects, having to bear all costs for the regeneration activity28, including upstream costs for the collection of used oil employed for this purpose.</w:t>
      </w:r>
    </w:p>
    <w:p>
      <w:r>
        <w:t>IV.2 The position of the Ministry (MATTM) and ARPA Lombardia in the ROBI case</w:t>
      </w:r>
    </w:p>
    <w:p>
      <w:r>
        <w:t>33. ROBI, in its report, also stated that, in June 2017, it requested the MATTM (now MASE) for a clarifying intervention on the contentious issue with CONOU. The latter, believing it did not have the competence to analyze the industrial process, stated that the supply chain Consortium should be the reference entity in the evaluation and qualification of recycling operations; however, in light of the interpretative conflict that arose between the Consortium and ROBI, it deemed it "appropriate [...] for the sake of impartiality, to involve an institutional-type body"29 in the verification and assessment activities.</w:t>
      </w:r>
    </w:p>
    <w:p>
      <w:r>
        <w:t>34. In particular, at that time, the MATTM invited ROBI to make use of the Agency for Environmental Protection ("ARPA" or "Agency") territorially competent pursuant to law no. 132/2016, to ascertain the quality of the oil produced by its plant, in order to arrive at its correct qualification. The Ministry emphasized at the time that the activities abstractly attributable to code R9 (as per the AIA obtained by ROBI) include not only "regeneration" but also "other reuses of used oils"; therefore, it suggested to ARPA to clarify the exact object of the business activity authorized to ROBI in the case in question30.</w:t>
      </w:r>
    </w:p>
    <w:p>
      <w:r>
        <w:t>35. ARPA Lombardia then, at the invitation of ROBI (which bore the related costs), and given the request from the MATTM, initiated the verification procedure of the activities of the reporting plant, conducted in contradiction with CONOU31 and concluded in that first phase with a report dated 26 July 2018. In it, ARPA concluded that ROBI OIL is a so-called "other lubricating base oil" ("Other Lubricant Base Oil" or "OLBO") that can be used for a specific identified use (in the rubber and bitumen industry). In a further clarification letter dated 26 November 2018, following a request from the MATTM, ARPA specified that ROBI "[...] carries out a recovery treatment that, pursuant to Article 183, paragraph 1, letter v of Legislative Decree 152/06, not being specified in the article the limits and processes of treatment, can be defined as regeneration for a specific use for the identified supply chain"32.</w:t>
      </w:r>
    </w:p>
    <w:p>
      <w:r>
        <w:t>36. It should be noted that CONOU has initiated a lawsuit before the TAR Lombardia33 precisely against the reports and communications to the MATTM from ARPA Lombardia in 2018, with which the Agency recognized the activity carried out by the ROBI plant as the regeneration of used mineral oils, believing that the current definition of regeneration provided for by the TUA does not impose all the process requirements required by CONOU34. The lawsuit recently concluded with a ruling dated 5 September 2023, in which the administrative judges declared CONOU's appeal inadmissible, recognizing the lack of a regulatory nature of ARPA's report, which would express only technical evaluations devoid of mandatory content towards CONOU, which would have the final decision on the recognition of the regeneration compensation in the supply chain in question35.</w:t>
      </w:r>
    </w:p>
    <w:p>
      <w:r>
        <w:t>IV.3 The similar case of Grassano S.p.A. and its report</w:t>
      </w:r>
    </w:p>
    <w:p>
      <w:r>
        <w:t>37. In the supplements to its report, ROBI also informed that it is aware of a contentious case substantially similar to its own, concerning another plant of the company Grassano, active in the province of Alessandria.</w:t>
      </w:r>
    </w:p>
    <w:p>
      <w:r>
        <w:t>38. In response to a request for information dated 15 September 2023 regarding the pending litigation with CONOU, Grassano, in providing a response to the Authority, deemed it appropriate to simultaneously present a report of the anticompetitive conduct of the Consortium.</w:t>
      </w:r>
    </w:p>
    <w:p>
      <w:r>
        <w:t>39. From the information provided, it appears that the Piedmontese company, unlike ROBI, has not yet realized the plant for the regeneration of the used oils it already collects in the territory (and which, at present, therefore, it delivers, as a concessionaire, to the two regeneration plants recognized by CONOU36). The plant is designed to regenerate used oils with a refining process different from that followed by the two historical regenerators but aimed at producing, in the same way, highly refined lubricating oils. The final product would therefore be similar to that of Itelyum and RAMOIL and, in any case, the construction of the plant has already been authorized by the competent authorities.</w:t>
      </w:r>
    </w:p>
    <w:p>
      <w:r>
        <w:t>40. The company indicated that it has decided to invest in the construction of a small-scale plant for processing oils collected predominantly by itself locally, capable of 32 See doc. 1.2. 33 Third section, R.G. 233/2019. 34 It is read on this point in the merits memorandum produced in court by ARPA: [omissis] (see attachments to doc. 2). 35 The ruling states, in particular: "No regulatory value can be attributed to ARPA's reports, both considering that they have merely evaluative technical content, and considering that no conforming obligation arises from them for CONOU or the Ministry: the final decision regarding the possibility of recognizing the economic share due pursuant to Article 236 of the Environmental Code rests solely with the Consortium. The latter remains the only entity called to express itself regarding the payment or not of the compensation, in this case, requested by ROBI, with no decision in this sense appearing in the records." 36 The company indicated that for reasons of geographical proximity, the oil is delivered to the Itelyum regeneration plant in Pieve Fissiraga (LO) although sometimes, in certain time intervals and for various reasons, the company has been directed by CONOU to deliver its used oils to the plants in Ceccano (FR) (Itelyum) or Casalnuovo di Napoli (NA) (RAMOIL). Grassano emphasized how the transfer of such quantities of a hazardous waste, besides being uneconomical, is risky for the environment from a strictly logistical and transfer point of view and is equally harmful in terms of greenhouse gas emissions related to road transport.</w:t>
      </w:r>
    </w:p>
    <w:p>
      <w:r>
        <w:rPr>
          <w:b/>
        </w:rPr>
        <w:t>[Pages 25–27]</w:t>
      </w:r>
    </w:p>
    <w:p>
      <w:r>
        <w:t>BULLETIN NO. 39 OF OCTOBER 16, 2023 27</w:t>
        <w:br/>
        <w:t>minimize energy consumption and pollutant emissions related to the long-distance transport of collected oils37.</w:t>
      </w:r>
    </w:p>
    <w:p>
      <w:r>
        <w:t>41. CONOU, even in the case of the authorization procedure for the Grassano plant, would have intervened with conflicting positions over time. In an initial phase (February 2016), the technical director of CONOU reportedly expressed a favorable opinion in the conference of services; at that stage, observations were raised by Itelyum regarding the alleged non-compliance of the process followed by the Grassano plant with the BREF 201838 (objections that CONOU will reiterate during the review phase of the AIA of Grassano in the years 2021/2022). In April 2017, the AIA was issued with prescriptions. Following the issuance, Grassano submitted a request to modify the prescriptions. The procedure then concluded positively in September 2022 after a lengthy investigation, with favorable opinions from all intervening bodies, except for CONOU.</w:t>
      </w:r>
    </w:p>
    <w:p>
      <w:r>
        <w:t>42. Despite Grassano obtaining a favorable AIA decision from the Province of Alessandria with a positive evaluation also from ARPA Piemonte, CONOU challenged it39 arguing that the process followed by the company is not suitable for obtaining the regeneration fee and that the province, by granting the authorization, violated Article 184-ter of the TUA regarding the qualification of EoW (“End of Waste”)40. The judgment, in which the Province of Alessandria and ARPA Piemonte have intervened, is still pending. Due to the ongoing litigation, Grassano indicated that it has not proceeded with the implementation of the project as the business risk would be too significant.</w:t>
      </w:r>
    </w:p>
    <w:p>
      <w:r>
        <w:t>37 In particular, the plant that Grassano intends to build, according to the company, would have been designed with construction logics different from those of the current regenerators present in the Italian market, which have been operating for over forty years, and would have taken greater account of issues such as resource savings and the minimization of overall environmental impacts. Another large plant in France would also use the same technology; this is the Eco Huile S.a.i. plant with a treatment capacity of 125,000 tons per year, equivalent to 50% of the total used oil collected in France.</w:t>
      </w:r>
    </w:p>
    <w:p>
      <w:r>
        <w:t>38 This refers to technical regulatory standards of a Euro-unitary nature. In particular, the authorization conditions for waste treatment plants are defined with reference to the Conclusions on Best Available Techniques or “BAT” (see Article 29-bis, TUA); moreover, for the purpose of issuing the AIA, the best available techniques are taken into account, including the “Guidelines of the reference documents on BAT (BREF) already published.” While the BAT are binding, the reference documents on BAT (so-called “BREFs”) must still be considered.</w:t>
      </w:r>
    </w:p>
    <w:p>
      <w:r>
        <w:t>39 CONOU requested the annulment (with an appeal filed with the TAR Piemonte in November 2022), in part, of the determination of the Province of Alessandria general protocol no. 20220048836, of 09.09.2022, bearing “Renewal measure, following review, pursuant to Legislative Decree 152/06 - Article 29 octies and subsequent amendments, of the Integrated Environmental Authorization ddap1 400 -2012 npg 85135 of 26/07/2012 and subsequent amendments issued pursuant to the D.P.R. 160/10 and Article 29 octies paragraph 1 of Legislative Decree 152/06 and subsequent amendments to the company Grassano SPA, plant located in the municipality of Predosa (AL) - via Per Retorto no. 31.”</w:t>
      </w:r>
    </w:p>
    <w:p>
      <w:r>
        <w:t>40 The End of Waste, in Italian cessazione della qualifica di rifiuto, is the process through which a waste ceases to be such, through recovery procedures, and acquires the status of a product. The notion of End of Waste originated at the community level with the framework directive on waste (2008/98/EC). The definition has been incorporated into Italian law in Article 184-ter, paragraph 1, of the TUA, according to which: “A waste ceases to be such when it has undergone a recovery operation, including recycling, and meets specific criteria, to be adopted in compliance with the following conditions: a) the substance or object is intended to be used for specific purposes; b) there is a market or demand for that substance or object; c) the substance or object meets the technical requirements for the specific purposes and complies with existing regulations and standards applicable to products; d) the use of the substance or object will not lead to overall negative impacts on the environment or human health.”</w:t>
      </w:r>
    </w:p>
    <w:p>
      <w:r>
        <w:t>28 BULLETIN NO. 39 OF OCTOBER 16, 2023</w:t>
        <w:br/>
        <w:t>V. EVALUATIONS</w:t>
        <w:br/>
        <w:t>V.I. Introduction</w:t>
        <w:br/>
        <w:t>43. The case at hand concerns the conduct of CONOU aimed at hindering the operation of ROBI and Grassano in the used oil regeneration market, both by preventing the consortial recognition of their activity as “regeneration” of oils (even though their respective plants have been regularly authorized by the competent territorial authorities) and by precluding them from receiving the associated regeneration fee pursuant to Article 236 of the TUA.</w:t>
      </w:r>
    </w:p>
    <w:p>
      <w:r>
        <w:t>V.II. Relevant markets</w:t>
        <w:br/>
        <w:t>44. The case concerns the supply chain of used lubricating oil management which, as seen, remains downstream of the use of the lubricating oils themselves, typically in the industry or in automotive.</w:t>
      </w:r>
    </w:p>
    <w:p>
      <w:r>
        <w:t>45. The relevant markets are: (i) that of the recycling and recovery of used lubricating oils in compliance with the EPR obligations imposed on producers and importers (market for EPR compliance services); (ii) that of the regeneration of used oils in order to produce regenerated base oils; and (iii) that of the sale of regenerated base oils to the supply chains that use them as inputs for their respective production activities.</w:t>
      </w:r>
    </w:p>
    <w:p>
      <w:r>
        <w:t>V.II.1. The market for the management of used lubricating oils in compliance with EPR obligations</w:t>
        <w:br/>
        <w:t>46. A first relevant market, from a commodity perspective, is that of the recycling and recovery of used lubricating oils, functional to compliance with extended producer responsibility (EPR) obligations. The Consolidated Environmental Act provides for an autonomous regulation in Article 236, according to which producers and importers of lubricating oils must resort to CONOU for the management of used oils and finance its activities. Consortium producers and importers fulfill their obligation by financing, through a contribution (called environmental), the recycling and recovery activities carried out on their behalf by the Consortium. The environmental contribution is paid by each consortium member (producer/importer) in proportion to the volumes of product periodically placed on the market.</w:t>
      </w:r>
    </w:p>
    <w:p>
      <w:r>
        <w:t>47. From a geographical perspective, this market assumes a national dimension. Its extent, in fact, is closely linked to the scope of the regulatory provisions that define the methods of fulfilling EPR obligations. In particular, the national regulation has structured a system for fulfilling the obligation to manage this category of waste that differs from other European countries, which also implies the application of environmental contributions set at different levels. This is sufficient for distinct competitive conditions to be created in the national market compared to those present in other areas of the European internal market. This result is also supported by the indications provided by the Ministry of the Environment, with the so-called Clini circular of 201341, which essentially prioritizes the treatment of used lubricating oils at plants located in Italian territory for reasons related to the lower overall environmental impact. Furthermore, the fact that the relevant market, once the European dimension is excluded, extends across the entire national territory emerges from the fact that the obligation to manage is linked to the criterion of placing lubricating oils on the market throughout Italian territory, regardless of the geographical location of the operators.</w:t>
      </w:r>
    </w:p>
    <w:p>
      <w:r>
        <w:t>48. In conclusion, for the purposes of evaluating the conduct subject to the report, the first relevant market can be identified as the market for the management in the national territory of the recycling and recovery of used lubricating oils functional to compliance with EPR obligations.</w:t>
      </w:r>
    </w:p>
    <w:p>
      <w:r>
        <w:t>49. In this market, on the demand side, there are producers or importers of lubricating oils subject to such obligations, while, on the supply side, only CONOU operates, as seen, by law, thus functioning in a legal monopoly, consequently holding a dominant position in antitrust terms.</w:t>
      </w:r>
    </w:p>
    <w:p>
      <w:r>
        <w:t>V.II.2. The market for the regeneration of used mineral oils</w:t>
        <w:br/>
        <w:t>50. Downstream of the market for the management of the recycling and recovery of used oils for EPR purposes, there is the further market, relevant for the evaluation of the case at hand, of the regeneration of such oils for their subsequent reuse.</w:t>
      </w:r>
    </w:p>
    <w:p>
      <w:r>
        <w:t>51. In this market, to be considered of national dimension, for the same reasons seen above42, CONOU represents the only demand, as collection companies operate under the mandate of CONOU, based on specific contractual agreements.</w:t>
      </w:r>
    </w:p>
    <w:p>
      <w:r>
        <w:t>52. More operationally in the supply chain, on the demand side, the collection companies concessionaires of CONOU operate, negotiating the price of the transfer of used oils with the regenerators based on three-year contracts.</w:t>
      </w:r>
    </w:p>
    <w:p>
      <w:r>
        <w:t>53. Geographically, the elements collected so far do not suggest the existence of sub-national treatment markets, as the scarcity of active plants currently accredited by the Consortium means that used oils are delivered on a national basis to facilities even far from the collection site, based on the availability conditions of the only three existing plants.</w:t>
      </w:r>
    </w:p>
    <w:p>
      <w:r>
        <w:t>54. On the supply side, those who manage used oil regeneration plants in the national territory are active, namely primarily the only two regeneration companies officially recognized by CONOU, which, as mentioned, hold three active plants in Italy (two of them belong to Itelyum, in Lombardy and Lazio, and one to RAMOIL, in Campania). The respective market shares attributable to Itelyum and RAMOIL in the market for the regeneration of used oils in Italy are approximately 87% and 13%, respectively, with Itelyum holding an absolute preeminence.</w:t>
      </w:r>
    </w:p>
    <w:p>
      <w:r>
        <w:t>V.II.3 The market for the sale of regenerated base oils to third parties</w:t>
        <w:br/>
        <w:t>55. Further downstream of the market for the regeneration of used lubricating oils is the market for the sale of regenerated base oils to third parties, which use them as inputs in the conduct of their production activities (for example, the production of new lubricating oils, in the rubber or bitumen industry, as additives, etc.). The Authority reserves the right to evaluate during the investigation whether this market should be further segmented, from the perspective of the product resulting from regeneration operations, in order to take into account the final destination of the regenerated oils (and, therefore, distinguish the supply of regenerated base oils based on the finished products that</w:t>
      </w:r>
    </w:p>
    <w:p>
      <w:r>
        <w:rPr>
          <w:b/>
        </w:rPr>
        <w:t>[Pages 28–30]</w:t>
      </w:r>
    </w:p>
    <w:p>
      <w:r>
        <w:t>30 BULLETIN NO. 39 OF OCTOBER 16, 2023</w:t>
        <w:br/>
        <w:t>can be derived), as the assessment of the analyzed conduct as a possible exclusionary abuse appears to exist regardless of how that market is defined (see infra).</w:t>
        <w:br/>
        <w:t>56. In this market, on the demand side, operate the producing companies that use bases from regenerated oils as inputs in their production processes, and, on the supply side, the regeneration companies, including – in this case as well – primarily the two companies recognized as such by CONOU.</w:t>
        <w:br/>
        <w:t>57. The breadth of the geographical definition of this last relevant market can also be left open at this stage, as it cannot theoretically be excluded that there is a broader dimension than the national territory for the buying and selling of regenerated used oils for use in new production processes, although the impact of transportation costs must be assessed in this regard to fully define its extent. This determination is deferred to the investigative phase, without this affecting the assessments made in this measure.</w:t>
        <w:br/>
        <w:t>V.III. The conduct attributed to CONOU</w:t>
        <w:br/>
        <w:t>58. In light of the facts and the legal framework examined above, the conduct of CONOU of systematic opposition to the entry of new operators into the market for the "regeneration" of used lubricating oils appears abusive, with exclusionary and discriminatory purposes, of CONOU's dominant position in the market for the recycling and recovery of used oils in compliance with EPR obligations, in possible violation of Article 102, letters b) and c), of the TFEU. The contested conduct concerns:</w:t>
        <w:br/>
        <w:t>1) the obstruction of access by ROBI (and prospectively by Grassano) to the oils collected by the member companies, due to the restrictive qualification of the "regeneration" activity adopted by CONOU in the concession contract with the collectors; 2) the consequent failure to recognize by the Consortium the regeneration fee for the activity carried out by ROBI (and prospectively by Grassano); 3) in the case of ROBI, also the failure to pay the collection contribution on the volumes of used oils processed by its plant.</w:t>
        <w:br/>
        <w:t>59. Such conduct could preserve the position of the two historical regenerators of used oils already consorted with CONOU (Itelyum and RAMOIL), the only ones recognized by the Consortium throughout the national territory.</w:t>
        <w:br/>
        <w:t>60. It should be noted in this regard that CONOU is the only consortium recognized in the Italian legal system for the management of the recycling and recovery of used oils in compliance with the EPR of producers and importers of lubricating oils and is, therefore, the exclusively designated entity to manage the used oil supply chain, both by collecting the environmental contribution and by providing the companies in the supply chain with the contributions that support and make the recycling of the oils economically feasible (which in this sector is defined as "regeneration"), in the form of fees for collection and regeneration.</w:t>
        <w:br/>
        <w:t>61. Therefore, the companies in the supply chain that, like the whistleblowers, wish to undertake the regeneration of used oils have no alternative but to obtain recognition from CONOU in order to both receive the consortium fees and acquire the used oils collected by other consorted collectors and delivered to CONOU. The conduct of the Consortium is therefore of crucial relevance for the operation of new companies.</w:t>
        <w:br/>
        <w:t>62. The two historical regenerators would be in direct competition with Grassano, whose plant is designed to produce highly refined lubricating oils of the same type as those primarily produced by Itelyum and RAMOIL. Furthermore, information on file reveals that Itelyum, in addition to producing highly refined regenerated bases, would also operate in the market for regenerated oils intended for the rubber and bitumen industries and, therefore, this company would be in direct competition with ROBI.</w:t>
        <w:br/>
        <w:t>63. CONOU's position, as seen in the factual part, has changed over time, creating reliance in ROBI in light of the agreements signed in 2005 and 2017 with the Consortium and with the Lombardy Region for the development of its industrial project. Even in the case of Grassano, after an initial favorable opinion from the technical director of CONOU in 2016, the Consortium changed its position following the observations raised by Itelyum in the AIA release procedure.</w:t>
        <w:br/>
        <w:t>64. The exclusivity situation that places CONOU as the obligated interlocutor of the reporting companies, as the only consortium for the management of used oils in Italy, is further exacerbated by the fact that all institutional subjects (ARPA and, above all, MASE and administrative judges) have stated in multiple venues that it is up to CONOU to decide on the disbursement of the fees43, which is why a contrary position of the Consortium, even through discriminatory conduct for exclusionary purposes, could have the effect of penalizing some companies in favor of others without the former being able to appeal to the intervention of third parties other than CONOU to evaluate its actions. In other words, despite the issuance of the relevant authorizations for carrying out the regeneration activity (as in both cases of ROBI and Grassano), CONOU's conduct appears capable of limiting the actual usability of such authorizations, preventing new companies from operating in the market for the regeneration of used oils on equal terms with the operators already active there44.</w:t>
        <w:br/>
        <w:t>65. From the elements provided by the received reports, the Consortium appears to defend the interests of the two historical regenerators of used oils in Italy, in a market situation that sees a trend of progressive contraction in the volumes of lubricating oils in general and, therefore, also of lubricating oils destined for regeneration, contesting in all possible venues the assessments of the competent authorities for the issuance of AIA for new plants (both by participating in the administrative release procedures and by initiating administrative litigation against the measures adopted by them).</w:t>
        <w:br/>
        <w:t>66. The Consortium's intervention to protect the interests of the two historical regenerators in order to preserve their market position would be traced back to the possibility of the regenerators influencing CONOU's actions. In the Consortium's social structure, as seen, there are 4 categories of members (1. producers or importers of lubricating oils; 2. producers of regenerated base oils; 3. collectors; and 4. workshops that carry out the replacement and sale of lubricating oils). The shares in the assembly are distributed at 25% for each category, and the two regenerators thus hold 25% of the votes in the assembly. Moreover, according to what ROBI stated, the main regenerator would have over time acquired control of a significant number of collection companies, representing about 25% of the relevant category.</w:t>
        <w:br/>
        <w:t>67. Furthermore, according to ROBI's perspective, even the producers and importers of lubricating oils would support the position and interests of the historical regenerators, as they could share with them a goal of maximizing the production of regenerated oils useful as bases for the production of new lubricating oils, for the savings in production costs of the latter in blend formulations. In conclusion, according to the report received, through their direct participation shares in CONOU, the sharing of objectives with category no. 1 and the indirectly controllable shares of category no. 3, the current regenerators would be able to steer CONOU's actions in favor of their commercial interests.</w:t>
        <w:br/>
        <w:t>68. CONOU's exclusionary strategy, aimed at preventing the effective operation in the market for the regeneration of used lubricating oils by ROBI and Grassano (whose plants have already been authorized by the territorially competent authorities) which, moreover, present possible advantages in terms of technology and proximity in the treatment of hazardous waste such as used oils, also appears capable of producing potential negative effects on final consumers, to the extent that the environmental contribution is passed on to the price of lubricating oils; ultimately, it is the final consumers who purchase such products that effectively bear the financial burdens related to the management of used oils and the higher level of such burdens that the conduct attributed to CONOU may determine.</w:t>
        <w:br/>
        <w:t>VI. HARM TO INTRA-COMMUNITY TRADE</w:t>
        <w:br/>
        <w:t>69. The described behaviors appear capable of harming intra-community trade and, therefore, seem to constitute the elements for a violation of Article 102 TFEU. This is considering that the examined conduct seems to affect the entire national market and is likely to condition the possibility of entry by companies from the European Union into the Italian market for the regeneration of used oils.</w:t>
        <w:br/>
        <w:t>THEREFORE CONSIDERED, that the behaviors carried out by the National Consortium for the management, collection, and treatment of Used Mineral Oils (CONOU), for the reasons outlined above, appear to configure a possible violation of Article 102, letters b) and c) of the TFEU;</w:t>
        <w:br/>
        <w:t>RESOLVES</w:t>
        <w:br/>
        <w:t>a) to initiate the investigation, pursuant to Article 14 of Law no. 287/90, against the National Consortium for the management, collection, and treatment of Used Mineral Oils (CONOU), to ascertain the existence of competition violations pursuant to Article 102, letters b) and c), of the TFEU;</w:t>
        <w:br/>
        <w:t>b) to set a deadline of sixty days, starting from the date of notification of this measure, for the representatives of the parties to exercise their right to be heard, specifying that the request for a hearing must be sent to the Transport, Energy and</w:t>
      </w:r>
    </w:p>
    <w:p>
      <w:r>
        <w:rPr>
          <w:b/>
        </w:rPr>
        <w:t>[Pages 31–33]</w:t>
      </w:r>
    </w:p>
    <w:p>
      <w:r>
        <w:t>BULLETIN NO. 39 OF OCTOBER 16, 2023 33</w:t>
        <w:br/>
        <w:t>Environment of the Department for Competition 2 of this Authority at least fifteen days before the expiration of the above-mentioned term;</w:t>
        <w:br/>
        <w:t>c) that the person responsible for the procedure is Dr. Vittoria Tesei;</w:t>
        <w:br/>
        <w:t>d) that the acts of the procedure can be viewed, at the Transport, Energy and Environment Directorate of the Department for Competition 2 of this Authority, by the legal representatives of the Parties or by persons delegated by them;</w:t>
        <w:br/>
        <w:t>e) that the procedure must be concluded by 30 November 2024.</w:t>
        <w:br/>
        <w:t>This measure will be notified to the interested parties and published in the Bulletin of the Competition and Market Authority.</w:t>
        <w:br/>
        <w:t>THE SECRETARY GENERAL THE PRESIDENT</w:t>
        <w:br/>
        <w:t>Guido Stazi Roberto Rustichelli</w:t>
      </w:r>
    </w:p>
    <w:p>
      <w:r>
        <w:t>34 BULLETIN NO. 39 OF OCTOBER 16, 2023</w:t>
        <w:br/>
        <w:t>CONCENTRATION OPERATIONS</w:t>
        <w:br/>
        <w:t>C12564 - FIBONACCI BIDCO/OCS</w:t>
        <w:br/>
        <w:t>Measure no. 30790</w:t>
        <w:br/>
        <w:t>THE COMPETITION AND MARKET AUTHORITY</w:t>
        <w:br/>
        <w:t>IN ITS MEETING of 26 September 2023;</w:t>
        <w:br/>
        <w:t>HEARD the Rapporteur, Saverio Valentino;</w:t>
        <w:br/>
        <w:t>HAVING REGARD to Regulation (EC) no. 139/2004;</w:t>
        <w:br/>
        <w:t>HAVING REGARD to law 10 October 1990, no. 287;</w:t>
        <w:br/>
        <w:t>HAVING REGARD to the D.P.R. 30 April 1998, no. 217;</w:t>
        <w:br/>
        <w:t>HAVING REGARD to the communication from the company Fibonacci Bidco S.r.l., received on 1 September 2023;</w:t>
        <w:br/>
        <w:t>CONSIDERING the following:</w:t>
        <w:br/>
        <w:t>I. THE PARTIES</w:t>
        <w:br/>
        <w:t>1. Fibonacci Bidco S.r.l. (hereinafter, “Fibonacci”) is a limited liability vehicle company that currently does not carry out any economic activity as it is a holding company established for the purpose of this concentration. Fibonacci is indirectly and wholly controlled by the Apax X Fund, an investment fund assisted by Apax Partners LLP (hereinafter, “AP”).</w:t>
        <w:br/>
        <w:t>AP is the parent company of several entities that provide investment assistance services for private equity funds (“AP Funds”) in various industrial sectors, including those of technology services, software provision, telecommunications, medical technologies, pharmaceuticals, healthcare services, retail, marketing services, and e-commerce.</w:t>
        <w:br/>
        <w:t>In 2022, globally, the portfolio companies in which the AP Funds held a controlling interest generated revenues of [10-20]* billion euros, of which approximately [6-7] billion euros in Europe and [700-1,000] million euros in Italy.</w:t>
        <w:br/>
        <w:t>2. OCS S.p.A. (hereinafter, “OCS” or “Target” and together with Fibonacci, the “Parties”) is an Italian joint-stock company that provides software and IT services for the consumer credit market, offering financial institutions a suite of software based on a proprietary platform, along with integration, maintenance, and management services for the related applications.</w:t>
        <w:br/>
        <w:t>OCS is controlled by OCSbi S.p.A. which holds [omitted] of the share capital while the remaining part is held, [omitted] by Blufin S.r.l., [omitted] by Regondino S.r.l. and [omitted] by Ergon S.r.l. In 2022, OCS generated revenues in Italy of [32-100] million euros.</w:t>
        <w:br/>
        <w:t>* In this version, some data are omitted, as elements of confidentiality or secrecy of the information were deemed to exist.</w:t>
      </w:r>
    </w:p>
    <w:p>
      <w:r>
        <w:t>BULLETIN NO. 39 OF OCTOBER 16, 2023 35</w:t>
        <w:br/>
        <w:t>II. DESCRIPTION OF THE TRANSACTION</w:t>
        <w:br/>
        <w:t>3. The transaction in question consists of the acquisition, by Fibonacci, of the entire share capital of OCS. As a result, AP – through Fibonacci – will acquire exclusive control of OCS.</w:t>
        <w:br/>
        <w:t>4. The share purchase agreement (Sale and Purchase Agreement), signed between, on one side, OCSbi S.p.A., Blufin S.r.l., Regondino S.r.l., Ergon S.r.l. (hereinafter, the “Sellers”) and, on the other side, Fibonacci, provides that each of the Sellers undertakes not to solicit, for a period of [omitted] after the closing, any employee subject to restrictions (Restricted Employees).</w:t>
        <w:br/>
        <w:t>III. QUALIFICATION OF THE TRANSACTION</w:t>
        <w:br/>
        <w:t>5. The notified transaction, as it involves the acquisition of control of a company, constitutes a concentration pursuant to Article 5, paragraph 1, letter b), of law no. 287/1990. It falls within the scope of application of law no. 287/1990, as the conditions set out in Article 1 of Regulation (EC) no. 139/2004 do not apply and is subject to the obligation of prior notification, as provided for by Article 16, paragraph 1 of the same law, since the total revenue generated, in the last financial year at the national level, by the group of companies involved exceeded 532 million euros and the total revenue generated individually, in the last financial year at the national level, by at least two of the companies involved exceeded 32 million euros.</w:t>
        <w:br/>
        <w:t>6. The non-solicitation agreement for employees subject to restrictions, described above, is to be considered as an ancillary restriction directly connected to the transaction in question1, due to its limited duration and the circumstance that it is imposed on the Sellers to ensure Fibonacci the full value of the transferred assets.</w:t>
        <w:br/>
        <w:t>IV. ASSESSMENT OF THE CONCENTRATION</w:t>
        <w:br/>
        <w:t>The relevant markets</w:t>
        <w:br/>
        <w:t>7. Considering the activities carried out by the Parties, the transaction concerns the market for the provision of information technology services (hereinafter, “IT”) and that of the development and provision of business software.</w:t>
        <w:br/>
        <w:t>8. With reference to the IT services market, it is preliminarily noted that in the decision-making practice of the European Commission2 and the Authority3 this market has generally been considered segmentable based on the functionality of the services offered and the industrial sectors affected by the offer of such services.</w:t>
        <w:br/>
        <w:t>1 See Commission Communication on restrictions directly related and necessary to concentrations (2005/C 56/03).</w:t>
        <w:br/>
        <w:t>2 See, among others, M.9205 – IBM/Red Hat, Commission decision of 27 June 2019 and M.7458 – IBM/INF Business of Deutsche Lufthansa, Commission decision of 15 December 2014.</w:t>
        <w:br/>
        <w:t>3 See, among others, measure no. 28342, of 8 September 2020, of non-initiation of concentration C12317 – Fondo Italiano d’Investimento SGR-Elettra One/Maticmind, in Bulletin no. 38/2020 and measure no. 24851, of 27 March 2014, of non-initiation of concentration, case C11943 – ICCREA Holding/I.S.I.D.E, in Bulletin no. 15/2014.</w:t>
      </w:r>
    </w:p>
    <w:p>
      <w:r>
        <w:rPr>
          <w:b/>
        </w:rPr>
        <w:t>[Pages 34–36]</w:t>
      </w:r>
    </w:p>
    <w:p>
      <w:r>
        <w:t>36 BULLETIN NO. 39 OF OCTOBER 16, 2023</w:t>
        <w:br/>
        <w:t>9. In this case, taking into account the activities carried out by the companies involved in the transaction, the IT services market can be divided4, based on the functionality of the service, into the following segments: (i) consulting, (ii) implementation of applications and managed services, (iii) implementation of infrastructure and managed services, (iv) business process services, (v) infrastructure as a service, and (vi) hardware support. Furthermore, the IT services market can be segmented by industrial sector into: (i) banking and investment services, (ii) media and communication services, (iii) education, (iv) public administration, (v) healthcare and life sciences, (vi) insurance, (vii) manufacturing and natural resources, (viii) oil &amp; gas, (ix) energy and utilities, (x) retail, (xi) transportation, and (xii) wholesale. With reference to the industrial sector, slight overlaps between the Parties exist in the banking and investment services sector. In any case, for the purposes of this assessment, the exact definition of the product market can be left open, as – with reference to the identified industrial sector – the transaction does not raise concerns from the perspective of competition protection either in the IT services market or in any of the segments identified based on the functionality of the service.</w:t>
      </w:r>
    </w:p>
    <w:p>
      <w:r>
        <w:t>10. With reference to the geographical definition of the IT services market, in its previous decisions, the Authority noted the homogeneity of competitive conditions across the national territory and the absence of significant imports of IT services, thus supporting a national dimension of the market. More recently, however, the Authority has considered a broader scope of this market5, in line with what has been highlighted by the European Commission, in light of the fact that the main IT service providers operate on a global basis and clients often issue tenders for the acquisition of IT services at a global level. However, for the purposes of this assessment, the exact definition of the geographical market can be left open as, even with reference to the national scope alone, no competitive concerns arise.</w:t>
      </w:r>
    </w:p>
    <w:p>
      <w:r>
        <w:t>11. Regarding the development and provision of enterprise software, considered as a distinct product market, it is noted that the Target company generates a marginal part of its revenue from the sale of licenses for a proprietary suite of enterprise software6 (Enterprise Application System Software, hereinafter "EAS"). In its previous decisions7, the European Commission has considered that the market for EAS software solutions could be segmented8 into: (i) enterprise resource planning, (ii) customer relationship management, (iii) supply chain management, (iv) project and portfolio management, and (v) analytical platforms. Based on considerations similar to those above and, in particular, regarding the modest competitive impact of the transaction in question, the exact definition of the product market can be left open.</w:t>
      </w:r>
    </w:p>
    <w:p>
      <w:r>
        <w:t>4 The segmentation of the IT services market into segments refers to the classification prepared most recently in 2022 by the independent consulting and market research firm Gartner, specialized in the IT sector. This classification has also been referenced by the Commission in some of its previous decisions (see note 2).</w:t>
      </w:r>
    </w:p>
    <w:p>
      <w:r>
        <w:t>5 See measure no. 28342/2020, cited.</w:t>
      </w:r>
    </w:p>
    <w:p>
      <w:r>
        <w:t>6 About 10% of the Target company's revenue comes from the sale of licenses, while the remaining 90% of revenue comes from implementation and maintenance services.</w:t>
      </w:r>
    </w:p>
    <w:p>
      <w:r>
        <w:t>7 Decision of the Commission of 11 February 2021 in case M.10060 – Francisco Partners/Marlin Equity Partners/Conan Holdco, paragraph 12.</w:t>
      </w:r>
    </w:p>
    <w:p>
      <w:r>
        <w:t>8 For the segmentation of the software solutions market, EAS refers to the classification prepared by Gartner.</w:t>
      </w:r>
    </w:p>
    <w:p>
      <w:r>
        <w:t>BULLETIN NO. 39 OF OCTOBER 16, 2023 37</w:t>
        <w:br/>
        <w:t>12. With reference to the geographical definition, in the case at hand, the scope of the EAS software solutions market can conservatively be considered to be of national dimension, taking into account the circumstance that the Target company generates almost all of its revenues and has most of its clientele in Italy.</w:t>
      </w:r>
    </w:p>
    <w:p>
      <w:r>
        <w:t>The effects of the transaction</w:t>
      </w:r>
    </w:p>
    <w:p>
      <w:r>
        <w:t>13. The transaction in question produces horizontal effects in the IT services market. With reference to the industrial sector of banking and investment services, the companies involved, as a result of the transaction, will have a combined market share of [1-5%]. With reference to the segment of application implementation and managed services, still within the industrial sector of banking and investment services, the area of activity of OCS, therefore based on the narrowest possible definition of the market, the combined market share is, in any case, below 5% (Table 1).</w:t>
      </w:r>
    </w:p>
    <w:p>
      <w:r>
        <w:t>Table 1: market shares by value (2022) in the segment of application implementation and managed services and in the broader IT services market for the banking and investment services sector</w:t>
        <w:br/>
        <w:t>Market share</w:t>
        <w:br/>
        <w:t>OCS AP**</w:t>
        <w:br/>
        <w:t>combined</w:t>
        <w:br/>
        <w:t>Implementation of applications</w:t>
        <w:br/>
        <w:t>and managed services in the [1-5%] [1-5%] [1-5%]</w:t>
        <w:br/>
        <w:t>banking and investment services</w:t>
        <w:br/>
        <w:t>Total IT services in the</w:t>
        <w:br/>
        <w:t>[less than 1%] [less than 1%] [1-5%]</w:t>
        <w:br/>
        <w:t>banking and investment services</w:t>
        <w:br/>
        <w:t>Source: AGCM processing of data provided in the notification form.</w:t>
        <w:br/>
        <w:t>** The AP share reflects the revenue generated in Italy by portfolio companies controlled by the AP Funds.</w:t>
      </w:r>
    </w:p>
    <w:p>
      <w:r>
        <w:t>14. In the market for the provision of EAS software solutions, as a result of the transaction, the Parties will hold a combined share of less than 3%. Even considering the relevant market to be the provision of software solutions, EAS within the scope of banking and investment services alone, the combined market share of the companies involved is approximately [5-10%] of the market. Finally, with reference to the specific segment of enterprise resource planning within the banking and investment services, the post-merger share is below 15% (Table 2).</w:t>
      </w:r>
    </w:p>
    <w:p>
      <w:r>
        <w:t>38 BULLETIN NO. 39 OF OCTOBER 16, 2023</w:t>
        <w:br/>
        <w:t>Table 2: market shares by value (2022) in the segment of enterprise resource planning and in the broader market of EAS software solutions for the banking and investment services sector</w:t>
        <w:br/>
        <w:t>Market share</w:t>
        <w:br/>
        <w:t>OCS AP***</w:t>
        <w:br/>
        <w:t>combined</w:t>
        <w:br/>
        <w:t>Enterprise resource</w:t>
        <w:br/>
        <w:t>planning in the banking [1-5%] [10-15%] [10-15%]</w:t>
        <w:br/>
        <w:t>and investment services</w:t>
        <w:br/>
        <w:t>Total EAS in the banking</w:t>
        <w:br/>
        <w:t>[less than 1%] [1-5%] [5-10%]</w:t>
        <w:br/>
        <w:t>and investment services</w:t>
        <w:br/>
        <w:t>Source: AGCM processing of data provided in the notification form.</w:t>
        <w:br/>
        <w:t>*** The AP share reflects the revenue generated in Italy by portfolio companies controlled by the AP Funds.</w:t>
      </w:r>
    </w:p>
    <w:p>
      <w:r>
        <w:t>15. It can finally be excluded that the transaction produces vertical effects in the provision of IT services, as there are no supply relationships between the Parties.</w:t>
      </w:r>
    </w:p>
    <w:p>
      <w:r>
        <w:t>CONSIDERING, therefore, that the transaction in question does not significantly impede effective competition in the relevant market pursuant to Article 6, paragraph 1, of law no. 287/1990 and does not result in the establishment or strengthening of a dominant position;</w:t>
      </w:r>
    </w:p>
    <w:p>
      <w:r>
        <w:t>CONSIDERING, furthermore, that the non-solicitation agreement signed between the Parties can be considered ancillary to the concentration transaction in question within the limits indicated and described previously and that the Authority reserves the right to assess, where the conditions exist, the aforementioned agreements should they exceed those limits;</w:t>
      </w:r>
    </w:p>
    <w:p>
      <w:r>
        <w:t>RESOLVES</w:t>
        <w:br/>
        <w:t>not to initiate the investigation referred to in Article 16, paragraph 4, of law no. 287/1990.</w:t>
      </w:r>
    </w:p>
    <w:p>
      <w:r>
        <w:t>The above conclusions will be communicated, pursuant to Article 16, paragraph 4, of law no. 287/1990, to the companies involved and to the Minister of Enterprises and Made in Italy.</w:t>
      </w:r>
    </w:p>
    <w:p>
      <w:r>
        <w:t>This measure will be published in the Bulletin of the Competition and Market Authority.</w:t>
      </w:r>
    </w:p>
    <w:p>
      <w:r>
        <w:t>THE SECRETARY GENERAL THE PRESIDENT</w:t>
        <w:br/>
        <w:t>Guido Stazi Roberto Rustichelli</w:t>
      </w:r>
    </w:p>
    <w:p>
      <w:r>
        <w:rPr>
          <w:b/>
        </w:rPr>
        <w:t>[Pages 37–39]</w:t>
      </w:r>
    </w:p>
    <w:p>
      <w:r>
        <w:t>BULLETIN NO. 39 OF OCTOBER 16, 2023 39</w:t>
        <w:br/>
        <w:t>ACTIVITY OF REPORTING AND CONSULTATION</w:t>
        <w:br/>
        <w:t>AS1915 - ALESSANDRINO BASIN CONSORTIUM - ASSIGNMENT OF THE</w:t>
        <w:br/>
        <w:t>SERVICE OF COLLECTION AND TRANSPORT OF MUNICIPAL SOLID WASTE</w:t>
        <w:br/>
        <w:t>Rome, July 25, 2023</w:t>
        <w:br/>
        <w:t>Alessandrino Basin Consortium for the</w:t>
        <w:br/>
        <w:t>collection and transport of municipal solid waste</w:t>
        <w:br/>
        <w:t>The Competition and Market Authority, in its meeting of July 18, 2023, resolved to express an opinion, pursuant to Article 21-bis of law 10 October 1990, no. 287, regarding the resolution of the Consortium Assembly of the Alessandrino Basin Consortium for the collection and transport of municipal solid waste (“Alessandrino Basin Consortium”) of May 29, 2023, no. 5, concerning “In-house providing assignment to the company Amag Ambiente S.p.A. of the service of collection and transport of municipal solid waste in the municipality of Alessandria,” published on May 31, 2023, on the official website of the National Anti-Corruption Authority in the specific section “Transparency SPL.”</w:t>
        <w:br/>
        <w:t>This resolution concerns the in-house assignment by the Alessandrino Basin Consortium to the company Amag Ambiente S.p.A. of the service of collection and transport of municipal solid waste in the Municipality of Alessandria for a transitional period of eighteen months until June 30, 2024.</w:t>
        <w:br/>
        <w:t>The Authority intends to make some considerations regarding various competitive criticality profiles of the operation, particularly related to: (i) the participation of the Alessandrino Basin Consortium in the share capital of an entity responsible for managing a local network public service and (ii) the qualified motivation regarding the chosen form of assignment and the reasons for not resorting to the market.</w:t>
        <w:br/>
        <w:t>(i) On the participation of the governing body in the entity responsible for the management of urban waste</w:t>
        <w:br/>
        <w:t>The resolution adopted by the Alessandrino Basin Consortium appears to be flawed in that the governing body participates in the share capital of the entity responsible for managing a local network public service, in violation of Articles 6, paragraph 2, and 33, paragraphs 1 and 2, of Legislative Decree 23 December 2022, no. 201 (containing “Reorganization of the regulation of local public services of economic relevance”).</w:t>
      </w:r>
    </w:p>
    <w:p>
      <w:r>
        <w:t>40 BULLETIN NO. 39 OF OCTOBER 16, 2023</w:t>
        <w:br/>
        <w:t>Article 6, paragraph 2, of Legislative Decree no. 201/2022 prohibits, in fact, the governing bodies of the area or the Authorities specifically established for the regulation and control of local public services from participating directly or indirectly in the entities responsible for managing local network public services. This is to ensure compliance with the principle set forth in the first paragraph, according to which, at the local level, the functions of regulation, direction, and control and those of management of local network public services are distinct and exercised separately.</w:t>
        <w:br/>
        <w:t>However, Article 33, paragraph 1, clarified that, temporarily, this prohibition does not apply to the participations of the Governing Bodies of the Urban Waste Management Services in relation to the assignments in place at the date of entry into force of the same Legislative Decree no. 201/2022. Furthermore, paragraph 2 of the same article deferred the commencement of this prohibition to March 30, 2023, with reference only to the participations of the Governing Bodies of the Urban Waste Management Service and in order to allow the implementation of the area plans being defined1.</w:t>
        <w:br/>
        <w:t>In providing an interpretation of the provision of Article 33, the Control Section of the Court of Auditors of Campania (resolution no. 13/2023/PASP) clarified that Article 33, paragraph 1, of Legislative Decree no. 201/2022 applies only to the assignments in place as of December 31, 2022, which is the date of entry into force of Legislative Decree no. 201/20222.</w:t>
        <w:br/>
        <w:t>The Authority shares the position expressed by the Court of Auditors, as the rationale of the provision of Article 33, paragraph 1, for urban waste management services, should be that - as the same provision states - of “full implementation of the commitments contained in the National Recovery and Resilience Plan.” Within the enabling reforms regarding the promotion of competition, aimed at removing barriers to entry into markets, the PNRR indeed provides for a more responsible use of in-house management.</w:t>
        <w:br/>
        <w:t>Therefore, with reference to the case at hand, it is believed that it does not fall within the scope of application of the transitional provision of paragraph 1 of Article 33, as the Alessandrino Basin Consortium did not have an “existing assignment” at the date of entry into force of Legislative Decree no. 201/2022, as the extension of the duration of the assignment (provided by the resolution of the Consortium Assembly of December 9, 2021, no. 21) expired precisely on December 31, 2022, and it does not appear that the company Amag Ambiente S.p.A. operated with a valid title from January 1, 2023, until the date of the resolution in question (May 29, 2023).</w:t>
        <w:br/>
        <w:t>Nor can the deferral of the prohibition established by paragraph 2 of Article 33 be considered applicable to the case at hand, since by March 30, 2023, no new resolution for the assignment of the service that expired on December 31, 2022, was adopted, nor was a new service contract stipulated, so that it could not be said that any assignment was validly in place.</w:t>
        <w:br/>
        <w:t>1 The derogation introduced by Article 33, paragraph 2, originates from the need to “allow the implementation of area plans being defined” and, therefore, to allow the Governing Bodies to complete, within and no later than 90 days from the entry into force of the regulations of Legislative Decree no. 201/2022, a process already initiated and being defined. It is, moreover, the very literal wording of the provisions of Articles 6, paragraph 2, and 33, paragraph 2, that indicates that, by March 30, 2023, the service contract must be stipulated, since the time shift requires that there be, pursuant to Article 6, paragraph 2, a participation in “entities responsible for managing the service,” that is, with which a service contract has already been stipulated.</w:t>
        <w:br/>
        <w:t>2 As stated by the Control Section of the Court of Auditors of Campania, “with reference to two types of network services (integrated water service and urban waste management services), the provision in question preserves the assignments in place as of the date (31/12/2022) of entry into force of the reorganization decree of local public services, exempting the governing bodies of the respective areas, for the duration of the assignments themselves, from compliance with the prohibition established by Article 6, paragraph 2.”.</w:t>
      </w:r>
    </w:p>
    <w:p>
      <w:r>
        <w:t>BULLETIN NO. 39 OF OCTOBER 16, 2023 41</w:t>
        <w:br/>
        <w:t>It is therefore believed that the decision of the Alessandrino Basin Consortium to assign the in-house management of the service to a directly participated company violates Articles 6, paragraph 2, and 33, paragraphs 1 and 2, of Legislative Decree no. 201/2022.</w:t>
        <w:br/>
        <w:t>(ii) On the motivation regarding the chosen form of assignment and the reasons for not resorting to the market</w:t>
        <w:br/>
        <w:t>For assignments to in-house companies of local public services of economic relevance, the aforementioned Legislative Decree no. 201/2022 provides that, prior to the assignment procedure, the entity must account, in a specific report, for the outcomes of the evaluation on the choice of management mode (Article 14, paragraphs 2 and 3). In the case of in-house assignments exceeding the thresholds of European relevance, moreover, local authorities adopt the resolution for the assignment of the service based on a qualified motivation that expressly accounts for the reasons for not resorting to the market for the efficient management of the service (Article 17, paragraph 2)3.</w:t>
        <w:br/>
        <w:t>In the report prepared pursuant to Article 17 of Legislative Decree no. 201/2022, attached to the resolution of May 29, 2023, no. 5 (also “Report”), the Alessandrino Basin Consortium elaborates two orders of reasons in support of the choice not to resort to the market. The first is based on the assumption of a lesser economic burden for the community, due to the consideration that only in in-house providing is it possible not to pay a market profit to the company providing the service.</w:t>
        <w:br/>
        <w:t>This argument in support of the choice of in-house appears flawed on multiple fronts. First of all, the need to ensure the economic-financial balance of the public service contract requires the coverage of all costs, including capital costs, through the recognition of a reasonable profit. This principle is valid regardless of the mode of assignment. The failure to cover capital costs would, in fact, not be without consequences, even for the community. For example, consider that, without providing any remuneration for the capital used, the company would be unable to turn to the capital market to obtain financing useful for making investments, remaining entirely dependent on public non-repayable resources.</w:t>
        <w:br/>
        <w:t>3 In particular, pursuant to Article 17, paragraph 2, of Legislative Decree no. 201/2022, the resolution for the assignment of the service must be based on a qualified motivation that expressly accounts for the reasons for not resorting to the market for the efficient management of the service, illustrating, also based on the acts and indicators referred to in Articles 7, 8, and 9 of Legislative Decree no. 201/2022, the benefits for the community of the chosen management form with regard to investments, service quality, service costs for users, impact on public finances, as well as the objectives of universality, sociality, environmental protection, and accessibility of services, also in relation to the results achieved in any previous in-house management, taking into account the data and information resulting from the periodic checks referred to in Article 30 of Legislative Decree no. 201/2022. Furthermore, based on paragraph 4 of the same Article 17, for local network public services, the resolution is accompanied by an economic-financial plan that, without prejudice to sector regulations, also contains the projection, on a three-year basis and for the entire duration of the assignment, of costs and revenues, investments and related financing, as well as the specification of the economic-asset structure of the company, the invested equity capital, and the amount of indebtedness, to be updated every three years.</w:t>
        <w:br/>
        <w:t>Until December 31, 2022, such assignments had to occur based on a specific report of the assigning entity pursuant to Article 34, paragraph 20, of Decree Law no. 179/2012, which accounted for “the reasons and the existence of the requirements provided for by European legislation for the chosen form of assignment.” This provision was repealed by Article 37, paragraph 1, letter h) of the aforementioned Legislative Decree no. 201/2022. It is also noted that the burden of reinforced motivation for in-house assignments was also provided for by Article 192, paragraph 2, of Legislative Decree 50/2016 (according to which contracting authorities must account for the reasons for not resorting to the market, as well as the benefits for the community of the chosen management form). The new Public Contracts Code referred to in Legislative Decree no. 36/2023 now provides, in Article 7, paragraph 3, that the in-house assignment of services of general economic interest at the local level is governed by Legislative Decree no. 201/2022 reorganizing the regulation of local public services.</w:t>
      </w:r>
    </w:p>
    <w:p>
      <w:r>
        <w:rPr>
          <w:b/>
        </w:rPr>
        <w:t>[Pages 40–42]</w:t>
      </w:r>
    </w:p>
    <w:p>
      <w:r>
        <w:t>42 BULLETIN NO. 39 OF OCTOBER 16, 2023</w:t>
        <w:br/>
        <w:t>Secondly, although the choice not to provide a reasonable profit rate may be legitimately made by the contracting authority (the tariffs set by the sector Authority, ARERA, include this cost element, but constitute maximum thresholds that do not prevent setting lower levels), it does not seem that such a choice constitutes an intrinsic advantage of in-house provision, but rather an excluding and discriminatory determination with respect to the possibility of resorting to different contracting methods, as any private operators could not afford to not remunerate the invested capital.</w:t>
      </w:r>
    </w:p>
    <w:p>
      <w:r>
        <w:t>Thirdly, the simple comparison between the cost of the service in the three contracting methods only takes into account the cost difference due to the (non) payment of profit, but overlooks the savings achievable through the discounts resulting from the tender procedure. Therefore, the values represented, as approximate as they may be, do not accurately depict the comparison between the three options, which could instead lean towards the tendering method if the discounts more than compensated for the elimination of the payment of a reasonable profit in the case of in-house provision.</w:t>
      </w:r>
    </w:p>
    <w:p>
      <w:r>
        <w:t>Finally, it should be noted that the profit rate assumed in the simulation illustrated in the report, equal to 10% of the total cost, appears disproportionate compared to the fair remuneration rate of the invested capital provided by ARERA for the waste sector, especially considering that this is not a concession contract, but a procurement contract (in which the operator does not assume market risk).</w:t>
      </w:r>
    </w:p>
    <w:p>
      <w:r>
        <w:t>Turning to the second set of reasons supporting the choice to entrust the management of the service through in-house methods, namely the Strengths, Weaknesses, Opportunities, and Threats (S.W.O.T.) analysis, it is noted that it does not meet the qualified motivation obligations set out in Articles 14, paragraphs 2 and 3, and 17, paragraph 2, of Legislative Decree No. 201/2022, as it generically and unsubstantiatedly describes the characteristics of each of the three alternative contracting methods, justifying a priori the superiority of in-house provision, without concrete reference to the operation in question.</w:t>
      </w:r>
    </w:p>
    <w:p>
      <w:r>
        <w:t>In the specific case, moreover, the comparison is based on a scoring assignment that appears particularly arbitrary. Given the intrinsic discretion of such an analysis, in order to provide a fair and balanced assessment, it would indeed be appropriate to pay maximum attention in identifying the elements on which to compare the three different management methods, so as to make evident the differentiating factors that justify the assigned scores.</w:t>
      </w:r>
    </w:p>
    <w:p>
      <w:r>
        <w:t>In this S.W.O.T. analysis, however, the formulation of some judgment elements seems to unjustifiably assign a higher score to in-house provision. By way of example and without claiming exhaustiveness regarding the content of each individual element analyzed in the S.W.O.T. analysis, the incongruity of the judgment in relation to the following is highlighted:</w:t>
        <w:br/>
        <w:t>- the service costs, as it is included among the strengths of in-house provision with a score of 3 points for "containment of business profits and for the possible reduction of overhead costs," while the savings achievable through discounts resulting from the tender procedure, included among the strengths of the mixed company and outsourcing, are assigned only 2 points and 1 point, respectively. This disparity in judgment does not appear justifiable or reasonable, given that the service cost could instead be overall lower in the case of management entrusted to third parties, regardless of the pursuit of business profit;</w:t>
      </w:r>
    </w:p>
    <w:p>
      <w:r>
        <w:t>BULLETIN NO. 39 OF OCTOBER 16, 2023 43</w:t>
        <w:br/>
        <w:t>- the potential failure of the manager, as the possible lack of political support is included among the threats of in-house provision with a score of -1 points (moreover, against the exact and opposite strength derived from political support evaluated with a score of 2), while the risk of failure of the private partner in the case of a mixed company and of the manager in the case of outsourcing the service are evaluated with a score of -2;</w:t>
        <w:br/>
        <w:t>- the obligation to honor the service contract, which is evaluated as a weakness only with respect to the mixed company and outsourcing, with the assignment of a negative score of -3 and -2, respectively. The omission of the evaluation of the element regarding the honorability of the service contract with respect to in-house provision is unjustified and unreasonable, as it constitutes an internalized management of the authority, which nevertheless requires the presence of a service contract, as is the disparity of the negative score assigned to the other two hypotheses, as there is no reason to consider the obligation to honor the contract more burdensome in relation to the assignment to the mixed company rather than in relation to the assignment to third parties;</w:t>
        <w:br/>
        <w:t>- the synergy of the contracting authority with the manager and the consequent advantages of streamlining procedures, which are evaluated as a strength of in-house provision with a score of 1 and as a weakness of the mixed company with a score of -2 and of outsourcing with a score of -1. Again, in this case, the greater negative score attributed to the mixed company does not appear justifiable, especially considering that being a subject with a public majority participation should, from a logical point of view, allow for greater synergy with the contracting authority compared to the outsourced management model.</w:t>
      </w:r>
    </w:p>
    <w:p>
      <w:r>
        <w:t>Moreover, inconsistencies are recorded in omitting judgment elements that represent strengths of in-house provision and that are relevant, albeit in a different manner, also in the mixed company, which constitutes in all respects a hybrid between in-house management and outsourcing of the service. For example, the comparison between the contracting authority and the manager regarding the quality of services is evaluated as a strength of in-house provision with a score of 2 and as a threat in the case of outsourcing with a score of -1, while it is not evaluated at all in the mixed company.</w:t>
      </w:r>
    </w:p>
    <w:p>
      <w:r>
        <w:t>Finally, some undue score burdens are also highlighted against the outsourcing of the service, for example, among the threat elements, a negative item is calculated with an assignment of a score of -1 although expressly referred to the mixed company ("excessive interference in the daily executive activities of the mixed company by subjects internal to the contracting authority, but different from the person responsible for the procedure or the contract execution director").</w:t>
      </w:r>
    </w:p>
    <w:p>
      <w:r>
        <w:t>Lastly, it is also noted the lack or inadequacy of the description of the economic-financial elements provided by Legislative Decree No. 201/2022 to support the potential economic convenience of the operation compared to resorting to the market, in particular: the assessment of the results expected in relation to the different alternatives, as required by Article 14, paragraph 2, also for the reasons just stated; the justification of the assignment "in relation to the results achieved in any previous in-house management, taking into account the data and information resulting from periodic checks," as provided for in Article 17, paragraph 2, especially considering that Amag Ambiente S.p.A. has been entrusted with the service in question since 2014; still in relation to what is required by Article 17, paragraph 2, references to indicators prescribed by ARERA, such as, among others, the economic-financial plan (PEF) schemes, the value of fair remuneration of capital, the quality service parameters; the assessment of the elements related to the quality of the service referred to in Article 17, paragraph 2, for which reference is made to the "Report of congruity of the new environmental services management plan for the Municipality of Alessandria" carried out by E.R.I.C.A. soc. coop. (attached as sub B to the Report), which, however, does not provide any analysis or evaluation regarding the quality of the service.</w:t>
      </w:r>
    </w:p>
    <w:p>
      <w:r>
        <w:t xml:space="preserve">In conclusion, the resolution of the Alessandrian Basin Consortium mentioned in the introduction, concerning the in-house assignment to Amag Ambiente S.p.A. of the service of collection and transport of urban solid waste in the Municipality of Alessandria for a transitional period of eighteen months until June 30, 2024, is illegitimate for the following reasons: </w:t>
        <w:br/>
        <w:t xml:space="preserve">(i) the participation of the Alessandrian Basin Consortium in the share capital of the entity entrusted with the management of a local public service network, in violation of Articles 6, paragraph 2, and 33, paragraphs 1 and 2, of Legislative Decree No. 201/2022; </w:t>
        <w:br/>
        <w:t>(ii) the significant lack of qualified motivation regarding the chosen form of assignment and the reasons for not resorting to the market, in violation of Articles 14 and 17 of Legislative Decree No. 201/2022.</w:t>
      </w:r>
    </w:p>
    <w:p>
      <w:r>
        <w:t>The Authority believes that due to the described profiles of illegitimacy of the resolution, all the described violations have an evident anticompetitive impact, as they are capable of unjustifiably delaying and hindering the assignment of the service of collection and transport of urban solid waste in the Municipality of Alessandria through a procedure compliant with the current regulations and the competitive principles contained therein, suitable to ensure, for the benefit of users, that the service is carried out with high levels of quality, safety, and under the best economic conditions. Moreover, the recent regulations introduced by Legislative Decree No. 201/2022 aim, among other things, at the "protection and promotion" of competition (see Article 1, paragraph 3, of Legislative Decree No. 201/2022).</w:t>
      </w:r>
    </w:p>
    <w:p>
      <w:r>
        <w:t>Pursuant to Article 21-bis, paragraph 2, of Law No. 287/1990, the Alessandrian Basin Consortium must communicate to the Authority, within sixty days from the receipt of this opinion, the initiatives taken to remove the aforementioned competition violations. If within the aforementioned term such initiatives do not prove to be compliant with the competitive principles underlying the violated regulations, the Authority may file an appeal within the subsequent thirty days.</w:t>
      </w:r>
    </w:p>
    <w:p>
      <w:r>
        <w:t xml:space="preserve">THE PRESIDENT </w:t>
        <w:br/>
        <w:t xml:space="preserve">Roberto Rustichelli </w:t>
        <w:br/>
        <w:t xml:space="preserve">________________________________________________________________________ </w:t>
        <w:br/>
        <w:t>Press release regarding the adjustment of the Alessandrian Basin Consortium to the motivated opinion expressed by the Authority pursuant to Article 21-bis of Law No. 287/1990, concerning the resolution of the Assembly of the Alessandrian Basin Consortium No. 5 of May 29, 2023</w:t>
      </w:r>
    </w:p>
    <w:p>
      <w:r>
        <w:t>The Authority, on July 18, 2023, resolved to issue a motivated opinion, pursuant to Article 21-bis of Law No. 287/1990, on the resolution of the Assembly of the Alessandrian Basin Consortium No. 5 of May 29, 2023, concerning the in-house assignment to Amag Ambiente S.p.A. of the service of collection and transport of urban solid waste in the Municipality of Alessandria for a transitional period of 18 months until June 30, 2024.</w:t>
      </w:r>
    </w:p>
    <w:p>
      <w:r>
        <w:t>The Authority has indeed deemed this resolution to be illegitimate for the following reasons: (i) the direct participation of the Alessandrian Basin Consortium in the share capital of the entity</w:t>
      </w:r>
    </w:p>
    <w:p>
      <w:r>
        <w:rPr>
          <w:b/>
        </w:rPr>
        <w:t>[Pages 43–45]</w:t>
      </w:r>
    </w:p>
    <w:p>
      <w:r>
        <w:t>BULLETIN NO. 39 OF OCTOBER 16, 2023 45</w:t>
        <w:br/>
        <w:t>appointed for the management of a local public service network, in violation of Articles 6, paragraph 2, and 33, paragraphs 1 and 2, of Legislative Decree no. 201/2022; (ii) the significant lack of analytical motivation regarding the chosen method of assignment and the reasons for not resorting to the market, in violation of Articles 14 and 17 of Legislative Decree no. 201/2022.</w:t>
      </w:r>
    </w:p>
    <w:p>
      <w:r>
        <w:t>In response to the opinion, the Consortium of the Alessandrino Basin acknowledged its intention to adhere to the objections raised by the Authority and, therefore, to divest its shareholding in Amag Ambiente S.p.A. Furthermore, from the ex officio consultation of the "Transparent Administration" section of the official website of the Consortium of the Alessandrino Basin, it appears that on September 20, 2023, the Authority Entity, following the receipt of the motivated opinion of the Authority, adopted resolution no. 12, by which it revoked the contested act. With this resolution, the Consortium of the Alessandrino Basin also decided on the definitive divestment of its participation in Amag Ambiente S.p.A., as well as the assignment of the environmental hygiene service in the Municipality of Alessandria, currently managed by Amag Ambiente S.p.A., to a mixed public-private company, through the issuance of a double-object tender.</w:t>
      </w:r>
    </w:p>
    <w:p>
      <w:r>
        <w:t>The Authority deemed that the revocation of the contested act by the Authority Entity is suitable to eliminate the violations found in its motivated opinion.</w:t>
      </w:r>
    </w:p>
    <w:p>
      <w:r>
        <w:t>Therefore, taking note of the Authority Entity's compliance with the motivated opinion of July 18, 2023, sent on July 25, 2023, the Authority decided, in its meeting of October 10, 2023, not to appeal to the TAR Piemonte against the resolution in question.</w:t>
      </w:r>
    </w:p>
    <w:p>
      <w:r>
        <w:t>46 BULLETIN NO. 39 OF OCTOBER 16, 2023</w:t>
        <w:br/>
        <w:t>AS1916 - ACCREDITATION AND CONVENTIONING OF PRIVATE HEALTH FACILITIES</w:t>
        <w:br/>
        <w:t>Rome, October 2, 2023</w:t>
        <w:br/>
        <w:t>Permanent Conference for the relations between the State, the Regions, and the Autonomous Provinces of Trento and Bolzano</w:t>
      </w:r>
    </w:p>
    <w:p>
      <w:r>
        <w:t>The Competition and Market Authority, in its meeting of September 26, 2023, deemed it appropriate to reiterate some considerations, pursuant to Article 22 of Law 10 October 1990, no. 287, regarding the criteria used by the Regions and the Autonomous Provinces for the allocation of the expenditure budget to private facilities under convention, and – more generally – to the system of conventioning private health facilities, also for future programming periods.</w:t>
      </w:r>
    </w:p>
    <w:p>
      <w:r>
        <w:t>In this sense, the Authority trusts that the Permanent Conference for the relations between the State, the Regions, and the Autonomous Provinces of Trento and Bolzano will constitute an appropriate venue for coordination and definition of general principles, so that the Regions and the Autonomous Provinces exercise their respective competences in the matter in compliance with the principles of protection and promotion of competition.</w:t>
      </w:r>
    </w:p>
    <w:p>
      <w:r>
        <w:t>In fact, based on various reports received, it has emerged that in certain Regions:</w:t>
        <w:br/>
        <w:t>- the "historical expenditure" or "historical turnover" continues to be the prevailing criterion for the definition of the expenditure budget to be allocated to private facilities operating under convention with the Regional Health Systems (SSR), even for future programming periods;</w:t>
        <w:br/>
        <w:t>- compliance with Article 8 – quinquies, paragraph 1-bis, of Legislative Decree no. 502/1992, may not fully reflect a system of conventioning private enterprises on a selective, non-discriminatory, periodic, and transparent basis, also due to long-term extensions of existing contracts.</w:t>
      </w:r>
    </w:p>
    <w:p>
      <w:r>
        <w:t>The Authority therefore intends to reiterate its position regarding the anti-competitive effects of both the definition of expenditure ceilings in the health sector based on the predominant criterion of historical expenditure, and the repeated extension of existing contracts, both of which have already been the subject of extensive advocacy interventions.</w:t>
      </w:r>
    </w:p>
    <w:p>
      <w:r>
        <w:t>Regarding the criterion of historical expenditure, it is reiterated that it is likely to crystallize the positions of pre-existing operators in the market and does not allow for adequate development of the more efficient structures, which cannot leverage, for the purpose of covering expenditure, the best results achieved both in terms of cost containment and meeting demand.</w:t>
      </w:r>
    </w:p>
    <w:p>
      <w:r>
        <w:t>Moreover, the allocation of the budget based on historical expenditure hinders the market access of new subjects.</w:t>
      </w:r>
    </w:p>
    <w:p>
      <w:r>
        <w:t>This criterion, moreover, grants enterprises holding special rights - solely by virtue of being already accredited and conventioned with the individual SSR - an undue competitive advantage constituted in fact by a rent of position, in violation of Article 106 TFEU.</w:t>
      </w:r>
    </w:p>
    <w:p>
      <w:r>
        <w:t>Based on these premises, in the aforementioned advocacy interventions addressed from time to time to the individual Regions, the Authority has highlighted that the distribution of the budget among accredited private subjects should rather occur based on the measure of the services provided in the various territorial areas, enhancing the level of efficiency of the individual structures. This taking into account the actual capacity to provide services rendered by them under convention, to be verified based on criteria, not only of a quantitative nature but also of a qualitative matrix, such as, for example: territorial location, investments in technological equipment, units of qualified personnel additional to the minimum required, methods of booking and access to health services, as well as the quality of any services offered to users, additional to the minimum required.</w:t>
      </w:r>
    </w:p>
    <w:p>
      <w:r>
        <w:t>With reference instead to the extension of contracts concluded with accredited private subjects for the provision of health services under convention with the SSR, it has also been deemed by the Authority in its repeated advocacy interventions a source of anti-competitive effects as it is likely to crystallize the positions of individual operators, and thus, the structure of the market. Moreover, the extension of existing contracts may jeopardize the effective implementation of a system of conventioning private enterprises on a selective, non-discriminatory, periodic, and transparent basis, pursuant to Article 8 – quinquies, paragraph 1-bis, of Legislative Decree no. 502/1992.</w:t>
      </w:r>
    </w:p>
    <w:p>
      <w:r>
        <w:t>3 The reference is to: AS1575 - Rules for the rationalization of the national health service, in Bulletin no. 18/1999; AS451 - System for the distribution of public funds among laboratories of analysis conventioned with the national health system in the Puglia region, in Bulletin no. 13/2008; AS1021 - Calabria Region - System for the distribution of national health system funds among accredited analysis laboratories and outpatient specialist structures, in Bulletin no. 9/2013; AS1142 - Distribution of the expenditure ceiling for the three-year period 2013/2015 among the various private health facilities, in Bulletin no. 34/2014; AS1137 - Proposals for competitive reform for the purposes of the annual law for the market and competition year 2014, in Bulletin no. 27/2014; AS1181 - Calabria Region - Determination of expenditure ceilings for specialist assistance from private providers, year 2014, in Bulletin no. 12/2015; AS1234 - Puglia Region - Interventions in health matters, in Bulletin no. 45/2015; AS1387 - Sicily Region - Determination of expenditure aggregates for specialist assistance from private providers - year 2016, in Bulletin no. 23/2017; AS1524 - Sicily Region - Definition of criteria for determining expenditure aggregates for specialist assistance from private providers, in Bulletin no. 29/2018; AS1539 - Basilicata Region - Definition of criteria for determining expenditure aggregates for specialist assistance from private providers, in Bulletin no. 42/2018; AS1582 - Sicily Region - Determination of expenditure aggregates for specialist assistance from private providers - biennium 2018-2019, in Bulletin no. 19/2019; AS1616 - Basilicata Region - Determination of expenditure aggregates for specialist assistance from private providers for the years 2019-2020, in Bulletin no. 38/2019; AS1812 - Sardinia Region - Criteria for the allocation of the budget for accredited private health facilities three-year period 2021-2022-2023, in Bulletin no. 1/2022; AS1834 - Campania Region - Maximum volumes of services and related expenditure limits for outpatient specialist assistance from private providers - Financial year 2022, in Bulletin no. 19/2022; AS1886 - Liguria Region - Contractual agreements with accredited private providers for the provision of health services, in Bulletin no. 14/2023.</w:t>
      </w:r>
    </w:p>
    <w:p>
      <w:r>
        <w:rPr>
          <w:b/>
        </w:rPr>
        <w:t>[Pages 46–48]</w:t>
      </w:r>
    </w:p>
    <w:p>
      <w:r>
        <w:t>48 BULLETIN NO. 39 OF OCTOBER 16, 2023</w:t>
        <w:br/>
        <w:t>It is therefore in the context thus illustrated that, through this Permanent Conference for the relations between the State, the Regions, and the Autonomous Provinces of Trento and Bolzano, the Authority intends to reiterate the necessity of removing obstacles to the implementation of a competitive system for the contracting of private healthcare facilities with the individual SSR.</w:t>
      </w:r>
    </w:p>
    <w:p>
      <w:r>
        <w:t>To this end, it seems necessary, first of all, that the definition of the expenditure ceilings to be attributed to each contracted healthcare facility occurs on the basis of the predominantly qualitative-performance criteria, such as those mentioned above, rather than the criterion of historical turnover.</w:t>
      </w:r>
    </w:p>
    <w:p>
      <w:r>
        <w:t>Secondly, it also appears essential to avoid the mechanism of extending existing contracts, in order not to prejudice the implementation of the aforementioned Article 8–quinquies, paragraph 1-bis, of Legislative Decree no. 502/1992, and therefore to proceed with periodic selections of healthcare facilities, based on principles of non-discrimination and transparency, aimed at defining the actual allocation of a budget and its amount. This, hopefully, through adequately publicized regional procedures, following systematic checks of already contracted operators and the consequent possible rationalization of the contracting network.</w:t>
      </w:r>
    </w:p>
    <w:p>
      <w:r>
        <w:t>The Authority hopes that the above observations will be duly considered and therefore invites the esteemed Conference addressed to communicate the initiatives adopted in accordance with the indications contained in this opinion.</w:t>
      </w:r>
    </w:p>
    <w:p>
      <w:r>
        <w:t>This opinion will be published in the Bulletin of the Competition and Market Authority.</w:t>
      </w:r>
    </w:p>
    <w:p>
      <w:r>
        <w:t xml:space="preserve">THE PRESIDENT </w:t>
        <w:br/>
        <w:t>Roberto Rustichelli</w:t>
      </w:r>
    </w:p>
    <w:p>
      <w:r>
        <w:t>BULLETIN NO. 39 OF OCTOBER 16, 2023 49</w:t>
        <w:br/>
        <w:t xml:space="preserve">AS1917 – REGION CALABRIA - ISSUANCE OF AUTHORIZATION FOR THE ESTABLISHMENT OF HEALTHCARE FACILITIES </w:t>
        <w:br/>
        <w:t xml:space="preserve">Rome, October 4, 2023 </w:t>
        <w:br/>
        <w:t xml:space="preserve">Region Calabria </w:t>
        <w:br/>
        <w:t xml:space="preserve">Provincial Health Authority of Reggio Calabria </w:t>
        <w:br/>
        <w:t xml:space="preserve">Municipality of Villa San Giovanni </w:t>
        <w:br/>
        <w:t>The Competition and Market Authority has received an appeal filed by a diagnostic center before the TAR Calabria – Catanzaro against note prot. no. 202126 from the Department of Health Protection and Socio-Health Services of the Region Calabria dated May 5, 2023, concerning a negative opinion regarding the authorization of certain healthcare services pursuant to Article 8-ter, paragraph 3, of Legislative Decree no. 502/19921, as the related need was deemed already satisfied.</w:t>
      </w:r>
    </w:p>
    <w:p>
      <w:r>
        <w:t>Since this reasoning - if applied outright to the generality of healthcare facilities requesting authorization pursuant to Article 8-ter, paragraph 3, of Legislative Decree no. 502/1992, without adequate consideration of relevant interests - is likely to result in unjustified restrictions on competition, the Authority, in its meeting of September 26, 2023, deemed it appropriate to formulate the following observations pursuant to Article 21 of Law no. 287/1990.</w:t>
      </w:r>
    </w:p>
    <w:p>
      <w:r>
        <w:t>The Competition and Market Authority has reiterated on more than one occasion that conditioning the authorization for the establishment of healthcare facilities on an assessment of regional needs, as the aforementioned regulatory provision does, does not appear justified as it does not respond to a need for containing public expenditure, since, in the absence of accreditation with the SSR, the activity of private healthcare facilities does not burden it2.</w:t>
      </w:r>
    </w:p>
    <w:p>
      <w:r>
        <w:t>The Authority has therefore recently hoped that Article 8-ter, paragraph 3, of Legislative Decree no. 502/1992 will be amended to provide that access for private entities to the exercise of healthcare activities not contracted with the SSN is uncoupled from the verification of the regional need for healthcare services; this in order to recognize greater protection for the freedom of choice of patients in terms of place of care and physician3.</w:t>
      </w:r>
    </w:p>
    <w:p>
      <w:r>
        <w:t>That said, it is important to remember that, according to established case law, Article 8-ter, paragraph 3, of Legislative Decree no. 502/1992, even in its current formulation, must be read in light of a balance between Article 32 and Article 41 of the Constitution. In particular, according to the Administrative Judge, although the authorization for the establishment of healthcare and socio-healthcare facilities, pursuant to Article 8-ter, paragraph 3, of Legislative Decree no. 502/1992 is included within the scope of regional planning, the application of this norm cannot result in “[…] an expropriatory tool of the prerogatives of subjects who intend to offer, in a private regime (that is, without reimbursements or subsidies at the expense of public expenditure, and with fees borne solely by users), means and tools for diagnosis, care, and assistance in the territory” (thus Council of State, no. 550/20134, emphasis added).</w:t>
      </w:r>
    </w:p>
    <w:p>
      <w:r>
        <w:t>To ensure this objective, in the opinion of the administrative jurisprudence5, the assessment of regional needs cannot be unlimited, nor lead to unjustified and disproportionate restrictions on economic initiative, without finding a reasonable and proportionate counterbalance in the concrete care, by the deciding public administration, of the public interest entrusted to it, in accordance with the orientation of the Court of Justice of the European Union that a regime of prior administrative authorization, to be justified even when it derogates from one of the fundamental freedoms guaranteed by the Treaties and by Union law, must be based “on objective, non-discriminatory, and known in advance criteria, which guarantee its suitability to sufficiently circumscribe the exercise of the discretionary power of national authorities”6.</w:t>
      </w:r>
    </w:p>
    <w:p>
      <w:r>
        <w:t>To this end, it is necessary that the assessment of needs be conducted concretely by the Regions - regardless of the existence of a general planning tool - and be preceded and supported by an appropriate investigation into the existence of a specific healthcare demand in the territory and a corresponding supply from private facilities, without this resulting in an illegitimate, indefinite blockage of access for the new operator to the market, with an undue limitation of its economic freedom. In this regard, even the inertia of the Region, if prolonged for several years without updating the data relating to needs, could essentially translate into an illegitimate, indefinite blockage of access for the new operator to the market.</w:t>
      </w:r>
    </w:p>
    <w:p>
      <w:r>
        <w:t>Based on the above, the Competition and Market Authority invites the Region Calabria to issue opinions regarding the authorization for the establishment of healthcare facilities pursuant to Article 8-ter, paragraph 3, of Legislative Decree no. 502/1992 applying the principles mentioned above, for the purpose of a correct balance between the relevant interests pursuant to Article 32 and Article 41 of the Constitution.</w:t>
      </w:r>
    </w:p>
    <w:p>
      <w:r>
        <w:t xml:space="preserve">3 Cf. AGCM, AS1730 - Proposals for competitive reform for the annual law on the market and competition year 2021, March 22, 2021. </w:t>
        <w:br/>
        <w:t xml:space="preserve">4 In the same terms, see Council of State, no. 5227/2017. </w:t>
        <w:br/>
        <w:t xml:space="preserve">5 Cf., inter alia: Council of State, no. 1802/2021; Council of State, no. 8083/2020; Council of State, no. 1637/2020; Council of State, no. 1589/2019. </w:t>
        <w:br/>
        <w:t>6 Thus Court of Justice, Grand Chamber, March 10, 2009, C-169/07, § 64.</w:t>
      </w:r>
    </w:p>
    <w:p>
      <w:r>
        <w:rPr>
          <w:b/>
        </w:rPr>
        <w:t>[Pages 49–51]</w:t>
      </w:r>
    </w:p>
    <w:p>
      <w:r>
        <w:t>BULLETIN NO. 39 OF OCTOBER 16, 2023 51</w:t>
        <w:br/>
        <w:t>This report will be published in the Bulletin of the Competition and Market Authority.</w:t>
        <w:br/>
        <w:t>THE PRESIDENT</w:t>
        <w:br/>
        <w:t>Roberto Rustichelli</w:t>
      </w:r>
    </w:p>
    <w:p>
      <w:r>
        <w:t>52 BULLETIN NO. 39 OF OCTOBER 16, 2023</w:t>
        <w:br/>
        <w:t>UNFAIR TRADE PRACTICES</w:t>
        <w:br/>
        <w:t>PS12572 - POLIFRA-MONOROTOLO DELJS</w:t>
        <w:br/>
        <w:t>Measure no. 30796</w:t>
        <w:br/>
        <w:t>THE COMPETITION AND MARKET AUTHORITY</w:t>
        <w:br/>
        <w:t>IN ITS MEETING of 26 September 2023;</w:t>
        <w:br/>
        <w:t>HEARD the Rapporteur, Professor Elisabetta Iossa;</w:t>
        <w:br/>
        <w:t>HAVING REGARD to Regulation (EU) 2017/2394, on cooperation between national authorities responsible for the enforcement of consumer protection laws and repealing Regulation (EC) no. 2006/2004;</w:t>
        <w:br/>
        <w:t>HAVING REGARD to Part II, Title III, of Legislative Decree of 6 September 2005, no. 206, and subsequent amendments (hereinafter, Consumer Code);</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1 April 2015, no. 25411;</w:t>
        <w:br/>
        <w:t>HAVING REGARD to the communication of 16 May 2023, which initiated the PS12572 proceeding against the company Polifra S.r.l.;</w:t>
        <w:br/>
        <w:t>HAVING REGARD to its measure of 16 May 2023, which ordered the inspection pursuant to Article 27, paragraphs 2 and 3, of the Consumer Code, at Polifra S.r.l.;</w:t>
        <w:br/>
        <w:t>HAVING REGARD to the documents of the proceeding;</w:t>
        <w:br/>
        <w:t>I. THE PARTY</w:t>
        <w:br/>
        <w:t>1. Polifra S.r.l. (hereinafter also Polifra), as a professional, pursuant to Article 18, letter b), of the Consumer Code. The company is active in the sector of the transformation of paper for hygienic and domestic use and had revenues of €8,674,722 as of 31 December 2022.</w:t>
        <w:br/>
        <w:t>II. THE COMMERCIAL PRACTICE</w:t>
        <w:br/>
        <w:t>2. The proceeding concerns the misleading nature of the claim "100 meters" stated on the packaging of the compact kitchen monoroll Deljs, as well as in the online company catalog (available at http://www.polifra.it/download/Catalogo_Deljs.pdf) in violation of Articles 20, paragraph 2, and 21, paragraph 1, letter b), of the Consumer Code. The proceeding originated from a request for the adoption of enforcement measures received, pursuant to Article 12, paragraph 1, of Regulation (EU) 2017/2394, from the Slovenian authority Tržni inšpektorat Republike Slovenije, responsible for consumer protection.</w:t>
      </w:r>
    </w:p>
    <w:p>
      <w:r>
        <w:t>BULLETIN NO. 39 OF OCTOBER 16, 2023 53</w:t>
        <w:br/>
        <w:t>III. THE OUTCOMES OF THE PROCEEDING</w:t>
        <w:br/>
        <w:t>III. 1 The course of the proceeding</w:t>
        <w:br/>
        <w:t>3. Based on the information acquired ex officio and the request from the aforementioned Slovenian authority1, it emerged that the professional used a false claim regarding the length of the Deljs kitchen paper monoroll.</w:t>
        <w:br/>
        <w:t>4. On 25 May 2023, the professional was notified of the initiation of the PS12572 investigative proceeding2 and an inspection was simultaneously carried out at its registered office.</w:t>
        <w:br/>
        <w:t>5. On 30 May3, 12 June4, 31 July5, and 8 August 20236, the professional submitted statements; on 9 August 20237, it accessed the documents of the proceeding and extracted copies of the documents acquired in the investigative file.</w:t>
        <w:br/>
        <w:t>6. On 2 August 2023, the professional was notified, pursuant to Article 16, paragraph 1, of the Regulation, of the conclusion date of the investigative phase8.</w:t>
        <w:br/>
        <w:t>7. On 10 August 2023, an opinion was requested from the Authority for Guarantees in Communications, pursuant to Article 27, paragraph 6, of the Consumer Code9, which was received on 6 September 202310.</w:t>
        <w:br/>
        <w:t>III.2 The evidence acquired</w:t>
        <w:br/>
        <w:t>8. A proof report dated 4 January 2023 was acquired, prepared by a Slovenian laboratory, which certifies the length of the Deljs monoroll as 72.94 meters, instead of 100 meters, as indicated on the label.</w:t>
        <w:br/>
        <w:t>9. During the inspection activity, some samples of the product, subject to "return" and intended for sale as "non-compliant product" due to the incorrect indication of length, recognized by the professional itself, were found, particularly in the company warehouse. The product packaging displayed the contested claim twice, namely, in a red-bordered box at the top left (in six languages in addition to Italian), as well as at the bottom right where the number 100 (meters) was prominently written on the image of a roll (see figure below).</w:t>
        <w:br/>
        <w:t>1 Doc. no. 1 of the index of the investigative file.</w:t>
        <w:br/>
        <w:t>2 Doc. no. 4 of the index of the investigative file.</w:t>
        <w:br/>
        <w:t>3 Doc. no. 12 of the index of the investigative file.</w:t>
        <w:br/>
        <w:t>4 Doc. no. 13 of the index of the investigative file.</w:t>
        <w:br/>
        <w:t>5 Doc. no. 16 of the index of the investigative file.</w:t>
        <w:br/>
        <w:t>6 Doc. no. 18 of the index of the investigative file.</w:t>
        <w:br/>
        <w:t>7 Doc. no. 20 of the index of the investigative file.</w:t>
        <w:br/>
        <w:t>8 Doc. no. 17 of the index of the investigative file.</w:t>
        <w:br/>
        <w:t>9 Doc. no. 21 of the index of the investigative file.</w:t>
        <w:br/>
        <w:t>10 Doc. no. 22 of the index of the investigative file.</w:t>
      </w:r>
    </w:p>
    <w:p>
      <w:r>
        <w:rPr>
          <w:b/>
        </w:rPr>
        <w:t>[Pages 52–54]</w:t>
      </w:r>
    </w:p>
    <w:p>
      <w:r>
        <w:t>54 BULLETIN NO. 39 OF OCTOBER 16, 2023</w:t>
        <w:br/>
        <w:t>From the measurements of some samples, carried out in contradiction with the Party by the military of the Guardia di Finanza who assisted the officials in charge of conducting the inspection, it emerged that each monoroll consists of 301 sheets, each of which is 24 cm long for a total length of 72.24 cm11.</w:t>
      </w:r>
    </w:p>
    <w:p>
      <w:r>
        <w:t>10. From the investigation, it also emerged that Polifra, which purchased the Deljs monoroll from the supplier Royalcarta S.r.l., sent, in July 2022, a circular to all customers, including Primsell Trading d.o.o., exclusive importer for Slovenia, to communicate the need to intervene on its price lists, given the strong tensions in the paper sector, the high prices of raw materials, the increase in energy costs, and inflation12. According to Polifra, instead of increasing the list prices, it decided to decrease the length of the Deljs monoroll, while, however, leaving unchanged (allegedly due to forgetfulness) the claim "100 meters" reported on the product packaging. This reduction in the length of the monoroll was implemented from October 2022; 46,686 packages were sold whose packaging bore the contested claim13, of which 9,120 were returned14.</w:t>
      </w:r>
    </w:p>
    <w:p>
      <w:r>
        <w:t>11. Following a consumer complaint, Polifra took action to modify the label affixed to the packages by removing the claim "100 meters." In the correspondence exchanged with Royalcarta, on December 21, 2022, the layout of the new label to be included in new orders circulated, without the indication regarding the length of the product15. Furthermore, as of May 29, 2023, the image of the old packaging of the Deljs monoroll was removed from the website as a new online company catalog was published.</w:t>
      </w:r>
    </w:p>
    <w:p>
      <w:r>
        <w:t>III.3 The Defense Arguments of the Professional</w:t>
      </w:r>
    </w:p>
    <w:p>
      <w:r>
        <w:t>12. In a note dated June 12, 2023, Polifra emphasized that the decision to reduce the length of the Deljs monoroll was made at a time of great crisis and rising inflation with the specific aim of containing the price to the public and favoring the final consumer. Regarding the duration of the practice, in a communication dated May 30, 2023, the company reported that it had removed from its website, as of May 29, 2023, all images related to the old packaging of the Deljs monoroll. Furthermore, in the defense document of August 8, 2023, the company stated that the contested practice actually ceased in December 2022 since from the end of 2022 the Deljs monoroll bearing the packaging with the wording "100 meters" was no longer on the market.</w:t>
      </w:r>
    </w:p>
    <w:p>
      <w:r>
        <w:t>IV. OPINION OF THE AUTHORITY FOR COMMUNICATIONS GUARANTEES</w:t>
      </w:r>
    </w:p>
    <w:p>
      <w:r>
        <w:t>13. Since the commercial practice subject to this measure was disseminated through the internet, on August 10, 2023, the opinion was requested from the Authority for Communications Guarantees, pursuant to Article 27, paragraph 6, of the Consumer Code16.</w:t>
      </w:r>
    </w:p>
    <w:p>
      <w:r>
        <w:t>14. In an opinion received on September 6, 202317, the aforementioned Authority considered, in this case, the internet as a suitable tool to influence the realization of the commercial practice subject to the procedure.</w:t>
      </w:r>
    </w:p>
    <w:p>
      <w:r>
        <w:t>V. CONCLUDING EVALUATIONS</w:t>
      </w:r>
    </w:p>
    <w:p>
      <w:r>
        <w:t>15. This measure concerns the misleading nature of the claim "100 meters" present both on the packaging of the compact kitchen monoroll branded Deljs and on page 31 of the online company catalog.</w:t>
      </w:r>
    </w:p>
    <w:p>
      <w:r>
        <w:t>16. Specifically, the investigative evidence acquired confirms the use of a claim that does not correspond to the truth; the same professional admitted to having reduced, from October 2022, the length of the product without having made the necessary changes to the claim reported on the product packaging, which was modified only at the end of December 2022, as well as in the online company catalog, updated only on May 29, 2023. In this regard, it is worth noting that the presence in the first half of 2023 of the image of the old packaging of the Deljs monoroll within the online company catalog (http://www.polifra.it/download/Catalogo_Deljs.pdf) - despite the product no longer being on the market with the old packaging since the end of 2022 - was, however, suitable to integrate a misleading advertising content, potentially capable of creating a deceptive "hook" effect on consumers.</w:t>
      </w:r>
    </w:p>
    <w:p>
      <w:r>
        <w:t>17. It should also be noted that, from a causal perspective, the commercial practice appears to be attributable to the phenomenon known as shrinkflation, that is, the reduction in the size or weight of a product while maintaining the price unchanged, in the face of rising production costs, inflation, or increased competitive pressure. In the case at hand, in fact, a quantitative reduction of the product (in terms of shorter length of the Deljs monoroll) was implemented in order to cope with the increases in the costs of raw materials and energy, accompanied by the false indication - present on the product packaging and in the catalog published on the company website - of the actual length of the monoroll. This consequently resulted in the persistence, for several months, of the misleading indication regarding the quantity of the product ("100 meters"), despite the quantitative reduction of the product itself.</w:t>
      </w:r>
    </w:p>
    <w:p>
      <w:r>
        <w:t>18. In consideration of the above, the commercial practice described in paragraph II) must be deemed incorrect pursuant to Articles 20, paragraph 2, and 21, paragraph 1, letter b), of the Consumer Code, as it is contrary to professional diligence and capable of appreciably distorting the economic behavior of the average consumer by misleading them regarding a relevant characteristic of the product, such as quantity.</w:t>
      </w:r>
    </w:p>
    <w:p>
      <w:r>
        <w:t>VI. QUANTIFICATION OF THE SANCTION</w:t>
      </w:r>
    </w:p>
    <w:p>
      <w:r>
        <w:t>19. Pursuant to Article 27, paragraph 9, of the Consumer Code - as recently amended by Article 1, paragraph 7, of Legislative Decree No. 26 of March 7, 2023 - with the measure that prohibits the unfair commercial practice, the Authority orders the application of an administrative sanction, taking into account the severity, duration of the violation, and the economic and asset conditions of the professional. In determining the amount of the sanction, the criteria identified by Article 11 of Law No. 689 of November 24, 1981, must be considered, as applicable, by virtue of the reference provided for in Article 27, paragraph 13, of the Consumer Code: in particular, the severity of the violation, the efforts made by the company to eliminate or mitigate the infringement, the personality of the agent, as well as the economic conditions of the company itself.</w:t>
      </w:r>
    </w:p>
    <w:p>
      <w:r>
        <w:t>20. With reference to the severity of the violation, it is noted that the practice consists of a false indication of a relevant characteristic of the product and is capable of affecting the economic choices of the consumer.</w:t>
      </w:r>
    </w:p>
    <w:p>
      <w:r>
        <w:t>21. Regarding the duration of the violation, from the elements acquired in the records, it appears that the commercial practice was carried out by Polifra s.r.l. starting from October 2022 (when the reduction in the length of the product was implemented) and that it completely ceased on May 29, 2023.</w:t>
      </w:r>
    </w:p>
    <w:p>
      <w:r>
        <w:t>22. In this specific case, it is necessary to take into account the fact that the professional's activity has a small economic dimension and that the practice was carried out for a limited period, of about eight months.</w:t>
      </w:r>
    </w:p>
    <w:p>
      <w:r>
        <w:t>23. Based on these elements, it is deemed appropriate to determine the amount of the administrative pecuniary sanction applicable to Polifra S.r.l. in the amount of €15,000 (fifteen thousand euros).</w:t>
      </w:r>
    </w:p>
    <w:p>
      <w:r>
        <w:rPr>
          <w:b/>
        </w:rPr>
        <w:t>[Pages 55–57]</w:t>
      </w:r>
    </w:p>
    <w:p>
      <w:r>
        <w:t>BULLETIN NO. 39 OF OCTOBER 16, 2023 57</w:t>
        <w:br/>
        <w:t>CONSIDERING the request for enforcement measures received from the Slovenian Authority, pursuant to Article 12 of Regulation (EU) 2017/2394;</w:t>
        <w:br/>
        <w:t>HAVING REGARD, in accordance with the opinion of the Authority for Guarantees in Communications, based on the previous considerations, that the conduct in question, consisting of the misleading claim "100 meters" referring to the compact kitchen roll under the Deljs brand, constitutes an unfair commercial practice pursuant to Articles 20, paragraph 2, 21, paragraph 1, letter b), of the Consumer Code;</w:t>
        <w:br/>
        <w:t>RESOLVES</w:t>
        <w:br/>
        <w:t>a) that the commercial practice described in point II of this measure, carried out by the company Polifra S.r.l., constitutes, for the reasons and within the limits set out in the motivation, an unfair commercial practice pursuant to Articles 20, paragraph 2, 21, paragraph 1, letter b), of the Consumer Code and prohibits its dissemination or repetition even in the Republic of Slovenia;</w:t>
        <w:br/>
        <w:t>b) to impose on the company Polifra S.r.l. for the violation referred to in letter a) an administrative pecuniary sanction of €15,000 (fifteen thousand euros).</w:t>
        <w:br/>
        <w:t>The administrative sanction imposed must be paid within thirty days from the notification of this measure, using the tax codes indicated in the attached F24 model with identifying elements, pursuant to Legislative Decree of July 9, 1997, no. 241.</w:t>
        <w:br/>
        <w:t>Payment must be made electronically by debiting one's bank or postal current account, through the home banking and CBI services provided by banks or Poste Italiane S.p.A., or by using the telematic services of the Revenue Agency, available on the website www.agenziaentrate.gov.it.</w:t>
        <w:br/>
        <w:t>After the aforementioned deadline, for a delay period of less than six months, late payment interest must be paid at the legal rate starting from the day following the payment deadline until the date of payment. In case of further delay in compliance, pursuant to Article 27, paragraph 6, of Law no. 689/1981, the amount due for the imposed sanction is increased by one-tenth for each semester starting from the day following the payment deadline until the role is transmitted to the collector for collection; in this case, the increase absorbs the late payment interest accrued in the same period.</w:t>
        <w:br/>
        <w:t>Immediate notification of the payment must be given to the Authority by sending documentation certifying the payment made.</w:t>
        <w:br/>
        <w:t>This measure will be notified to the interested parties and published in the Bulletin of the Competition and Market Authority.</w:t>
        <w:br/>
        <w:t>Pursuant to Article 27, paragraph 12, of the Consumer Code, in case of non-compliance with the measure, the Authority applies an administrative pecuniary sanction from €10,000 to €10,000,000.</w:t>
        <w:br/>
        <w:t>In cases of repeated non-compliance, the Authority may order the suspension of business activity for a period not exceeding thirty days.</w:t>
      </w:r>
    </w:p>
    <w:p>
      <w:r>
        <w:t>58 BULLETIN NO. 39 OF OCTOBER 16, 2023</w:t>
        <w:br/>
        <w:t>Against this measure, an appeal may be filed with the TAR for Lazio, pursuant to Article 135, paragraph 1, letter b), of the Administrative Process Code (Legislative Decree of July 2, 2010, no. 104), within sixty days from the date of communication of the measure itself, without prejudice to the longer terms referred to in Article 41, paragraph 5, of the Administrative Process Code, or an extraordinary appeal may be proposed to the President of the Republic, pursuant to Article 8 of the Decree of the President of the Republic of November 24, 1971, no. 1199, within one hundred and twenty days from the date of notification of the measure itself.</w:t>
        <w:br/>
        <w:t>THE SECRETARY GENERAL THE PRESIDENT</w:t>
        <w:br/>
        <w:t>Guido Stazi Roberto Rustichelli</w:t>
      </w:r>
    </w:p>
    <w:p>
      <w:r>
        <w:t>Competition and Market Authority Weekly Bulletin</w:t>
        <w:br/>
        <w:t>Year XXXIII - No. 39 - 2023</w:t>
        <w:br/>
        <w:t>Editorial Coordination Giulia Antenucci</w:t>
        <w:br/>
        <w:t>Editorial Staff Angela D’Auria, Valerio Ruocco, Manuela Villani</w:t>
        <w:br/>
        <w:t>Competition and Market Authority</w:t>
        <w:br/>
        <w:t>Document Management, Protocol and Statistical Services Directorate</w:t>
        <w:br/>
        <w:t>Piazza Giuseppe Verdi, 6/a - 00198 Rome</w:t>
        <w:br/>
        <w:t>Tel.: 06-858211 Fax: 06-85821256</w:t>
        <w:br/>
        <w:t>Web: https://www.agcm.it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