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http://www.agcm.it:80/dotcmsdoc/bollettini/2019/4-19.pdf</w:t>
      </w:r>
    </w:p>
    <w:p>
      <w:r>
        <w:t>Pages translated : 20</w:t>
      </w:r>
    </w:p>
    <w:p/>
    <w:p>
      <w:r>
        <w:rPr>
          <w:b/>
        </w:rPr>
        <w:t>[Pages 1–3]</w:t>
      </w:r>
    </w:p>
    <w:p>
      <w:r>
        <w:t xml:space="preserve">Bulletin  </w:t>
        <w:br/>
        <w:t xml:space="preserve">Weekly  </w:t>
        <w:br/>
        <w:t xml:space="preserve">Year XXIX - No. 4  </w:t>
        <w:br/>
        <w:t xml:space="preserve">Published on the website www.agcm.it  </w:t>
        <w:br/>
        <w:t>January 28, 2019</w:t>
      </w:r>
    </w:p>
    <w:p>
      <w:r>
        <w:t xml:space="preserve">SUMMARY  </w:t>
        <w:br/>
        <w:t xml:space="preserve">CONCENTRATION OPERATIONS 5  </w:t>
        <w:br/>
        <w:t xml:space="preserve">C12206 - AUTOGAS NORD/LAMPOGAS  </w:t>
        <w:br/>
        <w:t xml:space="preserve">Measure No. 27499 5  </w:t>
        <w:br/>
        <w:t xml:space="preserve">C12211 - RHENUS SE &amp; CO./CESPED  </w:t>
        <w:br/>
        <w:t xml:space="preserve">Measure No. 27500 14  </w:t>
        <w:br/>
        <w:t xml:space="preserve">REPORTING AND CONSULTATIVE ACTIVITIES 19  </w:t>
        <w:br/>
        <w:t>AS1558 - REGULATION OF MARITIME PUBLIC DOMAIN CONCESSION FEES FOR FISHING AND AQUACULTURE ACTIVITIES 19</w:t>
      </w:r>
    </w:p>
    <w:p>
      <w:r>
        <w:t xml:space="preserve">BULLETIN NO. 4 OF JANUARY 28, 2019 5  </w:t>
        <w:br/>
        <w:t xml:space="preserve">CONCENTRATION OPERATIONS  </w:t>
        <w:br/>
        <w:t xml:space="preserve">C12206 - AUTOGAS NORD/LAMPOGAS  </w:t>
        <w:br/>
        <w:t xml:space="preserve">Measure No. 27499  </w:t>
        <w:br/>
        <w:t xml:space="preserve">THE COMPETITION AND MARKET AUTHORITY  </w:t>
        <w:br/>
        <w:t xml:space="preserve">IN ITS MEETING of January 10, 2019;  </w:t>
        <w:br/>
        <w:t xml:space="preserve">HEARD the Rapporteur Dr. Gabriella Muscolo;  </w:t>
        <w:br/>
        <w:t xml:space="preserve">HAVING REGARD to the law of October 10, 1990, No. 287;  </w:t>
        <w:br/>
        <w:t xml:space="preserve">HAVING REGARD to the Presidential Decree of April 30, 1998, No. 217;  </w:t>
        <w:br/>
        <w:t xml:space="preserve">HAVING REGARD to the communication from the companies Autogas Nord S.p.A. and Italmobiliare S.p.A. pursuant to law No. 287/90, received on November 23, 2018;  </w:t>
        <w:br/>
        <w:t xml:space="preserve">HAVING REGARD to its request for information sent on December 21, 2018, with consequent interruption of the terms pursuant to Article 5, paragraph 3, of the Presidential Decree of April 30, 1998, No. 217;  </w:t>
        <w:br/>
        <w:t xml:space="preserve">HAVING REGARD to the response of Autogas Nord S.p.A. to the aforementioned request for information, received on December 27, 2018;  </w:t>
        <w:br/>
        <w:t xml:space="preserve">HAVING REGARD to the documentation on file;  </w:t>
        <w:br/>
        <w:t xml:space="preserve">CONSIDERING the following:  </w:t>
        <w:br/>
        <w:t xml:space="preserve">I. THE PARTIES  </w:t>
        <w:br/>
        <w:t xml:space="preserve">1. Autogas Nord S.p.A. (hereinafter also "AN" or "Autogas Nord") is a company active, directly and through its subsidiaries, in the markets of LPG sales, natural gas, electricity, and energy efficiency, as well as in other markets in the energy, construction, and real estate sectors. AN is currently exclusively controlled by the company Quiris of Francesco Quirico, Umberto Risso &amp; C. S.a.p.A. (hereinafter also "Quiris"), active in the direct and indirect acquisition of stakes in other companies and entities. Quiris achieved a worldwide turnover of approximately [100-495] million euros in 2017, of which approximately [100-495] was realized in Italy.  </w:t>
        <w:br/>
        <w:t xml:space="preserve">2. Italmobiliare S.p.A. (hereinafter also "Italmobiliare") is a publicly traded holding company that involves companies operating in diversified sectors, predominantly of an industrial nature but also financial. Regarding industrial holdings, these pertain to the sports, food, renewable energy, and food packaging sectors. Italmobiliare's worldwide turnover in 2017 was approximately [700-1,000] million euros, of which approximately [100-495] was realized in Italy.  </w:t>
        <w:br/>
        <w:t>1 In this version, some data is omitted, as elements of confidentiality or secrecy of the information were deemed to exist.</w:t>
      </w:r>
    </w:p>
    <w:p>
      <w:r>
        <w:rPr>
          <w:b/>
        </w:rPr>
        <w:t>[Pages 4–6]</w:t>
      </w:r>
    </w:p>
    <w:p>
      <w:r>
        <w:t xml:space="preserve">6 BULLETIN NO. 4 OF JANUARY 28, 2019  </w:t>
        <w:br/>
        <w:t xml:space="preserve">3. Lampogas S.r.l. (hereinafter also "Lampogas") is a company active in the sector of LPG sales on the national territory, for civil and industrial use, currently controlled by the Irish company Rosehope Limited. In 2017, Lampogas achieved a worldwide turnover of approximately 217 million euros, entirely realized in Italy.  </w:t>
        <w:br/>
        <w:t xml:space="preserve">II. DESCRIPTION OF THE TRANSACTION  </w:t>
        <w:br/>
        <w:t xml:space="preserve">4. The communication under examination concerns the acquisition of the entire share capital of Lampogas by Autogas Nord and the subsequent and related transition of Autogas Nord from the exclusive control of Quiris to the joint control of Quiris and Italmobiliare. In particular, the acquisition of Lampogas will be accompanied by a capital increase of the same Autogas Nord, which, provided that the acquisition of Lampogas has actually been realized, will be fully subscribed by Italmobiliare. Following these operations, [omitted], Quiris and Italmobiliare will also acquire joint control over Autogas Nord and, consequently, over Lampogas.  </w:t>
        <w:br/>
        <w:t xml:space="preserve">5. The transfer of Lampogas to Autogas Nord includes a non-compete agreement, under which the sellers commit, for a period of three years, not to engage in activities in the LPG sector throughout the Italian territory.  </w:t>
        <w:br/>
        <w:t xml:space="preserve">III. QUALIFICATION OF THE TRANSACTION  </w:t>
        <w:br/>
        <w:t xml:space="preserve">6. The notified transaction, as it involves the acquisition of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individually, in the last financial year at the national level, by at least two of the companies involved was over 30 million euros.  </w:t>
        <w:br/>
        <w:t xml:space="preserve">7. The above-mentioned non-compete agreement constitutes a restriction directly connected and necessary for the realization of the transaction, as it is strictly functional to the safeguarding of the value of the acquired company, including goodwill, provided that it has a duration not exceeding a period of two years from the date of realization of the concentration, that is, from the date of acquisition of control, and that the geographical scope does not exceed the current geographical area of operation of the acquired company.  </w:t>
        <w:br/>
        <w:t xml:space="preserve">IV. ASSESSMENT OF THE CONCENTRATION  </w:t>
        <w:br/>
        <w:t xml:space="preserve">Relevant markets and effects of the transaction  </w:t>
        <w:br/>
        <w:t xml:space="preserve">8. Due to the operations of the companies involved in the Transaction, it involves the sector of LPG sales for combustion, which, for the most part (heating and cooking use), is marketed through the refueling, directly by the company that markets the product, of special tanks provided to customers. In addition, some of the facilities where the product is stored are equipped with machinery for bottling LPG, which is then marketed to the end customer also in this form, passing, in this case, through a distribution network of retailers. Therefore, it is possible to divide the LPG for combustion sector into two markets, distinct based on distribution methods, represented by the sale of LPG through tank refueling and the sale of LPG for combustion in the form of cylinders.  </w:t>
        <w:br/>
        <w:t xml:space="preserve">9. The sector is characterized, in Italy, by a wide fragmentation of supply (the Parties have reported that there are over 530 operators active on a national basis) and by the difficulty of obtaining an overall figure for total sales for each geographical area. Although the Authority has previously oriented itself towards a geographical market of a local dimension, generally approximable to provincial territories, there are no reliable sales data from all operators to estimate an overall market size.  </w:t>
        <w:br/>
        <w:t xml:space="preserve">10. In this context, the market position of the Parties and the degree of competitive constraint they exert on each other in the pre-merger scenario (which would be eliminated as a result of the Transaction), given the unavailability of reliable sales data, can however be assessed using the capacity data of the facilities. This type of data has the advantage of being more easily obtainable and monitorable in this case and exhibits a significance comparable to that of sales data for the analysis of the existence and intensity of the mutual competitive constraint exercised between the Parties. On one hand, indeed, the Parties are aware of most of the competitors' facilities, at least those of larger size. On the other hand, the Ministry of the Environment prepares, pursuant to Legislative Decree No. 105/2015, a list of all facilities at risk of significant accidents, which includes, in fact, all medium or large-sized LPG facilities (respectively between 100 mc and 400 mc and over 400 mc of capacity).  </w:t>
        <w:br/>
        <w:t xml:space="preserve">11. Furthermore, for both markets considered (marketing in tanks and in cylinders), consistently with the most recent guidelines of the Authority, the geographical dimension can be assessed, in a representative and reliable economic sense, through an approach based on so-called catchment areas, that is, sales basins centered around each of the involved facilities.  </w:t>
        <w:br/>
        <w:t xml:space="preserve">12. To estimate the position of the Parties in the market for the sale of LPG for combustion through tanks, all deposits that the Parties (as well as the Ministry of the Environment) listed as LPG deposits were considered.  </w:t>
        <w:br/>
        <w:t xml:space="preserve">13. Regarding the extent of the catchment areas, based on estimates provided by the Parties, as well as by some leading operators in the sector, it can be identified at a reference value of approximately 150 km of road distance, starting from the facility located at the center of the catchment area itself. The Parties have indeed stated that "the geographical market should be considered on at least a regional basis, if not with greater breadth" and that, according to the actual travel of the product from their deposits, where necessary, distribution regularly covers a distance equal to that mentioned. Responses received from other companies in the sector consulted support this view. In any case, as a precaution (and also to take into account specific local situations characterized by longer travel times), the competitive analysis of the post-merger position of the Parties was also examined within catchment areas of a narrower radius, equal to 120 km of road distance. In any case, for the purposes of evaluating this Transaction, it is not necessary to establish which of the two alternatives is more appropriate, as this choice would not change the outcome of the evaluation itself.  </w:t>
        <w:br/>
        <w:t xml:space="preserve">14. Based on the location of the Parties' facilities, 12 catchment areas are identified for this market, which in this case can be usefully defined as the sales basins centered on each of the facilities of the buyer and the acquired company that present, within 150 (or 120) km of road distance, an overlap with at least one facility of the other merging party.  </w:t>
        <w:br/>
        <w:t>15. For each of the sales basins thus obtained, market shares were estimated in terms of the capacity of the facilities, both in absolute terms (i.e., simply computing the total capacity of all facilities present in the catchment area) and through a weighting of the capacity data for the distance from the center, aimed at giving greater importance to facilities closer to the center.</w:t>
      </w:r>
    </w:p>
    <w:p>
      <w:r>
        <w:rPr>
          <w:b/>
        </w:rPr>
        <w:t>[Pages 7–9]</w:t>
      </w:r>
    </w:p>
    <w:p>
      <w:r>
        <w:t xml:space="preserve">BULLETIN NO. 4 OF JANUARY 28, 2019 9  </w:t>
        <w:br/>
        <w:t xml:space="preserve">weight to the plants closest to the center of the catchment area. 11 The tables that follow summarize the results of this analysis, in terms of market shares of the Parties, in each of the areas considered.  </w:t>
        <w:br/>
        <w:t xml:space="preserve">Saint Marcel (AO) – Autogas Nord  </w:t>
        <w:br/>
        <w:t xml:space="preserve">150 km/absolute 150 km/weighted 120 km/absolute 120 km/weighted  </w:t>
        <w:br/>
        <w:t xml:space="preserve">Autogas Nord [10-15%] [15-20%] [15-20%] [15-20%]  </w:t>
        <w:br/>
        <w:t xml:space="preserve">Lampogas [5-10%] [5-10%] [1-5%] [5-10%]  </w:t>
        <w:br/>
        <w:t xml:space="preserve">Joint quota [15-20%] [20-25%] [15-20%] [20-25%]  </w:t>
        <w:br/>
        <w:t xml:space="preserve">Issogne (AO) - Lampogas  </w:t>
        <w:br/>
        <w:t xml:space="preserve">150 km/absolute 150 km/weighted 120 km/absolute 120 km/weighted  </w:t>
        <w:br/>
        <w:t xml:space="preserve">Autogas Nord [10-15%] [10-15%] [10-15%] [15-20%]  </w:t>
        <w:br/>
        <w:t xml:space="preserve">Lampogas [5-10%] [5-10%] [5-10%] [5-10%]  </w:t>
        <w:br/>
        <w:t xml:space="preserve">Joint quota [15-20%] [15-20%] [15-20%] [20-25%]  </w:t>
        <w:br/>
        <w:t xml:space="preserve">Volpiano (TO) – Autogas Nord  </w:t>
        <w:br/>
        <w:t xml:space="preserve">150 km/absolute 150 km/weighted 120 km/absolute 120 km/weighted  </w:t>
        <w:br/>
        <w:t xml:space="preserve">Autogas Nord [10-15%] [10-15%] [10-15%] [10-15%]  </w:t>
        <w:br/>
        <w:t xml:space="preserve">Lampogas [1-5%] [1-5%] [1-5%] [1-5%]  </w:t>
        <w:br/>
        <w:t xml:space="preserve">Joint quota [15-20%] [15-20%] [15-20%] [15-20%]  </w:t>
        <w:br/>
        <w:t xml:space="preserve">Castellazzo Bormida (AL) – Autogas Nord  </w:t>
        <w:br/>
        <w:t xml:space="preserve">150 km/absolute 150 km/weighted 120 km/absolute 120 km/weighted  </w:t>
        <w:br/>
        <w:t xml:space="preserve">Autogas Nord [5-10%] [10-15%] [10-15%] [10-15%]  </w:t>
        <w:br/>
        <w:t xml:space="preserve">Lampogas [1-5%] [1-5%] [1-5%] [1-5%]  </w:t>
        <w:br/>
        <w:t xml:space="preserve">Joint quota [10-15%] [10-15%] [10-15%] [15-20%]  </w:t>
        <w:br/>
        <w:t>11 This is because the closer a plant is to the "central" plant, the more its sales basin and clientele will tend to coincide with those of the same "central" plant of the catchment area. Conversely, a plant located at the edge of the catchment area will sell only a small part of its production within the basin. The formula used for this alternative calculation of market shares consists of multiplying the capacity data of each plant by the coefficient , where d represents the distance of the plant from the "central" plant of the catchment area and r (equal to 150 km and 120 km in the two dimensions considered) represents the maximum width of the catchment area itself, beyond which the plants are considered to have no competitive constraint.</w:t>
      </w:r>
    </w:p>
    <w:p>
      <w:r>
        <w:t xml:space="preserve">10 BULLETIN NO. 4 OF JANUARY 28, 2019  </w:t>
        <w:br/>
        <w:t xml:space="preserve">Cameri (NO) - Lampogas  </w:t>
        <w:br/>
        <w:t xml:space="preserve">150 km/absolute 150 km/weighted 120 km/absolute 120 km/weighted  </w:t>
        <w:br/>
        <w:t xml:space="preserve">Autogas Nord [5-10%] [5-10%] [5-10%] [5-10%]  </w:t>
        <w:br/>
        <w:t xml:space="preserve">Lampogas [5-10%] [5-10%] [5-10%] [5-10%]  </w:t>
        <w:br/>
        <w:t xml:space="preserve">Joint quota [10-15%] [10-15%] [10-15%] [10-15%]  </w:t>
        <w:br/>
        <w:t xml:space="preserve">Fontevivo (PR) - Lampogas  </w:t>
        <w:br/>
        <w:t xml:space="preserve">150 km/absolute 150 km/weighted 120 km/absolute 120 km/weighted  </w:t>
        <w:br/>
        <w:t xml:space="preserve">Autogas Nord [1-5%] [1-5%] [1-5%] [1-5%]  </w:t>
        <w:br/>
        <w:t xml:space="preserve">Lampogas [25-30%] [35-40%] [25-30%] [45-50%]  </w:t>
        <w:br/>
        <w:t xml:space="preserve">Joint quota [25-30%] [40-45%] [25-30%] [45-50%]  </w:t>
        <w:br/>
        <w:t xml:space="preserve">Marcaria (MN) – Autogas Nord  </w:t>
        <w:br/>
        <w:t xml:space="preserve">150 km/absolute 150 km/weighted 120 km/absolute 120 km/weighted  </w:t>
        <w:br/>
        <w:t xml:space="preserve">Autogas Nord [1-5%] [1-5%] [1-5%] [1-5%]  </w:t>
        <w:br/>
        <w:t xml:space="preserve">Lampogas [20-25%] [20-25%] [20-25%] [20-25%]  </w:t>
        <w:br/>
        <w:t xml:space="preserve">Joint quota [25-30%] [25-30%] [25-30%] [25-30%]  </w:t>
        <w:br/>
        <w:t xml:space="preserve">Prevalle (BS) - Lampogas  </w:t>
        <w:br/>
        <w:t xml:space="preserve">150 km/absolute 150 km/weighted 120 km/absolute 120 km/weighted  </w:t>
        <w:br/>
        <w:t xml:space="preserve">Autogas Nord [5-10%] [1-5%] [1-5%] [1-5%]  </w:t>
        <w:br/>
        <w:t xml:space="preserve">Lampogas [5-10%] [10-15%] [5-10%] [10-15%]  </w:t>
        <w:br/>
        <w:t xml:space="preserve">Joint quota [10-15%] [10-15%] [10-15%] [10-15%]  </w:t>
        <w:br/>
        <w:t xml:space="preserve">Antegnate (BG) - Lampogas  </w:t>
        <w:br/>
        <w:t xml:space="preserve">150 km/absolute 150 km/weighted 120 km/absolute 120 km/weighted  </w:t>
        <w:br/>
        <w:t xml:space="preserve">Autogas Nord [1-5%] [1-5%] [1-5%] [less than 1%]  </w:t>
        <w:br/>
        <w:t xml:space="preserve">Lampogas [20-25%] [20-25%] [25-30%] [15-20%]  </w:t>
        <w:br/>
        <w:t xml:space="preserve">Joint quota [20-25%] [20-25%] [25-30%] [15-20%]  </w:t>
        <w:br/>
        <w:t xml:space="preserve">Arquà Polesine (RO) – Autogas Nord  </w:t>
        <w:br/>
        <w:t xml:space="preserve">150 km/absolute 150 km/weighted 120 km/absolute 120 km/weighted  </w:t>
        <w:br/>
        <w:t xml:space="preserve">Autogas Nord [1-5%] [5-10%] [1-5%] [10-15%]  </w:t>
        <w:br/>
        <w:t xml:space="preserve">Lampogas [1-5%] [1-5%] [1-5%] [1-5%]  </w:t>
        <w:br/>
        <w:t>Joint quota [5-10%] [10-15%] [5-10%] [15-20%]</w:t>
      </w:r>
    </w:p>
    <w:p>
      <w:r>
        <w:t xml:space="preserve">BULLETIN NO. 4 OF JANUARY 28, 2019 11  </w:t>
        <w:br/>
        <w:t xml:space="preserve">Correzzola (PD) - Lampogas  </w:t>
        <w:br/>
        <w:t xml:space="preserve">150 km/absolute 150 km/weighted 120 km/absolute 120 km/weighted  </w:t>
        <w:br/>
        <w:t xml:space="preserve">Autogas Nord [1-5%] [5-10%] [1-5%] [5-10%]  </w:t>
        <w:br/>
        <w:t xml:space="preserve">Lampogas [1-5%] [1-5%] [1-5%] [1-5%]  </w:t>
        <w:br/>
        <w:t xml:space="preserve">Joint quota [5-10%] [5-10%] [1-5%] [10-15%]  </w:t>
        <w:br/>
        <w:t xml:space="preserve">Legnago (VR) - Lampogas  </w:t>
        <w:br/>
        <w:t xml:space="preserve">150 km/absolute 150 km/weighted 120 km/absolute 120 km/weighted  </w:t>
        <w:br/>
        <w:t xml:space="preserve">Autogas Nord [1-5%] [5-10%] [5-10%] [10-15%]  </w:t>
        <w:br/>
        <w:t xml:space="preserve">Lampogas [1-5%] [5-10%] [1-5%] [5-10%]  </w:t>
        <w:br/>
        <w:t xml:space="preserve">Joint quota [5-10%] [15-20%] [10-15%] [15-20%]  </w:t>
        <w:br/>
        <w:t xml:space="preserve">16. As can be seen from the previous tables, in nine of the 12 identified catchment areas, the joint market share held by the Parties is below 25% in each of the considered scenarios. In another catchment area, that centered on the Antegnate (BG) plant, it exceeds this threshold only when considering capacities in a non-weighted manner within a basin restricted to a distance of 120 km, remaining, in this case, below 30%12. Similarly, in the catchment area centered on the Marcaria (MN) plant, the estimated joint market share for the Parties is in any case below 30%, with an increase due to the Transaction that is, moreover, entirely limited.  </w:t>
        <w:br/>
        <w:t xml:space="preserve">17. Finally, in the catchment area centered on the Fontevivo plant, the joint share of the Parties in terms of capacity weighted by distance from the central plant reaches higher levels, but in any case remains below 50% (specifically around [omitted]) in the case of a radius of 120 km and below 45% (specifically around [omitted]) when considering catchment areas with a radius of 150 km. In these contexts, it should be noted that in any case the presence of the acquirer in the considered user basin is minimal (approximately [1-5%] and [1-5%]), resulting in the Transaction appearing to have a negligible specific effect. In the same catchment area, moreover, the joint market share calculated in absolute terms (i.e., without weighting for distance) reaches significantly lower levels, not exceeding 30% in any case.  </w:t>
        <w:br/>
        <w:t xml:space="preserve">18. The Transaction does not therefore appear to be capable of appreciably altering competitive dynamics in the market for the sale of LPG for combustion through the refueling of tanks.  </w:t>
        <w:br/>
        <w:t>12 With reference to the Aosta Valley area, moreover, where the acquirer's and the acquired plants are located in close proximity, some competing firms of the merging parties, explicitly questioned on the matter, stated that they supply this area from their plants located in neighboring regions. This, in turn, constitutes further confirmation of the distance used to delineate the catchment areas (150 km) and the fact that, in the sector considered, the geographical market size is broader than that of a small region like the Aosta Valley.</w:t>
      </w:r>
    </w:p>
    <w:p>
      <w:r>
        <w:rPr>
          <w:b/>
        </w:rPr>
        <w:t>[Pages 10–12]</w:t>
      </w:r>
    </w:p>
    <w:p>
      <w:r>
        <w:t xml:space="preserve">12 BULLETIN NO. 4 OF JANUARY 28, 2019  </w:t>
        <w:br/>
        <w:t xml:space="preserve">LPG for combustion in cylinders  </w:t>
        <w:br/>
        <w:t xml:space="preserve">19. With reference to the market for the sale of LPG for combustion in cylinders, the Parties have provided a list of the plants they own that have the capacity to bottle the product and, therefore, from which the related commercialization can begin. As mentioned earlier, only a part of the plants used for the storage and distribution of LPG in the form of tanks can also be used for bottling and thus serve as a starting point for distribution in cylinders.  </w:t>
        <w:br/>
        <w:t xml:space="preserve">20. Regarding the distance within which the product is marketed in this manner, the Parties state that it is slightly greater than the estimates provided for the marketing of LPG in tanks, generally identifiable between 150 km and 200 km. A competing company has considered that, in its case, the distance traveled for the marketing of LPG in cylinders is significantly greater than that for the supply of tanks, while another competing company has stated that the two distances are, in fact, comparable.  </w:t>
        <w:br/>
        <w:t xml:space="preserve">21. As for the overlaps between the plants owned by the Parties, Autogas Nord currently has only one active plant for the bottling of LPG, located in Montagna in Valtellina (SO), which has a capacity lower than that of 100 mc, relevant for cataloging by the Ministry of the Environment ([omitted]). The nearest plant of the acquired company is located in Prevalle (BS), over 160 km from the aforementioned plant, while the other plants with bottling from the acquired company are located approximately 243 km (Issogne (AO)), 250 km (Fontevivo (PR)), 280 km (Legnago (VR)), and 505 km (Venturina (LI)) away from the buyer's bottling plant.  </w:t>
        <w:br/>
        <w:t xml:space="preserve">22. Based on the information provided by the Parties, however, there are numerous plants of third-party competitors with bottling near the Montagna in Valtellina plant, with as many as 10 located in Lombardy, including plants located in Villa di Tirano (SO) (22 km away), Valdisotto (SO) (58 km away), Cesana Brianza (LC) (93 km away), Turate (VA) (130 km away), Gorlago (BG) (135 km away), Cologne (BS) (148 km away), Assago (MI) (161 km away), and Ozzero (MI) (167 km away)13. These factual elements, together with the limited capacity of the only active bottling plant available to the buyer, lead to the conclusion that, even in the absence of a more precise definition of the extent of the catchment area radius regarding the market for the commercialization of LPG for combustion in the form of cylinders, the Operation is not likely to appreciably alter competitive dynamics even in this market.  </w:t>
        <w:br/>
        <w:t xml:space="preserve">23. In light of the above considerations, the concentration under examination does not appear to be capable of establishing a dominant position or significantly altering the conditions of competition in the relevant markets mentioned.  </w:t>
        <w:br/>
        <w:t xml:space="preserve">THEREFORE, it is deemed that the operation under examination does not entail, pursuant to Article 6, paragraph 1, of Law No. 287/90, the establishment or strengthening of a dominant position in the affected markets, such as to eliminate or substantially and durably reduce competition;  </w:t>
        <w:br/>
        <w:t>13 The Parties are also aware of the presence of 2 bottling plants of third-party competitors in Trentino Alto-Adige (one located 168 km from the Autogas Nord plant), 9 plants in Veneto, 4 in Emilia-Romagna, and 5 in Piedmont.</w:t>
      </w:r>
    </w:p>
    <w:p>
      <w:r>
        <w:t xml:space="preserve">BULLETIN NO. 4 OF JANUARY 28, 2019 13  </w:t>
        <w:br/>
        <w:t xml:space="preserve">IT IS ALSO DEEMED that the non-competition agreement can be considered accessory to this operation only to the limits indicated above and that the Authority reserves the right to evaluate, where the conditions exist, the aforementioned agreement if it exceeds those limits;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the Minister of Economic Development.  </w:t>
        <w:br/>
        <w:t xml:space="preserve">This measure will be published in the Bulletin of the Competition and Market Authority.  </w:t>
        <w:br/>
        <w:t xml:space="preserve">THE SECRETARY GENERAL THE PRESIDENT pro tempore  </w:t>
        <w:br/>
        <w:t>Filippo Arena Gabriella Muscolo</w:t>
      </w:r>
    </w:p>
    <w:p>
      <w:r>
        <w:rPr>
          <w:b/>
        </w:rPr>
        <w:t>[Pages 13–15]</w:t>
      </w:r>
    </w:p>
    <w:p>
      <w:r>
        <w:t xml:space="preserve">BULLETIN NO. 4 OF JANUARY 28, 2019 15  </w:t>
        <w:br/>
        <w:t xml:space="preserve">Polish law; Cesped Romania S.r.l., a company under Romanian law; Nuova Transports S.p.A. and Delta Mare S.r.l., companies under Italian law, the latter two acquired during 2018.  </w:t>
        <w:br/>
        <w:t xml:space="preserve">Cesped achieved a consolidated turnover of approximately [100-495] million euros in 2017, of which [100-495] in Italy. The two recently acquired companies, Nuova Transports S.p.A. and Delta Mare S.r.l., achieved turnovers of approximately [30-100] and [1-10] respectively in 2017, in Italy.  </w:t>
        <w:br/>
        <w:t xml:space="preserve">II. DESCRIPTION OF THE TRANSACTION  </w:t>
        <w:br/>
        <w:t xml:space="preserve">3. The transaction consists of the exclusive acquisition of control of Cesped and the companies it controls by Rhenus, and will be carried out through the acquisition of all the shares of Cesped, held, at the time of the transaction, by Ecosystem and by individuals.  </w:t>
        <w:br/>
        <w:t xml:space="preserve">4. The purchase agreement includes a non-compete clause, relating to the activities of the companies subject to acquisition, on the part of the individuals who, at the time of the sale, hold shares in Ecosystem and Cesped, valid in Italy for a period of [1-3] years from the closing of the transaction. It also includes similar conditions for the relatives of these individuals – within the first degree of kinship – for a period of [1-3] years.  </w:t>
        <w:br/>
        <w:t xml:space="preserve">III. QUALIFICATION OF THE TRANSACTION  </w:t>
        <w:br/>
        <w:t xml:space="preserve">5. The notified transaction, as aimed at acquiring exclusive control of a company, constitutes a concentration pursuant to Article 5, paragraph 1, letter b), of Law No. 287/90.  </w:t>
        <w:br/>
        <w:t xml:space="preserve">6. It falls within the scope of application of Law No. 287/90, as the conditions set out in Article 1 of EC Regulation No. 139/04 do not apply, and is subject to the obligation of prior notification provided for by Article 16, paragraph 1, of the same law, as, at the time of notification, the total turnover achieved at the national level by all the companies involved exceeds the threshold of 495 million euros and the total turnover achieved individually at the national level by at least two of the companies involved exceeds 30 million euros.  </w:t>
        <w:br/>
        <w:t xml:space="preserve">7. The non-compete clause described above constitutes a restriction directly connected and necessary for the realization of the transaction, to the extent that it is strictly functional to safeguarding the value of the acquired company, including goodwill, and the obligations therein provided:  </w:t>
        <w:br/>
        <w:t xml:space="preserve">− are related to activities in the markets - product and geographic - affected by this transaction;  </w:t>
        <w:br/>
        <w:t xml:space="preserve">− are limited to a maximum duration of [1-3] years;  </w:t>
        <w:br/>
        <w:t xml:space="preserve">− are confined to a geographic area in which the company subject to acquisition carries out the activities subject to the transfer2.  </w:t>
        <w:br/>
        <w:t>2 See Commission Communication on restrictions directly related and necessary to concentration operations (2005/C 56/03) published in the Official Journal of the European Communities on March 5, 2005, paragraphs 18 and following.</w:t>
      </w:r>
    </w:p>
    <w:p>
      <w:r>
        <w:t xml:space="preserve">16 BULLETIN NO. 4 OF JANUARY 28, 2019  </w:t>
        <w:br/>
        <w:t xml:space="preserve">IV. ASSESSMENT OF THE CONCENTRATION  </w:t>
        <w:br/>
        <w:t xml:space="preserve">Relevant markets  </w:t>
        <w:br/>
        <w:t xml:space="preserve">8. Considering the activities carried out by the company subject to acquisition, this transaction concerns: a) the market for integrated logistics services; b) the market for freight forwarding services.  </w:t>
        <w:br/>
        <w:t xml:space="preserve">a) The market for integrated logistics services  </w:t>
        <w:br/>
        <w:t xml:space="preserve">9. The market for integrated logistics services consists of organizing the movement from suppliers to end customers and the storage of raw materials and finished products, ensuring maximum efficiency of this flow from the place of origin to the destination. Such services are provided both in the initial, intermediate, and final phases of the production cycle (so-called inbound logistics), as well as in the subsequent phase of distribution of finished products (so-called outbound logistics). A characteristic of the market is to consider the multiplicity of services required by the customer as a single product, integrating the activities of planning, development, and control of the flow of goods movement3.  </w:t>
        <w:br/>
        <w:t xml:space="preserve">10. From a geographical point of view, the relevant market as identified above is to be considered of national size. In fact, the demand for integrated logistics services mainly comes from Italian operators who turn to companies operating in the national territory, and the services concern the movement of goods within the national territory4.  </w:t>
        <w:br/>
        <w:t xml:space="preserve">b) The market for freight forwarding services  </w:t>
        <w:br/>
        <w:t xml:space="preserve">11. The market for freight forwarding services consists of organizing the transport of items (including, possibly, activities such as customs clearance, warehousing, and ground services) on behalf of clients and according to their needs. It has been qualified by the European Commission5 as a service distinct from transport, as forwarding involves, in addition to transport, the realization of organizational and ancillary activities6.  </w:t>
        <w:br/>
        <w:t xml:space="preserve">12. In particular, the activity of freight forwarders consists of organizing the shipment of goods (so-called freight forwarding), both in terms of the necessary administrative practices and the physical movement of goods. It therefore addresses clients who need to transport goods and is distinct from the express courier service for small loads. Shipments of goods can occur by air, sea, land, or mixed modes. Furthermore, these shipments can be domestic or international. Finally, they can consist of full loads or groupage (so-called groupage). To carry out its service, the freight forwarder mainly relies on third parties, service providers who constitute productive inputs for it. In particular, the freight forwarder: i) engages a carrier who performs the physical transport of the goods; ii) if necessary, relies on a logistics operator for the management of a collection and sorting area; iii) and, in the case of international shipments, often engages a foreign correspondent to carry out part of the service, or at least the delivery or collection of the goods in the foreign territory. In some cases, the freight forwarder performs all these services itself. However, in most situations, the transport activity is carried out by third-party carriers, and the freight forwarder does not actually have fleets of heavy vehicles for transport7.  </w:t>
        <w:br/>
        <w:t xml:space="preserve">13. Due to the fact that shipments can vary by mode of transport (land, sea, and air), established practice also considers a division of the relevant market depending on whether the shipment is made by land, by sea, or by air8.  </w:t>
        <w:br/>
        <w:t xml:space="preserve">14. From the perspective of geographical extension, the relevant market, as identified above, is to be considered of national size9.  </w:t>
        <w:br/>
        <w:t xml:space="preserve">Effects of the transaction  </w:t>
        <w:br/>
        <w:t xml:space="preserve">15. Regarding the relevant market of integrated logistics services, according to the data provided by the parties, relating to 2017, the Cesped Group holds an infinitesimal market share, such that it will not alter, following the transaction, the market share held by Rhenus, which is approximately [1-5%].  </w:t>
        <w:br/>
        <w:t xml:space="preserve">16. Regarding the relevant market of freight forwarding services, the Cesped Group holds a market share of [1-5%] on a national basis10, while Rhenus has a market share of approximately [1-5%]11. As a result of the concentration, the total market share that Rhenus would hold is approximately [5-10%], diversified as follows: approximately [5-10%] of land shipments, approximately [1-5%] of air shipments, and approximately [1-5%] of sea shipments.  </w:t>
        <w:br/>
        <w:t xml:space="preserve">17. Regarding possible vertical effects arising from the transaction, the acquisition of Cesped's market share in the freight forwarding services market does not appear likely to significantly increase Rhenus's market share in the national integrated logistics services market to the point of producing distortive effects on competition.  </w:t>
        <w:br/>
        <w:t xml:space="preserve">18. In light of the above considerations, it is therefore believed that in the relevant markets the notified transaction will not have adverse effects on competition, not resulting in substantial changes in the competitive structure of the same.  </w:t>
        <w:br/>
        <w:t xml:space="preserve">7 See Measure No. 22521 of June 15, 2011, I722- International Logistics, in Bulletin 24/2011.  </w:t>
        <w:br/>
        <w:t xml:space="preserve">8 See COMP/M.4786, Deutsche Bahn/Transfesa, of March 18, 2008; case COMP/M.5096, RCA/Mav Cargo of November 25, 2008; Measure No. 22521 of June 15, 2011, I722- International Logistics, in Bulletin 24/2011.  </w:t>
        <w:br/>
        <w:t xml:space="preserve">9 In particular, the Commission normally distinguishes the national scope from the international one. That said, it is noted that such markets can be considered of national size, considering the different costs for providing services in various Member States and the existence of administrative and regulatory barriers, particularly in terms of transport and safety (Measure No. 24086 of November 28, 2012, C11823 - Jsc Russian Railways/Gefco, in Bulletin 48/2012).  </w:t>
        <w:br/>
        <w:t xml:space="preserve">10 Respectively approximately [1-5%] of land shipments, [1-5%] of air shipments, and [1-5%] of sea shipments.  </w:t>
        <w:br/>
        <w:t>11 Respectively approximately [1-5%] of land shipments, [1-5%] of air shipments, and [less than 1%] of sea shipments.</w:t>
      </w:r>
    </w:p>
    <w:p>
      <w:r>
        <w:rPr>
          <w:b/>
        </w:rPr>
        <w:t>[Pages 16–18]</w:t>
      </w:r>
    </w:p>
    <w:p>
      <w:r>
        <w:t xml:space="preserve">18 BULLETIN NO. 4 OF JANUARY 28, 2019  </w:t>
        <w:br/>
        <w:t xml:space="preserve">CONSIDERING, therefore, that the operation under examination does not result, pursuant to Article 6, paragraph 1, of Law No. 287/90, in the establishment or strengthening of a dominant position in the relevant markets, such as to eliminate or substantially and durably reduce competition;  </w:t>
        <w:br/>
        <w:t xml:space="preserve">CONSIDERING, furthermore, that the non-competition obligations between the parties are directly connected and necessary to the concentration operation only within the temporal, territorial, and subject limits of the present operation and that the Authority reserves the right to evaluate, where the conditions exist, whether the aforementioned agreement extends beyond the time, geographical scope, and subject matter indicated therein;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the Minister of Economic Development.  </w:t>
        <w:br/>
        <w:t xml:space="preserve">This measure will be published in the Bulletin of the Competition and Market Authority.  </w:t>
        <w:br/>
        <w:t xml:space="preserve">THE SECRETARY GENERAL THE PRESIDENT pro tempore  </w:t>
        <w:br/>
        <w:t>Filippo Arena Gabriella Muscolo</w:t>
      </w:r>
    </w:p>
    <w:p>
      <w:r>
        <w:t xml:space="preserve">BULLETIN NO. 4 OF JANUARY 28, 2019  </w:t>
        <w:br/>
        <w:t xml:space="preserve">19  </w:t>
        <w:br/>
        <w:t xml:space="preserve">REPORTING AND CONSULTATIVE ACTIVITY  </w:t>
        <w:br/>
        <w:t xml:space="preserve">AS1558 - REGULATION OF MARITIME STATE CONCESSION FEES FOR FISHING AND AQUACULTURE ACTIVITIES  </w:t>
        <w:br/>
        <w:t xml:space="preserve">Rome, January 18, 2019  </w:t>
        <w:br/>
        <w:t xml:space="preserve">Senate of the Republic  </w:t>
        <w:br/>
        <w:t xml:space="preserve">Chamber of Deputies  </w:t>
        <w:br/>
        <w:t xml:space="preserve">Presidency of the Council of Ministers  </w:t>
        <w:br/>
        <w:t xml:space="preserve">Minister of Infrastructure and Transport  </w:t>
        <w:br/>
        <w:t xml:space="preserve">Ministry of Agricultural, Food, Forestry and Tourism Policies  </w:t>
        <w:br/>
        <w:t xml:space="preserve">Presidents of the Regions  </w:t>
        <w:br/>
        <w:t xml:space="preserve">Presidents of the Autonomous Provinces of Trento and Bolzano  </w:t>
        <w:br/>
        <w:t xml:space="preserve">The Competition and Market Authority, in its meeting of January 10, 2019, pursuant to Article 21 of Law No. 287 of October 10, 1990, has resolved to formulate some observations regarding the regulation of fees for maritime state concessions for fishing and aquaculture activities, as provided for cooperative societies and their consortia by Ministerial Decree No. 595 of November 15, 1995, and for enterprises not constituted in cooperative form by Ministerial Decree of July 19, 1989.  </w:t>
        <w:br/>
        <w:t xml:space="preserve">The regulatory framework in question has undergone numerous transformations over time, arriving, at present, at a regime of fees whose amounts appear significantly differentiated in relation to the legal nature of the concession holder, that is, depending on whether the cooperative form or another form of enterprise has been adopted, in light of the same activity carried out, consisting of fishing and aquaculture.  </w:t>
        <w:br/>
        <w:t xml:space="preserve">The Authority has already intervened on the subject with a report in 2008. At that time, it was stated that: “operators, in fact, are required to pay different amounts of concession fees for the use of the maritime domain solely depending on whether the cooperative form or another form of enterprise has been adopted, in light of the same activity carried out, consisting of fishing and aquaculture. The difference in concession fees - taking into account the specific amounts of the fees provided for by the aforementioned Ministerial Decree No. 595/95 and Ministerial Decree of July 19, 1989 - appears capable of impacting unevenly on the costs of cooperative societies and non-associated enterprises, potentially altering their competitive capacity. In this regard, the Authority believes that the mere legal nature of the concession holder cannot justify the difference in the concession fees in force. In confirmation of this, the homogenization of fees carried out in some regional realities is highlighted.”  </w:t>
        <w:br/>
        <w:t xml:space="preserve">The Authority's intervention in 2008 was followed by the elimination of the discrimination, which, however, lasted just over a month. It is also noted that various decisions, opinions, and rulings have subsequently been expressed on the matter by public entities and administrative judges, all substantially supporting a fair regulation of the fees; in particular:  </w:t>
        <w:br/>
        <w:t xml:space="preserve">(i) some Regions (Friuli Venezia Giulia with Law No. 22/2010, the Marche Region with Law No. 16/2015, and Sardinia with Law No. 9/2018) have temporarily "frozen" the issue, given the enormity of the fees requested from enterprises other than cooperatives, providing for the equalization of the fees owed by both cooperatives and enterprises not constituted in cooperative form;  </w:t>
        <w:br/>
        <w:t xml:space="preserve">(ii) the Conference of Regions and Autonomous Provinces has repeatedly asked the Government, in 2012 and 2015, for an intervention aimed at equalizing the amounts of the aforementioned fees;  </w:t>
        <w:br/>
        <w:t xml:space="preserve">(iii) the Ministry of Agricultural, Food, Forestry and Tourism Policies, in response to a parliamentary question in 2012, stated that it had proposed and supported on various occasions the introduction in the provisions on the matter of a rule aimed at bringing the aforementioned fees to the recognition measure also for non-cooperative enterprises;  </w:t>
        <w:br/>
        <w:t xml:space="preserve">(iv) some decisions of the administrative judge have accepted the appeals filed by some non-cooperative concessionary companies against payment orders for amounts due as a fee adjustment.  </w:t>
        <w:br/>
        <w:t xml:space="preserve">Also in light of the outlined general framework, the Authority therefore intends to reiterate that the regulation in question, in identifying concession fees significantly differentiated solely on the basis of the legal nature of the concessionaire, is capable of determining competitive distortions, not justified by general needs and in any case not proportionate to them, among operators carrying out the same fishing and aquaculture activities.  </w:t>
        <w:br/>
        <w:t xml:space="preserve">The Authority, therefore, hopes that the addressed Administrations will adequately consider the above observations, in order to protect and promote in the best way possible the interests of all operators involved.  </w:t>
        <w:br/>
        <w:t xml:space="preserve">4 The Legislator, with the introduction of Article 4-ter of Decree-Law No. 171 of November 3, 2008, converted with amendments by Article 4-quater of Law No. 205 of December 30, 2008, had remedied the different treatment between enterprises. However, the provision was repealed by Article 22, paragraph 2, of Decree-Law No. 207 of December 30, 2008, converted with amendments by Law No. 14 of February 27, 2009.  </w:t>
        <w:br/>
        <w:t xml:space="preserve">5 See the resolutions approved on December 22, 2012, and March 25, 2015, in which the Conference requested the Government to present a bill aimed at equalizing the amounts of the aforementioned fees, applying the amounts defined by Ministerial Decree No. 595/95 to all fishing and aquaculture enterprises regardless of their legal nature.  </w:t>
        <w:br/>
        <w:t xml:space="preserve">6 See parliamentary question 5-06503 of March 28, 2012 (Hon. Savino) “unification of the criteria for determining the fee for the concession of areas of the maritime domain used for fishing and aquaculture activities.”  </w:t>
        <w:br/>
        <w:t>7 See rulings of the Administrative Court of Puglia, Lecce, No. 532/2010 and 566/2010.</w:t>
      </w:r>
    </w:p>
    <w:p>
      <w:r>
        <w:rPr>
          <w:b/>
        </w:rPr>
        <w:t>[Pages 19–20]</w:t>
      </w:r>
    </w:p>
    <w:p>
      <w:r>
        <w:t xml:space="preserve">BULLETIN NO. 4 OF JANUARY 28, 2019 21  </w:t>
        <w:br/>
        <w:t xml:space="preserve">effective and appropriate competition in the relevant sector, avoiding, in particular, that in the future unjustified and disproportionate limitations to competition are provided in the preparation of the acts constituting orders/receipts of payment of the aforementioned concession fees.  </w:t>
        <w:br/>
        <w:t xml:space="preserve">This opinion will be published in the Bulletin of the Authority pursuant to Article 26 of Law No. 287/90.  </w:t>
        <w:br/>
        <w:t xml:space="preserve">THE PRESIDENT pro tempore  </w:t>
        <w:br/>
        <w:t>Gabriella Muscolo</w:t>
      </w:r>
    </w:p>
    <w:p>
      <w:r>
        <w:t xml:space="preserve">Competition and Market Authority Weekly Bulletin  </w:t>
        <w:br/>
        <w:t xml:space="preserve">Year XXIX - No. 4 - 2019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