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https://www.agcm.it/dotcmsdoc/bollettini/2024/4-24.pdf</w:t>
      </w:r>
    </w:p>
    <w:p>
      <w:r>
        <w:t>Pages translated : 44</w:t>
      </w:r>
    </w:p>
    <w:p/>
    <w:p>
      <w:r>
        <w:rPr>
          <w:b/>
        </w:rPr>
        <w:t>[Pages 1–3]</w:t>
      </w:r>
    </w:p>
    <w:p>
      <w:r>
        <w:t>Bulletin</w:t>
        <w:br/>
        <w:t>Weekly</w:t>
        <w:br/>
        <w:t>Year XXXIV - No. 4</w:t>
        <w:br/>
        <w:t>Published on the website www.agcm.it</w:t>
        <w:br/>
        <w:t>January 29, 2024</w:t>
      </w:r>
    </w:p>
    <w:p>
      <w:r>
        <w:t>SUMMARY</w:t>
        <w:br/>
        <w:t>CONCENTRATION OPERATIONS 5</w:t>
        <w:br/>
        <w:t>C12579 - FSI SGR/BANCOMAT</w:t>
        <w:br/>
        <w:t>Decision No. 31021 5</w:t>
        <w:br/>
        <w:t>C12591 - OPENJOBMETIS/JUST ON BUSINESS</w:t>
        <w:br/>
        <w:t>Decision No. 31022 11</w:t>
        <w:br/>
        <w:t>C12592 - GRIMALDI EUROMED-GRIMALDI DEEP SEA/TERMINAL DARSENA TOSCANA</w:t>
        <w:br/>
        <w:t>Decision No. 31023 15</w:t>
        <w:br/>
        <w:t>ACTIVITIES OF REPORTING AND CONSULTATION 24</w:t>
        <w:br/>
        <w:t>AS1936 - ROMA CAPITALE - IN-HOUSE AWARDING OF LOCAL PUBLIC TRANSPORT SERVICE NOT PERIPHERAL FOR THE YEARS FROM 2024 TO 2027 24</w:t>
        <w:br/>
        <w:t>UNFAIR TRADE PRACTICES 33</w:t>
        <w:br/>
        <w:t>PS12496 - FILENI SUSTAINABILITY</w:t>
        <w:br/>
        <w:t>Decision No. 31025 33</w:t>
      </w:r>
    </w:p>
    <w:p>
      <w:r>
        <w:t>BULLETIN NO. 4 OF JANUARY 29, 2024 5</w:t>
        <w:br/>
        <w:t>CONCENTRATION OPERATIONS</w:t>
        <w:br/>
        <w:t>C12579 - FSI SGR/BANCOMAT</w:t>
        <w:br/>
        <w:t>Decision No. 31021</w:t>
        <w:br/>
        <w:t>THE ANTITRUST AUTHORITY</w:t>
        <w:br/>
        <w:t>IN ITS MEETING of January 10, 2024;</w:t>
        <w:br/>
        <w:t>HEARD the Rapporteur Professor Elisabetta Iossa;</w:t>
        <w:br/>
        <w:t>HAVING REGARD TO Regulation (EC) No. 139/2004;</w:t>
        <w:br/>
        <w:t>HAVING REGARD TO Law No. 287 of October 10, 1990;</w:t>
        <w:br/>
        <w:t>HAVING REGARD TO Presidential Decree No. 217 of April 30, 1998;</w:t>
        <w:br/>
        <w:t>HAVING REGARD TO the communication from FSI SGR S.p.A., received on October 25, 2023;</w:t>
        <w:br/>
        <w:t>HAVING REGARD TO the request for information pursuant to Article 16-bis of Law No. 287/1990, sent on November 22, 2023, with consequent interruption of the terms pursuant to Article 5, paragraph 3, of Presidential Decree No. 217 of April 30, 1998;</w:t>
        <w:br/>
        <w:t>HAVING REGARD TO the additional information sent by FSI SGR S.p.A., received on December 13, 2023;</w:t>
        <w:br/>
        <w:t>CONSIDERING the following:</w:t>
        <w:br/>
        <w:t>I. THE PARTIES</w:t>
        <w:br/>
        <w:t>1. FSI SGR S.p.A. (hereinafter "FSI") is an Italian asset management company, whose share capital is currently held by Magenta 71 S.r.l., with a controlling stake of 90.1%, and ION Capital Partners Limited, with a stake of 9.9%. FSI currently manages the private equity funds FSI I and FSI II, closed-end reserved alternative investment funds. The FSI I and FSI II funds invest in Italian companies to support their dimensional growth, promote their internationalization, strengthen them, stabilize the shareholding, and manage succession processes, as well as to promote access to the capital market. They include some of the largest Italian institutional investors (as subscribers of the fund shares and, therefore, without active governance).</w:t>
        <w:br/>
        <w:t>In 2022, the consolidated revenue generated by FSI was approximately [532-700]* million euros globally, of which approximately [532-700] million euros in the European Union and approximately [532-700] million euros in Italy.</w:t>
        <w:br/>
        <w:t>2. Bancomat S.p.A. (hereinafter "Bancomat") is the company that manages the Bancomat, PagoBancomat, and Bancomat Pay withdrawal and payment circuits, which can be used to make payments at POS.</w:t>
        <w:br/>
        <w:t>* In this version, some data are omitted, as elements of confidentiality or secrecy of the information were deemed to exist.</w:t>
      </w:r>
    </w:p>
    <w:p>
      <w:r>
        <w:rPr>
          <w:b/>
        </w:rPr>
        <w:t>[Pages 4–6]</w:t>
      </w:r>
    </w:p>
    <w:p>
      <w:r>
        <w:t>6 BULLETIN NO. 4 OF JANUARY 29, 2024</w:t>
      </w:r>
    </w:p>
    <w:p>
      <w:r>
        <w:t>(Point of Sale) and withdrawals at so-called ATMs (Automated Teller Machines), as well as – through Bancomat Pay – to pay and send money via smartphone, online, and in stores. The share capital of Bancomat is distributed among 113 entities, the main ones being: Intesa Sanpaolo S.p.A. (hereinafter “Intesa Sanpaolo”), which holds approximately 31% of its share capital; Unicredit S.p.A., which holds approximately 19%; ICCREA Banca S.p.A. (hereinafter “ICCREA”), which holds approximately 11.5%; Banco BPM S.p.A. (hereinafter “BBPM”), which holds approximately 7.6%; and Monte dei Paschi di Siena S.p.A., which holds approximately 7.5%. By virtue of the statutory provisions, none of the shareholders holds control of Bancomat, neither individually nor jointly.</w:t>
      </w:r>
    </w:p>
    <w:p>
      <w:r>
        <w:t>In 2022, the consolidated revenue generated by Bancomat was approximately [32-100] million euros globally, of which approximately [32-100] million euros in Europe and approximately [32-100] million euros in Italy.</w:t>
      </w:r>
    </w:p>
    <w:p>
      <w:r>
        <w:t>II. DESCRIPTION OF THE OPERATION</w:t>
      </w:r>
    </w:p>
    <w:p>
      <w:r>
        <w:t>3. The communicated operation concerns the acquisition of exclusive control of Bancomat by FSI. In particular, on August 4, 2023, FSI, Intesa Sanpaolo, ICCREA, BBPM, BPER Banca S.p.A. (hereinafter “BPER Banca”), and Bancomat signed an investment agreement through which FSI, on behalf of the FSI II fund, committed to subscribing to a capital increase as a result of which it will hold a stake of approximately 43% of Bancomat's share capital. The remaining part of Bancomat's capital will be held by Intesa Sanpaolo, ICCREA, BBPM, and BPER Banca, as well as by the other current shareholders of Bancomat, with dilution of their respective stakes following the aforementioned capital increase.</w:t>
      </w:r>
    </w:p>
    <w:p>
      <w:r>
        <w:t>4. Furthermore, at the time of the closing of the operation, FSI, Intesa Sanpaolo, ICCREA, BPER, and BBPM will sign a shareholders' agreement that will regulate, inter alia, their mutual rights and obligations regarding the governance of Bancomat. A new statute will also be adopted to reflect the changed corporate structure, the change in governance, and the new industrial project. It is expected that other shareholders of Bancomat may join the shareholders' agreement under conditions regulated in the agreement itself.</w:t>
      </w:r>
    </w:p>
    <w:p>
      <w:r>
        <w:t>From a governance perspective, the shareholders' agreement regulates the methods of appointing the Board of Directors (including the Chairman and the Chief Executive Officer) and their respective powers, under which the stake acquired by FSI as a result of the operation will allow it to assume exclusive control of Bancomat. In particular, depending on the shareholders participating in the election of the members of the Board of Directors, FSI will hold the power to appoint more than half of the directors (including the Chief Executive Officer) or will remain the only shareholder of Bancomat able to prevent, with its veto right, the adoption, in the board, of resolutions concerning strategic business decisions of Bancomat.</w:t>
      </w:r>
    </w:p>
    <w:p>
      <w:r>
        <w:t>III. QUALIFICATION OF THE OPERATION</w:t>
      </w:r>
    </w:p>
    <w:p>
      <w:r>
        <w:t>5. The communicated operation, as it involves the acquisition of control of a company, constitutes a concentration pursuant to Article 5, paragraph 1, letter b), of Law No. 287/1990. It falls within the scope of application of Law No. 287/1990, as the conditions set out in Article 1 of Regulation (EC) No. 139/2004 do not apply, and it is subject to the obligation of prior notification provided for by Article 16, paragraph 1, of the same law, as the total revenue generated in the last financial year at the national level by the group of companies involved was over 532 million euros and the total revenue generated, in the last financial year at the national level, individually by at least two of the companies involved was over 32 million euros.</w:t>
      </w:r>
    </w:p>
    <w:p>
      <w:r>
        <w:t>IV. ASSESSMENT OF THE CONCENTRATION</w:t>
      </w:r>
    </w:p>
    <w:p>
      <w:r>
        <w:t>a) The relevant markets</w:t>
      </w:r>
    </w:p>
    <w:p>
      <w:r>
        <w:t>6. By virtue of the activity carried out by the company subject to acquisition, the operation in question concerns, from a product perspective, the market for debit card networks in which Bancomat operates, as well as the vertically related markets of debit card issuing and wholesale merchant acquiring. As stated by the notifying Parties, FSI controls (through the FSI I fund, which holds a 60% stake in the share capital) the company BCC Pay S.p.A. (hereinafter “BCC Pay”), currently active in the digital payments sector essentially as a provider of wholesale merchant acquiring and issuing services for the ICCREA group.</w:t>
      </w:r>
    </w:p>
    <w:p>
      <w:r>
        <w:t>a.1) The market for debit card networks</w:t>
      </w:r>
    </w:p>
    <w:p>
      <w:r>
        <w:t>7. Regarding the first relevant market, that of debit card networks, based on established national and community practice, the activity carried out by payment networks falls within the market for services offered by the networks, which can be defined as the provision of services related to the operation of payment networks. In particular, the operators of these payment systems compete with each other to incentivize financial companies, issuers of payment cards, and acquirers of merchants to participate in their network and to use their system. To this end, the networks define the technical standards and common rules necessary for their operation, such as the rules governing the management of authorizations and the processing of transactions completed on their network. Access to the networks is granted to all those who comply with the current sector regulations; all the rules of the network are accepted and applied, through standardized licensing agreements, by the licensees operating as issuers (card issuers) and/or acquirers (merchants) for the network itself.</w:t>
      </w:r>
    </w:p>
    <w:p>
      <w:r>
        <w:t>8. The networks are also owners of the brands that distinguish them. The use of the services provided through the network occurs for a fee (i.e. through the payment of scheme fees). Within the market of networks, distinct markets can also be identified based on the type of card, and thus, credit card and debit card.</w:t>
      </w:r>
    </w:p>
    <w:p>
      <w:r>
        <w:t>9. From a geographical perspective, in light of national and community practice, the dimension of such markets can be confined to the national territory, as the methods of offering appear sufficiently uniform within it; conversely, there remain differences at the level of active operators, methods of using national licenses, and economic conditions among various countries such as to exclude a relevant geographical scope broader than the national one. It should be noted, in particular, that in some countries there are networks active only at the national level, as is the case with Bancomat, which is present only in Italy, or Cartes Bancaires, which is active only in France.</w:t>
      </w:r>
    </w:p>
    <w:p>
      <w:r>
        <w:t>a.2) The market for debit card issuing services</w:t>
      </w:r>
    </w:p>
    <w:p>
      <w:r>
        <w:t>10. The market for debit card issuing services refers to the activity of issuing payment cards consisting of a set of services aimed at providing such cards to end customers (i.e. cardholders). In particular, the activity of issuing cards mainly includes offering the card to the end customer, defining the characteristics of the card and the related economic conditions (amount of the annual fee, commissions for cash advance service, statement sending fees, and other commissions), credit assessment of the customer, contracting with the customer, managing relationships with the networks, customer service and marketing activities, and managing credit risk and fraud.</w:t>
      </w:r>
    </w:p>
    <w:p>
      <w:r>
        <w:t>11. Similarly to what has been specified for the payment networks market, for the purposes of assessing this operation, the analysis can be confined to the product market related to debit cards (including prepaid cards). This market also appears to have a national dimension.</w:t>
      </w:r>
    </w:p>
    <w:p>
      <w:r>
        <w:t>a.3) The market for merchant acquiring services</w:t>
      </w:r>
    </w:p>
    <w:p>
      <w:r>
        <w:t>12. Finally, merchant acquiring services consist of a series of activities aimed at enabling merchants to accept payments by card, both at traditional points of sale and online, and to ensure the subsequent receipt of the money related to such transactions. These services mainly include: (a) marketing of products and services necessary and ancillary to the acceptance of payments, in order to allow merchants to accept as many payment methods as possible; (b) the contracting of merchants and the provision of the technical infrastructure (hardware/software – POS terminals) for the acceptance of payments and the acquisition of transaction data; (c) verifying the suitability of the merchant to join the payment network and managing the relationship with the networks themselves; (d) carrying out any activity necessary to compensate and settle the transfer of money to the issuer that issued the payment card (so-called interchange fee), to the payment network through whose network the transaction was directed (so-called scheme fee), and to the merchant concerning the executed operation, net of the various commissions due to the merchant acquirer; (e) providing other various and/or ancillary services related to merchant acquiring.</w:t>
      </w:r>
    </w:p>
    <w:p>
      <w:r>
        <w:t>The listed services are provided to merchants by banks or Payment Service Providers - PSPs; banks, in turn, may self-produce such services or purchase them wholesale from PSPs.</w:t>
      </w:r>
    </w:p>
    <w:p>
      <w:r>
        <w:t>13. Regarding the identification of the relevant markets related to the aforementioned activity, the Authority in its case law has distinguished the following markets:</w:t>
      </w:r>
    </w:p>
    <w:p>
      <w:r>
        <w:rPr>
          <w:b/>
        </w:rPr>
        <w:t>[Pages 7–9]</w:t>
      </w:r>
    </w:p>
    <w:p>
      <w:r>
        <w:t>BULLETIN NO. 4 OF JANUARY 29, 2024</w:t>
      </w:r>
    </w:p>
    <w:p>
      <w:r>
        <w:t>(i) the wholesale merchant acquiring market, with a supranational geographical dimension, whose demand is represented by banks that purchase services from PSPs to then resell them to merchants, possibly in combination with other products and services (for example, processing services, terminal management, and POS supply);</w:t>
      </w:r>
    </w:p>
    <w:p>
      <w:r>
        <w:t>(ii) the retail merchant acquiring market, with a national geographical dimension, whose demand is represented by merchants who purchase merchant acquiring services from banks or directly from PSPs (usually in combination with POS), thus allowing their clientele to make payments via card.</w:t>
      </w:r>
    </w:p>
    <w:p>
      <w:r>
        <w:t>That said, for the purposes of the operation, the Parties highlight how BCC Pay is exclusively active in the supranational market for wholesale merchant acquiring services.</w:t>
      </w:r>
    </w:p>
    <w:p>
      <w:r>
        <w:t>b) Effects of the operation</w:t>
      </w:r>
    </w:p>
    <w:p>
      <w:r>
        <w:t>14. The notified operation does not present horizontal effects, as Bancomat and FSI, through BCC Pay, are active, respectively, one in the national market for debit card circuits, the other in the national market for debit card issuing services and in the supranational market for wholesale merchant acquiring services.</w:t>
      </w:r>
    </w:p>
    <w:p>
      <w:r>
        <w:t>In the debit card circuit market, Bancomat's positioning will therefore remain unchanged, equal to [40-45%] in the value of transactions and [35-40%] in the number of transactions (data provided by the Party for the year 2022). In this market, two other primary companies are also active, namely Mastercard and Visa, which also operate as credit card circuits and at the international level.</w:t>
      </w:r>
    </w:p>
    <w:p>
      <w:r>
        <w:t>15. Regarding the possible vertical effects arising from the operation, it is noted that Bancomat and BCC Pay are in a vertical relationship, as BCC Pay benefits, as a customer, from the services of the circuit managed by Bancomat.</w:t>
      </w:r>
    </w:p>
    <w:p>
      <w:r>
        <w:t>In particular, Bancomat is active upstream, as a domestic debit payment scheme, and contracts with downstream issuers, such as banks or PSPs (such as Nexi and Worldline), which issue payment cards - in this case debit and prepaid cards, which use the Bancomat circuit - often in co-badged mode with other international circuits (such as Mastercard or Visa).</w:t>
      </w:r>
    </w:p>
    <w:p>
      <w:r>
        <w:t>As for the acceptance of payments, Bancomat must have commercial relationships with acquirers, which allow merchants to accept card payments at their points of sale (through physical POS terminals) or online (through virtual POS).</w:t>
      </w:r>
    </w:p>
    <w:p>
      <w:r>
        <w:t>16. That said, in light of the information acquired, the notified operation does not appear to produce significant effects on competition either upstream or downstream of the supply chain.</w:t>
      </w:r>
    </w:p>
    <w:p>
      <w:r>
        <w:t>17. As a preliminary matter, it is observed that the shares attributable to the year 2022 of BCC Pay in the national market for debit card issuing services and in the supranational market for wholesale merchant acquiring services are marginal, being equal to [1-5%] and [1-5%], respectively.</w:t>
      </w:r>
    </w:p>
    <w:p>
      <w:r>
        <w:t>In the relevant markets, numerous qualified competitors are also active: with regard to the wholesale merchant acquiring market, operators active at the international level such as Crédit Mutuel (with a share estimated by the Parties of 25-30%), Global Payments/TSYS (10-15%), and Nexi (5-10%) are noteworthy; in relation to the issuing market, there are, among others, Poste Italiane (with a share estimated by the Parties of 25-30%), Intesa Sanpaolo (10-15%), and Unicredit (5-10%).</w:t>
      </w:r>
    </w:p>
    <w:p>
      <w:r>
        <w:t>18. Furthermore, it is important to consider that Bancomat and FSI (as the controlling entity of Bancomat) do not appear to have, at this time, either the incentive or the ability to alter market dynamics by imposing limitations on the conditions of service provision to BCC Pay's competitors. In fact, considering that the primary incentive of a circuit is to expand its reach as much as possible on both the "issuing" and "acquiring" sides, any potential limitation of supplies by Bancomat to BCC Pay's competitors appears contrary to the very interests of the circuit. Additionally, given BCC Pay's limited positioning in the markets for debit card issuing and wholesale merchant acquiring, it does not seem economically rational for Bancomat to pursue industrial strategies that would discriminate against its own and most important customers in favor of BCC Pay.</w:t>
      </w:r>
    </w:p>
    <w:p>
      <w:r>
        <w:t>19. For these reasons, based on the information communicated, there does not appear to be any vertical effects arising from the operation under examination that would allow FSI to alter market dynamics.</w:t>
      </w:r>
    </w:p>
    <w:p>
      <w:r>
        <w:t>20. In light of the above considerations, the operation under examination does not appear, as a whole, to be capable of producing detrimental effects on competition, nor does it result in substantial changes in the relevant markets.</w:t>
      </w:r>
    </w:p>
    <w:p>
      <w:r>
        <w:t>CONSIDERING, therefore, that the operation under examination does not significantly impede effective competition in the relevant markets, pursuant to Article 6, paragraph 1, of Law No. 287/1990, and does not lead to the establishment or strengthening of a dominant position;</w:t>
      </w:r>
    </w:p>
    <w:p>
      <w:r>
        <w:t>RESOLVES</w:t>
      </w:r>
    </w:p>
    <w:p>
      <w:r>
        <w:t>not to initiate the investigation referred to in Article 16, paragraph 4, of Law No. 287/1990.</w:t>
      </w:r>
    </w:p>
    <w:p>
      <w:r>
        <w:t>The above conclusions will be communicated, pursuant to Article 16, paragraph 4, of Law No. 287/1990, to the interested companies and to the Minister of Enterprises and Made in Italy.</w:t>
      </w:r>
    </w:p>
    <w:p>
      <w:r>
        <w:t>The provision will be published in the Bulletin of the Antitrust Authority.</w:t>
      </w:r>
    </w:p>
    <w:p>
      <w:r>
        <w:t>THE SECRETARY GENERAL THE PRESIDENT</w:t>
      </w:r>
    </w:p>
    <w:p>
      <w:r>
        <w:t>Guido Stazi Roberto Rustichelli</w:t>
      </w:r>
    </w:p>
    <w:p>
      <w:r>
        <w:t>C12591 - OPENJOBMETIS/JUST ON BUSINESS</w:t>
      </w:r>
    </w:p>
    <w:p>
      <w:r>
        <w:t>Provision No. 31022</w:t>
      </w:r>
    </w:p>
    <w:p>
      <w:r>
        <w:t>THE ANTITRUST AUTHORITY</w:t>
      </w:r>
    </w:p>
    <w:p>
      <w:r>
        <w:t>IN ITS MEETING of January 10, 2024;</w:t>
      </w:r>
    </w:p>
    <w:p>
      <w:r>
        <w:t>HEARD the Rapporteur Professor Elisabetta Iossa;</w:t>
      </w:r>
    </w:p>
    <w:p>
      <w:r>
        <w:t>HAVING REGARD TO Regulation (EC) No. 139/2004;</w:t>
      </w:r>
    </w:p>
    <w:p>
      <w:r>
        <w:t>HAVING REGARD TO Law No. 287 of October 10, 1990;</w:t>
      </w:r>
    </w:p>
    <w:p>
      <w:r>
        <w:t>HAVING REGARD TO Presidential Decree No. 217 of April 30, 1998;</w:t>
      </w:r>
    </w:p>
    <w:p>
      <w:r>
        <w:t>HAVING REGARD TO the communication from Openjobmetis S.p.A. received on December 17, 2023;</w:t>
      </w:r>
    </w:p>
    <w:p>
      <w:r>
        <w:t>CONSIDERED the following:</w:t>
      </w:r>
    </w:p>
    <w:p>
      <w:r>
        <w:t>I. THE PARTIES</w:t>
      </w:r>
    </w:p>
    <w:p>
      <w:r>
        <w:t>1. Openjobmetis S.p.A. (hereinafter, "OPJM") is a company active in the provision, research, redeployment, and training of personnel, listed on Euronext STAR Milan managed by Borsa Italiana.</w:t>
      </w:r>
    </w:p>
    <w:p>
      <w:r>
        <w:t>The share capital of OPJM is held by various parties, none of whom exercise control, individually or jointly, over the company. In particular, the largest shareholder is Omniafin S.p.A. (hereinafter Omniafin), which holds 18.45% of OPJM's capital, corresponding to 27.98% of the voting rights at the assembly.</w:t>
      </w:r>
    </w:p>
    <w:p>
      <w:r>
        <w:t>In 2022, the company's revenue was approximately 770 million euros, entirely generated in Italy.</w:t>
      </w:r>
    </w:p>
    <w:p>
      <w:r>
        <w:t>2. Just On Business S.p.A. (hereinafter "JOB") is a labor agency that operates primarily in the temporary work supply sector (temporary work), from which it generates over 90% of its revenues.</w:t>
      </w:r>
    </w:p>
    <w:p>
      <w:r>
        <w:t>In 2022, the revenue generated by JOB was approximately [100-532]* million euros, entirely generated in Italy.</w:t>
      </w:r>
    </w:p>
    <w:p>
      <w:r>
        <w:t>II. DESCRIPTION OF THE OPERATION</w:t>
      </w:r>
    </w:p>
    <w:p>
      <w:r>
        <w:t>3. The notified operation concerns the acquisition of the entire share capital and, therefore, the exclusive control of JOB by OPJM and, consequently, also of its subsidiary Deine Group S.r.l. The terms and conditions of the operation are governed by a specific sales contract.</w:t>
      </w:r>
    </w:p>
    <w:p>
      <w:r>
        <w:t>* In this version, some data are omitted, as it was deemed that there were elements of confidentiality or secrecy of the information.</w:t>
      </w:r>
    </w:p>
    <w:p>
      <w:r>
        <w:rPr>
          <w:b/>
        </w:rPr>
        <w:t>[Pages 10–12]</w:t>
      </w:r>
    </w:p>
    <w:p>
      <w:r>
        <w:t>12 BULLETIN NO. 4 OF JANUARY 29, 2024</w:t>
      </w:r>
    </w:p>
    <w:p>
      <w:r>
        <w:t>4. The operation also includes a non-competition clause from the two companies that currently hold 100% of the share capital of JOB, specifically Torrent S.p.A. and 1845 S.r.l., which commit for a period of three years from the closing not to engage, directly or indirectly, in activities in competition with those carried out by JOB in Italy, as well as activities of poaching or solicitation of employees, clients, and suppliers.</w:t>
      </w:r>
    </w:p>
    <w:p>
      <w:r>
        <w:t>III. QUALIFICATION OF THE OPERATION</w:t>
      </w:r>
    </w:p>
    <w:p>
      <w:r>
        <w:t>5. The communicated operation, as it involves the acquisition of exclusive control of a company, constitutes a concentration pursuant to Article 5, paragraph 1, letter b), of Law No. 287/1990. It falls within the scope of application of Law No. 287/1990, as the conditions set forth in Article 1 of Regulation (EC) No. 139/2004 do not apply, and it is subject to the obligation of prior notification provided for by Article 16, paragraph 1, of the same law, as the total turnover achieved in the last financial year at the national level by the group of companies involved was over 532 million euros and the total turnover achieved, in the last financial year at the national level, individually by at least two of the companies involved was over 32 million euros.</w:t>
      </w:r>
    </w:p>
    <w:p>
      <w:r>
        <w:t>6. The non-competition clause described above can be qualified as ancillary to the communicated concentration, to the extent that it contains restrictions directly related to the realization of the operation. In particular, in this case, the commitments made by the seller benefit the buyer and respond to the need to ensure the transfer of the actual value of the acquisition to the latter. However, in order not to exceed the limits of what is reasonably required for this purpose, it is necessary that the duration be limited to two years, given that the buyer is already present in the markets in which the target operates.</w:t>
      </w:r>
    </w:p>
    <w:p>
      <w:r>
        <w:t>IV. ASSESSMENT OF THE CONCENTRATION</w:t>
      </w:r>
    </w:p>
    <w:p>
      <w:r>
        <w:t>IV.1 The relevant markets</w:t>
      </w:r>
    </w:p>
    <w:p>
      <w:r>
        <w:t>7. From a product perspective, the operation concerns the market for the provision of temporary work services (temporary employment), in which both the buyer and the acquired company generate over 90% of their national turnover. Furthermore, the target company JOB operates, albeit marginally, in the provision of personnel recruitment and selection services as well as in training services.</w:t>
      </w:r>
    </w:p>
    <w:p>
      <w:r>
        <w:t>8. Considering the modest shares held by the target in all markets in which it is present and the fact that, in such markets, however defined, the post-merger shares will be significantly below 15%, it is not deemed necessary to arrive at a more precise indication of the markets from a product perspective.</w:t>
      </w:r>
    </w:p>
    <w:p>
      <w:r>
        <w:t>9. Regarding the geographical dimension, the market for the provision of temporary work services can be considered to have a national scope, in line with the Authority's precedents, based on considerations related, from the supply perspective, to linguistic differences and the various regulatory regimes in force in different States, as well as, from the demand perspective, based on considerations related to worker preferences and indications from user companies in terms of workplace (employment agency services). Also with reference to the other areas of activity of the Parties, in its previous decisions, the Authority has considered that they have at most a national dimension. In any case, in this specific case, it is not deemed necessary to arrive at a more precise indication of the markets from a geographical perspective, as the operation would not raise competitive concerns regardless of the geographical delineation of the market.</w:t>
      </w:r>
    </w:p>
    <w:p>
      <w:r>
        <w:t>IV.2 Effects of the operation</w:t>
      </w:r>
    </w:p>
    <w:p>
      <w:r>
        <w:t>10. The operation in question will involve the acquisition of exclusive control of JOB by OPJM, with some horizontal overlaps between the activities of the Parties in the temporary work services market and, to a lesser extent, in other product areas that – in line with the Authority's precedents – could ideally configure distinct markets.</w:t>
      </w:r>
    </w:p>
    <w:p>
      <w:r>
        <w:t>11. In particular, in the national temporary work services market, JOB holds a share of less than 1%, while OPJM's share is [1-5%]. Various competing operators are active in this market, such as Adecco, Randstad, GI Group, Manpower, with individual market shares significantly higher than those of the Parties and, cumulatively, close to 50%.</w:t>
      </w:r>
    </w:p>
    <w:p>
      <w:r>
        <w:t>12. Similarly, regarding the additional activities in which there is an overlap between the Parties (personnel recruitment and selection services and vocational training services), the Operation does not appear to raise competitive concerns, both due to the modest shares held by the Parties and the high fragmentation of the supply, characterized by the presence of multiple operators. In fact, OPJM's market share in the provision of such services would not exceed 5% and would increase marginally as a result of the Operation, since JOB does not hold a share greater than 1% in any of these activities.</w:t>
      </w:r>
    </w:p>
    <w:p>
      <w:r>
        <w:t>13. In light of the above considerations, the operation in question does not appear to be capable of producing adverse effects on competition, as it does not result in substantial changes in the relevant markets.</w:t>
      </w:r>
    </w:p>
    <w:p>
      <w:r>
        <w:t>THEREFORE, it is deemed that the operation in question does not significantly impede effective competition in the relevant markets pursuant to Article 6, paragraph 1, of Law No. 287/1990 and does not result in the establishment or strengthening of a dominant position;</w:t>
      </w:r>
    </w:p>
    <w:p>
      <w:r>
        <w:t>IT IS FURTHER DEEMED that the non-competition clause can be considered ancillary to the present operation only within the limits indicated above and that the Authority reserves the right to assess, where the conditions exist, the aforementioned clause that exceeds those limits;</w:t>
      </w:r>
    </w:p>
    <w:p>
      <w:r>
        <w:t>RESOLVES</w:t>
      </w:r>
    </w:p>
    <w:p>
      <w:r>
        <w:t>not to initiate the investigation referred to in Article 16, paragraph 4, of Law No. 287/1990.</w:t>
      </w:r>
    </w:p>
    <w:p>
      <w:r>
        <w:t>The conclusions above will be communicated, pursuant to Article 16, paragraph 4, of Law No. 287/1990, to the companies involved and to the Minister of Enterprises and Made in Italy.</w:t>
      </w:r>
    </w:p>
    <w:p>
      <w:r>
        <w:t>The provision will be published in the Bulletin of the Antitrust Authority.</w:t>
      </w:r>
    </w:p>
    <w:p>
      <w:r>
        <w:t>THE SECRETARY GENERAL THE PRESIDENT</w:t>
      </w:r>
    </w:p>
    <w:p>
      <w:r>
        <w:t>Guido Stazi Roberto Rustichelli</w:t>
      </w:r>
    </w:p>
    <w:p>
      <w:r>
        <w:rPr>
          <w:b/>
        </w:rPr>
        <w:t>[Pages 13–15]</w:t>
      </w:r>
    </w:p>
    <w:p>
      <w:r>
        <w:t>BULLETIN NO. 4 OF JANUARY 29, 2024</w:t>
      </w:r>
    </w:p>
    <w:p>
      <w:r>
        <w:t>C12592 - GRIMALDI EUROMED-GRIMALDI DEEP SEA/TERMINAL DARSENA TOSCANA</w:t>
      </w:r>
    </w:p>
    <w:p>
      <w:r>
        <w:t>Provision No. 31023</w:t>
      </w:r>
    </w:p>
    <w:p>
      <w:r>
        <w:t>THE ANTITRUST AUTHORITY</w:t>
      </w:r>
    </w:p>
    <w:p>
      <w:r>
        <w:t>IN ITS MEETING of January 10, 2024;</w:t>
      </w:r>
    </w:p>
    <w:p>
      <w:r>
        <w:t>HEARD the Rapporteur, Saverio Valentino;</w:t>
      </w:r>
    </w:p>
    <w:p>
      <w:r>
        <w:t>SEEN Regulation (EC) No. 139/2004;</w:t>
      </w:r>
    </w:p>
    <w:p>
      <w:r>
        <w:t>SEEN Law No. 287 of October 10, 1990;</w:t>
      </w:r>
    </w:p>
    <w:p>
      <w:r>
        <w:t>SEEN the D.P.R. No. 217 of April 30, 1998;</w:t>
      </w:r>
    </w:p>
    <w:p>
      <w:r>
        <w:t>SEEN the communication from Grimaldi Euromed S.p.A. and Grimaldi Deep Sea S.p.A. received on December 18, 2023;</w:t>
      </w:r>
    </w:p>
    <w:p>
      <w:r>
        <w:t>SEEN the observations from two interested third parties received on December 28, 2023;</w:t>
      </w:r>
    </w:p>
    <w:p>
      <w:r>
        <w:t>SEEN the documentation on file;</w:t>
      </w:r>
    </w:p>
    <w:p>
      <w:r>
        <w:t>CONSIDERED the following:</w:t>
      </w:r>
    </w:p>
    <w:p>
      <w:r>
        <w:t>I. THE PARTIES</w:t>
      </w:r>
    </w:p>
    <w:p>
      <w:r>
        <w:t>1. Grimaldi Euromed S.p.A. (hereinafter also "GE") is a company active in the maritime transport of goods on short-haul routes (both between Northern Europe and the Mediterranean and along the so-called Motorways of the Sea of the Mediterranean) and long-haul routes (to/from the Mediterranean and North America, the Far East, Australia, and New Zealand), as well as in the long-haul maritime transport of vehicles (between the Mediterranean and North America) and in the short-haul maritime transport of passengers in the Western Mediterranean, using Ro-Ro ships, Ro-Ro/Pax, and PCTC (also car &amp; truck carriers). GE is controlled by Grimaldi Group S.p.A., which holds approximately 96% of its share capital and, in 2022, achieved a turnover in Italy of [700-1,000]* million euros.</w:t>
      </w:r>
    </w:p>
    <w:p>
      <w:r>
        <w:t>2. Grimaldi Deep Sea S.p.A. (hereinafter also "GDS") is a company active in the long-haul maritime transport of goods on Atlantic routes (transport of rolling stock and containerized goods between the ports of Northern Europe, West Africa, and South America) and oceanic routes (primarily transporting rolling stock between Europe and the Far East, Australia, and New Zealand), using Multipurpose ships. GDS is wholly controlled by Grimaldi Group S.p.A., which holds approximately 63% of its share capital, while the remaining shares are held by GE, and in 2022 it achieved a turnover in Italy of [100-532] million euros.</w:t>
      </w:r>
    </w:p>
    <w:p>
      <w:r>
        <w:t>1 The so-called Roll-on/Roll-off ("Ro-Ro") ships are equipped with a loading ramp through which rolling stock accesses the ship for loading (Roll-on) and then disembarks once at the destination (Roll-off). Ro-Ro/Pax ships are designed to accommodate passengers with possible accompanying cars and rolling stock.</w:t>
      </w:r>
    </w:p>
    <w:p>
      <w:r>
        <w:t>2 Specialized ships capable of safely transporting large quantities of new and/or used vehicles over long distances.</w:t>
      </w:r>
    </w:p>
    <w:p>
      <w:r>
        <w:t>* In this version, some data are omitted, as elements of confidentiality or secrecy of the information were deemed to exist.</w:t>
      </w:r>
    </w:p>
    <w:p>
      <w:r>
        <w:t>16 BULLETIN NO. 4 OF JANUARY 29, 2024</w:t>
      </w:r>
    </w:p>
    <w:p>
      <w:r>
        <w:t>3. Grimaldi Group S.p.A. is the holding company of the Grimaldi Group, active in Europe and the rest of the world in the maritime transport of goods, vehicles, and passengers, and in the provision of related logistics services. The Group manages, among other things, Ro-Ro, Ro-Pax, and car transport terminals in Italy (Savona, Livorno, Palermo, Catania) and in Europe (Spain, Scandinavia) and a multipurpose terminal in Antwerp. Grimaldi Group achieved a consolidated global turnover of over 4.6 billion euros in 2022 and a consolidated turnover in Italy of [1-2] billion euros.</w:t>
      </w:r>
    </w:p>
    <w:p>
      <w:r>
        <w:t>4. Terminal Darsena Toscana S.r.l. (hereinafter also "TDT") is an Italian law company that manages, based on a concession granted by the Port Authority of Northern Tyrrhenian Sea, which will expire in 2033, the container terminal located on the West Bank of the Darsena Toscana of the port of Livorno. TDT is controlled by two private investment fund management companies in infrastructure: (i) M&amp;G Alternatives Investment Management Limited, part of the M&amp;G plc group, which controls the Infracapital funds that indirectly control 52.5% of TDT through Genny SLP 2 LP; (ii) InfraVia Capital Partners SAS, which manages the InfraVia funds that control, through InfraVia III Invest S.A., 42.5% of TDT's capital. The remaining 5% of TDT's capital is held by a holding company linked to a family of Italian entrepreneurs. TDT exercises, through a 50% shareholding, joint control of Sintermar Darsena Toscana S.r.l. (hereinafter also "SDT"), which, by virtue of a short-term concession expiring in August 2024, for which renewal has been requested, manages a terminal dedicated to Ro-Pax and Ro-Ro traffic with Sardinia and Sicily and to the traffic of new cars. The remaining 50% of SDT's capital is held by Servizi Integrati Terrestri Marittimi - Sintermar S.p.A., whose capital is equally held by Grimaldi Euromed S.p.A. and the Neri Group. TDT achieved a turnover of approximately 61.5 million euros in 2022, entirely in Italy.</w:t>
      </w:r>
    </w:p>
    <w:p>
      <w:r>
        <w:t>II. DESCRIPTION OF THE OPERATION</w:t>
      </w:r>
    </w:p>
    <w:p>
      <w:r>
        <w:t>5. The operation consists of the acquisition of 100% of the share capital of TDT by the Grimaldi Group. In particular, GE will acquire 80% of TDT's capital and GDS the remaining 20%.</w:t>
      </w:r>
    </w:p>
    <w:p>
      <w:r>
        <w:t>6. The operation will therefore involve the acquisition of exclusive control of TDT by the Grimaldi Group. Consequently, the Grimaldi Group will also acquire exclusive control of SDT, of which it already held joint control through Sintermar S.p.A.</w:t>
      </w:r>
    </w:p>
    <w:p>
      <w:r>
        <w:t>III. QUALIFICATION OF THE OPERATION</w:t>
      </w:r>
    </w:p>
    <w:p>
      <w:r>
        <w:t>7. The notified operation, as it involves the acquisition of control of a company, constitutes a concentration pursuant to Article 5, paragraph 1, letter b), of Law No. 287/1990. It falls within the scope of application of Law No. 287/1990, as the conditions of Article 1 of Regulation (EC) No. 139/2004 do not apply, and it is subject to the obligation of prior notification provided for by Article 16, paragraph 1, of the aforementioned law, as the total turnover achieved in the last financial year at the national level by the group of interested companies was over 532 million euros and the turnover achieved individually at the national level by at least two of the interested companies was over 32 million euros.</w:t>
      </w:r>
    </w:p>
    <w:p>
      <w:r>
        <w:t>BULLETIN NO. 4 OF JANUARY 29, 2024</w:t>
      </w:r>
    </w:p>
    <w:p>
      <w:r>
        <w:t>IV. ASSESSMENT OF THE OPERATION</w:t>
      </w:r>
    </w:p>
    <w:p>
      <w:r>
        <w:t>Premise</w:t>
      </w:r>
    </w:p>
    <w:p>
      <w:r>
        <w:t>8. The operation under examination concerns the acquisition of exclusive control of two terminals located in the port of Livorno, one of the largest Italian ports and one of the core ports of the Scandinavian-Mediterranean corridor of the TEN network. The port of Livorno is the third Italian port for cargo traffic, thanks to its leading position at the national level in the transport of rolling stock (the first Italian port), the important role played in container traffic to/from the American continent, and the infrastructure for handling refrigerated cargo (food, pharmaceuticals, etc.). This position is favored by good backport facilities and the rail and road infrastructures that connect the port to the main production/consumption and distribution centers of Tuscany, Emilia Romagna, and Northeast Italy. Finally, the port represents one of the main points of embarkation/disembarkation of passengers and goods to/from Sardinia.</w:t>
      </w:r>
    </w:p>
    <w:p>
      <w:r>
        <w:t>9. The acquisition targets are TDT, the largest container terminal in Livorno, and SDT, which offers both terminal services for rolling stock and terminal services to passengers, with or without accompanying cars. TDT handled just under 470,000 TEU (twenty-foot equivalent unit) in 2020-22 and claims on its website a maximum container handling capacity of 900,000 TEU/year. SDT represents the largest terminal for rolling stock in the port of Livorno (in terms of units handled), while in terms of the number of passengers transported, it ranks second after Porto di Livorno 2000, which managed about 60% of the passengers (excluding cruises) that passed through Livorno in 2022.</w:t>
      </w:r>
    </w:p>
    <w:p>
      <w:r>
        <w:t>10. The two terminals are contiguous and partially share the use of dock 14E, as this dock, which falls within the area granted to the TDT container terminal, is necessary for the safe mooring of ships using the 14E stern berth granted to SDT. The concurrent use of the lateral dock 14E for TDT's container traffic and for service to the stern dock 14E is regulated by the Novative Agreement of 2008, according to which TDT will allow the use of 200 linear meters of the lateral dock 14E for safe mooring at the stern dock 14E, provided that this does not conflict with the priority usage needs of TDT itself.</w:t>
      </w:r>
    </w:p>
    <w:p>
      <w:r>
        <w:t>3 The port of Livorno is involved in a project to expand the areas designated for container traffic and rolling stock traffic (the so-called Piattaforma Europa), which has reached the end of the authorization phase and for which preliminary works for the planned fillings have begun. This project involves the construction of a new container terminal in the future Darsena Europa, with a capacity far exceeding that of the TDT terminal, whose concession will have to be awarded according to the public evidence procedures provided for by the decree of the Ministry of Infrastructure and Transport No. 202 of December 28, 2022.</w:t>
      </w:r>
    </w:p>
    <w:p>
      <w:r>
        <w:t>4 See the Management Report accompanying the 2022 financial statements.</w:t>
      </w:r>
    </w:p>
    <w:p>
      <w:r>
        <w:t>5 The Novative Agreement in points 7 and 8 establishes that: “[7] T.D.T. will allow the use of the bollards located on dock 14E (for 200 ml) for the safe mooring of ships at the stern dock 14E (45 ml) and in the case of ships equipped with a side ramp, will make available an operational safety area of 20 ml of dock and about 400 square meters behind the ramp, necessary to allow the use of the side ramp; this area will be duly delimited with a fixed fence, so as not to prejudice the use of the same stern dock 14E (200 ml) by container ships. The economic provisions of Article 13, paragraphs one and two, of the replacement [of concession] agreement of October 8, 2001 will apply in such operational situations […] 8. The use of the bollards located on the lateral dock 14/E, granted to Terminal Darsena Toscana, must not conflict with the priority operational and planning needs of T.D.T. The use of the stern dock 14/E, as a public dock, will therefore be regulated by the Port Authority in compliance with the above.”</w:t>
      </w:r>
    </w:p>
    <w:p>
      <w:r>
        <w:rPr>
          <w:b/>
        </w:rPr>
        <w:t>[Pages 16–18]</w:t>
      </w:r>
    </w:p>
    <w:p>
      <w:r>
        <w:t>18 BULLETIN NO. 4 OF JANUARY 29, 2024</w:t>
      </w:r>
    </w:p>
    <w:p>
      <w:r>
        <w:t>11. The SDT terminal operates exclusively for the benefit of the Grimaldi group, which uses it for both Ro-Ro/Pax services and Ro-Ro freight-only services.</w:t>
      </w:r>
    </w:p>
    <w:p>
      <w:r>
        <w:t>12. Union and national practice has identified distinct relevant product markets for port handling services of goods dedicated to different types of cargo (containerized goods, bulk materials and liquids, Ro-Ro, break bulk), based on the different characteristics of the ships served, the equipment necessary for cargo handling, and the services required. These services have also been distinguished from passenger terminal services, due to the need for dedicated infrastructure.</w:t>
      </w:r>
    </w:p>
    <w:p>
      <w:r>
        <w:t>The communicated operation therefore concerns, from a horizontal perspective, the markets for (i) container terminal services, (ii) terminal services for rolling cargo, and (iii) terminal services for passengers boarding Ro-Ro/Pax ships (“ferries”).</w:t>
      </w:r>
    </w:p>
    <w:p>
      <w:r>
        <w:t>13. The operation also concerns, from a vertical perspective, the upstream markets for the transport of goods and passengers by Ro-Ro and Ro-Ro/Pax ships on the routes involving the port of Livorno, where the Grimaldi group operates through GE.</w:t>
      </w:r>
    </w:p>
    <w:p>
      <w:r>
        <w:t>IV.1: market for container terminal services</w:t>
      </w:r>
    </w:p>
    <w:p>
      <w:r>
        <w:t>14. According to established national and community practice, within the sector of port handling of goods, a separate market is distinguished for the services provided by container terminals. The provision of such services requires the use of specific equipment for loading/unloading, storage, and land handling of containers (both for storage and for preparation for subsequent transport phases). It is also possible to consider a separate market for auxiliary services of long-term parking, rental, repair, and maintenance of containers.</w:t>
      </w:r>
    </w:p>
    <w:p>
      <w:r>
        <w:t>In the provision of container terminal services, national and community practice has also distinguished: (i) services for hinterland traffic (or to/from the inland), which concern the transfer of containers from the container ship to other means (train, truck, etc.) that carry out transport inland (and vice versa); such services characterize the so-called gateway ports; (ii) services for transshipment traffic, which concern the transfer of containers between different deep-sea ships (so-called relay) or between deep-sea and short-sea ships for transport to smaller ports or ports with inadequate equipment for deep-sea container ships (so-called feeder).</w:t>
      </w:r>
    </w:p>
    <w:p>
      <w:r>
        <w:t>15. The TDT terminal is characterized as a gateway terminal for hinterland traffic of containers predominantly transported on transatlantic routes - especially North America, and to a lesser extent the Caribbean/Central America, West Africa, and the eastern coast of South America. The remaining container traffic is of the short-sea type and takes place mainly in the western Mediterranean. Over 10% of the container traffic managed by TDT consists of temperature-controlled containers (reefers).</w:t>
      </w:r>
    </w:p>
    <w:p>
      <w:r>
        <w:t>6 Grimaldi makes daily calls there with Ro-Pax ships on the Livorno-Olbia line, more weekly calls with Ro-Pax ships on the Livorno-Palermo line, and one weekly call with Ro-Ro ships on the Livorno-Palermo and Livorno-Catania lines.</w:t>
      </w:r>
    </w:p>
    <w:p>
      <w:r>
        <w:t>7 See, for example, M.10522 - Hapag-Lloyd / Eurogate / Eurogate Container Terminal Wilhelmshaven of April 29, 2022, and the cases cited therein, as well as C12514 - CSM Italia-Gate / Trieste Marine Terminal, decision no. 30773 of January 31, 2023, in Bulletin no. 8/2023.</w:t>
      </w:r>
    </w:p>
    <w:p>
      <w:r>
        <w:t>8 Cases M.6305 - DFDS / C.RO Ports / Älvsborg of April 2, 2012.</w:t>
      </w:r>
    </w:p>
    <w:p>
      <w:r>
        <w:t>BULLETIN NO. 4 OF JANUARY 29, 2024</w:t>
      </w:r>
    </w:p>
    <w:p>
      <w:r>
        <w:t>The terminal represents the natural outlet for Tuscan import-export traffic and serves clients from Central Italy, Emilia Romagna, and the Northeast.</w:t>
      </w:r>
    </w:p>
    <w:p>
      <w:r>
        <w:t>From the product perspective, therefore, the operation concerns the market for gateway container terminal services.</w:t>
      </w:r>
    </w:p>
    <w:p>
      <w:r>
        <w:t>16. Regarding the geographical dimension of this market, the Parties, based on Union and national practice, believe that the extension of the container terminal services market should be identified in a catchment area of approximately 200-300 km around the TDT terminal and consider that, in the present case, it is not necessary to precisely define such a catchment area, as any definition would not change the assessment of the operation.</w:t>
      </w:r>
    </w:p>
    <w:p>
      <w:r>
        <w:t>17. It should be noted that the identification of a catchment area of 200-300 km centered on the port of interest should be considered only the starting point of the analysis aimed at identifying the actual attraction area of the terminal subject to acquisition and, therefore, the competing terminals.</w:t>
      </w:r>
    </w:p>
    <w:p>
      <w:r>
        <w:t>In the case of Livorno, this area would include Tuscany, part of Liguria, Emilia Romagna, and part of Veneto, as well as Upper Lazio, Umbria, and Marche, and thus all ports located in these regions.</w:t>
      </w:r>
    </w:p>
    <w:p>
      <w:r>
        <w:t>However, it seems unlikely that the container terminals of Venice, Ravenna, and Ancona are substitutable with that of Livorno, as these ports primarily serve short-sea destinations, also due to infrastructural limitations (for example, berth draft).</w:t>
      </w:r>
    </w:p>
    <w:p>
      <w:r>
        <w:t>Overseas destinations are generally served through transshipments in one of the dedicated Mediterranean ports, with a significant increase in travel time compared to direct connections. Similar considerations apply to the container terminals of Civitavecchia and Marina di Carrara, which suffer from limitations related to berth draft and the lack of adequate rail and/or road connections.</w:t>
      </w:r>
    </w:p>
    <w:p>
      <w:r>
        <w:t>18. Regarding the container terminals of the Ligurian ports, they appear only imperfectly substitutable with that of Livorno, due to: (i) the vocation of the port of Livorno for traffic to the Americas; (ii) the development of infrastructure for temperature-controlled containers; (iii) the importance of the port for the export of alcoholic beverages (wines) and food products; (iv) being a natural outlet for clients located in Central Italy and, partly, Romagna and Veneto, unlike the ports of Genoa and Vado, which primarily serve clients from Lombardy and Piedmont; (v) the higher transport costs that clients currently served by Livorno would have to bear and the potential longer transit times. The container terminals of the port of Livorno thus appear more substitutable with the terminal of La Spezia and then with those of the port of Genoa, and only to a very limited extent with the terminal of Vado Ligure.</w:t>
      </w:r>
    </w:p>
    <w:p>
      <w:r>
        <w:t>19. In this context, a precise definition of the geographical extension of the relevant market does not seem necessary for the assessment of the effects of the operation in the market for gateway container terminal services, as the Grimaldi Group does not offer container terminal services in any of the ports potentially substitutable with that of Livorno and therefore the concentration will not produce any horizontal overlap, resulting merely in the replacement of one operator with another. Moreover, regardless of the geographical extension of the market for gateway container terminal services, the share of containers handled by TDT would not exceed 8% and the capacity share would not exceed 10%.</w:t>
      </w:r>
    </w:p>
    <w:p>
      <w:r>
        <w:t>20. The acquisition of TDT by the Grimaldi Group does not therefore appear likely to substantially hinder competition in the market for gateway container terminal services.</w:t>
      </w:r>
    </w:p>
    <w:p>
      <w:r>
        <w:t>IV.2: market for terminal services for rolling cargo</w:t>
      </w:r>
    </w:p>
    <w:p>
      <w:r>
        <w:t>21. Terminal services for rolling cargo are services aimed at the handling of goods that are loaded onto vehicles with or without drivers, trailers, and other rolling means.</w:t>
      </w:r>
    </w:p>
    <w:p>
      <w:r>
        <w:t>The handling of rolling cargo therefore requires berths shaped to fit the loading ramps of ships and sufficiently large yards to allow for the parking of vehicles, maneuvering of tractors and trailers, and passage of vehicles.</w:t>
      </w:r>
    </w:p>
    <w:p>
      <w:r>
        <w:t>22. Rolling cargo can be loaded onto ships that exclusively serve freight (Ro-Ro ships), as well as onto ships that serve both freight and passenger services with vehicles on board (Ro-Ro/Pax ships).</w:t>
      </w:r>
    </w:p>
    <w:p>
      <w:r>
        <w:t>Terminals serving Ro-Ro/Pax ships must be equipped with specific facilities for managing passengers (ticket offices, waiting rooms, areas for the safe transit of passengers without vehicles). Terminals for rolling cargo that do not have such facilities (strictly “Ro-Ro” or “pure” terminals) are not authorized to serve Ro-Ro/Pax ships.</w:t>
      </w:r>
    </w:p>
    <w:p>
      <w:r>
        <w:t>23. In community and national decision-making practice, terminals for rolling cargo have been distinguished from container terminals, due to the diversity of port operations and the equipment required.</w:t>
      </w:r>
    </w:p>
    <w:p>
      <w:r>
        <w:t>Community practice has left open the question of a possible distinction between “strictly Ro-Ro” terminals and “mixed” terminals for rolling cargo, which also serve Ro-Ro/Pax ships.</w:t>
      </w:r>
    </w:p>
    <w:p>
      <w:r>
        <w:t>In fact, terminals for Ro-Ro/Pax ships appear capable of offering parking and handling services for rolling cargo that are generally substitutable with those offered by “pure” Ro-Ro terminals, albeit with limitations determined by the sharing of parking spaces with passenger vehicles and the peculiar characteristics of Ro-Ro/Pax ships. In this regard, it should be noted that the “mixed” SDT terminal in Livorno has been regularly used by Ro-Ro cargo ships.</w:t>
      </w:r>
    </w:p>
    <w:p>
      <w:r>
        <w:rPr>
          <w:b/>
        </w:rPr>
        <w:t>[Pages 19–21]</w:t>
      </w:r>
    </w:p>
    <w:p>
      <w:r>
        <w:t>BULLETIN NO. 4 OF JANUARY 29, 2024</w:t>
      </w:r>
    </w:p>
    <w:p>
      <w:r>
        <w:t>of Grimaldi and that until 2022 Grimaldi operated Ro-Ro/Pax and Ro-Ro services from the same terminal at the port of Savona.</w:t>
      </w:r>
    </w:p>
    <w:p>
      <w:r>
        <w:t>It can therefore be considered that "pure" Ro-Ro terminals and "mixed" terminals that also accommodate passengers offer terminal services for goods on rolling stock that are considered substitutable by ships transporting goods on rolling stock and that therefore the relevant product market includes both types of terminals.</w:t>
      </w:r>
    </w:p>
    <w:p>
      <w:r>
        <w:t>24. As for the geographical dimension of this market, it should be identified in the catchment area of the SDT terminal which, taking as a reference the width of 200-300 km used as a starting point for container terminals, could include terminals for goods on rolling stock from Vado Ligure to Civitavecchia.</w:t>
      </w:r>
    </w:p>
    <w:p>
      <w:r>
        <w:t>However, it should be emphasized that in the design of the catchment area for terminals for goods on rolling stock, the cost of additional road transport required to move the cargo from one port to another presumed substitute plays a significant role: this cost, borne by logistics companies, weighs more heavily than port handling costs and maritime transport freight rates compared to the costs of loading/unloading and port handling of containers, as well as maritime freight rates. This particularly impacts the substitutability between Livorno and the more distant ports, those of Civitavecchia and Savona.</w:t>
      </w:r>
    </w:p>
    <w:p>
      <w:r>
        <w:t>These ports are, moreover, the only ones where Grimaldi has or will have a presence as a provider of terminal services for rolling stock goods: the Grimaldi group indeed controls the Ro-Ro terminal in Savona and the subsidiary Logiport S.p.A. would have won the tender for the concession related to the management of Ro-Ro, Ro-Ro/Pax, and Cargo traffic at the docks 27, 28, 29, and 30 of the new Darsena Traghetti of the port of Civitavecchia.</w:t>
      </w:r>
    </w:p>
    <w:p>
      <w:r>
        <w:t>25. For the purposes of assessing the present operation, however, a precise identification of the geographical extension of the relevant market for terminal services for goods on rolling stock does not appear necessary, given that the SDT terminal was already jointly controlled by the Grimaldi group and the only buyer of its services was the Grimaldi group.</w:t>
      </w:r>
    </w:p>
    <w:p>
      <w:r>
        <w:t>Regardless of the geographical extension of the relevant market, in fact, the operation will result in the transition from joint control to exclusive control of the terminal by the only user of its services, without causing any horizontal overlap in this market.</w:t>
      </w:r>
    </w:p>
    <w:p>
      <w:r>
        <w:t>IV.3: market for ferry passenger terminal services</w:t>
      </w:r>
    </w:p>
    <w:p>
      <w:r>
        <w:t>26. The terminal services for passengers of Ro-Ro/Pax ships ("ferries") are services for reception and ticketing, for providing secure spaces for the disembarkation/embarkation of passengers as well as adequate areas for the parking of accompanying vehicles awaiting boarding and for their outflow at the time of disembarkation.</w:t>
      </w:r>
    </w:p>
    <w:p>
      <w:r>
        <w:t>Community practice has identified a possible distinction between passenger terminal services dedicated to local traffic via Ro-Ro/Pax ships and those related to cruise ships.</w:t>
      </w:r>
    </w:p>
    <w:p>
      <w:r>
        <w:t>Since SDT does not offer passenger terminal services for cruise ships, the relevant product market can be initially narrowed down to the services offered to ferry passengers.</w:t>
      </w:r>
    </w:p>
    <w:p>
      <w:r>
        <w:t>27. As for the geographical extension of this market, its precise delimitation does not appear necessary for the purposes of the present operation, considering that following the operation the SDT terminal will pass from joint control to exclusive control by the Grimaldi group and that it is the only terminal in the Ligurian-Tyrrhenian arc where the group currently offers terminal services to ferry passengers. The operation will therefore not result in any horizontal overlap in this market.</w:t>
      </w:r>
    </w:p>
    <w:p>
      <w:r>
        <w:t>IV.4: vertical effects</w:t>
      </w:r>
    </w:p>
    <w:p>
      <w:r>
        <w:t>28. The acquisition of the TDT terminal by the Grimaldi Group does not appear likely to affect competition in the maritime transport markets for goods via container, as in the routes currently served by the TDT terminal the Grimaldi Group holds shares of less than 1% or is not present.</w:t>
      </w:r>
    </w:p>
    <w:p>
      <w:r>
        <w:t>29. Third parties who submitted observations have suggested, also based on statements that would have been made to the press by the executives of the Grimaldi group, that the operation could nonetheless have effects on the maritime transport markets for containers, to the extent that the Grimaldi group wishes to modify the operational structure of SDT and TDT, reducing the spaces available for container traffic and foregoing a series of investments to enhance the terminal to favor the traffic of goods on rolling stock and passengers on ferries. This would harm companies operating in container traffic and compromise the development of traffic, pushing them to abandon the port of Livorno. In the long term, the success of the under-construction Darsena Europa would be compromised.</w:t>
      </w:r>
    </w:p>
    <w:p>
      <w:r>
        <w:t>30. Given that these observations mainly concern the relationships arising from the concession, it is noted that the current regulatory framework (i) in the event of changes in the control of the concessionaire, expressly provides for an authorization from the Port System Authority, which is subject to the verification of "any impact of the modification of the corporate structure on the implementation of the investment program and activities presented by the concessionaire, as well as on the related economic-financial plan" and (ii) grants the Port System Authority extensive powers to verify compliance with the plans and objectives based on which the concession was awarded and identifies a series of possible remedies in case of non-compliance, which can lead to the concessionaire's forfeiture and the revocation of the concession.</w:t>
      </w:r>
    </w:p>
    <w:p>
      <w:r>
        <w:t>The Port System Authority of the Northern Tyrrhenian Sea ("AdSP-MTS") thus has the prerogatives and powers to ensure that the Grimaldi Group manages the container terminal in the interest of maintaining and developing container traffic at the port of Livorno, as currently provided in the development plans of the same port. In particular, any changes to the allocation of spaces at the two terminals must be agreed upon with the AdSP-MTS and subject to compliance with the aforementioned development objectives defined by the AdSP-MTS itself.</w:t>
      </w:r>
    </w:p>
    <w:p>
      <w:r>
        <w:t>31. Regarding the maritime transport markets for goods and those for maritime transport of passengers on the routes that include the port of Livorno and the destinations of Sardinia and Sicily served by the port of Livorno, on which the Grimaldi group operates, it is believed that the operation is not likely to produce vertical effects on such routes, as the SDT terminal offers its services only to the Grimaldi group and, therefore, the transition from joint control to exclusive control of that terminal will not result in any increase in the risks of foreclosure for competitors in the downstream markets.</w:t>
      </w:r>
    </w:p>
    <w:p>
      <w:r>
        <w:t>In the port of Livorno, moreover, the competitor Moby operates its services from controlled terminals (Ro-Ro services from the LTM terminal and Ro-Ro/Pax from Porto di Livorno 2000).</w:t>
      </w:r>
    </w:p>
    <w:p>
      <w:r>
        <w:t>32. In light of the above considerations, the concentration under examination does not appear capable of significantly hindering effective competition in the relevant markets or of establishing or strengthening a dominant position.</w:t>
      </w:r>
    </w:p>
    <w:p>
      <w:r>
        <w:t>THEREFORE, it is deemed that the operation under examination does not significantly hinder effective competition in the relevant markets pursuant to Article 6, paragraph 1, of Law No. 287/1990 and does not result in the establishment or strengthening of a dominant position;</w:t>
      </w:r>
    </w:p>
    <w:p>
      <w:r>
        <w:t>RESOLVES</w:t>
      </w:r>
    </w:p>
    <w:p>
      <w:r>
        <w:t>not to initiate the investigation referred to in Article 16, paragraph 4, of Law No. 287/1990.</w:t>
      </w:r>
    </w:p>
    <w:p>
      <w:r>
        <w:t>The above conclusions will be communicated, pursuant to Article 16, paragraph 4, of Law No. 287/1990, to the interested companies and to the Ministry of Enterprises and Made in Italy.</w:t>
      </w:r>
    </w:p>
    <w:p>
      <w:r>
        <w:t>This provision will be published in the Bulletin of the Antitrust Authority.</w:t>
      </w:r>
    </w:p>
    <w:p>
      <w:r>
        <w:t>THE SECRETARY GENERAL THE PRESIDENT</w:t>
      </w:r>
    </w:p>
    <w:p>
      <w:r>
        <w:t>Guido Stazi Roberto Rustichelli</w:t>
      </w:r>
    </w:p>
    <w:p>
      <w:r>
        <w:rPr>
          <w:b/>
        </w:rPr>
        <w:t>[Pages 22–24]</w:t>
      </w:r>
    </w:p>
    <w:p>
      <w:r>
        <w:t>24 BULLETIN NO. 4 OF JANUARY 29, 2024</w:t>
      </w:r>
    </w:p>
    <w:p>
      <w:r>
        <w:t>ACTIVITY OF REPORTING AND CONSULTATION</w:t>
      </w:r>
    </w:p>
    <w:p>
      <w:r>
        <w:t>AS1936 - ROME CAPITAL - IN-HOUSE AWARDING OF LOCAL PUBLIC TRANSPORT SERVICE NOT PERIPHERAL FOR THE YEARS FROM 2024 TO 2027</w:t>
      </w:r>
    </w:p>
    <w:p>
      <w:r>
        <w:t>Rome, November 9, 2023</w:t>
      </w:r>
    </w:p>
    <w:p>
      <w:r>
        <w:t>Rome Capital</w:t>
      </w:r>
    </w:p>
    <w:p>
      <w:r>
        <w:t>The Antitrust Authority, in its meeting on October 31, 2023, decided to express an opinion, pursuant to Article 21-bis of Law No. 287 of October 10, 1990, regarding the Decision of the Capitol Junta No. 67 of August 9, 2023 and the Resolution of the Capitol Assembly No. 159 of October 19, 2023, both concerning "Approval of the Report pursuant to Article 14, paragraph 3 of Legislative Decree No. 201 of December 23, 2022 and choice of in-house awarding as a method of managing the local public transport service (not peripheral) in the territory of Rome Capital, for the years from 2024 to 2027." The first was transmitted to the Authority, at its request, on September 25, 2023, while the second was published on the official website of the National Anti-Corruption Authority, in the specific section "Transparency SPL," on October 30, 2023.</w:t>
      </w:r>
    </w:p>
    <w:p>
      <w:r>
        <w:t>With Decision No. 67/2023, the Junta submitted to the Capitol Assembly the proposal to: (i) approve the report pursuant to Article 14, paragraph 3, of Legislative Decree No. 201/2022, titled "Reorganization of the regulation of local public services of economic relevance," in which the in-house awarding is identified as a form of management of the local public transport service not peripheral in the territory of Rome Capital for the period 2024-2027 (also "Report"); (ii) mandate the Department of Sustainable Mobility and Transport to carry out all consequent activities, including the updating of the pre-information notice and the preparation of the Simulated Economic Financial Plan and the resolution for awarding the service to ATAC S.p.A., pursuant to Article 17 of Legislative Decree No. 201/2022. The proposal was approved by the Capitol Assembly with the aforementioned Resolution No. 159/2023.</w:t>
      </w:r>
    </w:p>
    <w:p>
      <w:r>
        <w:t>In the attached Report, the entity accounts for the reasons for the chosen form of awarding, in view of the adoption of the subsequent resolution for in-house awarding and the Economic Financial Plan (hereinafter, "PEF"). The subject of the new in-house awarding to ATAC S.p.A. particularly concerns the management of services of: (i) metro lines A, B/B1, and C (under extension); (ii) surface transport via buses, trams, and trolleybuses; (iii) any on-demand services carried out in support of the scheduled service, falling within the scope of local public transport.</w:t>
      </w:r>
    </w:p>
    <w:p>
      <w:r>
        <w:t>BULLETIN NO. 4 OF JANUARY 29, 2024</w:t>
      </w:r>
    </w:p>
    <w:p>
      <w:r>
        <w:t>The Authority believes that the assessments made by Rome Capital in support of the decision to award the services in question again to ATAC S.p.A. are, at this time, insufficient and inadequate to fulfill the instructional and motivational burdens required by the regulations of Legislative Decree No. 201/2022 and, in particular, by Article 14.</w:t>
      </w:r>
    </w:p>
    <w:p>
      <w:r>
        <w:t>This provision, in paragraphs 2 and 3 (referred to by Article 32 of the same Legislative Decree No. 201/2022, with specific reference to the matter of local public transport), indeed establishes that, before the awarding procedure, the entity must account, in a specific report, for the outcomes of the evaluation on the choice of management method, based on a series of relevant parameters, such as: the technical and economic characteristics of the service to be provided, including aspects related to service quality and infrastructure investments; the state of public finances, costs for the local authority and for users; the results expected in relation to the different alternatives, also with reference to comparable experiences; the results of any previous management of the same service in terms of effects on public finances, service quality, costs for the local authority and for users, and investments made; the data and information emerging from the periodic checks referred to in Article 30. The report must also highlight the reasons and the existence of the requirements provided by European Union law for the chosen form of awarding, as well as illustrate the public service obligations and any economic compensations, including the related calculation criteria, also in order to avoid over-compensations.</w:t>
      </w:r>
    </w:p>
    <w:p>
      <w:r>
        <w:t>As illustrated below, in the Decision of the Capitol Junta No. 67/2023 and in the Resolution of the Capitol Assembly No. 159/2023, which approves the Report pursuant to Article 14 of Legislative Decree No. 201/2022, the evaluation of many of the parameters listed above is absent or is not corroborated by suitable documentary evidence to support its validity.</w:t>
      </w:r>
    </w:p>
    <w:p>
      <w:r>
        <w:t>(i) On the synergies and flexibility of the in-house relationship</w:t>
      </w:r>
    </w:p>
    <w:p>
      <w:r>
        <w:t>To support the choice of awarding in the in-house form, the entity argues, first of all, that the direct management of the service through in-house companies allows for the establishment of synergistic relationships between the partner, to whom the identification of guidelines and objectives, including non-economic ones (such as improving environmental quality, public health, safety, and the economic development of the city), is entrusted, and the entity called to operationalize them. The flexibility of the service contract would also allow for improvements, including qualitative and environmental ones, and for direct and timely intervention in the management of the service, taking into account transport contingencies, such as those that emerged as a result of the Covid-19 health emergency.</w:t>
      </w:r>
    </w:p>
    <w:p>
      <w:r>
        <w:t>The Authority believes that this argument is flawed and inadequate to justify the form of awarding chosen by the entity, as, first of all, it fails to consider that the invoked synergy between the awarding entity and the service manager is a typical consequence of any in-house awarding, and if the parameter for assessing its legitimacy were this, the use of such a form of awarding would be the general rule. Secondly, even assuming that negotiations to differently modulate the contractual elements in the event of changed service needs may be facilitated by the in-house nature of the manager, it cannot certainly be claimed that transaction costs are, by virtue of the same, non-existent or eliminated.</w:t>
      </w:r>
    </w:p>
    <w:p>
      <w:r>
        <w:t>The entity should, rather, demonstrate that the choice of in-house awarding is justified by taking into account all the technical, economic-financial, and qualitative parameters identified by Article 14 of Legislative Decree No. 201/2022 in the phase of choosing the method of awarding the local public service, as well as those that are subsequently required at the time of adopting the in-house awarding resolution (cf. Article 17).</w:t>
      </w:r>
    </w:p>
    <w:p>
      <w:r>
        <w:t>It is therefore completely surpassed, in light of the intervening regulations - which provide for additional and stricter obligations compared to the past - the jurisprudence cited by Rome Capital in which it was believed that local public transport represented a sector not entirely subject to the competition regime and in which in-house awarding has a structural character.</w:t>
      </w:r>
    </w:p>
    <w:p>
      <w:r>
        <w:t>(ii) On the supposed quantitative and qualitative increases in the offer</w:t>
      </w:r>
    </w:p>
    <w:p>
      <w:r>
        <w:t>In justifying the choice of in-house, Rome Capital also refers to the expected quantitative and qualitative increases from the service offer by ATAC S.p.A., emphasizing how the company is the recipient of significant financial resources, mainly derived from PNRR funds (as a second-level implementing entity) and the Jubilee 2025, which will allow for a significant renewal of the existing fleet. The process of renewing the fleet has begun, the entity emphasizes, thanks to an "extraordinary investment operation in vehicles guaranteed by Rome Capital in the four-year period 2018/2021," along with forms of self-financed investments by the company. Furthermore, a growth in passengers and therefore revenues of 12% compared to 2019 is expected, thanks to the improvement of service quality in terms of production, regularity, and reliability, and fleet renewal.</w:t>
      </w:r>
    </w:p>
    <w:p>
      <w:r>
        <w:t>These arguments are also not convincing in any way, as the entity has not provided any data from which it can be inferred that the renewal of the fleet will lead to an improvement in service quality sufficient to increase the operational efficiency of the operator. The data obtainable from previous managements, briefly illustrated below, tend rather to demonstrate the manager's inability to improve the service in the terms proposed.</w:t>
      </w:r>
    </w:p>
    <w:p>
      <w:r>
        <w:t>Specifically, the data on the quality provided, illustrated in the "Annual Report 2021/2022 on the state of local public services in Rome and the activities carried out" by the Agency for the Control and Quality of Local Public Services of Rome Capital (hereinafter "ACoS"), are particularly representative of a service that is not satisfactory, especially with reference to local public transport.</w:t>
      </w:r>
    </w:p>
    <w:p>
      <w:r>
        <w:rPr>
          <w:b/>
        </w:rPr>
        <w:t>[Pages 25–27]</w:t>
      </w:r>
    </w:p>
    <w:p>
      <w:r>
        <w:t>BULLETIN NO. 4 OF JANUARY 29, 2024</w:t>
      </w:r>
    </w:p>
    <w:p>
      <w:r>
        <w:t>surface, with an average service regularity indicator of 53.4%4, against a standard target of 80%5.</w:t>
      </w:r>
    </w:p>
    <w:p>
      <w:r>
        <w:t>It appears that the company from 2016 to 2019 paid penalties each year for failing to meet contractual objectives in a range of 1.36%-0.79% of the total consideration from the Service Contract6, that is, between 6.1 and 3.8 million euros per year. In the years 2020 and 2021, the penalties imposed were only 0.3%, but this is attributable to the suspension of the application of penalties related to regularity indicators and fare evasion control, as provided by Law No. 27/2020 during the Covid-19 emergency. Not surprisingly, according to information provided by Roma Capitale itself, in 2022 the amount of penalties had already risen again to 0.8%, despite the fact that in the first quarter the exceptional provisions related to the Covid-19 period were still in effect (as is known, the state of emergency ended on March 31, 2022).</w:t>
      </w:r>
    </w:p>
    <w:p>
      <w:r>
        <w:t>Regarding the cancellation of services, the AcoS Report counts approximately 43,000 lost metro services (52,000 in 2020, 34,000 in 2019) and 976,000 on the surface network (1.1 million in 2020 and 1.6 million in 2019). Among the main causes are train breakdowns and a lack of rolling stock, indicative of the scarcity of maintenance activities. In surface services, moreover, for most of the canceled services no cause was reported.</w:t>
      </w:r>
    </w:p>
    <w:p>
      <w:r>
        <w:t>It should also be noted that the slight increase in the production of surface and metro services recorded from 2016 (134.1 million vehicle-km) to 2021 (143.1 million vehicle-km) occurred, among other things, thanks to a significant injection of new vehicles between 2019 and 2021, of which 667 out of 811 were financed by Roma Capitale, as evidenced by the information provided by the entity7.</w:t>
      </w:r>
    </w:p>
    <w:p>
      <w:r>
        <w:t>In fact, for the period 2018-2022, from the information transmitted by the entity (source ATAC financial statements), there are 28 million euros of investments in new buses financed by Roma Capitale, against 7 million euros in self-financing purchased by ATAC S.p.A.8. For the period from 2023 to 2026, the Concordat Plan indicates the purchase of another 1,057 new vehicles, including 411 electric vehicles financed with PNRR funds. These new investments could very well be redirected to potential operators other than the current manager, considering that the implementing entity of the PNRR funds is precisely Roma Capitale, while another 432 new vehicles come from funds for the Jubilee 2025, directly allocated to ATAC as the implementing entity (with 10% of the expenditure in self-financing)9.</w:t>
      </w:r>
    </w:p>
    <w:p>
      <w:r>
        <w:t>With reference to the perceived quality of service, the data illustrated in the AcoS Report 2021/2022 reveal a marked dissatisfaction among users regarding local surface public transport (in 2021, 60% stated they were "Not at all satisfied" or "Little satisfied" and no one declared "Very satisfied"). Such information is not contradicted by what is illustrated in the Report provided by Roma Capitale, which highlights that the average rating attributed to public and private mobility (line public transport, taxis, and blue stripes) has values significantly below sufficiency in the years preceding 2020, reaching sufficiency only at the end of the Covid-19 period (data as of April 2022), evidently due to the drastic reduction in the use of public transport caused by the health emergency.</w:t>
      </w:r>
    </w:p>
    <w:p>
      <w:r>
        <w:t>As for the current year, the quality data, recently published in the 1st Volume of the Annual Report 2022/2023 of AcoS "The activity of the Agency and the survey on the quality of life and local public services of Roma Capitale," from October 2023, show that in 2023 the local public transport sector in Rome recorded predominantly negative and deteriorating evaluations compared to the past. The average rating of public transport services, particularly regarding buses and trams, is 5.6. The factors that most influence user evaluations are waiting times, the inadequate number of vehicles in circulation, uncertainty about regular service, and overcrowding during so-called peak hours10. A slightly better, but still insufficient, trend is recorded regarding the metro service, which is rated with an average score of 5.9.</w:t>
      </w:r>
    </w:p>
    <w:p>
      <w:r>
        <w:t>Finally, it should be noted that from the most recent edition of the "Report on the quality of life in European cities, 2020" by the European Commission, a dramatic picture emerges, in which Rome is second to last among all cities in European countries and the major cities of Turkey11 for the degree of satisfaction regarding local public transport, with only 26% of respondents declaring themselves satisfied with the service; this is linked to a more intense use of the average European car, the main means of transport for about 50% of the Romans surveyed, also due to the fact that Rome ranks last in the ranking of European cities for bicycle use on a typical day (only 5% of respondents use it)12.</w:t>
      </w:r>
    </w:p>
    <w:p>
      <w:r>
        <w:t>In the aforementioned Annual Report 2021/2022, for comparison purposes with ATAC S.p.A., ACoS published some supply and corporate data from a sample of municipal companies in European cities, updated to 2022: ATM (Milan), AMN (Naples), GTT (Turin), CRTM (Madrid), BVG (Berlin), TFL (London), and RATP (Paris). While maintaining the structural differences that obviously characterize each individual reality, the comparison yields some significant indicators and rankings.</w:t>
      </w:r>
    </w:p>
    <w:p>
      <w:r>
        <w:t>9 See Document of the Extraordinary Commissioner for the Jubilee 2025 "Jubilee 2025. Annex 1 DPCM. Detailed program of interventions. List and descriptive sheets," available at the page https://www.osservatoriopnrrgiubileoroma.it/wp-content/uploads/2023/06/alegato-1.pdf.</w:t>
      </w:r>
    </w:p>
    <w:p>
      <w:r>
        <w:t>10 In general, the further one moves away from the historic center, the lower the evaluation tends to be (except for Municipality VII).</w:t>
      </w:r>
    </w:p>
    <w:p>
      <w:r>
        <w:t>11 The sample includes eighty-three cities with populations ranging from under two hundred fifty thousand inhabitants to over five million inhabitants belonging to EU, EFTA, the United Kingdom, the Western Balkans, and Turkey.</w:t>
      </w:r>
    </w:p>
    <w:p>
      <w:r>
        <w:t>12 About 40% of the Romans surveyed use public transport on a typical day. In Paris and London, about 60% reported using public transport on a typical day; about 55% in Madrid; about 50% in Berlin.</w:t>
      </w:r>
    </w:p>
    <w:p>
      <w:r>
        <w:t>BULLETIN NO. 4 OF JANUARY 29, 2024</w:t>
      </w:r>
    </w:p>
    <w:p>
      <w:r>
        <w:t>For example, a ranking of the per capita public transport supply (bus and metro) by each of the municipal companies in the sample is illustrated. In the urban area, ATAC is second to last with about 50 vehicle*km per capita, followed only by AMN (Naples), while ATM (Milan) is first among Italian cities, with about 120 vehicle*km per capita, and RATP (Paris) leads at the European level with over 200 vehicle*km per capita. The distribution of the metro supply in Rome is also at a very low level (38%), higher only than Naples and Turin, while in Milan it reaches 65%, a value higher than those of Berlin and Paris.</w:t>
      </w:r>
    </w:p>
    <w:p>
      <w:r>
        <w:t>(iii) On the economic-financial reasons for in-house awarding</w:t>
      </w:r>
    </w:p>
    <w:p>
      <w:r>
        <w:t>Roma Capitale finally provides an economic-financial justification for the choice of in-house awarding, based on presumed cost savings and revenue increases emerging from the PEF that will be adopted. It also highlights the savings that would derive for the administration from the net cost regime13 and from the determination of costs lower than the standard costs, which currently represent the reference value for setting the auction base fees in the case of awarding through a public procurement procedure. In particular, the entity indicates a forecast of overall savings of about 15% compared to the values resulting from the application of the standard costs provided by the Decree of the Ministry of Infrastructure and Transport No. 157 of March 28, 2018, entitled "Definition of standard costs for local and regional public transport services and their criteria for updating and application"14.</w:t>
      </w:r>
    </w:p>
    <w:p>
      <w:r>
        <w:t>In this regard, the Authority observes that, while the net cost management model, already adopted for ATAC S.p.A. in the current Service Contract, has not so far been able to generate efficiency advantages in service management or savings for the administration, the entity has not provided any evidence to support the estimates provided, but only generic references to fleet improvement and mobility policies.</w:t>
      </w:r>
    </w:p>
    <w:p>
      <w:r>
        <w:t>With particular regard to the alleged 15% savings, it should be remembered that elements such as commercial speed, the quantity of bus-km of service, and the modernization of rolling stock per bus-km of service contribute to the determination of the standard unit cost of the service. It is therefore reasonable to believe that the renewal of the fleet and the increase in the quantity of bus-km - to be increased by 15% in the four-year period 2024-2027 - will also lead to a reduction in the reference standard cost and not only in the average unit cost expected from the PEF.</w:t>
      </w:r>
    </w:p>
    <w:p>
      <w:r>
        <w:t>Furthermore, it should be highlighted that the administration cites cost values with prospective significance, relating to a document (the PEF) that is still not available, given the physiological sequence of procedural phases, and which must be published as an annex to the resolution for the in-house awarding of the service, after being previously sent for verification to the Transport Regulatory Authority.</w:t>
      </w:r>
    </w:p>
    <w:p>
      <w:r>
        <w:t>13 In the net cost regime, the coverage of costs incurred by the operator is ensured partly by the contractual consideration, in order to guarantee the financial sustainability of the operator concerning the service obligations imposed by the awarding entity, and partly by the revenues derived from traffic income, for which the operator assumes direct ownership and the related commercial risk.</w:t>
      </w:r>
    </w:p>
    <w:p>
      <w:r>
        <w:t>14 In other words, Roma Capitale believes that a potential tender for the awarding of the services in question would be announced with auction base fees significantly higher than those that will have to derive from the PEF underlying the in-house service contract for 2024-2027. In this regard, the entity points out that tenders held in Italy for the awarding of public transport have recorded extremely limited discounts (less than 1%) and that even the procedures that recorded the most significant discounts have never exceeded 5-7%.</w:t>
      </w:r>
    </w:p>
    <w:p>
      <w:r>
        <w:rPr>
          <w:b/>
        </w:rPr>
        <w:t>[Pages 28–30]</w:t>
      </w:r>
    </w:p>
    <w:p>
      <w:r>
        <w:t>30 BULLETIN NO. 4 OF JANUARY 29, 2024</w:t>
      </w:r>
    </w:p>
    <w:p>
      <w:r>
        <w:t>The alleged advantage in terms of average unit cost from -5% in the first year to -25% in the fourth year (a total of 15%), compared to the potential bid price based on the standard cost, can therefore only be assessed in its nature as a mere statement of intent, without considering that, given the experience of the past management of the service by ATAC S.p.A., such a forecast risks being completely unmet.</w:t>
      </w:r>
    </w:p>
    <w:p>
      <w:r>
        <w:t>The same D.M. MIT no. 157/2018 nonetheless recognizes the possibility of using the standard cost as the bid price "with any integrations that take into account the specificity of the service and the objectives of local authorities in terms of service programming and promoting efficiency in the sector." There would therefore be no prohibition on setting a lower bid price if the administration justified it with the aim of promoting service efficiency.</w:t>
      </w:r>
    </w:p>
    <w:p>
      <w:r>
        <w:t>It must be noted, in any case, the administration's omission of a comprehensive evaluation regarding the overall management of the service by ATAC S.p.A. and the problems that have characterized its operations and investment and profitability capacity, generating a widespread sense of dissatisfaction and distrust among the citizenry regarding the quality of the service. Among the arguments of the authority, in fact, only some references to the most recent fleet renewal interventions are noted - which, as already mentioned, are mainly the responsibility of the contracting authority - and to the alleged degree of user satisfaction, in the absence of a broader evaluation of past management, which is a necessary basis for the confirmation of the in-house management mode.</w:t>
      </w:r>
    </w:p>
    <w:p>
      <w:r>
        <w:t>In conclusion, it is believed that the Decision of the Capitolina Junta no. 67 of August 9, 2023 and the Resolution of the Capitolina Assembly no. 159 of October 19, 2023, concerning the approval of the report pursuant to Article 14, paragraph 3, of Legislative Decree no. 201/2022 and the identification of ATAC S.p.A. as the in-house contractor for the local public transport service not peripheral for the period 2024-2027, are illegitimate as they do not meet the obligations set forth in Article 14, paragraphs 2 and 3, of Legislative Decree no. 201/2022.</w:t>
      </w:r>
    </w:p>
    <w:p>
      <w:r>
        <w:t>The evaluations and motivations provided by the authority in support of the choice of in-house awarding of the service are indeed lacking, undocumented, and contradictory, also considering the results of previous managements of the service by the same operator, which, as provided for by the same Article 14, paragraph 2, should be considered as the basis for the awarding choice.</w:t>
      </w:r>
    </w:p>
    <w:p>
      <w:r>
        <w:t>In light of the above, the Authority hopes that Roma Capitale will evaluate the possibility of an initial and at least gradual opening to competition in the market for local public transport not peripheral, for example through a division into appropriately identified lots consisting of sub-areas of the city territory, within a programmatic plan that provides for their gradual tendering.</w:t>
      </w:r>
    </w:p>
    <w:p>
      <w:r>
        <w:t>The local public transport service in the city of Roma Capitale could indeed be divided into lots, adequately sized, on the one hand, to encourage maximum participation, and on the other hand, to minimize the coordination needs among operators. In this regard, there are several experiences in other European capitals, with virtuous examples of extreme lotting of services to be tendered. There do not seem to be conclusive evidences regarding the existence of economies of scale in the road public transport service, such as to make the potential subdivision and tendering of the service in lots less efficient. On the contrary, not only the immediate efficiencies derived from competition "for the market" favor such a solution, but also the benefits obtainable from competition "by comparison," also known as yardstick competition, which can develop over time through the coexistence of multiple operators of the same service active in neighboring areas.</w:t>
      </w:r>
    </w:p>
    <w:p>
      <w:r>
        <w:t>Pursuant to Article 21-bis, paragraph 2, of Law no. 287/1990, Roma Capitale must communicate to the Authority, within sixty days from the receipt of this opinion, the initiatives taken to remove the competition violations outlined above. If within the aforementioned term such initiatives do not prove to be compliant with the competitive principles underlying the violated regulations, the Authority may file an appeal within the subsequent thirty days.</w:t>
      </w:r>
    </w:p>
    <w:p>
      <w:r>
        <w:t>This opinion will be published in the Bulletin of the Antitrust Authority.</w:t>
      </w:r>
    </w:p>
    <w:p>
      <w:r>
        <w:t>THE PRESIDENT</w:t>
      </w:r>
    </w:p>
    <w:p>
      <w:r>
        <w:t>Roberto Rustichelli</w:t>
      </w:r>
    </w:p>
    <w:p>
      <w:r>
        <w:t>______________________________________________________________________</w:t>
      </w:r>
    </w:p>
    <w:p>
      <w:r>
        <w:t>Press release regarding the failure of Roma Capitale to comply with the reasoned opinion expressed by the Authority pursuant to Article 21-bis of Law no. 287/1990, concerning the decision of the Capitolina Junta no. 67 of August 9, 2023 and the resolution of the Capitolina Assembly no. 159 of October 19, 2023, related to the in-house awarding of the local public transport service not peripheral for the years 2024-2027</w:t>
      </w:r>
    </w:p>
    <w:p>
      <w:r>
        <w:t>The Authority, on October 31, 2023, resolved to issue a reasoned opinion to Roma Capitale, pursuant to Article 21-bis of Law no. 287/1990, regarding the Decision of the Capitolina Junta no. 67 of August 9, 2023 and the Resolution of the Capitolina Assembly no. 159 of October 19, 2023, concerning the approval of the report pursuant to Article 14, paragraph 3, of Legislative Decree no. 201/2022 and the choice of in-house awarding as the management mode of the local public transport service (not peripheral) in the territory of Roma Capitale, for the years from 2024 to 2027.</w:t>
      </w:r>
    </w:p>
    <w:p>
      <w:r>
        <w:t>In its opinion, the Authority found that the evaluations carried out by Roma Capitale in support of the decision to again award the local public transport services not peripheral to ATAC S.p.A. are insufficient and inadequate to fulfill the instructional and motivational burdens required by Article 14, paragraphs 2 and 3, of Legislative Decree no. 201/2022, both regarding the quantitative and qualitative aspects of the offer, and concerning the economic-financial reasons for the in-house awarding, also considering the results of previous managements by the same operator.</w:t>
      </w:r>
    </w:p>
    <w:p>
      <w:r>
        <w:t>Roma Capitale, in a communication dated December 20, 2023, reiterated the legitimacy of the contested measures, also hypothesizing the objective of providing, at the end of the next awarding period, an opening to the market for the entire management of the local public transport service currently subject to in-house awarding.</w:t>
      </w:r>
    </w:p>
    <w:p>
      <w:r>
        <w:t>The Authority, while appreciating Roma Capitale's intention not to exclude the possibility of a tender procedure at the expiration of the next awarding, found that the information provided by the authority is insufficient to eliminate the violations identified in the reasoned opinion, as they are, at this stage, mere statements of intent. Therefore, in its meeting on January 10, 2024, the Authority resolved to file an appeal with the competent TAR against the resolutions subject to the aforementioned reasoned opinion.</w:t>
      </w:r>
    </w:p>
    <w:p>
      <w:r>
        <w:rPr>
          <w:b/>
        </w:rPr>
        <w:t>[Pages 31–33]</w:t>
      </w:r>
    </w:p>
    <w:p>
      <w:r>
        <w:t>BULLETIN NO. 4 OF JANUARY 29, 2024</w:t>
      </w:r>
    </w:p>
    <w:p>
      <w:r>
        <w:t>UNFAIR TRADE PRACTICES</w:t>
        <w:br/>
        <w:t>PS12496 - FILENI SUSTAINABILITY</w:t>
        <w:br/>
        <w:t>Provision No. 31025</w:t>
        <w:br/>
        <w:t>THE ANTITRUST AUTHORITY</w:t>
      </w:r>
    </w:p>
    <w:p>
      <w:r>
        <w:t>IN ITS MEETING of January 16, 2024;</w:t>
      </w:r>
    </w:p>
    <w:p>
      <w:r>
        <w:t>HEARD the Rapporteur, Professor Elisabetta Iossa;</w:t>
      </w:r>
    </w:p>
    <w:p>
      <w:r>
        <w:t>HAVING REGARD to Part II, Title III, of Legislative Decree No. 206 of September 6, 2005,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r>
    </w:p>
    <w:p>
      <w:r>
        <w:t>HAVING REGARD to the communication of February 15, 2023, which initiated the PS12496 proceeding against the company Fileni Alimentare S.p.A.;</w:t>
      </w:r>
    </w:p>
    <w:p>
      <w:r>
        <w:t>HAVING REGARD to its provision of February 15, 2023, which ordered the inspection pursuant to Article 27, paragraphs 2 and 3, of the Consumer Code, at Fileni Alimentare S.p.A.;</w:t>
      </w:r>
    </w:p>
    <w:p>
      <w:r>
        <w:t>HAVING REGARD to its resolutions of July 18, 2023, October 10, and December 19, 2023, which ordered, pursuant to Article 7, paragraph 3, of the Regulation, the extension of the deadline for concluding the proceeding for investigative needs related to the assessment of the commitments presented by the Professional, as well as for the complete fulfillment of the required procedural obligations in compliance with full adversarial proceedings with the Parties;</w:t>
      </w:r>
    </w:p>
    <w:p>
      <w:r>
        <w:t>HAVING REGARD to the documents of the proceeding;</w:t>
      </w:r>
    </w:p>
    <w:p>
      <w:r>
        <w:t>I. THE PARTIES</w:t>
      </w:r>
    </w:p>
    <w:p>
      <w:r>
        <w:t>1. Fileni Alimentare S.p.A. (hereinafter also "Fileni" or the "Professional"), as a professional, pursuant to Article 18, letter b), of the Consumer Code. Fileni is a "benefit" company (under Article 1, paragraphs 376 - 384, Law No. 208 of December 28, 2015), active in the poultry sector and had revenues of 493,590,399 euros as of December 31, 2022.</w:t>
      </w:r>
    </w:p>
    <w:p>
      <w:r>
        <w:t>2. Codacons, as a consumer association reporting the issue.</w:t>
      </w:r>
    </w:p>
    <w:p>
      <w:r>
        <w:t>II. THE COMMERCIAL PRACTICE</w:t>
      </w:r>
    </w:p>
    <w:p>
      <w:r>
        <w:t>3. This proceeding concerns the commercial communication disseminated on the website https://www.fileni.it regarding assertions made by Fileni about:</w:t>
        <w:br/>
        <w:t>a) the environmental sustainability of its business activities and emission offset projects, as well as</w:t>
      </w:r>
    </w:p>
    <w:p>
      <w:r>
        <w:t>34 BULLETIN NO. 4 OF JANUARY 29, 2024</w:t>
        <w:br/>
        <w:t>b) claims of complete agricultural production by Fileni (directly or indirectly through contracted growers) of the goods/raw materials used for the production of organic feed and about the entirely Italian origin of the goods/raw materials for animal feed.</w:t>
      </w:r>
    </w:p>
    <w:p>
      <w:r>
        <w:t>III. THE FINDINGS OF THE PROCEEDING</w:t>
      </w:r>
    </w:p>
    <w:p>
      <w:r>
        <w:t>III. 1 The course of the proceeding</w:t>
      </w:r>
    </w:p>
    <w:p>
      <w:r>
        <w:t>4. Following reports and official checks, regarding the above-described commercial practice, on February 22, 2023, the Professional was notified of the initiation of the PS12496 investigative proceeding and an inspection was simultaneously conducted at its legal headquarters.</w:t>
      </w:r>
    </w:p>
    <w:p>
      <w:r>
        <w:t>5. Fileni submitted defensive writings on March 5, April 7, May 11, May 16, May 25, June 30, and August 21, 2023; moreover, it accessed the documents of the proceeding and extracted copies of the documents acquired in the investigative file on March 6, July 17, and October 13, 2023.</w:t>
      </w:r>
    </w:p>
    <w:p>
      <w:r>
        <w:t>6. On April 7, 2023, Fileni submitted a proposal for commitments pursuant to Article 27, paragraph 7, of the Consumer Code and Article 9 of the Regulation; on June 1, 2023, Fileni was notified of the rejection of the commitments.</w:t>
      </w:r>
    </w:p>
    <w:p>
      <w:r>
        <w:t>7. The legal representatives of the company, assisted by their counsel, were heard in a hearing on April 19, 2023; a further hearing took place on July 5, 2023.</w:t>
      </w:r>
    </w:p>
    <w:p>
      <w:r>
        <w:t>8. On September 26, 2023, the conclusion of the investigative phase was communicated to the Parties, pursuant to Article 16, paragraph 1, of the Regulation.</w:t>
      </w:r>
    </w:p>
    <w:p>
      <w:r>
        <w:t>9. Codacons accessed the documents of the file on September 26, 2023, and submitted a memorandum on September 29, 2023.</w:t>
      </w:r>
    </w:p>
    <w:p>
      <w:r>
        <w:t>Fileni submitted a final memorandum on October 17, 2023.</w:t>
      </w:r>
    </w:p>
    <w:p>
      <w:r>
        <w:t>10. On October 19, 2023, a request for an opinion was made to the Authority for Guarantees in Communications, pursuant to Article 27, paragraph 6, of the Consumer Code, which was received on November 14, 2023.</w:t>
      </w:r>
    </w:p>
    <w:p>
      <w:r>
        <w:t>III.2 The evidence acquired</w:t>
      </w:r>
    </w:p>
    <w:p>
      <w:r>
        <w:t>11. Fileni is one of the main Italian operators engaged in poultry farming. The total number of chickens raised in 2021 and 2022 was [10,000,000-100,000,000] and [10,000,000-100,000,000]*, respectively.</w:t>
      </w:r>
    </w:p>
    <w:p>
      <w:r>
        <w:t>12. In some sections and documents on the aforementioned company website, including a video titled "we choose to defend the future" found in the "Sustainability" section at https://www.fileni.it/sostenibilita/, the Professional used assertions about the environmental sustainability of its business activities. Other sustainability assertions were present in the 2021 Sustainability Report (available on the same website).</w:t>
      </w:r>
    </w:p>
    <w:p>
      <w:r>
        <w:t>13. Fileni claimed to have fully offset the emissions generated by its business activities, stating: "23,403 tons of CO2 emitted in 2021, fully covered by offsetting activities."</w:t>
      </w:r>
    </w:p>
    <w:p>
      <w:r>
        <w:t>14. During the inspection, the contracts for the purchase by Fileni of emission reduction units (ERUs) to offset emissions made in 2021 and 2022 were acquired.</w:t>
      </w:r>
    </w:p>
    <w:p>
      <w:r>
        <w:t>15. Furthermore, in light of the presentation on the website of Fileni as operating across the entire supply chain (from agricultural cultivation for the production of raw materials for feed, to feed production, to chicken farming, to their slaughter, to packaging</w:t>
      </w:r>
    </w:p>
    <w:p>
      <w:r>
        <w:t>19 Doc. n. 63 of the index of the investigative file</w:t>
        <w:br/>
        <w:t>20 Docc. nn. 64 and 65 of the index of the investigative file.</w:t>
        <w:br/>
        <w:t>21 Doc. n. 66 of the index of the investigative file.</w:t>
        <w:br/>
        <w:t>* In this version, some data are omitted, as elements of confidentiality or secrecy of the information were deemed to exist.</w:t>
        <w:br/>
        <w:t>22 "Our plants and breeding centers are carbon neutral: we only purchase electricity from renewable sources, part of our needs is guaranteed by photovoltaic and cogeneration plants owned by us, and we offset all our direct emissions" (p. 3);</w:t>
        <w:br/>
        <w:t>"all our facilities are considered carbon neutral" (p. 7);</w:t>
        <w:br/>
        <w:t>"23,403 tons of CO offset through the purchase of certified carbon credits" (p. 8);</w:t>
        <w:br/>
        <w:t>"Thanks to the purchase of renewable electricity and emission offsetting activities, the production plants were CARBON NEUTRAL even during 2021" (p. 9);</w:t>
        <w:br/>
        <w:t>"We can affirm that our production plants and our breeding centers are carbon neutral: we only purchase electricity from renewable sources and offset all our direct emissions through reforestation, decarbonization, and installation of renewable energy production plants" (p. 47);</w:t>
        <w:br/>
        <w:t>"carbon neutrality of production facilities, starting from 2020" (p. 50);</w:t>
        <w:br/>
        <w:t>"We are increasingly committed to reducing greenhouse gas emissions associated with our products. In this regard, for the second consecutive year, we have achieved the goal of making all our production activities carbon neutral, through the use of renewable sources and offsetting activities" (p. 58);</w:t>
        <w:br/>
        <w:t>"thanks to offsetting activities, we can affirm that all our facilities are carbon neutral" (p. 90);</w:t>
        <w:br/>
        <w:t>"all emissions generated in 2021 by the Group's plants were offset through the purchase of offset certificates. Furthermore, thanks to the purchase of electricity with guarantees of origin, the emission of 16,461 tons of CO2 into the atmosphere was avoided. Thanks to these two activities, the production facilities, the consumption of the corporate fleet, and the breeding centers of the Group can be considered Carbon Neutral" and "ZERO tons of CO2 production carbon neutral" (p. 99).</w:t>
        <w:br/>
        <w:t>23 2021 Sustainability Report, p. 8.</w:t>
      </w:r>
    </w:p>
    <w:p>
      <w:r>
        <w:rPr>
          <w:b/>
        </w:rPr>
        <w:t>[Pages 34–36]</w:t>
      </w:r>
    </w:p>
    <w:p>
      <w:r>
        <w:t>BULLETIN NO. 4 OF JANUARY 29, 2024</w:t>
      </w:r>
    </w:p>
    <w:p>
      <w:r>
        <w:t>36 of meat, etc.), the Professional - on the page https://www.fileni.it/filiera, under the heading "Agriculture," in the section "Supply Chain," which described the entire production activity of Fileni, under the first title "Agriculture"24 - regarding agricultural activity stated: "To have maximum control over the feeding of our animals, we cultivate the raw materials that we use for organic feed. Every day we take care of over 12,000 hectares of land, all strictly in Italy" (emphasis added) and "The crops are carried out both directly and through cultivation contracts with farmers with whom we establish true long-term partnerships."</w:t>
      </w:r>
    </w:p>
    <w:p>
      <w:r>
        <w:t>In this way, Fileni appeared to establish itself towards consumers as responsible for agricultural activity aimed at the cultivation and production - directly or through so-called "contracted" farmers25 on land areas exceeding 12,000 hectares - of all raw materials intended for the production of organic feed used in its corporate supply chain.</w:t>
      </w:r>
    </w:p>
    <w:p>
      <w:r>
        <w:t>Contrary to this and, in any case, according to what Fileni stated26, it has cultivated directly a very limited area of land (equal to [100–500] hectares), that is, just over [0.1–10%] of the total area it claimed to cultivate (over 12,000 hectares)27. Furthermore, still on the page https://www.fileni.it/filiera under the heading "Agriculture," the Professional made two statements, one (already mentioned) regarding the integral production (direct or indirect, through contracted growers) of the raw materials used for the production of organic feed ("To have maximum control over the feeding of our animals, we cultivate the raw materials that we use for organic feed"), the other, regarding the entirely Italian origin of the raw materials used for the feeding of the animals raised in the course of its poultry activity ("All these attentions, combined with the passion that characterizes every phase of our work, allow us to feed our animals with 100% Italian food") (emphasis added).</w:t>
      </w:r>
    </w:p>
    <w:p>
      <w:r>
        <w:t>However, contrary to what was stated on the website, the same Professional admitted to having purchased on the market, in 2022, part of the raw materials for the production of organic feed since the crops cultivated (directly or indirectly, through contracted growers) could not cover the entire needs of its organic feed mill, sourcing from the foreign market, in the same year, [5-30%] of cereals and [10-40%] of plant proteins28.</w:t>
      </w:r>
    </w:p>
    <w:p>
      <w:r>
        <w:t>Fileni also stated in its defenses that, in 2021 and 2022, significant quantities of raw materials were of foreign origin for the production of non-organic feed. Specifically:</w:t>
      </w:r>
    </w:p>
    <w:p>
      <w:r>
        <w:t>24 The other titles (after "Agriculture"), corresponding to the other corporate production activities were: "Feed Mill," "Breeders," "Incubator," "Breeding Centers," "Processing," "Red Meats."</w:t>
      </w:r>
    </w:p>
    <w:p>
      <w:r>
        <w:t>25 Evidence acquired showed the use of supply chain agreements entered into with individual farmers or commercial structures (cooperatives, consortia, etc.) with traceability and field controls.</w:t>
      </w:r>
    </w:p>
    <w:p>
      <w:r>
        <w:t>26 Doc. no. 63 of the index of the investigation file (pt. 24).</w:t>
      </w:r>
    </w:p>
    <w:p>
      <w:r>
        <w:t>27 Doc. no. 30 of the index of the investigation file. According to what the Professional reported, the production generated from land managed by Fileni represents a minimal fraction (equal to less than [0.1–10%]) of Fileni's overall needs.</w:t>
      </w:r>
    </w:p>
    <w:p>
      <w:r>
        <w:t>28 Doc. no. 23 of the index of the investigation file, pt. 28.</w:t>
      </w:r>
    </w:p>
    <w:p>
      <w:r>
        <w:t>BULLETIN NO. 4 OF JANUARY 29, 2024</w:t>
      </w:r>
    </w:p>
    <w:p>
      <w:r>
        <w:t>i) in 202129: for the conventional-NGM production line30 [5-30%] of cereals and [10-40%] of plant proteins; for the conventional-OGM production line, [30-70%] of cereals and [75-95%] of plant proteins; ii) in 202231: for the conventional-NGM production line [15-45%] of cereals and [10-40%] of plant proteins; for the conventional-OGM production line, [30-70%] of cereals and [75-95%] of plant proteins.</w:t>
      </w:r>
    </w:p>
    <w:p>
      <w:r>
        <w:t>16. Following the initiation of the investigation, the Professional intervened several times on the corporate website, removing: the link and any reference to the Sustainability Report 2021; the video (titled "we choose to defend the future"); various other assertions of environmental sustainability of its activity, as well as the link (present on the homepage) to the blog page containing the news of the attribution of the B-Corp certification to Fileni (pending confirmation of its attribution)32.</w:t>
      </w:r>
    </w:p>
    <w:p>
      <w:r>
        <w:t>Furthermore, the wording "100% Italian food" was replaced with "mostly Italian feed"33 and the wording "100% Italian plant feed" with "mostly Italian plant feed"34.</w:t>
      </w:r>
    </w:p>
    <w:p>
      <w:r>
        <w:t>17. [Omitted].</w:t>
      </w:r>
    </w:p>
    <w:p>
      <w:r>
        <w:t>III.3 The Defensive Arguments of the Professional</w:t>
      </w:r>
    </w:p>
    <w:p>
      <w:r>
        <w:t>18. First of all, Fileni contested an "atomistic" reading of both the statements reported on the website and the indications present in the Sustainability Report, also doubting that the latter could be evaluated as an advertising message: this document, in fact, is not drafted for commercial purposes, as it does not aim to promote any product, but rather, to describe the specific objectives for pursuing common benefit purposes, the assessment of the impact generated, as well as the new objectives35.</w:t>
      </w:r>
    </w:p>
    <w:p>
      <w:r>
        <w:t>Fileni highlighted that the Sustainability Report 2021 - downloaded by just five users from June 2022 to June 2023 - accompanied the "Impact Report" explaining the data contained therein and was drafted in substantial conjunction with the publication of the communication from the EU Commission entitled "Guidelines on the interpretation and application of Directive 2005/29/EC, concerning unfair commercial practices of businesses towards consumers in the internal market" (December 2021), taken in the communication of the end of the investigation phase as a parameter for evaluating Fileni's statements.</w:t>
      </w:r>
    </w:p>
    <w:p>
      <w:r>
        <w:t>19. In any case, the Professional reiterated that the assertions of environmental sustainability contained in said report have been read out of their context, that is, the one that describes the sustainability objectives ("we have set ourselves the goal of achieving net zero emissions by 2040").</w:t>
      </w:r>
    </w:p>
    <w:p>
      <w:r>
        <w:t>20. The sustainability assertions contained in the video disseminated on the corporate website should also not be considered in isolation as they were accompanied by a voiceover stating: "we adhere to Coltivazione Italia, an initiative that brings together more than sixty Italian companies that have included the goal of climate neutrality within their statutes."</w:t>
      </w:r>
    </w:p>
    <w:p>
      <w:r>
        <w:t>21. Fileni reiterated that the protection of the territory and the environment has always been one of the inspiring reasons of its corporate policy; that even in the agricultural sector and in breeding, which can potentially have a strong impact on the environment, initiatives can be implemented both to mitigate and to reduce ex ante the environmental impact of production.</w:t>
      </w:r>
    </w:p>
    <w:p>
      <w:r>
        <w:t>22. The Professional stated that, in addition to reducing the polluting emissions of its plants, the emissions produced by the entrepreneurial activity it directly carried out have been fully compensated.</w:t>
      </w:r>
    </w:p>
    <w:p>
      <w:r>
        <w:t>23. Fileni then excluded having emphasized its role in the agricultural supply chain in order to establish itself in the eyes of consumers as "responsible for the agricultural activity aimed at the cultivation and production of raw materials to be used in feed," having limited itself to describing, on the supply chain page, the forms of direct and indirect cultivation and to acknowledging, rather, the rigorous controls to which contracted farmers are subjected, controls that evidently would not be necessary if the raw materials were entirely self-produced.</w:t>
      </w:r>
    </w:p>
    <w:p>
      <w:r>
        <w:t>24. Fileni added that compensation through CO2 credits is managed in collaboration with specialized companies in the sector, in order to ensure both the accuracy of the calculations related to emissions36, and the reliability and soundness of the emission credits purchased and the projects financed.</w:t>
      </w:r>
    </w:p>
    <w:p>
      <w:r>
        <w:t>Moreover, the Professional indicated that it removed, in June 2023, the aforementioned video titled "we choose to defend the future" and other expressions of environmental sustainability, as well as the link to the Sustainability Report 2021. The Professional also communicated that it has launched a new website since July 2023, which contains a specific section with the reformulation of information on individual projects financed through the purchase of offset certificates37.</w:t>
      </w:r>
    </w:p>
    <w:p>
      <w:r>
        <w:t>25. Regarding the agricultural activities undertaken since 2016, Fileni stated that it would be "well-known" that: i) an area of cultivated land (over 12,000 hectares) could not be interpreted as sufficient land for the entire feed requirement of over [4-8 million] organic chickens raised each year; and that ii) organic crops have a lower yield compared to conventional ones.</w:t>
      </w:r>
    </w:p>
    <w:p>
      <w:r>
        <w:t>Furthermore, the Professional indicated that the cultivation of organic raw materials, intended for the production of feed for the organic line38 until the end of 2021 was managed directly by Fileni.</w:t>
      </w:r>
    </w:p>
    <w:p>
      <w:r>
        <w:rPr>
          <w:b/>
        </w:rPr>
        <w:t>[Pages 37–39]</w:t>
      </w:r>
    </w:p>
    <w:p>
      <w:r>
        <w:t>BULLETIN NO. 4 OF JANUARY 29, 2024</w:t>
      </w:r>
    </w:p>
    <w:p>
      <w:r>
        <w:t>through local "contracted" farms; therefore, the goods were of Italian cultivation and origin, while only since 2022, a portion of the organic goods, due to contingent reasons, mainly the war in Ukraine and drought, has been sourced from abroad. In this context, the Professional - in its final memorandum of October 17, 2023 - stated that it had taken care to resolve the issue of raw material procurement, neglecting to modify and update the commercial communication present on the website regarding the origin of the raw materials and that, in any case, upon receiving the notification of the initiation of the procedure, already in March 2023 it proceeded to rectify the contested claim.</w:t>
      </w:r>
    </w:p>
    <w:p>
      <w:r>
        <w:t>26. In a spirit of collaboration with the Authority, the company, in addition to intervening on the corporate website (first making some changes and then completely renewing it), highlighted that it has adopted an "Environmental Compliance Program - Guidelines on Sustainability." In particular, it reports having established on October 15, 2023, the corporate function of "Sustainability Officer," operating directly under the CEO, tasked with promoting, managing, and verifying the compliance of the choices and processes adopted by the company with the highest environmental sustainability criteria (for example, with reference to the reduction of harmful emissions, the compensation of generated CO2), as well as ensuring the correctness, truthfulness, and any updates of the messages regarding this disseminated by the company.</w:t>
      </w:r>
    </w:p>
    <w:p>
      <w:r>
        <w:t>The Professional also represented that it had initiated, in September 2023, contacts with research institutes in order to establish a scientific partnership aimed at acquiring support both in implementing the provisions contained in the EU directive proposal on the certification and communication of explicit environmental claims (environmental claims directive - COM 2023 166 final) and, more generally, in providing scientific data to support the environmental claims used. Furthermore, it has prepared a ten-point guideline that contains principles to which the Professional's commercial communication must conform from January 1, 2024. Fileni has requested that the efforts and steps taken in pursuit of high standards in sustainability not be frustrated, stating that it has implemented, thanks to bank financing, investments aimed at strengthening animal welfare and further reducing environmental impact for the years 2023-2025, as well as having recorded, in relation to the first half of 2023, a decline in gross operating margin and net income.</w:t>
      </w:r>
    </w:p>
    <w:p>
      <w:r>
        <w:t>27. From the perspective of the duration of the practice, the Professional specified that it published the Sustainability Report 2021 in June 2022, that it had implemented corrective measures as early as March 2023 (as illustrated during the hearing of July 4, 2023), and that it had adopted a new, completely renewed website as of July 24, 2023.</w:t>
      </w:r>
    </w:p>
    <w:p>
      <w:r>
        <w:t>III.4 The position of Codacons</w:t>
      </w:r>
    </w:p>
    <w:p>
      <w:r>
        <w:t>28. In a note dated September 29, 2023, Codacons represented that the measures adopted by Fileni after the initiation of the Authority's investigation respond to the invoked need to ensure correctness and transparency in Fileni's messages and information towards consumers, through the revision and modification of the website.</w:t>
      </w:r>
    </w:p>
    <w:p>
      <w:r>
        <w:t>IV. OPINION OF THE AUTHORITY FOR GUARANTEES IN COMMUNICATIONS</w:t>
      </w:r>
    </w:p>
    <w:p>
      <w:r>
        <w:t>29. Since the commercial practice subject to this provision was disseminated via the internet, on October 19, 2023, the opinion was requested from the Authority for Guarantees in Communications, pursuant to Article 27, paragraph 6, of the Consumer Code.</w:t>
      </w:r>
    </w:p>
    <w:p>
      <w:r>
        <w:t>30. In an opinion received on November 14, 2023, the aforementioned Authority deemed, in this case, the internet medium suitable for influencing the realization of the commercial practice subject to the procedure.</w:t>
      </w:r>
    </w:p>
    <w:p>
      <w:r>
        <w:t>V. CONCLUDING EVALUATIONS</w:t>
      </w:r>
    </w:p>
    <w:p>
      <w:r>
        <w:t xml:space="preserve">31. As previously indicated, the procedure concerns the commercial communication disseminated on the website https://www.fileni.it regarding claims used by Fileni about: </w:t>
        <w:br/>
        <w:t xml:space="preserve">a) the environmental sustainability of its business activities and emission compensation projects; as well as, </w:t>
        <w:br/>
        <w:t>b) the claims of complete agricultural production by Fileni (directly or indirectly through contracted growers) of the goods/raw materials used for the production of organic feed and about the entirely Italian origin of the goods/raw materials for animal feed.</w:t>
      </w:r>
    </w:p>
    <w:p>
      <w:r>
        <w:t>32. Regarding the issue of environmental claims (so-called green claims or environmental claims), it should be emphasized that the role of consumers and their consumption choices towards more environmentally sustainable products and services is of central importance in the context of the ecological transition subject to the European Green Deal; for this purpose, combating the use by companies of false or misleading environmental claims is of great importance, in order to ensure that consumers receive clear, reliable, comparable, and verifiable information, allowing them to make more environmentally sustainable decisions and reduce the risk of misleading and omissive environmental marketing (so-called greenwashing).</w:t>
      </w:r>
    </w:p>
    <w:p>
      <w:r>
        <w:t>Finally, it is worth noting that with the growing sensitivity of consumers towards environmental issues in making their economic choices, environmental sustainability is becoming an important competitive parameter.</w:t>
      </w:r>
    </w:p>
    <w:p>
      <w:r>
        <w:t>33. Coming to the specific case, however, in light of the investigative evidence acquired, there are currently no elements that allow for an assessment of the misleading nature of the environmental sustainability claims used by Fileni on its website and in the Sustainability Report 2021, also considering that some of them expressed - unequivocally - the mere intent to achieve the goal of climate neutrality in the near future, rather representing the efforts undertaken by the Professional on the path towards environmental sustainability.</w:t>
      </w:r>
    </w:p>
    <w:p>
      <w:r>
        <w:t>34. Furthermore, in this specific case, in light of the particular context in which the environmental claims used by the Professional were placed and the meaning that derives from it, there are no sufficient elements to ascertain the misleading nature of the information on the emission compensation projects financed by Fileni. Moreover, the Professional has implemented corrective measures as early as March 2023 (as illustrated during the hearing of July 4, 2023 and in the final memorandum) and prepared a new version of the website disseminated from July 24, 2023, containing a reformulation of the information regarding the individual reforestation or decarbonization projects financed.</w:t>
      </w:r>
    </w:p>
    <w:p>
      <w:r>
        <w:t>35. With reference, instead, to the two claims used by Fileni (on the page https://www.fileni.it/filiera under the heading "Agriculture") relating respectively, one, to the complete agricultural production (direct or indirect, through contracted growers) of the goods/raw materials used for the production of organic feed ("To have maximum control over the feeding of our animals, we cultivate the raw materials we use for organic feed. Every day we take care of over 12,000 hectares of land, all strictly in Italy" - emphasis added), the other, to the entirely Italian origin of the goods/raw materials used for animal feed ("All these attentions, combined with the passion that characterizes every phase of our work, allow us to feed our animals with 100% Italian food") (emphasis added), from the elements acquired in the investigation, their misleading and deceptive nature has emerged. In fact, even accessing the decoding proposed by Fileni according to which the claim of total "Italianity" of the goods/raw materials should be considered as referring only to the production of organic feed (which is minority compared to non-organic feed), the unfoundedness of the aforementioned claims has been acknowledged by the Professional for the year 2022. Fileni has, in fact, admitted i) the purchase on the market of part of the goods/raw materials as those cultivated (directly or indirectly) were insufficient to cover the needs of its organic feed mill and ii) that the aforementioned goods/raw materials were not exclusively of Italian origin.</w:t>
      </w:r>
    </w:p>
    <w:p>
      <w:r>
        <w:rPr>
          <w:b/>
        </w:rPr>
        <w:t>[Pages 40–42]</w:t>
      </w:r>
    </w:p>
    <w:p>
      <w:r>
        <w:t>42 BULLETIN NO. 4 OF JANUARY 29, 2024</w:t>
      </w:r>
    </w:p>
    <w:p>
      <w:r>
        <w:t>Specifically, Fileni stated that, in 2022, for the production of organic feed, [5-30%] of the cereals and [10-40%] of the vegetable proteins were of foreign origin.</w:t>
      </w:r>
    </w:p>
    <w:p>
      <w:r>
        <w:t>36. The aforementioned claims, which have proven to be misleading, are in contrast with the duty of professional diligence that Fileni is bound to, especially considering its significant size and experience in the poultry sector, as well as its status as a "benefit" company. Furthermore, they appear capable of misleading the consumer regarding the characteristics - including safety, healthiness, and quality - of Fileni's poultry products and inducing them to make a commercial decision that they would not have otherwise made.</w:t>
      </w:r>
    </w:p>
    <w:p>
      <w:r>
        <w:t>37. In light of the above, the commercial practice described in paragraph II), letter b), concerning the claims of entirely agricultural production by Fileni (directly or indirectly, through contracted growers) of the goods/raw materials used for the production of organic feed and regarding the entirely Italian origin of the aforementioned goods/raw materials, must be considered incorrect pursuant to Articles 20, paragraph 2, and 21, paragraph 1, letter b), of the Consumer Code, as it is contrary to professional diligence and capable of appreciably distorting the economic behavior of the average consumer, misleading them regarding a significant characteristic of Fileni's organic poultry products. Moreover, the conduct carried out by the Professional does not appear to conform to the level of professional diligence reasonably required based on the general principles of fairness and good faith ex Article 20, paragraph 2, of the Consumer Code; this is even more so given that Fileni is a "benefit" company, statutorily obliged to pursue purposes not only of profit but "ultrasocial" common benefit and, among other things, to operate "in a responsible, sustainable, and transparent manner towards people, communities, territories, and the environment."</w:t>
      </w:r>
    </w:p>
    <w:p>
      <w:r>
        <w:t>38. For completeness, it is worth noting that according to constant case law, the characteristic of consumer wrongdoing is that it is merely "dangerous," with the consequence that "the possible insignificance of the reports is entirely irrelevant, as is the occasional or episodic nature of the conduct," also noting "the mere potential harmfulness of the behavior carried out by the professional, regardless of the actual harm caused to the behavior of the recipients, who are induced to make a commercial decision that they would not have otherwise made" (see, inter alia, Council of State, February 8, 2021, no. 1152). It follows that the actual impact of the unfair commercial practice on consumers does not constitute a suitable element to eliminate or reduce the unlawful aspects of it, as "the actuality of a harm to consumers' interests is not required, but rather that a practice is capable of producing it. The legal interest protected, in fact, is only indirectly the consumer's patrimonial sphere: immediately, through the freedom of choice, the correct functioning of the competitive market is to be safeguarded" (Council of State, March 12, 2020, no. 1751).</w:t>
      </w:r>
    </w:p>
    <w:p>
      <w:r>
        <w:t>VI. QUANTIFICATION OF THE SANCTION</w:t>
      </w:r>
    </w:p>
    <w:p>
      <w:r>
        <w:t>39. Pursuant to Article 27, paragraph 9, of the Consumer Code - as recently amended by Article 1, paragraph 7, of Legislative Decree March 7, 2023, no. 26 - with the provision that prohibits the unfair commercial practice, the Authority orders the application of an administrative pecuniary sanction from €5,000 to €10,000,000, taking into account the severity and duration of the violation and also the economic and asset conditions of the professional. For the purposes of this proceeding, however, the aforementioned legislative amendment is not relevant, as the established unfair commercial practice ceased before the entry into force of the aforementioned Legislative Decree no. 26/2023. Regarding the quantification of the sanction, the criteria identified by Article 11 of Law November 24, 1981, no. 689, must be taken into account, as applicable,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40. With regard to the severity of the violation, it is noted that the established unfair commercial practice appears significant as it concerned claims related to the (direct or indirect) production by Fileni of the goods/raw materials used in the production of organic feed and the exclusively Italian origin of the aforementioned goods/raw materials used to feed the animals subject to its organic poultry activity, thus potentially significantly impacting consumer economic choices directed towards products of greater safety, quality, and healthiness due to the origin of the feed for organic chickens. Regarding the Professional, it is noted that it is one of the largest national operators in the poultry meat sector (with over [20–80] million chickens raised in 2022) and the leading producer in Italy of organic farming meat (with nearly [3-10] million organic chickens raised in 2022); it also generated revenues of €493,590,399 in 2022. Finally, it is noted the particular lack of professional diligence exhibited by Fileni, in light of its qualification as a "benefit" company.</w:t>
      </w:r>
    </w:p>
    <w:p>
      <w:r>
        <w:t>41. From the perspective of the duration of the violation, from the available evidence in the records, it appears that the unfair commercial practice deemed incorrect has been carried out by Fileni Alimentare S.p.A. from February 13, 2023 (date of the first evidence in the records) until March 2023.</w:t>
      </w:r>
    </w:p>
    <w:p>
      <w:r>
        <w:t>42. Based on all the elements above, considering the reduced duration established, it is deemed appropriate to determine the amount of the applicable administrative pecuniary sanction for Fileni Alimentare S.p.A. at €100,000 (one hundred thousand euros).</w:t>
      </w:r>
    </w:p>
    <w:p>
      <w:r>
        <w:t>THEREFORE, in accordance with the opinion of the Authority for Guarantees in Communications, based on the previous considerations, it is determined that the conduct in question, as illustrated in paragraph II, letter b), concerning the claims of entirely agricultural production by Fileni (directly or indirectly, through contracted growers) of the goods/raw materials used for the production of organic feed and regarding the entirely Italian origin of the aforementioned goods/raw materials, constitutes an unfair commercial practice pursuant to Articles 20, paragraph 2, and 21, paragraph 1, letter b), of the Consumer Code;</w:t>
      </w:r>
    </w:p>
    <w:p>
      <w:r>
        <w:t>RESOLVES</w:t>
      </w:r>
    </w:p>
    <w:p>
      <w:r>
        <w:t>a) that the commercial practice described in point II, letter b), of this provision, carried out by Fileni Alimentare S.p.A., constitutes, for the reasons and within the limits set forth in the motivation, an unfair commercial practice pursuant to Articles 20, paragraph 2, and 21, paragraph 1, letter b), of the Consumer Code and prohibits its repetition;</w:t>
      </w:r>
    </w:p>
    <w:p>
      <w:r>
        <w:t>b) to impose on Fileni Alimentare S.p.A. for the violation referred to in letter a) an administrative pecuniary sanction of €100,000 (one hundred thousand euros).</w:t>
      </w:r>
    </w:p>
    <w:p>
      <w:r>
        <w:t>The imposed administrative sanction must be paid within thirty days from the notification of this provision, using the tax codes indicated in the attached F24 model with identifying elements, pursuant to Legislative Decree July 9, 1997, no. 241.</w:t>
      </w:r>
    </w:p>
    <w:p>
      <w:r>
        <w:t>Payment must be made electronically with a debit from one's bank or postal account, through the home banking and CBI services provided by banks or by Poste Italiane S.p.A., or by using the telematic services of the Revenue Agency, available on the website www.agenziaentrate.gov.it.</w:t>
      </w:r>
    </w:p>
    <w:p>
      <w:r>
        <w:t>After the aforementioned deadline, for a delay period of less than six months, late interest must be paid at the legal rate starting from the day after the payment deadline until the date of payment. In case of further delay in compliance, pursuant to Article 27, paragraph 6, of Law no. 689/1981, the amount due for the imposed sanction is increased by one-tenth for each semester starting from the day after the payment deadline until the role is transmitted to the collection agent; in this case, the increase absorbs the late interest accrued in the same period.</w:t>
      </w:r>
    </w:p>
    <w:p>
      <w:r>
        <w:t>Immediate communication of the payment must be given to the Authority by sending the documentation certifying the payment made.</w:t>
      </w:r>
    </w:p>
    <w:p>
      <w:r>
        <w:t>This provision will be notified to the interested parties and published in the Bulletin of the Authority for the Guarantee of Competition and the Market.</w:t>
      </w:r>
    </w:p>
    <w:p>
      <w:r>
        <w:t>Pursuant to Article 27, paragraph 12, of the Consumer Code, in case of non-compliance with the provision, the Authority applies an administrative pecuniary sanction from €10,000 to €10,000,000.</w:t>
      </w:r>
    </w:p>
    <w:p>
      <w:r>
        <w:t>In cases of repeated non-compliance, the Authority may order the suspension of business activity for a period not exceeding thirty days.</w:t>
      </w:r>
    </w:p>
    <w:p>
      <w:r>
        <w:rPr>
          <w:b/>
        </w:rPr>
        <w:t>[Pages 43–44]</w:t>
      </w:r>
    </w:p>
    <w:p>
      <w:r>
        <w:t>BULLETIN NO. 4 OF JANUARY 29, 2024</w:t>
      </w:r>
    </w:p>
    <w:p>
      <w:r>
        <w:t>Against this provision, an appeal may be filed with the TAR for Lazio, pursuant to Article 135, paragraph 1, letter b), of the Code of Administrative Procedure (Legislative Decree of July 2, 2010, No. 104), within sixty days from the date of communication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the term of one hundred and twenty days from the date of notification of the provision itself.</w:t>
      </w:r>
    </w:p>
    <w:p>
      <w:r>
        <w:t>THE SECRETARY GENERAL THE PRESIDENT</w:t>
        <w:br/>
        <w:t>Guido Stazi Roberto Rustichelli</w:t>
      </w:r>
    </w:p>
    <w:p>
      <w:r>
        <w:t>Antitrust Authority Weekly Bulletin</w:t>
        <w:br/>
        <w:t>of Competition and Market Year XXXIV - No. 4 - 2024</w:t>
        <w:br/>
        <w:t>Editorial Coordination Giulia Antenucci</w:t>
        <w:br/>
        <w:t>Editorial Staff Angela D’Auria, Valerio Ruocco, Manuela Villani</w:t>
        <w:br/>
        <w:t>Antitrust Authority</w:t>
        <w:br/>
        <w:t>Document Management, Protocol, and Statistical Services</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