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https://www.agcm.it/dotcmsdoc/bollettini/2025/4-25.pdf</w:t>
      </w:r>
    </w:p>
    <w:p>
      <w:r>
        <w:t>Pages translated : 63</w:t>
      </w:r>
    </w:p>
    <w:p/>
    <w:p>
      <w:r>
        <w:rPr>
          <w:b/>
        </w:rPr>
        <w:t>[Pages 1–3]</w:t>
      </w:r>
    </w:p>
    <w:p>
      <w:r>
        <w:t>Bulletin</w:t>
        <w:br/>
        <w:t>Weekly</w:t>
        <w:br/>
        <w:t>Year XXXV - No. 4</w:t>
        <w:br/>
        <w:t>Published on the website www.agcm.it</w:t>
        <w:br/>
        <w:t>February 3, 2025</w:t>
      </w:r>
    </w:p>
    <w:p>
      <w:r>
        <w:t>SUMMARY</w:t>
        <w:br/>
        <w:t>CONCENTRATION OPERATIONS 5</w:t>
        <w:br/>
        <w:t>C12694 - FRATELLI IBBA/CODÈ CRAI OVEST</w:t>
        <w:br/>
        <w:t>Decision No. 31436 5</w:t>
        <w:br/>
        <w:t>C12695 - FIBONACCI BIDCO/QUID INFORMATICA</w:t>
        <w:br/>
        <w:t>Decision No. 31437 10</w:t>
        <w:br/>
        <w:t>REPORTING AND CONSULTATIVE ACTIVITIES 16</w:t>
        <w:br/>
        <w:t>AS2049 - VERITAS SPA - INTERNALIZATION OF THE RELINING SERVICE 16</w:t>
        <w:br/>
        <w:t>AS2050 - PORT SYSTEM AUTHORITY OF THE CENTRAL TYRRHENIAN SEA / STATE CONCESSIONS FOR THE MANAGEMENT OF FUEL DISTRIBUTION FACILITIES FOR VESSELS WITHIN THE MASUCCIO SALERNITANO PORT AND CASTELLAMMARE DI STABIA PORT 21</w:t>
        <w:br/>
        <w:t>AS2051 - AGCOM / IDENTIFICATION AND ANALYSIS OF THE MARKETS FOR VOICE CALL TERMINATION SERVICES ON MOBILE NETWORKS 25</w:t>
        <w:br/>
        <w:t>AS2052 - MUNICIPALITY OF MINTURNO (LT) - EXTENSION OF STATE MARITIME CONCESSIONS FOR TOURIST-RECREATIONAL PURPOSES 29</w:t>
        <w:br/>
        <w:t>AS2053 - MUNICIPALITY OF FIUMICINO - AWARD OF THE CONCESSION FOR THE CONSTRUCTION OF THE NEW TOURIST CRUISE PORT OF FIUMICINO 33</w:t>
        <w:br/>
        <w:t>UNFAIR TRADE PRACTICES 36</w:t>
        <w:br/>
        <w:t>PS12658 - META - DEEP FAKE</w:t>
        <w:br/>
        <w:t>Decision No. 31438 36</w:t>
        <w:br/>
        <w:t>PS12717 - INTERFLORA.IT - VARIOUS ISSUES</w:t>
        <w:br/>
        <w:t>Decision No. 31439 38</w:t>
      </w:r>
    </w:p>
    <w:p>
      <w:r>
        <w:t>BULLETIN NO. 4 OF FEBRUARY 3, 2025 5</w:t>
        <w:br/>
        <w:t>CONCENTRATION OPERATIONS</w:t>
        <w:br/>
        <w:t>C12694 - FRATELLI IBBA/CODÈ CRAI OVEST</w:t>
        <w:br/>
        <w:t>Decision No. 31436</w:t>
        <w:br/>
        <w:t>THE ANTITRUST AUTHORITY</w:t>
        <w:br/>
        <w:t>IN ITS MEETING of January 14, 2025;</w:t>
        <w:br/>
        <w:t>HEARD the Rapporteur, Saverio Valentino;</w:t>
        <w:br/>
        <w:t>HAVING REGARD TO Regulation (EC) No. 139/2004;</w:t>
        <w:br/>
        <w:t>HAVING REGARD TO Law No. 287 of October 10, 1990;</w:t>
        <w:br/>
        <w:t>HAVING REGARD TO Presidential Decree No. 217 of April 30, 1998;</w:t>
        <w:br/>
        <w:t>HAVING REGARD TO the communication from Fratelli IBBA S.r.l., received on December 19, 2024;</w:t>
        <w:br/>
        <w:t>CONSIDERING the following:</w:t>
        <w:br/>
        <w:t>I. THE PARTIES</w:t>
        <w:br/>
        <w:t>1. Fratelli IBBA S.r.l. (hereinafter, “IBBA”) is a company active in the organized large-scale distribution sector (hereinafter, “GDO”), both through owned stores and affiliated entrepreneurs, and operates under the CRAI and DESPAR brands in Sardinia and under the CRAI brand in Central Italy (Lazio, Umbria, Marche, Abruzzo, and Molise). Furthermore, the company is active in the production and sale of animal feed. IBBA participates in the purchasing center CRAI Secom S.p.A. (hereinafter, “CRAI Secom”), in which it holds a 19% stake.</w:t>
        <w:br/>
        <w:t>2. IBBA is wholly owned by ABBI Holding S.r.l. (hereinafter, “ABBI Group”), whose ownership can be traced back to individuals. The total revenue generated by the ABBI Group in 2023 was approximately [532-700]* million euros, almost entirely generated in Italy.</w:t>
        <w:br/>
        <w:t>3. CODÈ CRAI OVEST (hereinafter, “CODÈ” or “Target”) is a company active in the GDO sector, both through the 229 stores of the cooperative members, of which 219 are under the CRAI brand, and through another 174 affiliated stores owned by third parties, of which 20 are under the CRAI brand. All CODÈ stores are located in Piedmont, Liguria, Lombardy, and Aosta Valley, except for one store located in Malta. CODÈ is a member of the CRAI Secom purchasing center, in which it holds a 20% stake. The total revenue generated by CODÈ in 2023 was approximately [100-532] million euros, almost entirely generated in Italy.</w:t>
        <w:br/>
        <w:t>II. DESCRIPTION OF THE OPERATION</w:t>
        <w:br/>
        <w:t>4. The notified operation (hereinafter, “Operation”) consists of the acquisition of exclusive control of CODÈ by IBBA, through a subscription of shares in a capital increase. In particular, as a result of the Operation, IBBA will control CODÈ with a shareholding of 75% of the shares and the consequent appointment of the majority of the directors in the * In this version, some data is omitted, as elements of confidentiality or secrecy of the information were deemed to exist.</w:t>
      </w:r>
    </w:p>
    <w:p>
      <w:r>
        <w:rPr>
          <w:b/>
        </w:rPr>
        <w:t>[Pages 4–6]</w:t>
      </w:r>
    </w:p>
    <w:p>
      <w:r>
        <w:t>6 BULLETIN NO. 4 OF FEBRUARY 3, 2025</w:t>
      </w:r>
    </w:p>
    <w:p>
      <w:r>
        <w:t>Board of Directors. No veto rights are provided, either individually or cumulatively, for the shareholders holding the remaining 25% of the share capital. The Operation does not foresee ancillary restrictions.</w:t>
      </w:r>
    </w:p>
    <w:p>
      <w:r>
        <w:t>Furthermore, by virtue of the statutory provisions of CRAI Secom (a company currently participated in by both IBBA and the Target and other shareholders) regarding voting rights, [omissis], the Operation will not result in the acquisition of control by IBBA over the purchasing center CRAI Secom.</w:t>
      </w:r>
    </w:p>
    <w:p>
      <w:r>
        <w:t>5. The Operation is part of a negotiated settlement process for resolving the business crisis pursuant to Articles 12 and following of Legislative Decree No. 14/2019, which CODÈ initiated on June 28, 2024. From a strategic perspective, the Operation will allow IBBA to enter geographical markets in which it is currently not present.</w:t>
      </w:r>
    </w:p>
    <w:p>
      <w:r>
        <w:t>III. QUALIFICATION OF THE OPERATION</w:t>
      </w:r>
    </w:p>
    <w:p>
      <w:r>
        <w:t>6. The Operation, as it involves the acquisition of exclusive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exceeded 567 million euros and the total turnover achieved, in the last financial year at the national level, by at least two of the companies involved exceeded 35 million euros.</w:t>
      </w:r>
    </w:p>
    <w:p>
      <w:r>
        <w:t>IV. ASSESSMENT OF THE CONCENTRATION</w:t>
      </w:r>
    </w:p>
    <w:p>
      <w:r>
        <w:t>IV.1 The relevant product and geographical markets</w:t>
      </w:r>
    </w:p>
    <w:p>
      <w:r>
        <w:t>7. The Operation concerns the large-scale distribution (GDO) sector, in which entities operate with extremely diverse sizes, characteristics, and organizational formulas. A first distinction in this regard is made between Large Distribution, consisting of chains of retail outlets belonging to a single company or group of companies (so-called branch companies), and Organized Distribution, which includes chains of retail outlets belonging to legally distinct entrepreneurial entities (generally small or medium-sized companies), but linked by a relationship of voluntary collaboration, formalized through contractual obligations and/or associative formulas such as consortia, voluntary unions, consumer cooperatives, etc.</w:t>
      </w:r>
    </w:p>
    <w:p>
      <w:r>
        <w:t>8. Currently, despite the variety of their respective legal forms and organizational structures, groups of organized distribution can, in fact, be considered aggregations of retailers aimed at developing forms of more or less intense collaboration regarding various activities, primarily that of purchasing negotiations, logistics, branding policies, management of private label products, etc.</w:t>
      </w:r>
    </w:p>
    <w:p>
      <w:r>
        <w:t>9. Regarding the procurement policy, initially, individual retail outlets are grouped by a distribution center (or "CE.DI.") that represents the central facility of a chain of supermarkets or hypermarkets that receives the goods, stores them, and supplies the retail outlets. A second level of aggregation is represented by purchasing centers, which perform the task of centralized supply negotiations. In turn, purchasing centers can further aggregate into super centers.</w:t>
      </w:r>
    </w:p>
    <w:p>
      <w:r>
        <w:t>1 These include in particular: CRAI Soc. Coop. PA (32.25%), AMA CRAI EST Soc. Coop. (20%); CRAI Sardinia Consortium (1%); PADIAL S.p.A. (0.50%); New Grieco S.r.l. (3.25%), Regina S.r.l. (1.5%) and 2.5% of treasury shares.</w:t>
      </w:r>
    </w:p>
    <w:p>
      <w:r>
        <w:t>BULLETIN NO. 4 OF FEBRUARY 3, 2025</w:t>
      </w:r>
    </w:p>
    <w:p>
      <w:r>
        <w:t>10. Therefore, at the national level, competition within the GDO sector essentially develops among distribution chains, understood as sets of retail outlets that operate with substantial uniformity in branding and image. Competitive comparison occurs on the overall size of the chain itself, the image and penetration capacity of the brand, the location of retail outlets, the coverage of different local markets, procurement policies, etc.</w:t>
      </w:r>
    </w:p>
    <w:p>
      <w:r>
        <w:t>11. At the local level, on the other hand, competitive comparison takes place more properly on consumer-directed policies, focused on selling prices, assortment, promotions, loyalty policies at the retail outlet, and, more generally, commercial strategies at the retail level.</w:t>
      </w:r>
    </w:p>
    <w:p>
      <w:r>
        <w:t>12. In light of the above, it is possible to identify, firstly, the national market for the procurement of food and non-food consumer goods and, secondly, the local markets for the retail sale of food and non-food consumer goods.</w:t>
      </w:r>
    </w:p>
    <w:p>
      <w:r>
        <w:t>i) The markets for the procurement of food and non-food consumer goods</w:t>
      </w:r>
    </w:p>
    <w:p>
      <w:r>
        <w:t>13. The procurement markets concern purchases made by GDO chains directly from producers for resale in the modern distribution channel. Since the service offered by the GDO to consumers consists of the possibility of purchasing, in a single retail outlet, the entire basket of food and daily-use consumer goods, each belonging to a distinct product category, it seems appropriate to identify different procurement markets, distinct by product categories.</w:t>
      </w:r>
    </w:p>
    <w:p>
      <w:r>
        <w:t>14. From a geographical perspective, the procurement markets, where chains operate on the demand side and producers on the supply side, generally have a national dimension, with both purchases and related negotiations taking place at the national level. Only certain categories of fresh or locally typical products, characterized by more limited market sizes, are exceptions.</w:t>
      </w:r>
    </w:p>
    <w:p>
      <w:r>
        <w:t>15. In the procurement markets, the purchasing power of the operators adhering to the center can be approximated by the shares of total sales held at the national level by the participating companies.</w:t>
      </w:r>
    </w:p>
    <w:p>
      <w:r>
        <w:t>ii) The markets for the retail sale of food and non-food consumer goods</w:t>
      </w:r>
    </w:p>
    <w:p>
      <w:r>
        <w:t>16. In the retail markets for food and non-food consumer goods, through GDO retail outlets, various operators are active at the national level, characterized by different sizes and organizational formulas. In particular, within the GDO, the following types of retail outlets are distinguished: hypermarkets, supermarkets, convenience stores, and discount stores.</w:t>
      </w:r>
    </w:p>
    <w:p>
      <w:r>
        <w:t xml:space="preserve">17. In the context of the most recent measures related to concentration operations in the GDO sector, the Authority has, firstly, included retail outlets managed under the discount formula in the relevant markets related to the corresponding types of GDO retail outlets, namely convenience stores (100-399 sqm), supermarkets (400-2,499 sqm), and hypermarkets (2,500 sqm and above), as they are considered by consumers to be a substitutable purchase option with such other types of GDO retail outlets. Furthermore, with reference to hypermarkets, supermarkets, and convenience stores, the Authority has defined the following markets from a product perspective: </w:t>
        <w:br/>
        <w:t xml:space="preserve">i. the market for convenience stores, including all retail outlets sized between 100 and 2,499 sqm (i.e., convenience stores, supermarkets, and discount stores sized below 2,500 sqm); </w:t>
        <w:br/>
        <w:t xml:space="preserve">ii. the market for supermarkets, including all retail outlets sized from 100 sqm and above (i.e., supermarkets, convenience stores, hypermarkets, and discount stores); </w:t>
        <w:br/>
        <w:t>iii. the market for hypermarkets, including all retail outlets sized from 400 sqm and above (i.e., hypermarkets, supermarkets, and discount stores sized equal to or greater than 400 sqm).</w:t>
      </w:r>
    </w:p>
    <w:p>
      <w:r>
        <w:t>18. From a geographical perspective, the markets in question have a local extension and can be defined by isochrone curves centered on Target retail outlets with a width of 10 minutes of driving for the convenience store market and 15 minutes of driving for the supermarket and hypermarket markets. Within the GDO, according to a now consolidated approach of the Authority, relevant markets have been identified distinct for each of the aforementioned distribution types.</w:t>
      </w:r>
    </w:p>
    <w:p>
      <w:r>
        <w:t>IV.1.2 Effects of the Operation</w:t>
      </w:r>
    </w:p>
    <w:p>
      <w:r>
        <w:t>19. The Operation is not suitable to produce distortions for competition. In fact, with reference to the local markets for the retail sale of food and non-food consumer goods, the buyer and the Target operate in distinct geographical areas and, therefore, there are no horizontal overlaps. In particular, while the Target has retail outlets in Piedmont, Liguria, Lombardy, and Aosta Valley, IBBA is active in Central Italy (Lazio, Umbria, Marche, Abruzzo, and Molise) and in Sardinia. Therefore, as these are local markets with a geographical perimeter defined by isochrones between 10-15 minutes, there are no risks of effects in terms of reducing competitive pressure.</w:t>
      </w:r>
    </w:p>
    <w:p>
      <w:r>
        <w:t>20. With reference to the procurement of food and non-food consumer goods, at the national level, it is noted that both parties belong to the purchasing center (CRAI Secom) and the super purchasing center (FORUM), therefore, the Operation, not involving the increase of new retail outlets within these centers, does not result in any variation in their market power, which is also contained as the national market share held by FORUM is approximately [5-10%].</w:t>
      </w:r>
    </w:p>
    <w:p>
      <w:r>
        <w:t>21. In light of the preceding considerations, the Operation does not appear to significantly hinder effective competition in the relevant markets and does not lead to the establishment or strengthening of a dominant position.</w:t>
      </w:r>
    </w:p>
    <w:p>
      <w:r>
        <w:t>THEREFORE, CONSIDERING that the Operation does not significantly hinder effective competition in the relevant markets pursuant to Article 6, paragraph 1, of Law No. 287/1990 and does not involve the establishment or strengthening of a dominant position;</w:t>
      </w:r>
    </w:p>
    <w:p>
      <w:r>
        <w:t>RESOLVES</w:t>
      </w:r>
    </w:p>
    <w:p>
      <w:r>
        <w:t>not to initiate the investigation referred to in Article 16, paragraph 4, of Law No. 287/1990.</w:t>
      </w:r>
    </w:p>
    <w:p>
      <w:r>
        <w:rPr>
          <w:b/>
        </w:rPr>
        <w:t>[Pages 7–9]</w:t>
      </w:r>
    </w:p>
    <w:p>
      <w:r>
        <w:t>BULLETIN NO. 4 OF FEBRUARY 3, 2025</w:t>
      </w:r>
    </w:p>
    <w:p>
      <w:r>
        <w:t>9</w:t>
        <w:br/>
        <w:t>The above conclusions will be communicated, pursuant to Article 16, paragraph 4, of Law No. 287/1990, to the interested companies and to the Minister of Enterprises and Made in Italy. This provision will be published in the Bulletin of the Authority for Competition and the Market.</w:t>
      </w:r>
    </w:p>
    <w:p>
      <w:r>
        <w:t>THE SECRETARY GENERAL THE PRESIDENT</w:t>
        <w:br/>
        <w:t>Guido Stazi Roberto Rustichelli</w:t>
      </w:r>
    </w:p>
    <w:p>
      <w:r>
        <w:t>10 BULLETIN NO. 4 OF FEBRUARY 3, 2025</w:t>
      </w:r>
    </w:p>
    <w:p>
      <w:r>
        <w:t>C12695 - FIBONACCI BIDCO/QUID INFORMATICA</w:t>
        <w:br/>
        <w:t>Provision No. 31437</w:t>
        <w:br/>
        <w:t>THE AUTHORITY FOR COMPETITION AND THE MARKET</w:t>
        <w:br/>
        <w:t>IN ITS MEETING of January 14, 2025;</w:t>
        <w:br/>
        <w:t>HEARD the Rapporteur, Professor Elisabetta Iossa;</w:t>
        <w:br/>
        <w:t>HAVING REGARD TO Regulation (EC) No. 139/2004;</w:t>
        <w:br/>
        <w:t>HAVING REGARD TO Law No. 287 of October 10, 1990;</w:t>
        <w:br/>
        <w:t>HAVING REGARD TO the D.P.R. No. 217 of April 30, 1998;</w:t>
        <w:br/>
        <w:t>HAVING REGARD TO the communication from Fibonacci S.p.A., received on December 23, 2024;</w:t>
        <w:br/>
        <w:t>HAVING REGARD TO the documentation on file;</w:t>
        <w:br/>
        <w:t>CONSIDERED the following:</w:t>
      </w:r>
    </w:p>
    <w:p>
      <w:r>
        <w:t>I. THE PARTIES</w:t>
        <w:br/>
        <w:t>a) The Acquirer</w:t>
        <w:br/>
        <w:t>1. Fibonacci Bidco S.p.A. (hereinafter, “Fibonacci”) is a holding company that currently does not engage in any economic activity. Fibonacci is indirectly and wholly controlled by the Apax Fund, an investment fund assisted by Apax Partners LLP (hereinafter, “AP”). AP is the parent company of several entities that provide investment assistance services in private equity funds (“AP Funds”) across various industrial sectors, including technology services, software provision, telecommunications, medical technologies, pharmaceuticals, healthcare services, retail, marketing services, and e-commerce. In 2023, globally, the portfolio companies in which the AP Funds held a controlling interest generated revenues of approximately [10-20]* billion euros, of which about [6-7] billion euros in Europe and [1-2] billion euros in Italy.</w:t>
      </w:r>
    </w:p>
    <w:p>
      <w:r>
        <w:t>b) The Target and the Sellers</w:t>
        <w:br/>
        <w:t>2. Quid Informatica S.p.A. (hereinafter, “Quid” or “Target” and, together with Fibonacci, the “Parties”) is a provider of IT services and software development for the banking and financial sector, whose ownership is held by Sailing Investment S.à.r.l., a Luxembourg company owned by the Equinox investment funds, and by QBS S.p.A., a vehicle company for the management of Quid (hereinafter, the “Sellers”). The revenue attributable to Quid for 2023 is approximately [35-100] million euros, generated in Italy, except for a limited portion generated outside the national territory amounting to [omitted].</w:t>
      </w:r>
    </w:p>
    <w:p>
      <w:r>
        <w:t>II. DESCRIPTION OF THE OPERATION</w:t>
        <w:br/>
        <w:t>3. The operation in question consists of the acquisition, for consideration, of the entire share capital of Quid and consequently its majority stake (60%) in the subsidiary Cabel Industry S.p.A., a company operating in IT outsourcing services to banks and financial institutions. * In this version, some data are omitted, as elements of confidentiality or secrecy of the information were deemed to exist.</w:t>
      </w:r>
    </w:p>
    <w:p>
      <w:r>
        <w:t>BULLETIN NO. 4 OF FEBRUARY 3, 2025</w:t>
      </w:r>
    </w:p>
    <w:p>
      <w:r>
        <w:t>11</w:t>
        <w:br/>
        <w:t>The additional companies controlled by Quid, namely Quin S.r.l. and Qi-Lab S.r.l., are not included in the scope of the Operation. [Omitted].</w:t>
      </w:r>
    </w:p>
    <w:p>
      <w:r>
        <w:t>III. QUALIFICATION OF THE OPERATION</w:t>
        <w:br/>
        <w:t>4. The notified Operation constitutes a concentration pursuant to Article 5, paragraph 1, letter b), of Law No. 287/1990, as it involves the acquisition of control of an enterprise. The Operation falls within the scope of application of Law No. 287/1990, as the conditions set out in Article 1 of Regulation (EC) No. 139/2004 do not apply, and is subject to the obligation of prior notification provided for by Article 16, paragraph 1, of the same law, as the total revenue generated, in the last financial year at the national level, by the group of interested companies exceeded 567 million euros and the total revenue generated, in the last financial year at the national level, individually by at least two of the interested companies, exceeded 35 million euros.</w:t>
      </w:r>
    </w:p>
    <w:p>
      <w:r>
        <w:t>IV. ASSESSMENT OF THE CONCENTRATION</w:t>
        <w:br/>
        <w:t>Relevant markets</w:t>
        <w:br/>
        <w:t>5. Due to the activities carried out by the companies involved in the Operation, it concerns:</w:t>
        <w:br/>
        <w:t>i) the market for information technology (IT) services;</w:t>
        <w:br/>
        <w:t>ii) the market for the development and provision of enterprise software.</w:t>
      </w:r>
    </w:p>
    <w:p>
      <w:r>
        <w:t>(i) The market for information technology (IT) services</w:t>
        <w:br/>
        <w:t xml:space="preserve">6. With regard to the IT services market, it is preliminarily noted that in the decision-making practice of the European Commission and the Authority, this market has generally been considered segmentable based on the functionality of the services offered and the industrial sectors concerned by the provision of such services. </w:t>
        <w:br/>
        <w:t>7. In this case, taking into account the activities carried out by the Parties, the IT services market can be divided, based on the functionality of the service, into the following six segments: (i) consulting, (ii) application implementation and managed services, (iii) infrastructure implementation and managed services, (iv) business processing services, (v) infrastructure as a service, (vi) hardware support. Furthermore, the IT services market can be segmented by industrial sector into: (i) banking and credit securities, (ii) communication, (iii) media, (iv) education, (v) healthcare services, (vi) government, (vii) insurance, (viii) manufacturing industry and natural resources, (ix) retail, (x) transportation, (xi) public service, (xii) wholesale trade. In any case, for the purposes of this assessment, the exact definition of the product market can be left open, as – with reference to the identified industrial sector (banking) –</w:t>
      </w:r>
    </w:p>
    <w:p>
      <w:r>
        <w:t xml:space="preserve">1 Pursuant to the consolidated Communication of the Commission on the criteria for jurisdiction under Regulation (EC) No. 139/2004 of the Council concerning the control of concentrations between enterprises. </w:t>
        <w:br/>
        <w:t xml:space="preserve">2 See, among others, COMP/M.9205 – IBM/Red Hat, Commission decision of June 27, 2019 and COMP/M.7458 – IBM/INF Business of Deutsche Lufthansa, Commission decision of December 15, 2014. </w:t>
        <w:br/>
        <w:t xml:space="preserve">3 See, among others, Provision No. 30790 of September 26, 2023, case C12564 – Fibonacci Bidco/OCS, Provision No. 30515 of March 14, 2023, case C12516 – Lutech/Atos Italia and Provision No. 30278 of August 4, 2022, case C12466 – Engineering Ingegneria Informatica/BE Shaping the Future. </w:t>
        <w:br/>
        <w:t xml:space="preserve">4 See Provision No. 30790 of September 26, 2023, case C12564 – Fibonacci Bidco/OCS. </w:t>
        <w:br/>
        <w:t>5 Ibidem.</w:t>
      </w:r>
    </w:p>
    <w:p>
      <w:r>
        <w:rPr>
          <w:b/>
        </w:rPr>
        <w:t>[Pages 10–12]</w:t>
      </w:r>
    </w:p>
    <w:p>
      <w:r>
        <w:t>12 BULLETIN NO. 4 OF FEBRUARY 3, 2025</w:t>
      </w:r>
    </w:p>
    <w:p>
      <w:r>
        <w:t>The operation does not raise concerns regarding competition protection either in the IT services market or in each of the segments identified based on the functionality of the service.</w:t>
      </w:r>
    </w:p>
    <w:p>
      <w:r>
        <w:t>8. From a geographical perspective, the aforementioned IT services market can be conservatively considered to coincide with the national territory, given that the Authority, in its precedents, has noted the homogeneity of competitive conditions across the national territory and the absence of significant IT services imports, leaning towards a national market dimension despite a trend towards the internationalization of demand and supply, as noted by the European Commission. For the purposes of this assessment, the exact definition of the geographical market can therefore be left open since, even adopting the narrower definition (national market), the aggregated share in the IT services market is quite limited.</w:t>
      </w:r>
    </w:p>
    <w:p>
      <w:r>
        <w:t>(ii) The market for the development and provision of enterprise software</w:t>
      </w:r>
    </w:p>
    <w:p>
      <w:r>
        <w:t>9. With regard to the development and provision of enterprise software, considered as a distinct product market, it is noted that the Target company generates part of its revenue from the sale of licenses for a proprietary software product, falling within the market of Enterprise Application System Software (hereinafter "EAS"), that is, software that supports the main business functions of companies. In its precedents, the European Commission has considered that the EAS software solutions market could be segmented into: (i) enterprise resource planning, (ii) customer relationship management, (iii) supply chain management, (iv) project and portfolio management, and (v) analytical platforms.</w:t>
      </w:r>
    </w:p>
    <w:p>
      <w:r>
        <w:t>To date, the described classification can be updated by dividing software solutions according to the following model: (i) enterprise resource planning, (ii) customer relationship management, (iii) supply chain management, (iv) project and portfolio management, (v) analytical platforms, (vi) other application software, (vii) email and authoring, (viii) content services.</w:t>
      </w:r>
    </w:p>
    <w:p>
      <w:r>
        <w:t>The Commission has also analyzed the possibility that the various EAS segments could be further subdivided by industry, generally leaving open the possibility that each sector constitutes a distinct product market.</w:t>
      </w:r>
    </w:p>
    <w:p>
      <w:r>
        <w:t>In this specific case, for the purposes of this assessment, the exact product market delineation can still be left open, considering the circumstance that, with reference to the identified industry sector (banking), the operation does not raise concerns regarding competition protection.</w:t>
      </w:r>
    </w:p>
    <w:p>
      <w:r>
        <w:t>10. With reference to the geographical definition, in this case, the breadth of the EAS software solutions market can conservatively be considered to be of national dimension, taking into account the circumstance that the Target company generates almost all of its revenues in Italy, where its main clientele is located.</w:t>
      </w:r>
    </w:p>
    <w:p>
      <w:r>
        <w:t>11. As for IT services, even if the relevant market were defined based on the industrial sectors in which the Parties operate, there do not appear to be any competitive issues. In particular, it is noted that in 2023 the aggregated market shares of the Parties for IT services are approximately [5-10%] in the banking and credit securities sector, in a competitive context characterized by qualified operators of significant size (Reply, Accenture, Engineering Group, Kyndryl), which hold market shares ranging from 5% to 10%, with values even higher in certain segments.</w:t>
      </w:r>
    </w:p>
    <w:p>
      <w:r>
        <w:t>It should be noted that the aforementioned assessment is also cautious, as in evaluating the market size, the value of IT services provided by financial institutions in self-production is not taken into account, while in evaluating the post-merger market shares, the prospective revenue derived from the development of new businesses resulting from recent acquisition operations carried out by the Acquirer is also considered.</w:t>
      </w:r>
    </w:p>
    <w:p>
      <w:r>
        <w:t>Furthermore, from a competitive standpoint, it is noted that the Acquirer and the Seller serve a different type of clients, both in relation to size (small and large credit institutions) and with reference to the nature of the activity (banks vs. consumer credit specialists).</w:t>
      </w:r>
    </w:p>
    <w:p>
      <w:r>
        <w:t>12. Similar considerations regarding the limited horizontal overlap between the activities of the Parties are reached by adopting the classification by functionality and prudentially analyzing, again for the banking and credit securities sector, the three different segments in which the Target, the Acquirer, and other portfolio companies controlled by the AP Funds are active (application implementation and management services, business processing services, and infrastructure implementation and management services).</w:t>
      </w:r>
    </w:p>
    <w:p>
      <w:r>
        <w:t>It should be noted that within the application implementation and management segment, where the highest values of joint market shares are recorded, in 2023 the Target held a market share of [1-5%] and the AP Funds [5-10%]. Therefore, as a result of the Operation, the companies involved will have a total market share of [5-10%], in a context where, as mentioned in the previous point, multinational companies with significant market shares operate.</w:t>
      </w:r>
    </w:p>
    <w:p>
      <w:r>
        <w:t>13. Regarding the other segments of IT services, horizontal overlaps are also modest.</w:t>
      </w:r>
    </w:p>
    <w:p>
      <w:r>
        <w:t>The combined share in the business processing segment is [5-10%], with pre-merger market shares of [1-5%] for the Target and [1-5%] for the AP Funds, while for the infrastructure implementation and management segment, the Target holds a negligible market share of [less than 1%] while the AP Funds have a share of [1-5%], resulting in a post-merger value of [1-5%], in a market where structured multinational operators such as IBM, Accenture, and Engineering are active.</w:t>
      </w:r>
    </w:p>
    <w:p>
      <w:r>
        <w:t>(ii) The market for the production and marketing of enterprise software</w:t>
      </w:r>
    </w:p>
    <w:p>
      <w:r>
        <w:t>14. In the market for the production and marketing of enterprise software, even adopting the narrower definition of the relevant market, namely the provision of EAS products aimed at the banking sector in Italy, and taking into account the aforementioned prospective revenue projections resulting from recent acquisitions made by the Acquirer, the joint share of the companies involved is negligible, being approximately [1-5%] of the market, with a post-merger share increase of less than 1%.</w:t>
      </w:r>
    </w:p>
    <w:p>
      <w:r>
        <w:t>15. Similar evaluations regarding the limited horizontal overlap between the activities of the Parties are reached by cautiously analyzing, again for the banking and credit securities sector, the three different segments in which the Target, the Acquirer, and other portfolio companies controlled by the AP Funds are active (customer relationship management – CRM, enterprise resource planning – ERP, other application software). In this case, the Operation will result in a negligible increase in market share.</w:t>
      </w:r>
    </w:p>
    <w:p>
      <w:r>
        <w:t>16. In particular, in the "Customer Relationship Management" (CRM) segment, the aggregated market share will be [1-5%], in "Other application software" [5-10%], while in "Enterprise Resource Planning" (ERP) the final value will be the highest, amounting to [5-10%] in a market where, on the demand side, the clients of the Target are mainly large banks capable of exerting significant bargaining power and, on the supply side, suppliers such as Zucchetti, SAP, Oracle, and Microsoft operate, capable of exerting significant competitive pressure.</w:t>
      </w:r>
    </w:p>
    <w:p>
      <w:r>
        <w:t>17. As for the possible vertical effects of the operation, it is noted that some companies belonging to the portfolio of the parent company of the acquiring company could be potential suppliers of the Target, but these companies are active outside the European Economic Area. Furthermore, the absence among the companies controlled by the AP Funds of companies operating in the sectors targeted by the services offered by the Target tends to exclude potential customer relationships.</w:t>
      </w:r>
    </w:p>
    <w:p>
      <w:r>
        <w:t>18. Therefore, for the reasons stated above, due to the marginality of the shares held by the Target in each of the considered markets and in light of the negligible horizontal overlaps and the substantial absence of vertical effects between the Parties, it can be concluded that the operation in question does not appear to be capable of bringing about a significant change in the structure of such markets in the segments where overlaps exist.</w:t>
      </w:r>
    </w:p>
    <w:p>
      <w:r>
        <w:t>CONSIDERING, therefore, that the operation in question does not significantly impede effective competition in the relevant market pursuant to Article 6, paragraph 1, of Law No. 287/1990 and does not result in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provision will be published in the Bulletin of the Authority for Competition and Market.</w:t>
      </w:r>
    </w:p>
    <w:p>
      <w:r>
        <w:t>THE SECRETARY GENERAL THE PRESIDENT</w:t>
      </w:r>
    </w:p>
    <w:p>
      <w:r>
        <w:t>Guido Stazi Roberto Rustichelli</w:t>
      </w:r>
    </w:p>
    <w:p>
      <w:r>
        <w:rPr>
          <w:b/>
        </w:rPr>
        <w:t>[Pages 13–15]</w:t>
      </w:r>
    </w:p>
    <w:p>
      <w:r>
        <w:t>BULLETIN NO. 4 OF FEBRUARY 3, 2025</w:t>
      </w:r>
    </w:p>
    <w:p>
      <w:r>
        <w:t>16 BULLETIN NO. 4 OF FEBRUARY 3, 2025</w:t>
      </w:r>
    </w:p>
    <w:p>
      <w:r>
        <w:t>REPORTING AND CONSULTATIVE ACTIVITY</w:t>
      </w:r>
    </w:p>
    <w:p>
      <w:r>
        <w:t>AS2049 - VERITAS SPA - INTERNALIZATION OF THE RELINING SERVICE</w:t>
      </w:r>
    </w:p>
    <w:p>
      <w:r>
        <w:t>Rome, November 6, 2024</w:t>
      </w:r>
    </w:p>
    <w:p>
      <w:r>
        <w:t>Municipalities shareholders of Veneziana Energia Risorse Idriche Territorio Ambiente Servizi V.E.R.I.T.A.S. S.p.A.</w:t>
      </w:r>
    </w:p>
    <w:p>
      <w:r>
        <w:t>The Authority for Competition and Market, in its meeting of October 29, 2024, resolved to issue a reasoned opinion, pursuant to Article 21-bis of Law No. 287 of October 10, 1990, regarding the inertia exhibited by the municipalities shareholders of Veneziana Energia Risorse Idriche Territorio Ambiente Servizi V.E.R.I.T.A.S. S.p.A. (hereinafter, “V.E.R.I.T.A.S.”) for failing to adopt and transmit to the Authority, pursuant to Legislative Decree No. 175 of August 9, 2016, containing the “Consolidated Text on Publicly Held Companies” (hereinafter, “TUSPP”), the deliberative acts related to the internalization of the relining activity of the V.E.R.I.T.A.S. Group, carried out in July 2023 through the acquisition by the subsidiary Lecher Ricerche e Analisi S.r.l. of the entire share capital of the company Euroscavi S.r.l. The Authority became aware of this circumstance on September 10, 2024, following the response provided to a specific request for information sent to V.E.R.I.T.A.S.</w:t>
      </w:r>
    </w:p>
    <w:p>
      <w:r>
        <w:t>In this regard, the Authority intends to make the following considerations.</w:t>
      </w:r>
    </w:p>
    <w:p>
      <w:r>
        <w:t>First of all, there is no doubt that, contrary to what V.E.R.I.T.A.S. claims, the TUSPP applies to Public Administrations that are shareholders of listed companies. As is known, Article 1, paragraph 1, letter p), of the TUSPP includes in the definition of listed companies both publicly held companies that issue shares listed on regulated markets and “companies that have issued, as of December 31, 2015, financial instruments, other than shares, listed on regulated markets.” This qualification is relevant for identifying the provisions of the TUSPP applicable to (or derogable by) companies falling within the definition of listed, but not to the Public Administrations that remain subject to the obligations of the TUSPP, regardless of the nature of the established or participated company.</w:t>
      </w:r>
    </w:p>
    <w:p>
      <w:r>
        <w:t>In fact, Article 1, paragraph 5, of the TUSPP provides that “the provisions of this decree apply, only if expressly provided, to listed companies, as defined by Article 2, paragraph 1, letter p), as well as to the companies controlled by them.”</w:t>
      </w:r>
    </w:p>
    <w:p>
      <w:r>
        <w:t>As suggested by the very wording of the TUSPP, the restriction of the scope of the provisions applicable to listed companies is limited to the rules of the TUSPP that are directed at the companies (such as, for example, those concerning the regulation of directors and employees), but does not affect in any way the applicability of the provisions of the Consolidated Text instead directed at Public Administrations, even if they are shareholders of listed companies.</w:t>
      </w:r>
    </w:p>
    <w:p>
      <w:r>
        <w:t>This interpretation is consistent with what has been repeatedly stated by administrative and accounting jurisprudence, according to which: “Article 1, paragraph 5, of Legislative Decree No. 175 of 2016, in stating that the provisions of the decree apply, only if expressly provided, to listed companies, seems to refer to the norms that have as direct addressees the same companies (such as, for example, those dictated by Articles 11 and 19, concerning directors and employees), not instead to those that have as addressees the shareholder administrations, such as those that impose the approval of revision plans. To opine otherwise would legitimize, due to the listing on regulated markets, the holding of companies not related to the institutional mission of the shareholder administrations (Article 4) or acquired/established without prior authorization from the competent body duly motivated (Articles 5 and 7), etc.”</w:t>
      </w:r>
    </w:p>
    <w:p>
      <w:r>
        <w:t>The same interpretation can also be inferred from a systematic reading of the TUSPP. In fact, Article 14, paragraph 5, directed at Public Administrations and aimed at prohibiting capital increases, extraordinary transfers, credit openings, and the granting of guarantees in favor of participated companies that have recorded operating losses or used available reserves for the recovery of losses, even interim, provides for an express derogation in the case where the participation concerns listed companies. It goes without saying that this derogation would not have been necessary if Article 1, paragraph 5, of the TUSPP contained a generalized exclusion clause. Similarly, Article 18 of the TUSPP, in providing that the listing of shares (or other financial instruments) on regulated markets by a publicly controlled company is preceded by the adoption by the shareholder Administration of a analytically motivated resolution (and that also provides for a specific program aimed at maintaining or progressively divesting public control over the listed company), confirms that the legislator does not legitimize outright the participation of a Public Administration in a listed company, but still conditions the possibility on compliance with a predetermined procedure.</w:t>
      </w:r>
    </w:p>
    <w:p>
      <w:r>
        <w:t>Conversely, reasoning in the opposite direction, one would end up considering permissible any operation of establishment or acquisition of participation in listed companies by Public Administrations, regardless of the existence of the strict necessity constraint, as well as the economic convenience and financial sustainability of the operation, creating a sort of “free zone” that would escape any motivational burden, as well as any control by both the Authority and the Court of Auditors, in disregard of the very purposes of the TUSPP, namely, “the efficient management of public participations, the protection and promotion of competition and the market, as well as the rationalization and reduction of public spending” (Article 1, paragraph 2, of the TUSPP).</w:t>
      </w:r>
    </w:p>
    <w:p>
      <w:r>
        <w:t>Therefore, the Authority believes that the establishment of or the acquisition of participations in listed companies, or in companies controlled by them, must comply with the obligation to adopt a specific resolution by the administrations, pursuant to Articles 7 and 8 of the TUSPP, which is analytically motivated according to the provisions of Article 5 of the TUSPP, as well as the consequent obligation to transmit the deliberative act to the Authority - pursuant to Article 5, paragraph 3 - so that it can proceed with the possible exercise of the advocacy powers referred to in Article 21-bis of Law No. 287/1990.</w:t>
      </w:r>
    </w:p>
    <w:p>
      <w:r>
        <w:t>1 Court of Auditors, Joined Sections in the control phase, resolution No. 19/SSRRCO/2020/REF of December 2, 2020.</w:t>
      </w:r>
    </w:p>
    <w:p>
      <w:r>
        <w:t>2 In particular, Article 8 of the TUSPP provides that operations involving the acquisition by a Public Administration of participations in already existing companies must be resolved according to the methods referred to in Article 7, paragraphs 1 and 2, of the TUSPP and that any lack or invalidity of said deliberative act renders ineffective the</w:t>
      </w:r>
    </w:p>
    <w:p>
      <w:r>
        <w:rPr>
          <w:b/>
        </w:rPr>
        <w:t>[Pages 16–18]</w:t>
      </w:r>
    </w:p>
    <w:p>
      <w:r>
        <w:t>18 BULLETIN NO. 4 OF FEBRUARY 3, 2025</w:t>
      </w:r>
    </w:p>
    <w:p>
      <w:r>
        <w:t>It should be noted that Article 5 of the TUSPP imposes on the Public Administration that chooses to pursue the public interest through the corporate model (by establishing a company or acquiring shares, even indirectly, in existing companies) a precise obligation of analytical motivation, which aligns with the general principle inherent in our legal system according to which every administrative decision must be duly motivated (see Article 3 of Law No. 241 of August 7, 1990).</w:t>
      </w:r>
    </w:p>
    <w:p>
      <w:r>
        <w:t>The motivation that the Administration must provide in its deliberative act pursuant to the TUSPP is particularly detailed, as it must first account for the necessity of the company for the pursuit of the institutional objectives of the Administration, as outlined in Article 4 of the TUSPP, as well as demonstrate the compatibility of resorting to the corporate instrument with the constitutional principles of budget balance (Article 97, paragraph 1, of the Constitution) and the proper functioning of the Public Administration (Article 97, paragraph 2, of the Constitution), presenting the reasons and objectives that justify the choice, also in terms of economic convenience and financial sustainability, as well as direct or outsourced management of the entrusted service or activity, the compatibility of the choice with the principles of efficiency, effectiveness, and economy of administrative action, and the compatibility of the planned financial intervention with the rules of European treaties and, in particular, with the regulations on state aid to enterprises.</w:t>
      </w:r>
    </w:p>
    <w:p>
      <w:r>
        <w:t>The provision of Article 5 of the TUSPP reflects a favor of the legal system for the promotion of competition, implying that the Administration can directly or indirectly take over the management of entrepreneurial activities only if (and to the extent that) it is able to do so under more favorable conditions than those offered by the market. Consequently, the choice to remove the assignment of a service or activity from the physiological market comparison, opting for the self-production solution, must necessarily be based on objective and carefully evaluated data, such as to justify the sacrifice that such a choice entails for the freedom of competition, which must be included in the deliberative acts of the Administration and communicated to the Authority, to allow it to scrutinize them and possibly intervene pursuant to Article 21-bis of Law No. 287/1990. In fact, the establishment of new public participation companies or the acquisition of corporate shares by Public Administrations, if carried out in violation of the TUSPP rules, constitutes by definition an area in which the Authority is entitled to intervene.</w:t>
      </w:r>
    </w:p>
    <w:p>
      <w:r>
        <w:t>The function attributed to the Authority, as confirmed by case law, has the clear intent of scrutinizing the legal and economic assumptions of the Administration's choice before it is implemented, due to the effects that the birth of a new corporate entity or public intervention in an already existing reality can have on the market and competition (as well as on public finance, committing resources derived from the Administration's budget). In this perspective, the provisions of Article 5 TUSPP impose a rigorous burden of analytical motivation of the deliberative act, as well as the related communication to the Authority, in order to promptly intercept any competitive criticalities.</w:t>
      </w:r>
    </w:p>
    <w:p>
      <w:r>
        <w:t>In the situation at hand, the Authority believes that the inertia maintained by the Public Administrations that are shareholders of V.E.R.I.T.A.S., for having failed to adopt and transmit, since July 2023, the deliberative acts approving the operation in question to be taken pursuant to the TUSPP, not only constitutes a violation of the obligations set forth in Articles 5, 7, and 8 of the same TUSPP, but has also translated into an obstacle to the performance of the institutional tasks of the Authority, ensuring and protecting competition and the market. In fact, the failure to communicate the operation has prevented the Authority from potentially exercising the powers provided for in Article 21-bis of Law No. 287/1990 and still prevents a complete analysis of the effects of the operation on the affected market.</w:t>
      </w:r>
    </w:p>
    <w:p>
      <w:r>
        <w:t>Specifically, there has been a lack of adoption and transmission of the resolutions containing an analysis that accounted for the necessity of the internalization of the company Euroscavi S.r.l. by the company Lecher Ricerche e Analisi S.r.l., controlled by V.E.R.I.T.A.S., for the pursuit of the institutional objectives of the shareholder Administrations and, above all, of the economic convenience and financial sustainability of the operation in light of the principles of efficiency, effectiveness, and economy, with reference both to the choice to internalize the relining activity and to the choice of the economic operator to be internalized.</w:t>
      </w:r>
    </w:p>
    <w:p>
      <w:r>
        <w:t>Pursuant to Article 21-bis, paragraph 2, of Law No. 287/1990, the interested Municipalities must communicate to the Authority, within sixty days from the receipt of this opinion, the initiatives taken to remove the aforementioned competition violations. If within the aforementioned term such initiatives do not prove to be compliant with the above-expressed competition principles, the Authority may file an appeal within the following thirty days.</w:t>
      </w:r>
    </w:p>
    <w:p>
      <w:r>
        <w:t>THE PRESIDENT</w:t>
        <w:br/>
        <w:t>Roberto Rustichelli</w:t>
      </w:r>
    </w:p>
    <w:p>
      <w:r>
        <w:t>_______________________________________________________________________________</w:t>
      </w:r>
    </w:p>
    <w:p>
      <w:r>
        <w:t>20 BULLETIN NO. 4 OF FEBRUARY 3, 2025</w:t>
      </w:r>
    </w:p>
    <w:p>
      <w:r>
        <w:t>Communication regarding the non-compliance of the Municipalities that are shareholders of the company Veneziana Energia Risorse Idriche Territorio Ambiente Servizi V.E.R.I.T.A.S. S.p.A. with the reasoned opinion expressed by the Authority pursuant to Article 21-bis of Law No. 287/1990, against the inertia of the Municipalities for failing to adopt and transmit to the Authority, pursuant to the TUSPP, the deliberative acts related to the internalization of the relining activity of the V.E.R.I.T.A.S. Group, carried out in July 2023 through the purchase by the subsidiary Lecher Ricerche e Analisi S.r.l. of the entire share capital of the company Euroscavi S.r.l.</w:t>
      </w:r>
    </w:p>
    <w:p>
      <w:r>
        <w:t>The Authority, on October 29, 2024, decided to issue a reasoned opinion to the Municipalities that are shareholders of the company Veneziana Energia Risorse Idriche Territorio Ambiente Servizi V.E.R.I.T.A.S. S.p.A. (“V.E.R.I.T.A.S.”), pursuant to Article 21-bis of Law No. 287/1990, regarding the inertia maintained by the Municipalities for failing to adopt and transmit to the Authority, pursuant to Legislative Decree No. 175/2016, containing the “Consolidated Text on Public Participation Companies” (“TUSPP”), the deliberative acts related to the internalization of the relining activity of the V.E.R.I.T.A.S. Group, carried out in July 2023 through the purchase by the subsidiary Lecher Ricerche e Analisi S.r.l. of the entire share capital of the company Euroscavi S.r.l.</w:t>
      </w:r>
    </w:p>
    <w:p>
      <w:r>
        <w:t>The Authority noted that the TUSPP applies to Public Administrations that are shareholders of listed companies and that the failure to adopt and transmit the deliberative acts approving the operation in question constituted a violation of the obligations set forth in Articles 5, 7, and 8 of the TUSPP and also translated into an obstacle to the performance of the institutional tasks of the Authority, ensuring and protecting competition and the market. In fact, the failure to communicate the operation has prevented the Authority from potentially exercising the powers provided for in Article 21-bis of Law No. 287/1990, as well as a complete analysis of the effects of the operation on the affected market.</w:t>
      </w:r>
    </w:p>
    <w:p>
      <w:r>
        <w:t>Between December 20, 2024, and January 7, 2025, most of the Municipalities that are shareholders of V.E.R.I.T.A.S. provided their feedback on the reasoned opinion, confirming the failure to adopt the resolutions approving the operation in question and arguing that their actions were not omissive, due to the alleged exemption from the obligations of the TUSPP for the Administrations that are shareholders of listed companies.</w:t>
      </w:r>
    </w:p>
    <w:p>
      <w:r>
        <w:t>The Authority has taken note of the non-compliance of the Municipalities with the reasoned opinion of October 29, 2024, transmitted on November 6, 2024, and therefore decided, in the meeting of January 9, 2025, to file an appeal with the TAR Veneto against the inertia of the Municipalities that are shareholders of V.E.R.I.T.A.S.</w:t>
      </w:r>
    </w:p>
    <w:p>
      <w:r>
        <w:rPr>
          <w:b/>
        </w:rPr>
        <w:t>[Pages 19–21]</w:t>
      </w:r>
    </w:p>
    <w:p>
      <w:r>
        <w:t>BULLETIN NO. 4 OF FEBRUARY 3, 2025</w:t>
      </w:r>
    </w:p>
    <w:p>
      <w:r>
        <w:t>AS2050 - PORT SYSTEM AUTHORITY OF THE CENTRAL TYRRHENIAN SEA</w:t>
        <w:br/>
        <w:t>CONCESSIONS FOR THE MANAGEMENT OF FUEL DISTRIBUTION FACILITIES FOR VESSELS WITHIN THE MASUCCIO SALERNITANO PORT AND CASTELLAMMARE DI STABIA PORT</w:t>
      </w:r>
    </w:p>
    <w:p>
      <w:r>
        <w:t>Rome, December 4, 2024</w:t>
      </w:r>
    </w:p>
    <w:p>
      <w:r>
        <w:t>Port System Authority of the Central Tyrrhenian Sea</w:t>
      </w:r>
    </w:p>
    <w:p>
      <w:r>
        <w:t>The Competition and Market Authority (hereinafter, "Authority"), in its meeting on December 3, 2024, deemed it appropriate to make the following considerations, pursuant to Article 22 of Law No. 287/1990, regarding the comparative procedures initiated by the Port System Authority of the Central Tyrrhenian Sea (hereinafter, "AdSP-MTC") - with its notes of May 15, 2024, No. 14121 and May 13, 2024, No. 14117 - for the renewal/assignment of two maritime state concessions within the Port of Salerno (Port Masuccio Salernitano) and the Port of Castellammare di Stabia aimed at the management of fuel distribution facilities for vessels. Each of these procedures was initiated following the submission of renewal applications by the outgoing concessionaires - respectively, Lamberti Petroli S.r.l. and Portodavide S.r.l. - followed, in both cases, by a competing application submitted by A.D. Carburanti S.r.l. (hereinafter, "AD Carburanti").</w:t>
      </w:r>
    </w:p>
    <w:p>
      <w:r>
        <w:t>Regarding these procedures, still pending, the Authority intends to draw the attention of the AdSP-MTC to the interpretation of Article 18, paragraph 9, of Law No. 841 of January 28, 1994. This provision prohibits the accumulation of state concessions held by the same company in the same port for the exercise of the same activity (so-called prohibition of double concession), unless it concerns ports of international and national economic relevance, in which case the evaluation regarding the request for additional concessions is entrusted to the Port System Authority, which takes into account the impact of such requests on competitive conditions. Therefore, based on the provision, the concrete application of the prohibition falls to the Port System Authorities, which - even where this prohibition could be waived due to the involvement of ports of national and international relevance - are nonetheless burdened with the obligation to evaluate requests for additional concessions considering the "impact" that such requests may have "on competitive conditions" within the port system.</w:t>
      </w:r>
    </w:p>
    <w:p>
      <w:r>
        <w:t>Presumably considering the "peculiarities" characterizing the case at hand and the circumstance that it is not possible to exclude the substitutability between the two ports for access to the tourist locations of the Sorrento Peninsula and the Amalfi Coast and related activities, the AdSP-MTC deemed it appropriate to request the Authority to provide its opinion on the matter.</w:t>
      </w:r>
    </w:p>
    <w:p>
      <w:r>
        <w:t>The Authority has already expressed its views on the application of the prohibition of double concession, considering, in particular, that this prohibition can be deemed applicable, in light of the clear anti-monopolistic rationale of the provision, even in cases where such concessions are awarded to different legal entities but all controlled by the same natural persons. This is to "prevent the prohibition of granting more state areas in the same port to the same company from being circumvented by granting concessions to different legal entities controlled by the same natural persons." According to the Authority, the anti-competitive effects considered above could arise "also from the managerial availability, in the hands of one subject, of multiple fuel distribution points for vessels within the same port, based on the concession holder's ability to transfer management." It was therefore recommended to the port authorities to carefully consider the negative consequences for competition arising from a "coordinated management of distribution facilities" within the port area.</w:t>
      </w:r>
    </w:p>
    <w:p>
      <w:r>
        <w:t>In relation to such cases, a substantial interpretation of the subjective scope of application of the provision has been supported, considering that the prohibition of accumulating concessions in the same port area also applies when the concessions are held by different legal entities, but all controlled by the same natural persons or where a coordinated management of the activities carried out under such concessions can be identified.</w:t>
      </w:r>
    </w:p>
    <w:p>
      <w:r>
        <w:t>The Authority hopes that this interpretation will be duly considered by the AdSP-MTC in the ongoing comparative procedures (and also for future ones) for the assignment of the state concessions in question.</w:t>
      </w:r>
    </w:p>
    <w:p>
      <w:r>
        <w:t>Based on the information provided also by the AdSP-MTC itself, in this case, there is no situation of corporate control over the company requesting the concessions in competition with the outgoing concessionaires (i.e., AD Carburanti) by other companies already holding similar concessions in the same port area. Formally, AD Carburanti presents itself as an independent company, which does not hold any state concession within the ports falling under the jurisdiction of the AdSP-MTC. Nevertheless, the ties that, according to what has been reported by the aforementioned authority, appear to connect it to De Vivo Energie S.r.l. (hereinafter, "De Vivo Energie") - concessionaire at the Port of Salerno for state areas for the management of fuel facilities - and to Facomgas S.r.l. (hereinafter, "Facomgas"), could be suitable to determine the competitive restrictions that the aforementioned provision aims to avoid, due to: i) the use by AD Carburanti and De Vivo Energie (also in one of the facilities attributable to the latter at the Port of Salerno) of the signs of Facomgas; ii) the existing family ties between the owners of the various companies; and iii) the identity between the locations of various facilities owned by the three companies.</w:t>
      </w:r>
    </w:p>
    <w:p>
      <w:r>
        <w:t>Such a context of family ties and mixing of locations, which adds to the fact that almost all the distributors of the aforementioned companies (and especially the one present at the Port of Salerno falling within the port area of competence of the AdSP-MTC) seem to operate under the same sign (Facomgas) owned by a subject, who openly operates in the supply of fuels and who will therefore apply the same wholesale and retail sales conditions to all distribution facilities operating under its brand, could, in substance, integrate a form of coordinated management of such facilities, likely to circumvent the prohibition of accumulating concessions and favor the establishment of privileged positions of certain subjects within the considered ports.</w:t>
      </w:r>
    </w:p>
    <w:p>
      <w:r>
        <w:t>The possible assignment of the concessions to AD Carburanti - although it is a formally independent company - could therefore result, in fact, in attributing the management of the facilities to a single "management team" to which the activities of all the companies in question can be traced and which, by concretely coordinating the management of the various distributors through the brand and the related fuel supplies and retail price indications, could effectively create local monopoly situations particularly burdensome for port users, favoring the establishment or consolidation of privileged positions of already concessionary companies and realizing the competitive restrictions that the provision aims to avoid.</w:t>
      </w:r>
    </w:p>
    <w:p>
      <w:r>
        <w:t>Therefore, without prejudice to the outcomes of the checks that the AdSP-MTC is conducting in this regard, the Authority sees the opportunity to opt for a substantial evaluation of the case considered from time to time, taking into account the overall effect that the attribution of multiple concessions to the same "subject" can determine from a competitive perspective where the ports in which such concessions are located are at least partially substitutable.</w:t>
      </w:r>
    </w:p>
    <w:p>
      <w:r>
        <w:rPr>
          <w:b/>
        </w:rPr>
        <w:t>[Pages 22–24]</w:t>
      </w:r>
    </w:p>
    <w:p>
      <w:r>
        <w:t>24 BULLETIN NO. 4 OF FEBRUARY 3, 2025</w:t>
      </w:r>
    </w:p>
    <w:p>
      <w:r>
        <w:t>This opinion will be published in the Bulletin of the Authority for the Guarantee of Competition and the Market. Any confidentiality requirements must be communicated to the Authority within thirty days of receiving this opinion, specifying the reasons.</w:t>
      </w:r>
    </w:p>
    <w:p>
      <w:r>
        <w:t>THE PRESIDENT</w:t>
        <w:br/>
        <w:t>Roberto Rustichelli</w:t>
      </w:r>
    </w:p>
    <w:p>
      <w:r>
        <w:t>BULLETIN NO. 4 OF FEBRUARY 3, 2025</w:t>
      </w:r>
    </w:p>
    <w:p>
      <w:r>
        <w:t>AS2051 - AGCOM/IDENTIFICATION AND ANALYSIS OF THE MARKETS FOR VOICE CALL TERMINATION SERVICES ON MOBILE NETWORKS</w:t>
      </w:r>
    </w:p>
    <w:p>
      <w:r>
        <w:t>Rome, December 11, 2024</w:t>
      </w:r>
    </w:p>
    <w:p>
      <w:r>
        <w:t>Authority for Communications Guarantees</w:t>
      </w:r>
    </w:p>
    <w:p>
      <w:r>
        <w:t>The Authority for the Guarantee of Competition and the Market (hereinafter, "Authority"), in its meeting of December 11, 2024, resolved to make the following considerations pursuant to Article 78, paragraph 1, of Legislative Decree No. 259 of August 1, 2003, regarding the request for an opinion formulated by the Authority for Communications Guarantees, received on November 12, 2024, concerning resolution No. 351/24/CONS regarding "Initiation of the public consultation concerning the investigative procedure for the identification and analysis of the markets for voice call termination on mobile networks."</w:t>
      </w:r>
    </w:p>
    <w:p>
      <w:r>
        <w:t>General Considerations</w:t>
      </w:r>
    </w:p>
    <w:p>
      <w:r>
        <w:t>The service of voice call termination on mobile networks consists of completing a call destined for a customer of a mobile network operator and originating from a customer of another fixed or mobile network operator, national or international. Each operator, whether fixed or mobile, therefore needs to purchase upstream, wholesale, the termination service that materially allows one of its users to connect with the terminal of the user connected to the mobile network of another operator.</w:t>
      </w:r>
    </w:p>
    <w:p>
      <w:r>
        <w:t>Compared to the previous cycle of analysis of the mobile voice termination markets, as per resolution No. 599/18/CONS of December 12, 2018, significant new elements have emerged, both regarding the regulatory framework and the trends that have developed on the demand side for voice services on mobile networks. In particular, with the aforementioned resolution No. 599/18/CONS, the Authority for Communications Guarantees identified, considering that each mobile operator is the only entity capable of offering termination services for calls on its own network, as many relevant markets of national geographical size as there are operators that can offer voice termination services to their own mobile numbers.</w:t>
      </w:r>
    </w:p>
    <w:p>
      <w:r>
        <w:t>Subsequently, the European Commission's Recommendation No. 2020/2245 of December 18, 2020 (hereinafter, "Recommendation") intervened, relating to the relevant markets for products and services in the electronic communications sector that may be subject to ex ante regulation pursuant to Directive (EU) 2018/1972. With this regulatory measure, the European Commission removed the wholesale voice call termination services market on mobile networks from the list of markets susceptible to ex ante regulation.</w:t>
      </w:r>
    </w:p>
    <w:p>
      <w:r>
        <w:t>The Recommendation identifies, in fact, exclusively two markets of electronic communications as susceptible to ex ante regulation: Market 1 of wholesale local access services at fixed locations (corresponding to market 3a of the previous Recommendation of 2014); Market 2 of wholesale dedicated capacity services (corresponding to market 4 of the previous Recommendation of 2014). Compared to the 2014 Recommendation, therefore, the wholesale voice call termination services market on mobile networks (market 2 of the 2014 Recommendation) is no longer included among those that the Commission considers eligible for ex ante regulation.</w:t>
      </w:r>
    </w:p>
    <w:p>
      <w:r>
        <w:t>In line with the decision to remove the market in question from the list attached to the Recommendation, the Commission adopted Delegated Regulation (EU) 2021/654 of December 18, 2020, defining a single maximum termination rate for voice calls on mobile networks within the territory of the European Union (so-called mobile eurorate) and a single maximum termination rate for voice calls on fixed networks at the EU level (so-called fixed eurorate). These caps are imposed on each provider of the voice call termination service on mobile and fixed networks in each Member State starting from July 1, 2021.</w:t>
      </w:r>
    </w:p>
    <w:p>
      <w:r>
        <w:t>Starting from these significant changes in the regulatory framework, the Authority for Communications Guarantees conducted an analysis of substitutability between voice calls on mobile networks and: i) a VoIP call and/or a video call and ii) instant messaging services. From the analysis of factors related to: the spread of advanced terminals, digital literacy, and familiarity with the use of social networks, it emerges that almost the entire user base now has access to communication applications alternative to calls. In particular, there is a strong growth in total traffic (voice and video) generated by Over-The-Top (OTT) applications, which in 2023 surpassed the volume of traditional voice telephone traffic. It is concluded, therefore, that users utilize OTT voice calls similarly to traditional ones and that OTTs exert increasing competitive pressure on the latter.</w:t>
      </w:r>
    </w:p>
    <w:p>
      <w:r>
        <w:t>Regarding the relevant market, since each mobile network operator applies the same conditions to terminate calls to all users connected to its network, the set of termination services offered to complete calls to all users of a mobile network is considered to belong to a single market. The Authority for Communications Guarantees therefore identifies a relevant product market for each mobile operator that can offer the voice termination service on its own mobile numbers.</w:t>
      </w:r>
    </w:p>
    <w:p>
      <w:r>
        <w:t>Finally, the conclusions of the test of the three criteria are reported. The first criterion (presence of strong non-transitory barriers to entry, of a structural, legal, or regulatory nature) is satisfied as it is technically impossible for a new entrant operator to provide the mobile termination service for a call destined for the network of another operator. The second criterion (lack of evolution of the market structure towards effective competition) was not satisfied; the mobile eurorate, in fact, appears suitable to address the risk of excessive prices for the voice termination service on mobile networks at its root.</w:t>
      </w:r>
    </w:p>
    <w:p>
      <w:r>
        <w:t>In conclusion, therefore, the Authority for Communications Guarantees believes that the termination market tends towards conditions of effective competition and that it is no longer susceptible to ex ante regulation. The obligations imposed by the previous market analysis resolution 599/18/CONS are therefore revoked after a period of six months following the publication of the measure.</w:t>
      </w:r>
    </w:p>
    <w:p>
      <w:r>
        <w:t>1 The Regulation reinforces what had already been established regarding the offering of voice termination services on mobile networks by Recommendation No. 2009/396/EC of the European Commission, of May 7, 2009, which provided that regulators define termination rates based on the prospective long-term costs incurred by a hypothetical efficient operator.</w:t>
      </w:r>
    </w:p>
    <w:p>
      <w:r>
        <w:rPr>
          <w:b/>
        </w:rPr>
        <w:t>[Pages 25–27]</w:t>
      </w:r>
    </w:p>
    <w:p>
      <w:r>
        <w:t>BULLETIN NO. 4 OF FEBRUARY 3, 2025</w:t>
      </w:r>
    </w:p>
    <w:p>
      <w:r>
        <w:t>Conclusions</w:t>
      </w:r>
    </w:p>
    <w:p>
      <w:r>
        <w:t>The analysis conducted by the Authority for Communications Guarantees appears commendable, considering that it intervenes at a time of significant changes affecting the demand and supply of telecommunications services on mobile networks. With the widespread diffusion of ultra-broadband mobile connectivity services among the general user base, especially since the introduction of 4G/LTE service offerings, traditional voice service, as also occurred with fixed network lines transitioning from copper to fiber, has increasingly transformed into a data service. This has led consumers to increase their preferences for mobile connectivity services at the expense of voice services. The latter, in fact, were particularly prominent during the initial penetration phase of mobile radio services. In this sense, the voice service itself presents a lower demand attraction power for mobile network services compared to the past, consequently reducing the significance of potential effects on competition arising from the conditions of voice termination offers.</w:t>
      </w:r>
    </w:p>
    <w:p>
      <w:r>
        <w:t>In recent years, instant messaging services have become widespread, and particularly regarding the substitutability more specifically related to voice services, applications that allow for voice calls and video calls have seen a growing adoption and usage rate among consumers. The reduction in mobile voice traffic (which has been declining at increasing rates since 2021, with a sharp -17.6% year-on-year in 2023) and the simultaneous shift of traffic flows to OTT operator apps reduce the demand for wholesale voice termination services and, therefore, the market power exerted by individual operators over their own networks.</w:t>
      </w:r>
    </w:p>
    <w:p>
      <w:r>
        <w:t>The remaining risks of excessive pricing for mobile voice termination services appear to be adequately mitigated by Delegated Regulation (EU) 2021/654 of December 18, 2020, which defined a single maximum termination rate for voice calls on mobile networks within the territory of the European Union. Accordingly, the European Commission has deemed it appropriate to remove mobile voice termination services from the list of markets susceptible to ex ante regulation, thus considering that the market is developing in a competitive manner.</w:t>
      </w:r>
    </w:p>
    <w:p>
      <w:r>
        <w:t>In conclusion, it is believed that the analyses conducted by the Authority for Communications Guarantees in its resolution no. 351/24/CONS are agreed upon. In particular, the Authority supports the proposal to revoke all regulatory obligations concerning the offer of mobile voice termination services, in line with the guidelines expressed by the European Commission in Recommendation no. 2020/2245.</w:t>
      </w:r>
    </w:p>
    <w:p>
      <w:r>
        <w:t>This opinion will be published in the bulletin of the Authority for Competition and the Market. Any confidentiality requirements must be communicated to the Authority within thirty days of receiving this document, specifying the reasons.</w:t>
      </w:r>
    </w:p>
    <w:p>
      <w:r>
        <w:t>THE PRESIDENT</w:t>
        <w:br/>
        <w:t>Roberto Rustichelli</w:t>
      </w:r>
    </w:p>
    <w:p>
      <w:r>
        <w:t>BULLETIN NO. 4 OF FEBRUARY 3, 2025</w:t>
      </w:r>
    </w:p>
    <w:p>
      <w:r>
        <w:t>AS2052 – MUNICIPALITY OF MINTURNO (LT) - EXTENSION OF MARITIME CONCESSIONS FOR TOURIST-RECREATIONAL PURPOSES</w:t>
      </w:r>
    </w:p>
    <w:p>
      <w:r>
        <w:t>Rome, December 19, 2024</w:t>
      </w:r>
    </w:p>
    <w:p>
      <w:r>
        <w:t>Municipality of Minturno</w:t>
      </w:r>
    </w:p>
    <w:p>
      <w:r>
        <w:t>With reference to the request for an opinion made by the Municipality of Minturno regarding the procedures for awarding maritime state concessions, the Authority for Competition and the Market, in its meeting on December 17, 2024, deemed it necessary to make some considerations, pursuant to Article 22 of Law No. 287 of October 10, 1990.</w:t>
      </w:r>
    </w:p>
    <w:p>
      <w:r>
        <w:t>Specifically, with the aforementioned request for an opinion, the Municipality of Minturno asks whether the procedure for extending the duration of maritime state concessions for tourist-recreational purposes in favor of existing concessionaires until December 31, 2033, initiated in 2019 and concluded in 2021, pursuant to Article 1, paragraphs 682 and 683, of Law No. 145 of December 30, 2018, has "given rise to real competition for the assignment of concessions or, instead, has conflicted with Articles 49 and 56 of the TFEU [and should therefore be understood as aimed at limiting the freedom of establishment and the free movement of services in the internal market]."</w:t>
      </w:r>
    </w:p>
    <w:p>
      <w:r>
        <w:t>In this regard, the Authority deems it necessary to recall its numerous interventions regarding maritime state concessions for tourist-recreational purposes aimed at censuring both unjustified extensions of existing concessions and the provisions contained in the selective procedures initiated for the assignment of new concessions that could prejudice fair competitive comparison.</w:t>
      </w:r>
    </w:p>
    <w:p>
      <w:r>
        <w:t>With specific reference to extensions, the Authority has repeatedly emphasized how the continuous recourse to this instrument violates competition principles to the extent that it prevents competitive comparison for the market, which should be guaranteed in the awarding of services affecting scarce state resources, and favors the distorting effects associated with unjustified position rents attributed to concessionaires.</w:t>
      </w:r>
    </w:p>
    <w:p>
      <w:r>
        <w:t>During the two-year period 2020-2021, in particular, the Authority invited multiple municipal administrations to disapply the national legislation underlying the extension determinations.</w:t>
      </w:r>
    </w:p>
    <w:p>
      <w:r>
        <w:rPr>
          <w:b/>
        </w:rPr>
        <w:t>[Pages 28–30]</w:t>
      </w:r>
    </w:p>
    <w:p>
      <w:r>
        <w:t>30 BULLETIN NO. 4 OF FEBRUARY 3, 2025</w:t>
      </w:r>
    </w:p>
    <w:p>
      <w:r>
        <w:t>of the maritime state concessions for tourism and recreational purposes – and in particular the provisions contained in Law No. 145/2018 – due to their conflict with Articles 49 and 56 TFEU and with Article 12 of Directive 2006/123/EC (so-called "Services Directive"). As is well known, Member States are required to comply with the principles and provisions of EU law, and where domestic legislation conflicts with European Union law, its disapplication is mandated.</w:t>
      </w:r>
    </w:p>
    <w:p>
      <w:r>
        <w:t>Similarly, during 2024, following the expiration on December 31, 2023, of the transitional period of effectiveness of the existing concessions, identified by the Plenary Assembly of the Council of State, the Authority adopted numerous reasoned opinions, pursuant to Article 21-bis of Law No. 287/1990, due to the conflict of municipal resolutions with Article 49 TFEU and with Article 12 of the Services Directive; as well as some interventions, pursuant to Articles 21 and 22 of the same law, regarding maritime state concessions for tourism and recreational purposes. These interventions concerned, on one hand, the measures adopted by the granting authorities aimed at extending the effectiveness of the concessions in question until December 31, 2024, in light of the amendments made to Law No. 118/2022 by Decree Law No. 29 December 2022, No. 198, converted with amendments by Law February 24, 2023, No. 14 and, on the other hand, some considerations regarding the conduct of selective procedures for the assignment of maritime state concessions and the preparation of the related notices.</w:t>
      </w:r>
    </w:p>
    <w:p>
      <w:r>
        <w:t>Having stated the above, in this specific case, the Authority believes that the extension in favor of the previous concessionaires ordered by the Municipality of Minturno in 2021 violates the aforementioned norms, as it aims to hinder, or in any case delay, the application of EU law and the opening of the maritime state concessions market to competition, thus preventing the benefits that would arise from the assignment through public procurement procedures.</w:t>
      </w:r>
    </w:p>
    <w:p>
      <w:r>
        <w:t>In this regard, it is emphasized that both the national judge and the European judge have affirmed the obligation to proceed with public procurement procedures for the issuance of maritime state concessions for tourism and recreational purposes, in application of the general principles for the protection of competition expressed by the aforementioned EU norms.</w:t>
      </w:r>
    </w:p>
    <w:p>
      <w:r>
        <w:t>Regarding the procedural model to be followed for the issuance of concessions, in particular, the Authority has repeatedly pointed out the importance of resorting to procedural forms initiated ex officio rather than upon request of a party. It is understood that, where the granting authority opts for a selective procedure following a request from a party, the procedure must concretely meet the obligations of transparency, impartiality, respect for equal treatment, and competitive comparison, through an effective advertising mechanism and by resorting to specific investigative and motivational burdens. The selective procedure, in fact, impacting scarce resources in a market context where competitive dynamics are already weakened by the long duration of existing concessions and the continuous recourse to extensions, must ensure a real and effective competitive comparison – and, therefore, the competitive chances of the competing firms – and not merely appear to satisfy the aforementioned criteria of transparency, impartiality, publicity, and equal treatment.</w:t>
      </w:r>
    </w:p>
    <w:p>
      <w:r>
        <w:t>The Authority therefore considers it necessary that the procedure upon request of a party for the selection of concessionaires is concretely respectful of the criteria indicated by the aforementioned jurisprudence and of the EU legislation and jurisprudence in this matter. To this end, adequate publicity must be provided for the notice and, therefore, for the initiation of the procedure and its conduct and completion, a circumstance that cannot be found in the case of exclusively local publicity or for a limited period of time.</w:t>
      </w:r>
    </w:p>
    <w:p>
      <w:r>
        <w:t>Furthermore, the Administration must not hinder effective competitive comparison through obstructive or dilatory behaviors towards potential competitors or aimed at favoring outgoing concessionaires, as in the case of specific invitations addressed by the granting authority to outgoing concessionaires to induce them to submit renewal applications for the concessions.</w:t>
      </w:r>
    </w:p>
    <w:p>
      <w:r>
        <w:t>In light of the considerations made above, the Authority hopes that the Municipality of Minturno will proceed, in implementation of competitive principles, to carry out tender procedures aimed at the assignment of the concessions in question, in compliance with the principles of competition, fairness, transparency, and non-discrimination. Regarding the selective procedures, their procedural model, the criteria to be evaluated in the assignment of concessions, their duration, and the potential value of investments not yet amortized by the outgoing concessionaire, the enhancement of the economic offer, and the timing of the procedures, the Authority invites compliance with its communication of July 30, 2024, attached for ease of consultation to this opinion, sent to ANCI and the Permanent Conference for the relations between the State, the Regions, and the Autonomous Provinces of Trento and Bolzano.</w:t>
      </w:r>
    </w:p>
    <w:p>
      <w:r>
        <w:t>The Authority invites the Municipality of Minturno to communicate, within thirty days from the receipt of this opinion, the initiatives taken regarding the highlighted competitive criticalities.</w:t>
      </w:r>
    </w:p>
    <w:p>
      <w:r>
        <w:t>This opinion will be published in the Bulletin of the Authority for Competition and the Market. Any confidentiality needs must be communicated to the Authority within thirty days from the receipt of this opinion, specifying the reasons.</w:t>
      </w:r>
    </w:p>
    <w:p>
      <w:r>
        <w:t>THE PRESIDENT</w:t>
      </w:r>
    </w:p>
    <w:p>
      <w:r>
        <w:t>Roberto Rustichelli</w:t>
      </w:r>
    </w:p>
    <w:p>
      <w:r>
        <w:rPr>
          <w:b/>
        </w:rPr>
        <w:t>[Pages 31–33]</w:t>
      </w:r>
    </w:p>
    <w:p>
      <w:r>
        <w:t>BULLETIN NO. 4 OF FEBRUARY 3, 2025</w:t>
      </w:r>
    </w:p>
    <w:p>
      <w:r>
        <w:t>AS2053 – MUNICIPALITY OF FIUMICINO - AWARD OF THE CONCESSION FOR THE</w:t>
        <w:br/>
        <w:t>CONSTRUCTION OF THE NEW TOURIST CRUISE PORT OF</w:t>
        <w:br/>
        <w:t>FIUMICINO</w:t>
        <w:br/>
        <w:t>Rome, January 17, 2025</w:t>
        <w:br/>
        <w:t>Municipality of Fiumicino</w:t>
        <w:br/>
        <w:t>The Antitrust Authority, following reports received from several civic associations, in the context of the tasks assigned to it by Article 22 of Law No. 287 of October 10, 1990, in its meeting on January 14, 2025, intended to formulate some observations regarding the procedure that will lead, in the event of a positive outcome of the Integrated Environmental Assessment (hereinafter, “VIA”), to the approval of the concession for the construction of the tourist-cruise port of Fiumicino - Isola Sacra (so-called “Port of Concordia”), as well as regarding the content of the concession deed and the duration of the concession itself.</w:t>
        <w:br/>
        <w:t>As is known, Presidential Decree No. 509/1997 does not contain specific provisions regarding the modification of an existing concession following a request from the concessionaire. Article 24 of the Regulation for the execution of the Navigation Code (Maritime Navigation), which also applies to recreational boating, states that “Any variation in the extent of the granted area or in the works or in the methods of operation must be requested in advance and may be granted by means of supplementary acts or licenses after the completion of the investigation.” According to the Council of State, this provision “must be understood in the sense that any variation to the content of the concession carried out through interventions on public land must be subject to express authorization.”</w:t>
        <w:br/>
        <w:t>The Authority's orientation regarding concessions has always been that the awarding of maritime public concessions should be carried out through public evidence procedures, particularly when it concerns the construction of port infrastructures. This orientation has also been shared by the Transport Regulatory Authority with resolution No. 57/2018. This orientation also appears valid for concessions related to recreational boating and the cruise sector and applies in the case of significant changes in the object of the concession, such as the introduction of a “cruise variant” within the concession for the construction of a tourist port aimed at serving recreational boating. The modification of the object of the concession entails, in fact, a different assessment of the economic conveniences by potentially interested operators compared to the original object, and therefore the awarding of the modified concession must occur through a public evidence procedure that guarantees the possibility for other operators to submit competing concession requests based on possibly better projects, which already incorporate the prescriptions arising from the VIA procedure and are able to contribute more significantly to the tourist and economic development of the region.</w:t>
        <w:br/>
        <w:t>The Authority believes that the procedure hypothesized by the Municipality of Fiumicino in response to the request for information from the Offices (“that described in Articles 2, 4, 5, 6, and 7 of 509/1997, once the project is updated with the prescriptions [arising from the VIA], namely: 1. introductory phase: submission of the application (with the project adapted to the prescriptions of the VIA) by the aspiring concessionaire (Article 2); 2. advertising phase: publication of the application through suitable advertising forms (online notice board, transparency, Official Gazette, EU Official Journal, etc.) (Article 4); 3. investigative phase: examination of the project by a conference of services convened by the Mayor of the interested Municipality (Article 5); 4. final approval phase of the project through a program agreement (since it is a project in deviation from urban planning tools) (Article 6); 5. concluding phase: issuance of the concession”), without prejudice to any assessment of the applicable regulatory sector framework, may be suitable to satisfy the principles of competition protection, provided that the advertising phase also concerns the submission of any competing requests and observations from third parties, which will be examined by the Conference of Services that must select, as prescribed by the same Article 5, paragraph 7, of Presidential Decree No. 509/1997, the project most suitable “to jointly satisfy the public interests in the tourist and economic enhancement of the region, the protection of the landscape and the environment, and the safety of navigation.”</w:t>
        <w:br/>
        <w:t>Article 2, paragraph 1, of Presidential Decree No. 509/1997 defines the “tourist port” as “the complex of movable and immovable structures built with works on land and at sea for the sole or primarily purpose of serving recreational boating and the recreational boater,” without, however, specifying how to assess the prevalence of functions related to recreational boating. Given that, by the Municipality's own admission, such prevalence is essential for the legitimacy of the introduction of the cruise variant within the original project of the tourist port as a mere modification of the original concession, which does not require the issuance of a new concession, the Authority notes that the prevalence of recreational boating should be assessed not only in terms of spaces and infrastructures but also in terms of revenues from the management of the port. An essential moment of the investigative phase must therefore consist of a careful verification, based on a reliable updated and detailed Economic-Financial Plan, of the actual predominance of revenues related to recreational boating compared to those related to cruise activities.</w:t>
        <w:br/>
        <w:t>The information acquired by the Authority indicates that the under-construction cruise landing could enjoy some competitive advantages due to its capacity to accommodate large Oasis-class cruise ships, its proximity to the capital, the saturation of the port of Civitavecchia (whose cruise terminals are, moreover, managed under concession by a joint venture equally participated by the Royal Caribbean group along with two other major operators in the sector), and the fact that the planned commercial port of Fiumicino North does not currently appear to have sufficient depth to accommodate large cruise ships. Given that the proponent and current concessionaire for the construction of the tourist port of Fiumicino - Isola Sacra is a company partially owned by the Royal Caribbean group, the second-largest global player in the cruise sector, and by an international infrastructure fund, the Authority considers it necessary to ensure that access to the landing for cruise ships and the related terminal is guaranteed to all cruise operators under the same conditions, as already hypothesized by the Municipality of Fiumicino and the current concessionaire, and that such conditions are fair and non-discriminatory.</w:t>
        <w:br/>
        <w:t>The obligation to guarantee all operators access to the quay and terminal under the same fair and non-discriminatory conditions should be included among the essential clauses of the concession deed related to the construction of the tourist-cruise port of Fiumicino - Isola Sacra, explicitly stating that its violation entails the forfeiture of the concession, following the model recently adopted by some Port System Authorities, such as that of the Western Ligurian Sea.</w:t>
        <w:br/>
        <w:t>Finally, the Authority has recalled on several occasions that the duration of the concession must therefore be set in such a way as not to restrict or limit free competition more than is necessary to amortize investments and provide a reasonable return on invested capital, while maintaining the risk arising from management with the concessionaire. These principles have also been incorporated in the Decree of December 28, 2022, No. 202, of the Ministry of Infrastructure and Transport, containing “Regulations for the issuance of concessions for areas and quays,” and in the related Guidelines of April 21, 2023.</w:t>
        <w:br/>
        <w:t>In light of these principles, the Authority hopes for a reassessment of the original ninety-year duration of the concession for the tourist port, at the time of awarding the modified concession to also accommodate the cruise function. This reassessment, as stated by the Municipality of Fiumicino in response to a request for information from the Offices, must be based on the “updated EFP [Economic Financial Plan] [which] will define the payback period of the invested capital and therefore the duration of the concession.” In this regard, it is noted that the preliminary Economic Financial Plan presented in 2018 by the Royal Caribbean group deemed a period of forty years sufficient to amortize investments and achieve a return considered acceptable by the group. Therefore, a longer duration should be adequately justified by the proponent and verified in the Conference of Services.</w:t>
        <w:br/>
        <w:t>The Authority hopes that the observations made above can be taken into account by the Municipality of Fiumicino, in relation to the procedure that will lead, in the event of a positive outcome of the VIA, to the approval of the concession for the construction of the tourist-cruise port of Fiumicino - Isola Sacra (so-called “Port of Concordia”).</w:t>
        <w:br/>
        <w:t>This opinion will be published in the Bulletin of the Antitrust Authority.</w:t>
      </w:r>
    </w:p>
    <w:p>
      <w:r>
        <w:t>THE PRESIDENT</w:t>
        <w:br/>
        <w:t>Roberto Rustichelli</w:t>
      </w:r>
    </w:p>
    <w:p>
      <w:r>
        <w:rPr>
          <w:b/>
        </w:rPr>
        <w:t>[Pages 34–36]</w:t>
      </w:r>
    </w:p>
    <w:p>
      <w:r>
        <w:t>36 BULLETIN NO. 4 OF FEBRUARY 3, 2025</w:t>
      </w:r>
    </w:p>
    <w:p>
      <w:r>
        <w:t>UNFAIR COMMERCIAL PRACTICES</w:t>
      </w:r>
    </w:p>
    <w:p>
      <w:r>
        <w:t>PS12658 - META-DEEP FAKE</w:t>
      </w:r>
    </w:p>
    <w:p>
      <w:r>
        <w:t>Decision No. 31438</w:t>
      </w:r>
    </w:p>
    <w:p>
      <w:r>
        <w:t>THE ANTITRUST AUTHORITY</w:t>
      </w:r>
    </w:p>
    <w:p>
      <w:r>
        <w:t>IN ITS MEETING of January 14, 2025;</w:t>
      </w:r>
    </w:p>
    <w:p>
      <w:r>
        <w:t>HEARD the Rapporteur, Saverio Valentino;</w:t>
      </w:r>
    </w:p>
    <w:p>
      <w:r>
        <w:t>HAVING REGARD to Part II, Title III, of Legislative Decree No. 206 of September 6, 2005, and subsequent amendments (hereinafter, "Consumer Code");</w:t>
      </w:r>
    </w:p>
    <w:p>
      <w:r>
        <w:t>HAVING REGARD to Regulation (EU) 2022/2065 of the European Parliament and of the Council of October 19, 2022, concerning a single market for digital services and amending Directive 2000/31/EC (hereinafter, "DSA");</w:t>
      </w:r>
    </w:p>
    <w:p>
      <w:r>
        <w:t>HAVING REGARD to Article 4, paragraph 3, of the Treaty on European Union (hereinafter, "TEU");</w:t>
      </w:r>
    </w:p>
    <w:p>
      <w:r>
        <w:t>HAVING REGARD to its communication adopted on November 14, 2023, which initiated, pursuant to Articles 20 and 21, paragraph 2, letter b), of the Consumer Code, an investigation (PS12658) against META Platforms Inc. and META Platforms Ireland Limited (hereinafter also "META"), as professionals - pursuant to Article 18, letter b), of the Consumer Code - owners of the social network platforms Facebook and Instagram;</w:t>
      </w:r>
    </w:p>
    <w:p>
      <w:r>
        <w:t>CONSIDERING that the European Commission, on April 30, 2024, initiated proceedings against META for suspected violations of Articles 14, paragraph 1, 16, paragraph 11, 16, paragraph 5, 16, paragraph 6, 17, paragraph 1, 20, paragraph 1, 20, paragraph 3, 24, paragraph 5, 25, paragraph 1, 34, paragraph 1, 34, paragraph 2, 35, paragraph 1, and 40, paragraph 12, of the DSA;</w:t>
      </w:r>
    </w:p>
    <w:p>
      <w:r>
        <w:t>CONSIDERING the substantial coincidence of the allegations made in the initiation of the proceedings of April 30, 2024, by the European Commission with those made in the initiation of case PS12658 and the informal discussions that took place with the offices of the Commission responsible for the application of the DSA;</w:t>
      </w:r>
    </w:p>
    <w:p>
      <w:r>
        <w:t>CONSIDERING also that, pursuant to Article 4, paragraph 3, of the TEU, the European Union and the Member States, including their administrative authorities, respect and assist each other in fulfilling the tasks arising from the Treaties and that the Member States facilitate the European Union in achieving its objectives and refrain from any measures that may jeopardize them;</w:t>
      </w:r>
    </w:p>
    <w:p>
      <w:r>
        <w:t>CONSIDERING, also in light of the aforementioned informal discussions with the European Commission, that the proceedings initiated by the Commission under the DSA are capable of ensuring the protection of the interests of Italian consumers potentially affected by the conduct contested in the initiation of case PS12658;</w:t>
      </w:r>
    </w:p>
    <w:p>
      <w:r>
        <w:t>CONSIDERING, therefore, in light of the criteria of economy and efficiency of administrative activity, not to continue the investigation;</w:t>
      </w:r>
    </w:p>
    <w:p>
      <w:r>
        <w:t>RESOLVES</w:t>
      </w:r>
    </w:p>
    <w:p>
      <w:r>
        <w:t>that there is no need to take action.</w:t>
      </w:r>
    </w:p>
    <w:p>
      <w:r>
        <w:t>This decision will be notified to the interested parties and published in the Bulletin of the Antitrust Authority.</w:t>
      </w:r>
    </w:p>
    <w:p>
      <w:r>
        <w:t>Against this decision, an appeal may be submitted to the TAR of Lazio, pursuant to Article 135, paragraph 1, letter b), of the Code of Administrative Procedure (Legislative Decree No. 104 of July 2, 2010), within sixty days from the date of notification of the decision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decision itself.</w:t>
      </w:r>
    </w:p>
    <w:p>
      <w:r>
        <w:t>THE SECRETARY GENERAL THE PRESIDENT</w:t>
      </w:r>
    </w:p>
    <w:p>
      <w:r>
        <w:t>Guido Stazi Roberto Rustichelli</w:t>
      </w:r>
    </w:p>
    <w:p>
      <w:r>
        <w:t>38 BULLETIN NO. 4 OF FEBRUARY 3, 2025</w:t>
      </w:r>
    </w:p>
    <w:p>
      <w:r>
        <w:t>PS12717 - INTERFLORA.IT - VARIOUS ISSUES</w:t>
      </w:r>
    </w:p>
    <w:p>
      <w:r>
        <w:t>Decision No. 31439</w:t>
      </w:r>
    </w:p>
    <w:p>
      <w:r>
        <w:t>THE ANTITRUST AUTHORITY</w:t>
      </w:r>
    </w:p>
    <w:p>
      <w:r>
        <w:t>IN ITS MEETING of January 21, 2025;</w:t>
      </w:r>
    </w:p>
    <w:p>
      <w:r>
        <w:t>HEARD the Rapporteur Saverio Valentino;</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 as amended by the "Regulation on investigative procedures in consumer protection and misleading and comparative advertising" (hereinafter, New Regulation), adopted by the Authority with resolution No. 31356 of November 5, 2024;</w:t>
      </w:r>
    </w:p>
    <w:p>
      <w:r>
        <w:t>HAVING REGARD to the communication of June 26, 2024, which initiated the PS12717 proceedings against Interflora Italia S.p.A.;</w:t>
      </w:r>
    </w:p>
    <w:p>
      <w:r>
        <w:t>HAVING REGARD to its decision of June 26, 2024, which ordered the inspection, pursuant to Article 27, paragraphs 2 and 3, of the Consumer Code, at the registered office of Interflora Italia S.p.A.;</w:t>
      </w:r>
    </w:p>
    <w:p>
      <w:r>
        <w:t>HAVING REGARD to its decision of October 8, 2024, which, pursuant to Article 7, paragraph 3, of the Regulation, extended the deadline for concluding the proceedings, for specific investigative needs and for the evaluation of the commitments proposed by the professional on August 12, 2024, pursuant to Article 27, paragraph 7, of the Consumer Code;</w:t>
      </w:r>
    </w:p>
    <w:p>
      <w:r>
        <w:t>HAVING REGARD to the documents of the proceedings;</w:t>
      </w:r>
    </w:p>
    <w:p>
      <w:r>
        <w:t>I. THE PARTY</w:t>
      </w:r>
    </w:p>
    <w:p>
      <w:r>
        <w:t>1. The company Interflora Italia S.p.A. (hereinafter also referred to as the "Professional," "Company," or "Interflora") as a professional pursuant to Article 18, letter b), of the Consumer Code, is active in the sale of floral gifts, plants, fruit and vegetable products, wines, spirits, confectionery, packaged foods, gifts, both in Italy and abroad, through the website https://www.interflora.it/. The revenue of Interflora, for the fiscal year ending December 31, 2023, amounts to Euro 20,551,328, with an EBITDA of Euro 1,718,889 and a net profit of Euro 634,907.</w:t>
      </w:r>
    </w:p>
    <w:p>
      <w:r>
        <w:t>II. THE COMMERCIAL PRACTICE SUBJECT TO THE PROCEEDINGS</w:t>
      </w:r>
    </w:p>
    <w:p>
      <w:r>
        <w:t>2. The proceedings concern the behaviors carried out by Interflora Italia S.p.A. consisting of (i) the violation of the "guaranteed" delivery times of the products sold and the discrepancy, in terms of quality and variety, of the floral gift chosen by consumers compared to what was actually delivered ("Conduct A") and (ii) the inadequate representation of information regarding the costs associated with the delivery service of the floral gift ("Conduct B").</w:t>
      </w:r>
    </w:p>
    <w:p>
      <w:r>
        <w:rPr>
          <w:b/>
        </w:rPr>
        <w:t>[Pages 37–39]</w:t>
      </w:r>
    </w:p>
    <w:p>
      <w:r>
        <w:t>BULLETIN NO. 4 OF FEBRUARY 3, 2025</w:t>
      </w:r>
    </w:p>
    <w:p>
      <w:r>
        <w:t>III. THE OUTCOMES OF THE PROCEEDING</w:t>
      </w:r>
    </w:p>
    <w:p>
      <w:r>
        <w:t>1) The procedure process</w:t>
      </w:r>
    </w:p>
    <w:p>
      <w:r>
        <w:t>3. According to information acquired for the application of the Consumer Code and based on a report sent by a consumer, the company Interflora, also through its website, would have engaged in an unfair commercial practice consisting of i) the violation of the "guaranteed" delivery times of the products sold and the discrepancy, in terms of quality and variety, of the floral tribute chosen by consumers compared to what was actually delivered, as well as ii) the inadequate representation of information regarding the costs associated with the delivery service of the floral tribute.</w:t>
      </w:r>
    </w:p>
    <w:p>
      <w:r>
        <w:t>4. In relation to the aforementioned practice, on June 26, 2024, an investigative proceeding was initiated against the Professional to ascertain whether these behaviors may constitute a violation of Articles 20, paragraph 2, 21, 22 of the Consumer Code.</w:t>
      </w:r>
    </w:p>
    <w:p>
      <w:r>
        <w:t>5. On July 4, 2024, inspections were carried out at the company's registered office.</w:t>
      </w:r>
    </w:p>
    <w:p>
      <w:r>
        <w:t>6. On July 17, 2024, the company Interflora responded to the request for information made at the start of the proceeding.</w:t>
      </w:r>
    </w:p>
    <w:p>
      <w:r>
        <w:t>7. On August 12, 2024, the Professional submitted an initial defense memorandum and a proposal for commitments pursuant to Article 27, paragraph 7, of the Consumer Code.</w:t>
      </w:r>
    </w:p>
    <w:p>
      <w:r>
        <w:t>8. On September 18, 2024, the Authority decided to reject the commitments presented by the Company as they related to behaviors that, if established, could constitute cases of "manifestly unfair and serious" commercial practices, for which Article 27, paragraph 7, of the Consumer Code cannot be applied. Furthermore, the Authority deemed it necessary to proceed with the investigation considering the particularity and relevance of the conduct.</w:t>
      </w:r>
    </w:p>
    <w:p>
      <w:r>
        <w:t>9. On September 23, 2024, Interflora exercised the right of access to the procedural documents, and the request was granted on September 30, 2024, with the transmission of the accessible documentation.</w:t>
      </w:r>
    </w:p>
    <w:p>
      <w:r>
        <w:t>10. On October 9, 2024, the Authority decided to extend the deadline for concluding the proceeding to January 22, 2025, also considering the phase of evaluating the commitments presented by the Professional as well as the need to ensure the broadest possible contradiction with the Party and to carry out subsequent investigative and procedural obligations.</w:t>
      </w:r>
    </w:p>
    <w:p>
      <w:r>
        <w:t>11. On October 28, 2024, the hearing requested by the Company was held following the request of September 23, 2024.</w:t>
      </w:r>
    </w:p>
    <w:p>
      <w:r>
        <w:t>12. On November 5, 2024, Interflora submitted a second defense memorandum and transmitted further supporting documentation.</w:t>
      </w:r>
    </w:p>
    <w:p>
      <w:r>
        <w:t>13. On November 26, 2024, the conclusion of the investigative phase was communicated to the Party pursuant to Article 17, paragraph 1, of the New Regulation through the notice of charges, and a period of 20 days was granted for any written counter-arguments to be submitted to the Board.</w:t>
      </w:r>
    </w:p>
    <w:p>
      <w:r>
        <w:t>14. On December 9, 2024, the company Interflora exercised the right of access to the procedural documents again, and the request was granted on the same date.</w:t>
      </w:r>
    </w:p>
    <w:p>
      <w:r>
        <w:t>15. On December 16, 2024, the final memorandum from the Professional was received.</w:t>
      </w:r>
    </w:p>
    <w:p>
      <w:r>
        <w:t>16. On December 17, 2024, the request for an opinion was transmitted to the Authority for Communications Guarantees, which was received on January 14, 2025.</w:t>
      </w:r>
    </w:p>
    <w:p>
      <w:r>
        <w:t>2) The evidence acquired</w:t>
      </w:r>
    </w:p>
    <w:p>
      <w:r>
        <w:t>Conduct A) - Violation of the delivery times of the products sold and delivery of products that differ from the type/variety of flowers chosen and the quality guaranteed and advertised on the website</w:t>
      </w:r>
    </w:p>
    <w:p>
      <w:r>
        <w:t>17. In detail, regarding the failure to comply with the delivery times of the products sold, the Professional emphasized, at least until August 12, 2024 (the date from which changes were made to its website), the guarantee of "same-day delivery" (see figure no. 1).</w:t>
      </w:r>
    </w:p>
    <w:p>
      <w:r>
        <w:t>Figure no. 1 – Home page of the Professional's website before the changes</w:t>
      </w:r>
    </w:p>
    <w:p>
      <w:r>
        <w:t>18. In particular, on the Professional's website, expressions such as "we guarantee same-day delivery for all our floral products. Your floral gift will arrive a few hours after the order is completed" were present.</w:t>
      </w:r>
    </w:p>
    <w:p>
      <w:r>
        <w:t>19. Similarly, regarding the discrepancy in type/variety and quality of the floral tributes compared to those advertised, the Professional promoted, at least until August 12, 2024 (the date from which changes were made to its website), the "guaranteed quality" of the floral arrangements: "guaranteed quality - we always deliver fresh flowers of the highest quality that are prepared by the florist closest to the destination shortly before delivery."</w:t>
      </w:r>
    </w:p>
    <w:p>
      <w:r>
        <w:t>20. As emerged during the inspection carried out on July 4, 2024, the Company is a leader in home flower delivery, in Italy and worldwide, with over 58,000 points of sale in more than 150 countries and a network of about 1,400 florists only in Italy.</w:t>
      </w:r>
    </w:p>
    <w:p>
      <w:r>
        <w:t>21. In particular, Interflora's business model develops through a significant network of affiliated florists present throughout the territory. Once the online order is acquired from its website, Interflora selects – based on the criterion of territorial proximity (ZIP code) – the affiliated florist closest to the final destination who will be responsible for the preparation and delivery of the order.</w:t>
      </w:r>
    </w:p>
    <w:p>
      <w:r>
        <w:t>22. Among the documentation acquired during the inspection, an internal report regarding the customer satisfaction index (i.e., "NPS") indicates that in the period from January 1, 2023, to June 30, 2024, the Professional obtained a score of [20-0]* based on approximately [10-30] thousand completed questionnaires. Another data that emerges concerns the main reasons for customer dissatisfaction, which are, in essence, the discrepancy in the delivery of the floral tributes chosen online (34%), delays in delivery (19%), delivery of poor-quality products (7%), delivery not yet made (6%), and incomplete orders (4%) (see figure no. 2).</w:t>
      </w:r>
    </w:p>
    <w:p>
      <w:r>
        <w:t>* In this version, some data are omitted, as elements of confidentiality or secrecy of the information were deemed to exist.</w:t>
      </w:r>
    </w:p>
    <w:p>
      <w:r>
        <w:rPr>
          <w:b/>
        </w:rPr>
        <w:t>[Pages 40–42]</w:t>
      </w:r>
    </w:p>
    <w:p>
      <w:r>
        <w:t>42 BULLETIN NO. 4 OF FEBRUARY 3, 2025</w:t>
      </w:r>
    </w:p>
    <w:p>
      <w:r>
        <w:t>Figure 2 – Graph of main reasons for customer dissatisfaction</w:t>
      </w:r>
    </w:p>
    <w:p>
      <w:r>
        <w:t>23. During the inspection, a communication dated May 17, 2024, addressed to an affiliate was also acquired, in which the Professional communicated that “Following an analysis of customer reviews regarding your bouquets delivered in the last month of April, a negative evaluation of -0 emerged,” listing, among others, three consumer reviews that complain: “We chose a bouquet for a birth on the site, deciding based on the photos and colors of the illustrated bouquet which was all white and pink. The delivered bouquet was completely different, all colorful and with mixed flowers and looked like one from a significantly lower cost category”; “Indicate on the site if the chosen product is missing” and “I ordered tulips and you delivered roses” (emphasis added).</w:t>
      </w:r>
    </w:p>
    <w:p>
      <w:r>
        <w:t>24. Furthermore, the communication dated May 28, 2024, which an affiliate transmitted to the Professional following the receipt of the report (with an unsatisfactory score) on the NPS.</w:t>
      </w:r>
    </w:p>
    <w:p>
      <w:r>
        <w:t>25. In another communication dated March 20, 2024, an affiliated florist reported to the Professional that “the customer who had me send the order called me, complaining that the number of tulips is incorrect, the invoice for the bouquet with greenery is non-compliant, and the freshness of the product is questionable. The product paid for included 15 tulips and not 10 as were sent, and certainly does not include a tulip at that stage of maturity that does not even keep its neck straight. I urged him to send a complaint to the email customercare@interflora.it. I hope that, as has happened before, an appropriate response will be sent to the customer regarding the situation and not, as has happened before, excuses that had little to do with the actual situation. Unfortunately, I must emphasize that this type of occurrence is now becoming the norm; the customer sees us florists as responsible for what happened, comes here and complains to us, and when he realizes that we cannot resolve the problem, we lose him both as an Interflora customer and as a customer of the shop... I leave to you any further consideration as usual.”</w:t>
      </w:r>
    </w:p>
    <w:p>
      <w:r>
        <w:t>26. Meanwhile, in a communication dated August 29, 2022 - following the report transmitted by the Professional in which “it emerges that the two main reasons for dissatisfaction are: the compliance of the delivered product with the chosen gift; late delivery” - an affiliated florist represented to the Professional that: “The model studied is certainly correct but does not take into account the fact that often there is no correlation between what the customer spends and what is received; the customer has difficulty understanding that a gift sent with Interflora cannot have the price of a gift bought directly in the shop, as there are costs related to the structure, which if not explained, are never considered.”</w:t>
      </w:r>
    </w:p>
    <w:p>
      <w:r>
        <w:t>27. Among the inspection documentation, there are also the reports that the Professional has transmitted, on a monthly basis, to the network of affiliated florists in which the score obtained from the NPS is communicated and analyzed. In detail, in the communication regarding the customer satisfaction index for the month of October 2023, the Professional shares “the main reasons for customer dissatisfaction: Compliance/The bouquet received does not resemble the images on the website (35.00%); Late delivery (15.00%); The flowers arrived in poor condition (6%).” Similarly, although several months later, in the communication of April 2024, the Professional states that “There are many aspects highlighted by customers as indicators of dissatisfaction, but the main reason remains the same: 1. Compliance of the delivered product with the chosen gift (39.00%); 2. Other (21.00%); 3. Late delivery (14.00%)” (emphasis added).</w:t>
      </w:r>
    </w:p>
    <w:p>
      <w:r>
        <w:t>28. Furthermore, in a communication dated November 11, 2022, addressed, among others, to one of the board members, the head of the florist network anticipated the PowerPoint presentation that would be shared with the florist network during the subsequent round table on November 14, 2022, in which the Professional states that “After analyzing the products in our catalog and the main performance indicators (sales, NPS*, rejection rate, and the entire structure of our permanent collection), we have reached the following conclusions: Some products do not comply with the images on our site when delivered to the customer, thus generating a high degree of customer dissatisfaction; Some products have a high rejection rate; We offer a wide range of products and varieties of flowers that can cause difficulties for florists in terms of flower availability and realization; The images of the products are not recent, and the photo editing does not work (it does not correspond to the information in the technical sheets)” and in slide no. 8 it is highlighted that “Currently, 43% of Customer Dissatisfaction is related to problems with the product: 1. Compliance 85%: “I chose the ‘multicolored.’ The flowers received were white and yellow,” “The bouquet was supposed to be full of roses, instead it was flat with lisianthus”; 2. Freshness 12%: “12 red roses delivered at 8:30 PM almost wilted,” “Already almost dead, I made a bad impression”; 3. Missing product 4%: “I asked for the rabbit but the monkey was delivered,” “I attached a greeting card with text to the flowers: the card was delivered, but empty” (emphasis added).</w:t>
      </w:r>
    </w:p>
    <w:p>
      <w:r>
        <w:t>29. In the same terms, the communication dated January 24, 2023, from the Customer Experience Project Manager to the head of the florist network highlights that: “I’m contacting you because I saw lately some customer verbatims about the rose a scelta products where they indicate being dissatisfied due to compliance issues. On the web, customers can select the quantity and color for the roses. But then they receive roses in other colors. This happens for both lunghe and corte roses. I’m attaching some customer verbatims for reference. On the first analysis, we checked with Nicola and on isoweb, a picture of red roses is displayed instead of white one (which is the color the client ordered).”</w:t>
      </w:r>
    </w:p>
    <w:p>
      <w:r>
        <w:t>30. The report, transmitted by the head of e-commerce to the head of the florist network, regarding customer satisfaction on the occasion of Valentine's Day 2023 has also been acquired, from which it emerges that out of [100-200] completed questionnaires, over [20-60%] (i.e. [80-120]) received a rating deemed not positive by the Professional (score classified up to 7) precisely regarding delays in delivery or the delivery of products that differ in variety and quality.</w:t>
      </w:r>
    </w:p>
    <w:p>
      <w:r>
        <w:t>31. Similarly, in a survey on the products proposed in the Christmas 2023 catalog, affiliated florists reported to the Professional the issues related to the difficulties in sourcing certain varieties of flowers. Among the 87 responses received to the survey, noteworthy is the comment made by a florist on the composition “Amaryllis, roses, ilex, berries” for which it is stated that “we do not purchase carnations unless ordered and since orders are always at the last minute, we almost always have to replace them with more expensive flowers. Moreover, multicolored tulips create problems because to really have a variety of colors, too many would need to be purchased (multiples of 50!) and colors that are not in high demand at Christmas. You cannot purchase 200 tulips ad hoc to sell a few in an Interflora bouquet. There are mixed colored bouquets, but our suppliers only purchase them on order during the Christmas period (and orders often arrive at the last minute) and in our opinion, the quality is lower” as well as “Tulips not available at this time” and “In southern Sicily, it is very difficult to find these types of flowers under Christmas” (responses no. 25, 28, and 34). Critical comments regarding the products in the Christmas 2023 catalog also emerge from the responses of other florists to the same survey.</w:t>
      </w:r>
    </w:p>
    <w:p>
      <w:r>
        <w:t>32. The issue related to late delivery or the delivery of products that differ from the compositions proposed online by the Professional could also be confirmed by the high rejection rate of florists, where it emerges that, for the period July 2023 – June 2024, the main reason is “flowers not available” (with percentages never lower than 30% and sometimes even exceeding 40% of total rejections). In other words, following a rejection, the order is redirected to the “second nearest florist,” and so on, until an affiliate capable of preparing the order is identified. This process – of which no information is given to the consumer – could well lead, although not as the sole reason, to a delay in the execution terms of the order with consequent delay in the “guaranteed delivery” of the floral gift.</w:t>
      </w:r>
    </w:p>
    <w:p>
      <w:r>
        <w:rPr>
          <w:b/>
        </w:rPr>
        <w:t>[Pages 43–45]</w:t>
      </w:r>
    </w:p>
    <w:p>
      <w:r>
        <w:t>BULLETIN NO. 4 OF FEBRUARY 3, 2025</w:t>
      </w:r>
    </w:p>
    <w:p>
      <w:r>
        <w:t>33. On this point, the Company, through the corporate manager of the network of florists, admitted that "it does not have a management system for the network of affiliated florists as it is unable to verify the availability of products at the affiliates in relation to the products sold online" and further stated "the Interflora product catalog, published on the company's website, is developed in France and is not aligned with the actual availability of the network of affiliates who will be involved in the preparation and delivery of the order."</w:t>
      </w:r>
    </w:p>
    <w:p>
      <w:r>
        <w:t>34. During the inspection, it emerged that the absence of a corporate system capable of knowing the actual availability of flowers at the florists in the network of affiliates contributed to widespread delays in the delivery of floral gifts (the unavailability of flowers is indeed the main reason for intermediate refusals by the florists). Similarly, the upstream selection of flowers available on the website—without taking into account the actual possibility of procurement, also based on seasonality, by the network of florists—frequently resulted in the delivery of products that were inconsistent in terms of quality and variety of the selected floral gift.</w:t>
      </w:r>
    </w:p>
    <w:p>
      <w:r>
        <w:t>35. The Professional also stated during the hearing held on October 28, 2024, that "the company is working to improve the system in terms of preventing customer dissatisfaction. Interflora is analyzing data on missed deliveries or delivery issues that have occurred, to improve the website, in the sense of identifying problematic areas/deliveries, and to prevent the possibility of placing orders that, based on projections that can be made from past data, would likely lead to customer dissatisfaction. In the future, it will therefore be precluded to place orders for locations, days, or times when deliveries would likely arrive late. The project is in the development phase and according to plans, it should be gradually implemented starting from the end of 2024, within the first half of 2025."</w:t>
      </w:r>
    </w:p>
    <w:p>
      <w:r>
        <w:t>36. Customer reviews for the period from January 1, 2023, to June 30, 2024, were also collected, during which, out of [30,000-40,000] completed questionnaires, [20-40%] (i.e., [10,000–14,000]) reported an unsatisfactory score (which, according to the scale set by the Professional, corresponds to a score not exceeding 7) particularly complaining about the failure to meet the established delivery date (guaranteed by the Professional) and/or the delivery of products that were inconsistent with those selected online in terms of variety or quality of the floral gift chosen compared to what was actually delivered.</w:t>
      </w:r>
    </w:p>
    <w:p>
      <w:r>
        <w:t>37. On this point, the Professional—during the hearing held on October 28, 2024—declared that "following one or more refusals by the florists initially selected by the computer system on a territorial basis, no communication is made to the consumer, even if such refusals may then negatively impact the delivery date initially indicated by the consumer."</w:t>
      </w:r>
    </w:p>
    <w:p>
      <w:r>
        <w:t>38. Additionally, during the inspection, complaints transmitted between 2023 and 2024 were acquired. Specifically, it emerged that from April 2023 to December 2023, out of a total of [100,000–200,000] orders, the Professional received [10,000–100,000] reports from consumers, and among these, [15,000–35,000] (or about [25-50%] of the total reports and equivalent to [1-20%] of the total orders) complained about the failure to deliver or delayed delivery of the ordered floral gift, the delivery of products that were inconsistent in terms of quality, variety, and/or value compared to those chosen online.</w:t>
      </w:r>
    </w:p>
    <w:p>
      <w:r>
        <w:t>39. For 2024, from January 2024 to June 2024, it emerged that out of a total of [100,000–200,000] orders, the Professional received [25,000–50,000] reports from consumers, and among these, [10,000–30,000] (or about [20-60%] of the total reports and equivalent to [1-20%] of the total orders) complained about the failure to deliver or delayed delivery of the ordered floral gift, the delivery of products that were inconsistent in terms of quality, variety, and/or value compared to those chosen online. Furthermore, there are some consumer reviews published, among others, on TrustPilot or Altro Consumo regarding the same issue.</w:t>
      </w:r>
    </w:p>
    <w:p>
      <w:r>
        <w:t>Conduct B) - Inadequate representation of information regarding the costs associated with the floral gift delivery service</w:t>
      </w:r>
    </w:p>
    <w:p>
      <w:r>
        <w:t>40. Regarding the inadequate representation of information about the costs associated with the floral gift delivery service, the Professional promoted—at least until August 12, 2024 (the date from which changes were made to its website)—a series of products on the homepage of its website without any reference to the costs, which were fixed by the Company at an amount of €9.99 per single delivery or €17.99 in the case of an annual subscription with unlimited deliveries, related to the additional delivery service.</w:t>
      </w:r>
    </w:p>
    <w:p>
      <w:r>
        <w:t>41. The products represented by the Professional on the homepage of its website did not provide any indication of the costs associated with the additional delivery service, but the Company merely indicated a price "from" which variability was linked to the size (i.e., "standard, premium or deluxe") of the floral gift and not to the computability of shipping costs.</w:t>
      </w:r>
    </w:p>
    <w:p>
      <w:r>
        <w:rPr>
          <w:b/>
        </w:rPr>
        <w:t>[Pages 46–48]</w:t>
      </w:r>
    </w:p>
    <w:p>
      <w:r>
        <w:t>48 BULLETIN NO. 4 OF FEBRUARY 3, 2025</w:t>
      </w:r>
    </w:p>
    <w:p>
      <w:r>
        <w:t>Figure no. 4 – Step 2 of the floral gift purchase process present on the homepage of the Professional's website before the changes</w:t>
      </w:r>
    </w:p>
    <w:p>
      <w:r>
        <w:t>42. Nor did the costs associated with an additional delivery service appear to the consumer, explicitly and definitively, as they advanced through the purchase process, which, in this case, is independent of the final destination and the quantity of product to be delivered, being predetermined at a fixed amount (see figures nos. 5, 6, and 7).</w:t>
      </w:r>
    </w:p>
    <w:p>
      <w:r>
        <w:t>BULLETIN NO. 4 OF FEBRUARY 3, 2025 49</w:t>
      </w:r>
    </w:p>
    <w:p>
      <w:r>
        <w:t>Figure no. 5 – Step 3 of the floral gift purchase process present on the homepage of the Professional's website before the changes</w:t>
      </w:r>
    </w:p>
    <w:p>
      <w:r>
        <w:t>50 BULLETIN NO. 4 OF FEBRUARY 3, 2025</w:t>
      </w:r>
    </w:p>
    <w:p>
      <w:r>
        <w:t>Figure no. 6 – Step 4 of the floral gift purchase process present on the homepage of the Professional's website</w:t>
      </w:r>
    </w:p>
    <w:p>
      <w:r>
        <w:t>Figure no. 7 – Step 5 of the floral gift purchase process present on the homepage of the Professional's website</w:t>
      </w:r>
    </w:p>
    <w:p>
      <w:r>
        <w:t>43. Only in the final phase of the purchase process, after the consumer had selected the preferred floral gift and any accessories, that is, at the moment of entering the data to proceed to payment, were the mandatory costs associated with the additional delivery service indicated (see figure no. 8).</w:t>
      </w:r>
    </w:p>
    <w:p>
      <w:r>
        <w:rPr>
          <w:b/>
        </w:rPr>
        <w:t>[Pages 49–51]</w:t>
      </w:r>
    </w:p>
    <w:p>
      <w:r>
        <w:t>BULLETIN NO. 4 OF FEBRUARY 3, 2025 51</w:t>
      </w:r>
    </w:p>
    <w:p>
      <w:r>
        <w:t>Figure 8 – Step 6 of the floral gift purchase process present on the homepage of the Professional's website before the changes</w:t>
      </w:r>
    </w:p>
    <w:p>
      <w:r>
        <w:t>IV. THE DEFENSIVE ARGUMENTS OF THE PROFESSIONAL</w:t>
      </w:r>
    </w:p>
    <w:p>
      <w:r>
        <w:t>44. The Professional exercised the right of defense during the investigation through, among other things, an initial memorandum, with the presentation of commitments, and a second memorandum.</w:t>
      </w:r>
    </w:p>
    <w:p>
      <w:r>
        <w:t>45. The Company, in an initial memorandum, highlighted that “The operational methods with which Interflora operates are as follows: orders placed on the website https//interflora.it are transmitted to Interflora Italia so that Interflora Italia can assign the order to the florist closest to the recipient's home. Our order assignment system allows us to verify the list of florists near the recipient who have the necessary accessories (candle, teddy bear, etc.) to complete the order” and that “Each florist in the Interflora network is responsible for updating their information on opening hours and the availability of Interflora accessories. Once the order is assigned to a florist, the florist will create the bouquet, attach any ordered accessories, and deliver the order to the recipient.”</w:t>
      </w:r>
    </w:p>
    <w:p>
      <w:r>
        <w:t>46. Regarding the relationships between Interflora and the affiliated florists, the Professional represented that “The contract includes an ‘Annex B: Regulation’ (…) which determines the relationships between Interflora and the florists, and, among other things, the procedures for accepting orders and obligations towards customers, as well as the rules for transmitting, executing, and accounting for orders. This Regulation provides, in the event of the florist's liability for incorrect, poor quality, delayed, or early delivery, the possibility for the customer to choose between a second delivery or a refund of the amount paid.”</w:t>
      </w:r>
    </w:p>
    <w:p>
      <w:r>
        <w:t>47. Following the presentation of a proposal for commitments that was rejected, the Professional, during the hearing held on October 28, 2024, represented “regarding the allegation concerning the inadequate representation on the company's website of information about the costs associated with the delivery service of the floral gift” that “during the course of this proceeding, the company has modified the website by including, already on the detail pages of the selected products, the precise indication of such costs.”</w:t>
      </w:r>
    </w:p>
    <w:p>
      <w:r>
        <w:t>48. Regarding the allegation concerning the delivery of non-conforming products – in terms of quality and variety of the floral gift chosen by consumers compared to those actually delivered – during the aforementioned hearing, the Professional represented that “due to the nature of the service offered, the bouquets are not directly produced by Interflora, but the preparation of the bouquets is carried out by the affiliated florists (who are more than a thousand in Italy) with fresh flowers.”</w:t>
      </w:r>
    </w:p>
    <w:p>
      <w:r>
        <w:t>49. On the issue of delays in the “guaranteed delivery” of floral products, the Company clarified that “following one or more refusals by the florists initially selected by the computer system on a territorial basis, no communication is made to the consumer, not even if such refusals may then negatively affect the delivery date initially indicated by the consumer. It also emphasizes that cases of non-delivery or delayed delivery are not always attributable to either Interflora or the florists, as they also include cases where, for example, the recipient is absent, or the delivery address indicated in the order is incomplete or incorrect.”</w:t>
      </w:r>
    </w:p>
    <w:p>
      <w:r>
        <w:t>50. Furthermore, the Company – regarding the determination of the catalog of products sold – clarified that “although created by the company, it is shared with the network of affiliated florists, who are involved in various ways in order to obtain their feedback and possibly make changes, additions, or deletions from the catalog, especially seasonal, in order to create the best offer for the consumer together with the florists. It also specifies that the company has two internal functions that deal with this matter: product managers, who specifically handle the products, and Interflora sales agents, who deal with the operational aspects with the florists and collect their feedback, also in relation to the catalog.”</w:t>
      </w:r>
    </w:p>
    <w:p>
      <w:r>
        <w:t>51. Regarding the formation of the Interflora product catalog and the relationship between this and the affiliated florists, and the procedures aimed at ensuring that the delivered flowers are actually compliant with the floral product catalog, the Company submitted a second memorandum containing some clarifications in this regard.</w:t>
      </w:r>
    </w:p>
    <w:p>
      <w:r>
        <w:t>52. In particular, the Company specified that “The floral catalog that appears on the Interflora website is essentially divided into three categories of bouquets [namely] permanent collection, holiday collections, and seasonal products” and that “Regarding the collections (Christmas, Valentine's Day, International Women's Day, Mother's Day), florists are involved in three phases each year, and the feedback from the previous year is used to create the catalog for the following year (…) [through] surveys, round tables, and photo shoots.”</w:t>
      </w:r>
    </w:p>
    <w:p>
      <w:r>
        <w:t>53. Regarding the measures and procedures of Interflora to ensure the conformity of floral products to the descriptions indicated online, the Professional represented:</w:t>
        <w:br/>
        <w:t>i) with reference to the descriptions of the bouquets online, that “For each bouquet, the consumer is provided with a fantasy name and a description that indicates the colors of the bouquet and the main flowers of the bouquet. The indication of the variety of the main flowers and the colors of the bouquet is what determines the consumer's choice and makes the bouquet unique and special. The secondary flowers of the bouquet are those that, if replaced with similar flowers, specifically identified, do not change either the visual perception or the value of the bouquet. For this reason, they are not indicated in the description provided to the consumer, but are instead specifically indicated to the florist”;</w:t>
        <w:br/>
        <w:t>ii) with reference to the technical data sheets of the products, that “for each product, Interflora prepares a technical data sheet. The sheet contains the name, description, dimensions, and photograph of the bouquet, as well as the type and number of ‘main’ flowers, i.e., those that are the subject of the description, and the indication of ‘secondary’ flowers, i.e., those that, while not being the subject of the description, contribute to the color and shape of the bouquet without characterizing it. For the only secondary flowers, i.e., those not indicated in the product description, the specific variety of flowers with which, in case of unavailability by the florists, substitutions can be made is indicated. This should ensure that the bouquets are always compliant with the descriptions provided to consumers”;</w:t>
        <w:br/>
        <w:t>iii) with reference to the contractual commitment of the florists, that “The florists, pursuant to Article 21 of the Regulation attached to the contract, undertake to execute the bouquets with diligence and professionalism, respecting the characteristics of the bouquet in quality and quantity of flowers, in accordance with the technical description of the products provided to them. And generally, the flowers reflect exactly what is indicated in the technical data sheet”;</w:t>
        <w:br/>
        <w:t>iv) with reference to the management of the impossibility of creating the bouquets due to lack of flowers, that “There is a procedure for managing cases where florists do not have the flowers for any reason. In the event that the florist, for any reason, does not have the ‘secondary flowers’ or the ‘greenery’ indicated in the technical data sheet, they can make substitutions with other varieties of flowers or greenery specifically indicated in the technical data sheets. Information about these substitutions must be provided to Interflora through the appropriate interface between Interflora and the florist. In the event that, for any reason, the florist does not have the main flowers or the secondary flowers for the substitutions indicated in the technical data sheet, they must promptly refuse the order (within 60 minutes), so that the order can be reassigned via the portal to another florist who can properly execute the order. In case of doubts, the florist can contact Interflora, which manages these types of issues through a dedicated customer care service.”</w:t>
      </w:r>
    </w:p>
    <w:p>
      <w:r>
        <w:t>V. COUNTER-ARGUMENTS OF THE PARTY TO THE NOTICE OF CHARGES</w:t>
      </w:r>
    </w:p>
    <w:p>
      <w:r>
        <w:t>54. On December 16, 2024, the Company submitted the counter-arguments to the notice of charges dated November 26, 2024.</w:t>
      </w:r>
    </w:p>
    <w:p>
      <w:r>
        <w:t>55. Preliminary, the Company represented that “once it became aware of the proceeding, it immediately took steps to comply with the Authority's requests, and, accepting all observations, submitted its commitments on August 12, 2024, having: -</w:t>
      </w:r>
    </w:p>
    <w:p>
      <w:r>
        <w:rPr>
          <w:b/>
        </w:rPr>
        <w:t>[Pages 52–54]</w:t>
      </w:r>
    </w:p>
    <w:p>
      <w:r>
        <w:t>54 BULLETIN NO. 4 OF FEBRUARY 3, 2025</w:t>
      </w:r>
    </w:p>
    <w:p>
      <w:r>
        <w:t>eliminated references to the expressions regarding “guaranteed” delivery times and the “guaranteed” quality of flowers; - clarified delivery times by immediately inserting limits for same-day delivery; - indicated more clearly the possible difference in variety of some flowers; - indicated the costs associated with the delivery service right from the first page from which flowers can be ordered; - made further changes to meet consumer needs.</w:t>
      </w:r>
    </w:p>
    <w:p>
      <w:r>
        <w:t>56. With reference to the contested Conduct A concerning the violation of the “guaranteed” delivery times of the products sold and the discrepancy, in terms of quality and variety, of the floral gift chosen by consumers compared to what was actually delivered, the Professional specified that “In addition to not taking into account the changes made to the Interflora website, documented with the commitments presented on August 12, 2024, the contestation is argued by citing the NPS reports and the communications related to them, the data on intermediate refusals by florists, and the alleged “reports” from consumers, based on the documents acquired during the inspection. The interpretation of this data, as described in the Notice of Charges, is based on a partial, decontextualized, and in some cases completely incorrect reading of the data itself, and as such is not shareable.”</w:t>
      </w:r>
    </w:p>
    <w:p>
      <w:r>
        <w:t>57. In terms of the current status of the contested practice, the Company highlights that “the expression regarding the “guaranteed” delivery times and the “guaranteed” quality of flowers, which were the subject of the communication of March 20, 2024, were promptly removed from the website as soon as Interflora became aware of the Authority's letters” and that “This page no longer corresponds to the home page of Interflora. The texts have been modified, as already communicated last August in the commitment form.”</w:t>
      </w:r>
    </w:p>
    <w:p>
      <w:r>
        <w:t>58. Therefore, the Professional argues that “Since there is no longer any reference to “guaranteed” times or quality on the homepage and on the site for some time, it is believed that the temporal determination of charge A) by the Authority is incorrect, and that this charge does not take into account the documented behavior of Interflora aimed at complying with what was requested by the Authority.”</w:t>
      </w:r>
    </w:p>
    <w:p>
      <w:r>
        <w:t>59. With reference, instead, to the reports acquired during the inspection, the Company states that “between January 1, 2023, and June 30, 2024, approximately [200,000–400,000] questionnaires were sent. The number is inferred from the fact that [10,000–30,000] questionnaires were completed, corresponding to [5-10%] of those sent” and that “The first extremely relevant data that emerges, therefore, is that the report fails to represent the opinion of [80-100%] of the consumers to whom the questionnaire was sent. In other words, the data contained in the NPS report represent the opinions/experiences of an absolute minority of consumers (only [5-10%]). And it is for this reason that the poor actual representativeness of the data is the very first data provided on this NPS report: it serves to clarify the proportions that must be considered when evaluating the numbers that are subsequently represented.”</w:t>
      </w:r>
    </w:p>
    <w:p>
      <w:r>
        <w:t>60. More specifically, the Professional regarding the NPS scoring criterion adds that “57% of consumers who responded to the questionnaire rated Interflora between 9-10; 16.7% rated it between 7-8; and 26.2% rated it between 0-6. Therefore, applying the formula described above, the NPS score of Interflora is calculated by taking the percentage of subjects classified as “promoters” and subtracting the percentage of subjects categorized as “detractors.” Specifically, for the reference period: 57% - 26.2% = 30.8. The score is therefore 30.8.” Interflora specifies, therefore, that “The first significant interpretative error contained in the Notice of Charges is thus the assumption that the NPS score is an “average rating,” as indicated in point 9 of that provision. The NPS score is not at all an average rating of the scores assigned by consumers. It is enough to think that on the scale from “-100 to +100” of the NPS score, it is possible that with an arithmetic average of 7.6 of the scores, the NPS score is equal to 0.”</w:t>
      </w:r>
    </w:p>
    <w:p>
      <w:r>
        <w:t>61. The Company, regarding the relevance of the data, also adds that “Of the 7% of those who received the questionnaire, 57% rated Interflora between 9-10; 16.7% rated it between 7-8; and 26.2% rated it between 0-6. This means that of all the people who received the questionnaire (approximately 342,440), only 4,003 gave a score of 0-6 for the likelihood of recommending Interflora to a friend or colleague. In percentage terms of the total consumers who received the questionnaire, these scores represent about 1.16% of the subjects to whom the questionnaire was sent. The relevant data that emerges is that 99% of consumers either responded with a score of 7 or higher, or did not respond, and most likely did not have significant complaints to make. Thus, the data already demonstrates the sporadic nature of the “detractors,” which correspond to only 1.16% of consumers who received the questionnaire, in global percentage terms.”</w:t>
      </w:r>
    </w:p>
    <w:p>
      <w:r>
        <w:t>62. Regarding the reasons for consumer dissatisfaction, the Professional states that “Understanding the reasons for which scores between 0-6 are assigned is certainly important for Interflora's internal analyses, to understand areas for improvement. But in absolute terms, which are the ones that count in this proceeding, it must be noted that the discrepancy in the delivery of the floral gifts chosen online was reported by 34% of the 1.16% of consumers who received the questionnaire. In other words, it was complained about by 0.39% of consumers. The same applies to other reasons for dissatisfaction: delays in delivery were reported by 19% of the 1.16% of consumers who received the questionnaire, or 0.22% of consumers who received the questionnaire, and so on. The data, to be evaluated correctly and objectively, must necessarily be referred to their entirety, and when referring them to absolute values, that is, to the totality of the questionnaires sent, the practices that the Authority considers numerous and structural are objectively complained about by only 0.39% (discrepancy) and 0.22% (delays) of consumers.”</w:t>
      </w:r>
    </w:p>
    <w:p>
      <w:r>
        <w:t>63. As for the “low” score received by florists, the Company, specifying on a specific florist report, states that “The florist in question received 3 votes from 3 consumers in the NPS survey: 6, 7, and 10. This means that the arithmetic average of the votes obtained by the florist in the survey was 7.6 (6+7+10 = 23, which divided by 3 gives 7.6), which in school terms is notoriously an excellent score” and that “the NPS index of April referred to in the email is not a “negative index” in absolute terms. It is a negative index compared to the excellence objectives that Interflora has set.”</w:t>
      </w:r>
    </w:p>
    <w:p>
      <w:r>
        <w:t>64. The company, then, regarding the interpretation of NPS data, highlights that “the NPS survey allows scores from 0-10 to be given for the likelihood with which the subject would recommend Interflora to others. In the evaluation, those who gave scores between 0-6 are considered detractors, those between 7-8 are considered neutral, and those between 9-10 are promoters. A score of 7 is therefore not objectively a negative score, nor is it in the scale determined by the NPS metric used by Interflora. The interpretation of the data provided in point 24 of the Notice of Charges, according to which a score of 7 would be a negative score, is objectively incorrect. If we then want to analyze in detail the NPS statistics indicated in this table, according to the NPS metric, the detractors (scores between 0-6) are 10,806, equal to 20.8%, the neutrals (score between 7-8) are 5,032, equal to 13%, while the promoters (score between 9-10) are 21,659, equal to 57.7%,” also specifying that “The analyzed excel table, however, does not indicate the total number of surveys sent, so an objective statistic on consumer reviews is not feasible based on this table.”</w:t>
      </w:r>
    </w:p>
    <w:p>
      <w:r>
        <w:t>65. Regarding the reading of the refusal data, the Company states that “The statistics on the number of refusals are an internal statistic that serves to analyze what the reasons for the refusals may have been, in order to understand if there is a specific problem, and to possibly resolve it. The statistics measure all intermediate refusals by florists, even when the order has then been correctly reassigned and delivered on time to the consumer. It is not a statistic that equates to delays in delivery, nor to the delivery of non-conforming products, nor are the numbers of intermediate refusals objectively correlatable to these statistics. The data that matters to Interflora is the number of intermediate refusals, and that is why it is measured. The number of intermediate refusals does not equate to the number of products that have the final status of “refused.”</w:t>
      </w:r>
    </w:p>
    <w:p>
      <w:r>
        <w:t>66. The Company also adds that “in none of these statistics is the delivery of non-conforming flowers compared to those ordered by consumers mentioned or calculated. The correlation, in particular, between “refusals for “unavailable flowers” and “delivery of non-conforming products,” suggested in point 19 of the Notice of Charges, besides not being documented in any way, is illogical: if the cause of the refusals is precisely the inability to provide flowers conforming to consumers, the florist in these cases refuses, and therefore does not make the non-conforming delivery to the consumer. If this statistic demonstrates anything, it is that a.) there is a system in place to avoid non-conforming deliveries to consumers, b.) the system is implemented by Interflora, c.) the system is respected by florists, d.) the system is closely monitored month by month, e.) the system also leads to corrective actions by Interflora when refusals may be linked to the formation of bouquets for florists.”</w:t>
      </w:r>
    </w:p>
    <w:p>
      <w:r>
        <w:t>67. On the subject of delays in delivery compared to “guaranteed delivery,” the Professional adds that “Consumers are not provided with information on intermediate refusals because, when the consumer orders through the portal, they do not order flowers from a specific florist. The consumer orders a bouquet, regardless of which florist will have to compose it. This means that it is not necessary to indicate in advance either the intermediate refusals or the acceptance of a specific florist. Secondly, the reassignment of the portal to another florist is a system that allows finding the florist closest to the destination who has the available flowers. It does not entail a delay in times: the times that Interflora takes for deliveries take into account a possible time frame to identify the florist. That the system generally works is demonstrated precisely by the data that the Authority has analyzed: on a sample of over [200,000–400,000] questionnaires, the cases in which delays were reported by consumers are exclusively 0.22%, that is, a statistically minimal number, which is physiological for any activity of this type.”</w:t>
      </w:r>
    </w:p>
    <w:p>
      <w:r>
        <w:t>68. Meanwhile, regarding the complaint data, the Professional states that “Many consumer contacts are neither reports nor complaints, but rather requests for information, requests for order modifications, etc., as seen from the entries in the table itself. The contacts for complaints in these tables are specifically counted under the heading “complaints.” For example, in April 2023, according to the data reported in the excel table acquired during the inspection, out of a total of [3,000–9,000] contacts, the contacts for complaints were [200-800].”</w:t>
      </w:r>
    </w:p>
    <w:p>
      <w:r>
        <w:t>69. As for 2024, the Professional specifies that “of [100,000–200,000] orders that result from the data considered by the Authority, the total contacts for complaints are [2,000–8,000], equal to [1-10%].”</w:t>
      </w:r>
    </w:p>
    <w:p>
      <w:r>
        <w:t>70. Regarding the conformity of the flowers, the Professional emphasizes that “Interflora's actions to ensure the conformity of the delivered flowers are multiple (…) Regarding the formation of the catalog, florists are involved at multiple stages through surveys, round tables, and through the feedback that is collected daily by the people responsible for maintaining the</w:t>
      </w:r>
    </w:p>
    <w:p>
      <w:r>
        <w:rPr>
          <w:b/>
        </w:rPr>
        <w:t>[Pages 55–57]</w:t>
      </w:r>
    </w:p>
    <w:p>
      <w:r>
        <w:t>BULLETIN NO. 4 OF FEBRUARY 3, 2025 57</w:t>
      </w:r>
    </w:p>
    <w:p>
      <w:r>
        <w:t>“the relationships with them” and that “From the consumer's perspective, it has already been noted that a reasonably prudent consumer certainly does not expect to receive exactly the bouquet photographed on the website. Bouquets are made with natural flowers, subject to natural variations and seasonality, and to the manual work of an artisan in the assembly. In any case, accepting the Authority's observations, as already documented with the commitments presented in August, a clearer indication has been added next to the photographs of the bouquets stating that 'The photos are for illustrative purposes only. Sometimes the floral gifts may arrive at their destination with flowers of a different color or variety from the photo depending on availability.'</w:t>
      </w:r>
    </w:p>
    <w:p>
      <w:r>
        <w:t>71. On the other hand, regarding the punctuality of deliveries, the Professional adds that 'cases in which consumers complain about the lack of punctuality of deliveries obviously exist, and are physiological with respect to the nature of the service provided, but they are statistically minimal cases. Additionally, a minimal possibility of error in deliveries may be due to a plurality of factors that do not depend on Interflora' and that 'Regarding the communication present on the site, it is noted that, accepting the Authority's observations, Interflora promptly modified the website regarding the communication on the punctuality of deliveries, as already communicated last August in the commitment form. With commitment no. 1, in fact, the box 'same-day delivery' which was the subject of the dispute was changed to 'express delivery', and the text was modified to indicate 'same-day delivery available on floral products for orders placed by 5:00 PM and on Sundays by 12:00 PM, except for holidays and local closures,' thus immediately and significantly narrowing the possibilities for same-day deliveries. This modification of the site was not considered in the Notice of Charges even from a temporal perspective, in the part where it indicates that the practice of 'ensuring' delivery is still ongoing.'</w:t>
      </w:r>
    </w:p>
    <w:p>
      <w:r>
        <w:t>72. Regarding Conduct B in reference to the inadequate representation of information about the costs associated with the delivery service of the floral gift, the Professional states that 'The delivery price was visible before purchase, but not at the initial stage. The consumer who complained about this practice was provided not only with a refund of the shipping costs but the cost of the entire order. It is noted that many of Interflora's main competitors did not indicate and still do not immediately indicate shipping costs' and that 'From a temporal perspective, it is also noted that the Authority's assessment dates back to February 20, 2024 (the circumstance is inferred from the fact that in figure 4 the delivery 'today' is selected, and this is confirmed to be for Tuesday, February 20, 2024) and that as soon as the Authority's complaints were learned, on July 4, 2024, Interflora took action to promptly modify the site. The modifications to the website were made in August 2024, as documented in the presentation of commitments. It is therefore believed that the time frame in which the contested practice persisted is considerably shorter than what is currently contested.'</w:t>
      </w:r>
    </w:p>
    <w:p>
      <w:r>
        <w:t>73. In conclusion, the Company states that 'The actual cases of violation of delivery times for sold products, and the delivery of products differing from those chosen by the consumer, which results from consumer reports and surveys is objectively minimal in statistical terms, and in any case considerably lower than that represented in the Notice of Charges. The lack of a system for verifying the availability of flowers from florists at stores cannot be attributed to Interflora under any aspect, as such a system is not used by any operator in the market; it would impose an entirely disproportionate burden on florists both from an organizational and economic perspective, compared to the risk; it is not practically implementable; and it would also be ineffective in resolving issues regarding the punctuality of deliveries and compliance in the execution of bouquets.</w:t>
      </w:r>
    </w:p>
    <w:p>
      <w:r>
        <w:t>58 BULLETIN NO. 4 OF FEBRUARY 3, 2025</w:t>
      </w:r>
    </w:p>
    <w:p>
      <w:r>
        <w:t>The systems put in place by Interflora to ensure the compliance of the flowers sold and the timing of their delivery are proportionate and correct, as a correct reading of the statistics and acquired data demonstrates. Finally, in light of the above observations, it is believed that Interflora's behavior during the proceedings, including the activities carried out by Interflora through the commitments presented in August 2024, should also be evaluated more favorably for both qualitative and temporal assessment of the contested commercial practices.'</w:t>
      </w:r>
    </w:p>
    <w:p>
      <w:r>
        <w:t>VI. OPINION OF THE AUTHORITY FOR COMMUNICATIONS GUARANTEES</w:t>
      </w:r>
    </w:p>
    <w:p>
      <w:r>
        <w:t>74. Since the commercial practice subject to this provision was disseminated via the internet, on December 17, 2024, the opinion was requested from the Authority for Communications Guarantees, pursuant to Article 27, paragraph 6, of the Consumer Code.</w:t>
      </w:r>
    </w:p>
    <w:p>
      <w:r>
        <w:t>75. With the opinion received on January 14, 2025, the aforementioned Authority expressed its opinion stating that 'the means of communication and purchase used, in relation to the service offered by the Company, is suitable for developing a significant impact on consumers who, based on the information read on the sites/apps used by the Company, could be induced to make a commercial decision that they would not otherwise have made, thus concretely developing the full potential of the promotional and sales methods used' and that 'in this case, the Internet is a communication tool suitable for significantly influencing the realization of the commercial practice.'</w:t>
      </w:r>
    </w:p>
    <w:p>
      <w:r>
        <w:t>VII. CONCLUDING EVALUATIONS</w:t>
      </w:r>
    </w:p>
    <w:p>
      <w:r>
        <w:t>i) Premise</w:t>
      </w:r>
    </w:p>
    <w:p>
      <w:r>
        <w:t>76. In light of the evidence acquired during the investigation, it is believed that the conducts subject to the proceedings are connected by a functional nexus such as to integrate a single commercial practice, and not two autonomous and distinct practices. Therefore, it is deemed appropriate to refer the subject of the proceedings to a single commercial practice, composed of two conducts consisting of i) violation of the 'guaranteed' delivery times of the sold products and discrepancies, in terms of quality and variety, of the floral gift chosen by consumers compared to that actually delivered (Conduct A) and ii) inadequate representation of information regarding the costs associated with the delivery service of the floral gift (Conduct B).</w:t>
      </w:r>
    </w:p>
    <w:p>
      <w:r>
        <w:t>ii) Evaluations</w:t>
      </w:r>
    </w:p>
    <w:p>
      <w:r>
        <w:t>Conduct A) - Violation of delivery times of sold products and delivery of products differing from the type/variety of flowers chosen and the quality guaranteed and advertised on the website</w:t>
      </w:r>
    </w:p>
    <w:p>
      <w:r>
        <w:t>77. The failure to comply with the delivery times of sold products and the delivery of differing products – in terms of type, variety and/or quality – compared to those selected by the consumer are relevant considering that the Professional emphasized such alleged characteristics of the service offered, at least until August 12, 2024 (the date from which modifications were made on its website), in an assertive and unconditional manner (see figure no. 1).</w:t>
      </w:r>
    </w:p>
    <w:p>
      <w:r>
        <w:t>78. In particular, the Professional through expressions such as 'we guarantee same-day delivery for all our floral products. Your floral gift will arrive a few hours after the completion of the order' and 'quality guaranteed - we always deliver the freshest top-quality flowers that are processed by the florist closest to the destination shortly before delivery' has made the statements regarding the speed and punctuality of delivery and the guarantee of quality of the products central elements of its advertising communication. These are, evidently, fundamental elements in the purchasing choice of a consumer who intends to give flowers 'at a distance,' the incorrect representation of which is clearly likely to induce consumers to make a commercial decision that they would not otherwise have made. Such advertising messages, considering their absolute and unconditional nature, are therefore clearly likely to lead consumers to erroneously believe that the Professional would then actually guarantee compliance with the advertised standards.</w:t>
      </w:r>
    </w:p>
    <w:p>
      <w:r>
        <w:t>79. The actual compliance with such standards, which should be considered essential characteristics of the service offered, is however contradicted by the documentation acquired during the inspection, which, on the contrary, confirmed the incorrectness of the advertising messages conveyed by Interflora, which are contradicted in their assertiveness by the non-negligible cases of violation of the 'guaranteed' delivery times of sold products and the discrepancies, in terms of quality and variety, of the floral gift chosen compared to that actually delivered.</w:t>
      </w:r>
    </w:p>
    <w:p>
      <w:r>
        <w:t>80. From the investigation, it has also emerged that the existence of such critical issues and their non-isolated nature were not unknown to Interflora. Evidence of this includes the contents of communications received and transmitted to affiliated florists and the head of the florist network.</w:t>
      </w:r>
    </w:p>
    <w:p>
      <w:r>
        <w:t>81. The systematic nature of the aforementioned issues also emerges from the reports that the Professional has transmitted, on a monthly basis, to the network of affiliated florists in which the score obtained from the NPS is communicated and analyzed. These reports highlight that among the main reasons for customer dissatisfaction were the delivery of products differing from those ordered and the failure to comply with the guaranteed delivery times, in contradiction with the content of Interflora's advertising communications that asserted in absolute terms compliance with such standards. The Professional's awareness of such critical issues also emerged during the investigative hearing held on October 28, 2024.</w:t>
      </w:r>
    </w:p>
    <w:p>
      <w:r>
        <w:t>82. Regardless of such evidentiary findings, it appears even more relevant to confirm the misleading nature of Interflora's advertising messages that, during the investigation, the Professional explicitly acknowledged, on the one hand, the absence of a management system for the network of affiliated florists that would allow him to know and verify the actual availability of the advertised products at the florists and, on the other hand, upstream, having published a catalog that 'is not calibrated to the actual availability of the network of affiliates.'</w:t>
      </w:r>
    </w:p>
    <w:p>
      <w:r>
        <w:rPr>
          <w:b/>
        </w:rPr>
        <w:t>[Pages 58–60]</w:t>
      </w:r>
    </w:p>
    <w:p>
      <w:r>
        <w:t>60 BULLETIN NO. 4 OF FEBRUARY 3, 2025</w:t>
      </w:r>
    </w:p>
    <w:p>
      <w:r>
        <w:t>of a non-negligible number of refusals, intermediate and final, of delivery by the florists, a fact that can reasonably negatively affect delivery times. In other words, contrary to the professional diligence expected from a Professional of Interflora's size, the Company has conveyed assertive and absolute advertising messages regarding the guarantee of both compliance with delivery times and the delivery of flowers corresponding, also in qualitative terms, to those advertised, despite the absence of a corporate system that effectively allowed for compliance with the essential characteristics of the promised service.</w:t>
      </w:r>
    </w:p>
    <w:p>
      <w:r>
        <w:t>83. The issues regarding non-compliant and/or late deliveries are also evident from the analysis of the reports acquired during the inspection containing consumer reviews and complaints, as detailed above in the section on acquired evidence. The number and content of such complaints, submitted between 2023 and 2024, are not negligible nor can they be classified within a physiological, as well as ordinary, flow of reports.</w:t>
      </w:r>
    </w:p>
    <w:p>
      <w:r>
        <w:t>84. In light of this plurality of precise and concrete elements capable of demonstrating that Interflora could not actually guarantee compliance with the advertised standards, the Professional, in the counter-arguments to the notice of charges, did not respond regarding the suitability of the controversial advertising messages to mislead consumers about essential characteristics of the offer, limiting itself to generically asserting that consumers would not expect to receive exactly the bouquet photographed on the site (thus ignoring the various complaints received from consumers on this point and the fact that alongside the bouquets the Professional indicates which flowers would be included). Moreover, the Company even expressly stated that it had "immediately taken steps to comply with the Authority's requests [...], accepting all observations."</w:t>
      </w:r>
    </w:p>
    <w:p>
      <w:r>
        <w:t>85. On the merits of the allegations, the Professional has instead limited itself, essentially, to providing a different interpretation of the investigative evidence, with the aim of downplaying the incidence of cases of non-compliance with the delivery times of the products sold and the delivery of non-compliant products. This, however, is relevant at most for the purposes of quantifying the sanction, but certainly does not overcome the issues of conflict with the Consumer Code underlying the misleading nature of Interflora's advertising information – capable of leading consumers to make a commercial decision they would not otherwise have made – and related to the non-negligible recurrence of cases of non-compliance with the guaranteed standards.</w:t>
      </w:r>
    </w:p>
    <w:p>
      <w:r>
        <w:t>Conduct B) - Inadequate representation of information regarding the costs associated with the delivery service of the floral gift</w:t>
      </w:r>
    </w:p>
    <w:p>
      <w:r>
        <w:t>86. Regarding the inadequate representation of information concerning the costs associated with the delivery service of the floral gift, the documentation acquired in the records is relevant for the purposes of the unfairness of the practice carried out by the Professional.</w:t>
      </w:r>
    </w:p>
    <w:p>
      <w:r>
        <w:t>87. In particular, this aspect emerges from consumer reports, as well as, even more evidently, from the screenshots of the Professional's website. In the presence of intermediate refusals, no information is provided to the consumer, not even if this could "negatively affect the delivery date initially indicated by the consumer."</w:t>
      </w:r>
    </w:p>
    <w:p>
      <w:r>
        <w:t xml:space="preserve">59 Cf. doc. no. 22 of the inspection file.  </w:t>
        <w:br/>
        <w:t>60 Cf. docs. nos. 23 and 24 of the inspection file. Regarding the complaints, it is noted that the new interpretation attempted by the Professional cannot be shared, aimed at limiting the "quantitative" analysis to only the data present in the row labeled "Complaint." Upon closer examination, and from a careful analysis, requests for information and reminders (thus, in substance, complaints) from consumers about an order not delivered on time are included in the row labeled "Shipping and Delivery" and, more specifically, under the heading "Where." Even these data, therefore, must reasonably be counted in the total number of complaints.</w:t>
      </w:r>
    </w:p>
    <w:p>
      <w:r>
        <w:t>BULLETIN NO. 4 OF FEBRUARY 3, 2025 61</w:t>
      </w:r>
    </w:p>
    <w:p>
      <w:r>
        <w:t>88. In detail, the Professional on the homepage of its website promoted, at least until August 12, 2024 (the date from which changes were made to its website), a series of products without any reference to the costs – fixed by the Company at an amount of €9.99 per single delivery or €17.99 in the case of an annual subscription with unlimited deliveries – associated with the additional delivery service (cf. figure no. 3).</w:t>
      </w:r>
    </w:p>
    <w:p>
      <w:r>
        <w:t>89. Thus, the products represented by the Professional on the homepage of its website did not present any indication of the costs associated with the additional delivery service, with the Company limiting itself to indicating a price "from," the variability of which was linked to the size (i.e. "standard, premium or deluxe" – figure no. 4) of the floral gift and not to shipping costs.</w:t>
      </w:r>
    </w:p>
    <w:p>
      <w:r>
        <w:t>90. And even when proceeding with the purchase process, the aforementioned costs associated with an additional delivery service, which, in this case, are independent of the final destination and the quantity of product to be delivered, being predetermined at a fixed amount, were not explicitly and definitively indicated to the consumer (cf. figures nos. 5, 6, and 7).</w:t>
      </w:r>
    </w:p>
    <w:p>
      <w:r>
        <w:t>91. Only in the final phase of the purchase process, after the consumer had already selected their preferred floral gift and any accessories, or only at the moment of entering the data to proceed to payment, were the mandatory costs associated with the additional delivery service indicated (cf. figure no. 8).</w:t>
      </w:r>
    </w:p>
    <w:p>
      <w:r>
        <w:t>iii) Conclusions</w:t>
      </w:r>
    </w:p>
    <w:p>
      <w:r>
        <w:t>92. The conduct described above, for the highlighted aspects, not only appears inconsistent with the normal degree of specific diligence, competence, and attention that consumers can reasonably expect from the Professional in their dealings with respect to the general principles of fairness and good faith in the sector in which it operates, but presents profiles of misleadingness and omission, integrating – in light of the functional nexus – an unfair commercial practice consisting of: (i) the violation of the delivery times of the products sold and the delivery of products that are non-compliant with respect to the type/variety of flowers chosen and the quality guaranteed and advertised on the website (Conduct A) in violation of Articles 20 and 21 of the Consumer Code and (ii) the inadequate representation of information regarding the costs associated with the delivery service of the floral gift (Conduct B) in violation of Articles 20, 21, and 22 of the Consumer Code.</w:t>
      </w:r>
    </w:p>
    <w:p>
      <w:r>
        <w:t>93. During the investigation, on August 12, 2024, the Professional modified the website: i) eliminating references to the "guaranteed" delivery times and qualities of the flowers; ii) clarifying the delivery times; iii) specifying the "indicative" nature of the photos of the advertised floral gifts; and iv) including, already on the detail pages of the selected products, the precise indication of delivery costs.</w:t>
      </w:r>
    </w:p>
    <w:p>
      <w:r>
        <w:t>94. In particular, regarding Conduct A, the advertising messages disseminated by Interflora through its website, at least until August 12, 2024 (the date from which changes were made to its website), were found to be capable of misleading the consumer regarding essential characteristics of the service offered, specifically the correspondence between the selected floral bouquets and those actually delivered and the timeliness of delivery, leading them to make commercial decisions they would not otherwise have made, in violation of Articles 20 and 21 of the Consumer Code.</w:t>
      </w:r>
    </w:p>
    <w:p>
      <w:r>
        <w:t>95. In reality, as emerges from the investigative findings, the Professional is unable to ensure compliance with a guaranteed delivery date, nor the correspondence between the ordered products and those actually delivered, as it does not pre-check the availability of the requested flowers with the retailer to whom it entrusts the execution of the order and thus accepts the risk of imperfect fulfillment of delivery obligations.</w:t>
      </w:r>
    </w:p>
    <w:p>
      <w:r>
        <w:t>62 BULLETIN NO. 4 OF FEBRUARY 3, 2025</w:t>
      </w:r>
    </w:p>
    <w:p>
      <w:r>
        <w:t>96. For the same reasons, Interflora could not legitimately guarantee, in the assertive and reassuring terms used in its business communication, that the floral gifts purchased on the site would actually be delivered to their recipients with the necessary timeliness: this is because the selection of the florist based solely on the criterion of proximity and without prior verification of the availability of the flowers means that the Professional's delivery requests are often declined, resulting in unpredictable delays in the execution of the order.</w:t>
      </w:r>
    </w:p>
    <w:p>
      <w:r>
        <w:t>97. As is evident from common experience, in purchasing a floral gift, the guarantee of delivery on a certain date and the conformity of the delivered product with respect to the variety/type of flowers chosen and the quality of the composition assume essential relevance. In fact, considering the peculiarities that characterize the purchase of a floral gift, delivery made late (for example, after the date of the occasion that justified the purchase) or the delivery of a product of a different variety or quality than that chosen renders subsequent fulfillment, even if correct, substantially useless for the consumer, resulting in a significant alteration of their consumption choice.</w:t>
      </w:r>
    </w:p>
    <w:p>
      <w:r>
        <w:t>98. Regarding Conduct B, failing to adequately represent – at least until August 12, 2024 (the date from which changes were made to its website) – the costs associated with the delivery service of the floral gift appears capable of misleading the consumer regarding an essential element of the commercial offer, such as the price of the product, resulting in an undue alteration of their economic behavior, in violation of Articles 20, 21, and 22 of the Consumer Code.</w:t>
      </w:r>
    </w:p>
    <w:p>
      <w:r>
        <w:t>99. This conduct was characterized, in this case, by particularly insidious profiles, considering the relevance that shipping costs, unavoidable for the consumer, assume on the final selling price (amounting to several tens of euros), as well as the predictability of such costs which, being predetermined at a fixed amount, could well have been indicated by the Professional in the so-called "initial engagement phase" and invitation to purchase as provided for by Article 22, paragraph 4, letter c), of the Consumer Code.</w:t>
      </w:r>
    </w:p>
    <w:p>
      <w:r>
        <w:t>100. Finally, the nature of the illicit danger of the unfair commercial practice under examination is relevant.</w:t>
      </w:r>
    </w:p>
    <w:p>
      <w:r>
        <w:t>VIII. QUANTIFICATION OF THE SANCTION</w:t>
      </w:r>
    </w:p>
    <w:p>
      <w:r>
        <w:t>101.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102.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103. With regard to the severity of the violations committed by Interflora S.p.A., consideration is given to: i) the economic size of the operator whose turnover, according to data provided by the same, amounts to €20,551,328 for the fiscal year ending December 31, 2023, with a gross operating margin of €1,718,889; ii) the exploitation of the notoriety of the brand acquired in the public; iii) the specific peculiarities of the home delivery sector of floral gifts, which places the online purchasing consumer in a position of inevitable informational asymmetry compared to the seller.</w:t>
      </w:r>
    </w:p>
    <w:p>
      <w:r>
        <w:t>104. Specifically regarding the conduct, for the purposes of assessing the severity of the case, the plurality of profiles of illegality found and the specific type of</w:t>
      </w:r>
    </w:p>
    <w:p>
      <w:r>
        <w:rPr>
          <w:b/>
        </w:rPr>
        <w:t>[Pages 61–63]</w:t>
      </w:r>
    </w:p>
    <w:p>
      <w:r>
        <w:t>BULLETIN NO. 4 OF FEBRUARY 3, 2025</w:t>
      </w:r>
    </w:p>
    <w:p>
      <w:r>
        <w:t>63</w:t>
      </w:r>
    </w:p>
    <w:p>
      <w:r>
        <w:t>violations, as, considering the peculiarities that characterize the purchase of a floral gift, delivery made late (for example, after the date of the occasion that justified the purchase) or the delivery of a product of a different variety or quality than that chosen completely nullifies the purpose of the request made to Interflora, rendering even the subsequent fulfillment, although correct, useless for the consumer as they have lost interest, and resulting in a significant compression of their economic freedom. The specific type of violation in relation to essential elements of the commercial offer is also relevant, such as the correspondence between the selected floral bouquets and those actually delivered, the timeliness of delivery, and the price of the product, resulting in an undue alteration of their economic behavior.</w:t>
      </w:r>
    </w:p>
    <w:p>
      <w:r>
        <w:t>105. Regarding the duration of the violation, the available evidence indicates that the commercial practice was carried out by Interflora Italia S.p.A. from at least February 2023 until August 12, 2024 (the date from which changes were made to its website). It is also specified that for the purposes of quantifying the sanction, the instructional elements relating to 2022 will not be considered, and it will be taken into account that Interflora has refunded all reporting consumers, as well as the different reconstruction offered by Interflora in the counter-arguments, in merely statistical terms, of the consistency of cases of violations of delivery times and the delivery of bouquets that were inconsistent in qualitative terms and characteristics compared to those advertised online. Such deductions, while not excluding the misleading nature of Interflora's advertising messages, could to some extent partially mitigate the severity of the conduct.</w:t>
      </w:r>
    </w:p>
    <w:p>
      <w:r>
        <w:t>106. Based on these elements, it is deemed appropriate to determine the amount of the administrative pecuniary sanction applicable to Interflora Italia S.p.A. in the amount of €400,000 (four hundred thousand euros).</w:t>
      </w:r>
    </w:p>
    <w:p>
      <w:r>
        <w:t>CONSIDERED, therefore, in light of the opinion of the Authority for Communications Guarantees, based on the aforementioned considerations, that the commercial practice in question, carried out by Interflora Italia S.p.A., is deemed unfair pursuant to Articles 20, 21, and 22 of the Consumer Code, as it is contrary to professional diligence and capable of significantly limiting consumers' freedom of choice regarding the delivery of the product within guaranteed times and the conformity of the delivered product with respect to the quality and variety of flowers chosen for the arrangement as well as in relation to the representation of the price including shipping costs;</w:t>
      </w:r>
    </w:p>
    <w:p>
      <w:r>
        <w:t>RESOLVES</w:t>
      </w:r>
    </w:p>
    <w:p>
      <w:r>
        <w:t>a) that the commercial practice described in point II of this provision, carried out by Interflora Italia S.p.A., constitutes, for the reasons and within the limits set forth in the motivation, an unfair commercial practice pursuant to Articles 20, 21, and 22 of the Consumer Code, and prohibits its dissemination or repetition;</w:t>
      </w:r>
    </w:p>
    <w:p>
      <w:r>
        <w:t>b) to impose on Interflora Italia S.p.A., for the violation referred to in the previous letter a), an administrative pecuniary sanction of €400,000 (four hundred thousand euros).</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Guido Stazi Roberto Rustichelli</w:t>
      </w:r>
    </w:p>
    <w:p>
      <w:r>
        <w:t>Authority for Competition Weekly Bulletin</w:t>
        <w:br/>
        <w:t>and the Market Year XXXV - No. 4 - 2025</w:t>
        <w:br/>
        <w:t>Editorial Coordination Giulia Antenucci</w:t>
        <w:br/>
        <w:t>Editorial Staff Angela D’Auria, Valerio Ruocco, Manuela Villani</w:t>
        <w:br/>
        <w:t>Authority for Competition and the Market</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