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https://www.agcm.it/dotcmsdoc/bollettini/2021/40-21.pdf</w:t>
      </w:r>
    </w:p>
    <w:p>
      <w:r>
        <w:t>Pages translated : 43</w:t>
      </w:r>
    </w:p>
    <w:p/>
    <w:p>
      <w:r>
        <w:rPr>
          <w:b/>
        </w:rPr>
        <w:t>[Pages 1–3]</w:t>
      </w:r>
    </w:p>
    <w:p>
      <w:r>
        <w:t>Bulletin</w:t>
        <w:br/>
        <w:t>Weekly</w:t>
        <w:br/>
        <w:t>Year XXXI - No. 40</w:t>
        <w:br/>
        <w:t>Published on the website www.agcm.it</w:t>
        <w:br/>
        <w:t>October 11, 2021</w:t>
      </w:r>
    </w:p>
    <w:p>
      <w:r>
        <w:t>SUMMARY</w:t>
        <w:br/>
        <w:t>AGREEMENTS AND ABUSE OF DOMINANT POSITION 5</w:t>
        <w:br/>
        <w:t>I801BB - TAXI TRANSPORT BOOKING SERVICES - MILAN - NON-COMPLIANCE</w:t>
        <w:br/>
        <w:t>Decision No. 29830 5</w:t>
        <w:br/>
        <w:t>CONCENTRATION OPERATIONS 18</w:t>
        <w:br/>
        <w:t>C12394 - ITALIAN INVESTMENT FUND SGR-STELLEX CAPITAL HOLDINGS II</w:t>
        <w:br/>
        <w:t>LUXEMBOURG-SBI/MECAER AVIATION GROUP</w:t>
        <w:br/>
        <w:t>Decision No. 29827 18</w:t>
        <w:br/>
        <w:t>C12395 - ARMÒNIA SGR-AZIMUT LIBERA IMPRESA SGR/INDUPLAST GROUP</w:t>
        <w:br/>
        <w:t>Decision No. 29828 23</w:t>
        <w:br/>
        <w:t>C12397 - PAI PARTNERS/SCRIGNO</w:t>
        <w:br/>
        <w:t>Decision No. 29829 27</w:t>
        <w:br/>
        <w:t>REPORTING AND CONSULTATIVE ACTIVITIES 31</w:t>
        <w:br/>
        <w:t>AS1793 – MUNICIPALITY OF ASCEA (SA) - EXTENSION OF MARITIME STATE CONCESSIONS</w:t>
        <w:br/>
        <w:t>31</w:t>
        <w:br/>
        <w:t>FOR TOURIST-RECREATIONAL PURPOSES</w:t>
        <w:br/>
        <w:t>UNFAIR TRADE PRACTICES 36</w:t>
        <w:br/>
        <w:t>PS11990 – TIK TOK – CRYSTAL DROPS</w:t>
        <w:br/>
        <w:t>Notice of initiation of investigative proceedings 36</w:t>
      </w:r>
    </w:p>
    <w:p>
      <w:r>
        <w:t>BULLETIN NO. 40 OF OCTOBER 11, 2021 5</w:t>
        <w:br/>
        <w:t>AGREEMENTS AND ABUSE OF DOMINANT POSITION</w:t>
        <w:br/>
        <w:t>I801BB - TAXI TRANSPORT BOOKING SERVICES - MILAN - NON-COMPLIANCE</w:t>
        <w:br/>
        <w:t>Decision No. 29830</w:t>
        <w:br/>
        <w:t>THE ANTITRUST AUTHORITY</w:t>
        <w:br/>
        <w:t>IN ITS MEETING of September 21, 2021;</w:t>
        <w:br/>
        <w:t>HEARD the Rapporteur Professor Michele Ainis;</w:t>
        <w:br/>
        <w:t>HAVING REGARD to Law No. 287 of October 10, 1990;</w:t>
        <w:br/>
        <w:t>HAVING REGARD, in particular, to Article 15, paragraph 2, of the aforementioned Law, in the part where it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w:t>
        <w:br/>
        <w:t>HAVING REGARD to Law No. 689 of November 24, 1981;</w:t>
        <w:br/>
        <w:t>HAVING REGARD to the D.P.R. No. 217 of April 30, 1998;</w:t>
        <w:br/>
        <w:t>HAVING REGARD to its resolution No. 27245 of June 27, 2018, with which the Authority established that the taxi radio companies Taxiblu Consorzio Radiotaxi Satellitare Società Cooperativa, hereinafter Taxiblu S.c., Yellow Tax Multiservice S.r.l. and Autoradiotassì Società Cooperativa have engaged in restrictive agreements of competition;</w:t>
        <w:br/>
        <w:t>HAVING REGARD to its resolution No. 28543 of February 2, 2021, with which the Authority initiated proceedings to contest to the company Yellow Tax Multiservice S.r.l. the violation referred to in Article 15, paragraph 2, of Law No. 287/90 for alleged non-compliance with its resolution No. 27245 of June 27, 2018;</w:t>
        <w:br/>
        <w:t>HAVING REGARD to the Communication of Investigative Findings, sent to the Parties on June 23, 2021;</w:t>
        <w:br/>
        <w:t>HAVING REGARD to the final memorandum of Yellow Tax Multiservice S.r.l., received on July 16, 2021, as well as the documentation attached to the memorandum, received on July 20, 2021;</w:t>
        <w:br/>
        <w:t>HEARD in final hearing, on July 26, 2021, the representatives of Yellow Tax Multiservice S.r.l.;</w:t>
        <w:br/>
        <w:t>HAVING REGARD to the documents of the proceedings;</w:t>
        <w:br/>
        <w:t>CONSIDERED the following:</w:t>
      </w:r>
    </w:p>
    <w:p>
      <w:r>
        <w:rPr>
          <w:b/>
        </w:rPr>
        <w:t>[Pages 4–6]</w:t>
      </w:r>
    </w:p>
    <w:p>
      <w:r>
        <w:t>6 BULLETIN NO. 40 OF OCTOBER 11, 2021</w:t>
      </w:r>
    </w:p>
    <w:p>
      <w:r>
        <w:t>I. THE DECISION CONCLUDING THE INVESTIGATION I801B AND THE SUBSEQUENT LITIGATION</w:t>
      </w:r>
    </w:p>
    <w:p>
      <w:r>
        <w:t>1. By decision no. 27245 of June 27, 2018, Booking Service for Taxi Transport – Milan, concluding the investigative procedure I801B (hereinafter, also the Decision), the Authority found that the taxi radio companies Taxiblu Consorzio Radiotaxi Satellitare Società Cooperativa, hereinafter Taxiblu S.c., Yellow Tax Multiservice S.r.l. and Autoradiotassì Società Cooperativa had engaged in restrictive agreements concerning the provisions in the documents governing the relationships between the aforementioned companies and the affiliated taxi drivers, which included clauses identifying specific non-competition obligations that, taken together, are likely to produce anti-competitive effects by preventing or hindering the entry of competing businesses and, in particular, the new operator Mytaxi Italia S.r.l. into the market for the provision of taxi service demand collection and dispatch services in the Municipality of Milan.</w:t>
      </w:r>
    </w:p>
    <w:p>
      <w:r>
        <w:t>2. By the Decision, the Authority therefore ordered the Parties: i) to adopt, within one hundred and twenty days from notification, measures suitable to eliminate the infringement and to refrain in the future from engaging in similar behaviors, as well as ii) to transmit, within the same timeframe, a specific written report regarding the initiatives adopted.</w:t>
      </w:r>
    </w:p>
    <w:p>
      <w:r>
        <w:t>3. The aforementioned taxi radio companies appealed to the Lazio Regional Administrative Court (Tar Lazio) for the annulment, pending suspension of effectiveness, of the Decision. The Decision was suspended by the Tar Lazio with the orders of December 6, 2018, and then annulled by the same Tar Lazio with the judgments of April 29, 2019.</w:t>
      </w:r>
    </w:p>
    <w:p>
      <w:r>
        <w:t>4. Subsequently, the judgments of the Council of State of June 4, 2020, upheld the main appeals of the Authority (and the incidental appeals proposed by Mytaxi Italia S.r.l.) and, as a result, fully reformed the aforementioned judgments of the Tar Lazio, confirming the legitimacy of the Decision.</w:t>
      </w:r>
    </w:p>
    <w:p>
      <w:r>
        <w:t>5. The Parties then filed an appeal with the Council of State for the revocation of their respective judgments of June 4, 2020, issued by the same Council of State, which is currently pending.</w:t>
      </w:r>
    </w:p>
    <w:p>
      <w:r>
        <w:t>II. THE PARTIES</w:t>
      </w:r>
    </w:p>
    <w:p>
      <w:r>
        <w:t>6. Yellow Tax Multiservice S.r.l. (hereinafter, also Yellow Tax) is a service company present in the market since 2002. In particular, it is active in Milan in the management of the radio taxi 6969, with approximately [1,200-1,300]* taxi drivers. Yellow Tax offers its affiliated taxi drivers, in addition to the radio taxi service, the use of the itTaxi app, developed within the Union of Radio Taxis of Italy-URI, to which only taxi management companies can join and no more than one radio taxi per city. In Milan, the company is indeed Yellow Tax.</w:t>
      </w:r>
    </w:p>
    <w:p>
      <w:r>
        <w:t>7. Mytaxi Italia S.r.l. (hereinafter, also Mytaxi) is the Italian subsidiary of a group founded in June 2009 that, since 2014, after merging with Moovel GmbH, belongs to the German automotive group Daimler AG and is active in managing the eponymous Mytaxi app for mobile devices, which connects taxi drivers and users directly, in several European countries and in some U.S. cities. In February 2019, Daimler and BMW, another German automotive group, established a mobility joint venture that includes the new logo FreeNow, which replaced the Mytaxi logo. Mytaxi operates in Italy in various cities, including Rome, Milan, Turin, and Naples, as well as in several European countries and in some U.S. cities.</w:t>
      </w:r>
    </w:p>
    <w:p>
      <w:r>
        <w:t>III. THE INVESTIGATIVE PROCEDURE</w:t>
      </w:r>
    </w:p>
    <w:p>
      <w:r>
        <w:t>8. On October 23, 2020, a request for information regarding the measures adopted to comply with the Decision was sent to Yellow Tax. In response to this request, the company sent a communication on November 10, 2020, stating that, “anticipating the imminent notification of the appeal for revocation of the judgment of the Council of State, Section VI no. 3501/202 (…), it represented the current impossibility of complying with the Authority's decision no. 27245 of June 27, 2018.”</w:t>
      </w:r>
    </w:p>
    <w:p>
      <w:r>
        <w:t>9. On February 2, 2021, the Authority initiated a procedure to contest Yellow Tax's violation of Article 15, paragraph 2, of Law no. 287/90 for non-compliance with its decision no. 27245/2018.</w:t>
      </w:r>
    </w:p>
    <w:p>
      <w:r>
        <w:t>10. In particular, in the initiation decision no. 28543/21, the Authority - considering the arguments proposed by the Party in the communication of November 10, 2020, in support of the impossibility of compliance to be unfounded - noted that “the conduct of Yellow Tax appears to be in contrast with the assessments made by the Authority in the decision of June 27, 2018, no. 27245, in such a way as to constitute a violation of the provisions of the aforementioned decision, with which the Authority ordered the Party to adopt measures suitable to eliminate the anti-competitive behaviors and to refrain in the future from engaging in similar behaviors to those subject to the established infringement.” In particular, at this stage, the Authority found that Yellow Tax had neither eliminated nor reduced the scope of the contractual clause that prohibits taxi drivers affiliated with Yellow Tax from also using the collection and dispatch services offered by competing operators and, in particular, the Mytaxi app (now called FreeNow).</w:t>
      </w:r>
    </w:p>
    <w:p>
      <w:r>
        <w:t>11. In this context of the initiation of the investigation, the Authority deemed consistent with the non-compliance contested to the Party the fact reported by Mytaxi, “if confirmed in the methods and motivations,” that Yellow Tax had prevented a taxi driver from using the ItTaxi app because he was also using FreeNow.</w:t>
      </w:r>
    </w:p>
    <w:p>
      <w:r>
        <w:t>12. On February 15, 2021, Yellow Tax accessed the documents of the procedure.</w:t>
      </w:r>
    </w:p>
    <w:p>
      <w:r>
        <w:t>13. On March 2, 2021, Yellow Tax submitted a defense brief. On April 9, 2021, the hearing of Yellow Tax with the Offices took place. On May 4, 2021, an additional defense document from Yellow Tax was received, containing a formal proposal for compliance.</w:t>
      </w:r>
    </w:p>
    <w:p>
      <w:r>
        <w:t>14. On June 23, 2021, the Authority transmitted to the Parties the Communication of Investigative Findings (hereinafter, also CRI). In this document, the Offices expressed their assessment regarding the findings of the procedural activity, noting that the initiatives taken by Yellow Tax up to that point, namely the temporary and provisional non-application of the non-competition contractual clause, represented a violation of decision no. 27245 of June 27, 2018, perpetuating the established anti-competitive situation.</w:t>
      </w:r>
    </w:p>
    <w:p>
      <w:r>
        <w:t>15. Yellow Tax submitted a concluding brief on July 16, 2021, as well as the documentation attached to the brief on July 20, 2021; no observations were received regarding compliance with the Decision.</w:t>
      </w:r>
    </w:p>
    <w:p>
      <w:r>
        <w:rPr>
          <w:b/>
        </w:rPr>
        <w:t>[Pages 7–9]</w:t>
      </w:r>
    </w:p>
    <w:p>
      <w:r>
        <w:t>BULLETIN NO. 40 OF OCTOBER 11, 2021 9</w:t>
      </w:r>
    </w:p>
    <w:p>
      <w:r>
        <w:t>by Mytaxi. Yellow Tax was heard in a final hearing before the Board on July 26, 2021.</w:t>
      </w:r>
    </w:p>
    <w:p>
      <w:r>
        <w:t>IV. INVESTIGATIVE FINDINGS</w:t>
      </w:r>
    </w:p>
    <w:p>
      <w:r>
        <w:t>IV.1) Compliance Measures by Yellow Tax</w:t>
      </w:r>
    </w:p>
    <w:p>
      <w:r>
        <w:t>a) Measures Adopted Before the CRI</w:t>
      </w:r>
    </w:p>
    <w:p>
      <w:r>
        <w:t>16. During the proceedings, the Party indicated that it had implemented - following the judgment of the Council of State on June 4, 2020, which confirmed the legitimacy of the Authority's decision of June 27, 2018 - the following measures aimed at complying with the decision. In this regard, it submitted the following documents:</w:t>
      </w:r>
    </w:p>
    <w:p>
      <w:r>
        <w:t>- the resolution of June 15, 2020, by the company's Board of Directors, which decides to "temporarily refrain from applying the exclusivity clause" present in the service supply contracts, without modifying the existing contracts or proposing new ones, "pending the definitive resolution of the issue of the validity of the clause";</w:t>
      </w:r>
    </w:p>
    <w:p>
      <w:r>
        <w:t>- the communications via certified email of March 1 and 2, 2021, sent to all taxi drivers who are users of their "Service Supply Contract (It Taxi Driver)," as per the relevant list in the documents, stating: "We confirm that, in compliance with Provision No. 27245 of June 27, 2018, of the Competition and Market Authority and Judgment No. 3501/2020 of the Council of State, pending the outcome of the appeal we filed for revocation and the overall clarification of the regulatory framework governing the matter, the following clause contained in our service supply contract remains - currently - devoid of legal effect, in the contracts in which it is present: the user is prohibited from using any other supply and dispatch system operated by any other supplier and/or taxi service manager and/or any other kind, system/methodology of dispatching/race dispatch in competition with that of the supplier (by way of example and not limited to via App excluding the public assignment/dispatch system that complies with the sorting methodology (to taxi stands) of the municipal columns)".</w:t>
      </w:r>
    </w:p>
    <w:p>
      <w:r>
        <w:t>17. Furthermore, the Party noted that it had not actually applied the aforementioned contractual clause.</w:t>
      </w:r>
    </w:p>
    <w:p>
      <w:r>
        <w:t>b) Measures Adopted After the CRI</w:t>
      </w:r>
    </w:p>
    <w:p>
      <w:r>
        <w:t>18. Following the notification of the CRI, on July 16 and 20, 2021, the Party communicated that it had implemented further measures aimed at complying with Provision No. 27245/2018, consisting of the preparation of a new contract devoid of the non-competition clause and the communication to all taxi drivers of the new contract for signature.</w:t>
      </w:r>
    </w:p>
    <w:p>
      <w:r>
        <w:t>19. In particular, Yellow Tax submitted the following documents:</w:t>
      </w:r>
    </w:p>
    <w:p>
      <w:r>
        <w:t>- a new contract titled "User Contract," replacing the previous one, from which the criticized non-competition clause has been removed;</w:t>
      </w:r>
    </w:p>
    <w:p>
      <w:r>
        <w:t>- the certified email communications, dated July 14, 2021, with which the aforementioned contract was sent as an attachment to all taxi drivers, containing the following text: "Dear Colleague, in compliance with Provision No. 27245 of June 27, 2018, of the Competition and Market Authority and Judgment No. 3501/2020 of the Council of State, we attach the text of the new user contract for signature in complete replacement of the previous one. To this end, we invite you to come to the company headquarters by August 6, during the payment of the fee for that month before the closure of the administrative offices for the summer break."</w:t>
      </w:r>
    </w:p>
    <w:p>
      <w:r>
        <w:t>IV.2) The Specific Fact Reported by Mytaxi</w:t>
      </w:r>
    </w:p>
    <w:p>
      <w:r>
        <w:t>20. In its report, Mytaxi stated that a Milanese taxi driver, affiliated since [2015-2017] with the company, on [August-October] 2020, had signed a six-month contract with Yellow Tax to use the services offered by the ItTaxi app. On [October-December] 2020, the taxi driver was called by phone for a meeting at the Yellow Tax headquarters. On the evening of [October-December], the taxi driver realized that his ItTaxi account had been disabled. When he went to [omitted] at the Yellow Tax headquarters to seek explanations regarding this, two representatives of the company informed the taxi driver that his activity with Yellow Tax could not continue "as the previously established trust relationship had been broken."</w:t>
      </w:r>
    </w:p>
    <w:p>
      <w:r>
        <w:t>V. THE ARGUMENTS OF THE PARTY</w:t>
      </w:r>
    </w:p>
    <w:p>
      <w:r>
        <w:t>21. Yellow Tax presented its position both during the investigative hearing and by submitting written statements and information. It also represented its defenses and further initiatives undertaken by filing a memorandum in view of the final hearing before the Board and during the latter. Mytaxi did not request any hearing, nor did it submit written statements and/or further information during the proceedings.</w:t>
      </w:r>
    </w:p>
    <w:p>
      <w:r>
        <w:t>V.1) On the Compliance Measures</w:t>
      </w:r>
    </w:p>
    <w:p>
      <w:r>
        <w:t>22. According to Yellow Tax, the measures adopted by the company, described in the Facts section, would be overall suitable to comply with the Provision.</w:t>
      </w:r>
    </w:p>
    <w:p>
      <w:r>
        <w:t>23. In this regard, the Party argued that the non-application of the contractual clause, decided on June 15, 2020, and subsequently communicated to the taxi drivers, would be a legally, as well as factually, suitable measure for compliance as it was formalized with an act qualifying as a waiver of a contractual right - i.e., the right of non-competition attributed by the clause to the company and to the detriment of the taxi driver - a waiver that, as such, would be perfected without the need for acceptance by the other contracting party (the taxi driver). Therefore, it would not have been necessary to replace the previous contracts, as instead suggested in the CRI.</w:t>
      </w:r>
    </w:p>
    <w:p>
      <w:r>
        <w:t>24. Furthermore, the aforementioned measures of non-application of the contractual clause and its communication to the taxi drivers would be correctly contextualized with respect to the current procedural phase, which would be characterized by:</w:t>
      </w:r>
    </w:p>
    <w:p>
      <w:r>
        <w:t>(i) the non-definitive nature of Judgment No. 3501/20 of the Council of State, as it is subject to an appeal for revocation, still pending;</w:t>
      </w:r>
    </w:p>
    <w:p>
      <w:r>
        <w:t>(ii) as well as the uncertainty of the regulatory framework, which would present two substantially antithetical orientations of the Council of State regarding the validity and scope of the non-competition clauses of taxi radio companies.</w:t>
      </w:r>
    </w:p>
    <w:p>
      <w:r>
        <w:t>25. Moreover, according to the company, the non-application of the contractual clause would integrate a mode of compliance consistent with what was established, on this point, by the Lazio TAR Judgment No. 11169 of October 19, 2016, concerning case I748B, Restrictive Conduct of the CNF-non-compliance, according to which an express revocation of the act is not always necessary.</w:t>
      </w:r>
    </w:p>
    <w:p>
      <w:r>
        <w:t>26. Furthermore, the adopted measure of non-application of the clause would be considered by the Party preferable to the attempt to implement a solution corresponding to an application of such a clause proportional to the share of productive capacity (in terms of taxi rides) actually necessary to allow the realization of the legitimate protective objectives underlying it, that is, reducing the prohibition of competition from absolute to relative, as also established by the Provision and the aforementioned Judgment of the Council of State. In fact, this alternative mode of compliance - since February 2020, following the Covid-19 pandemic - would be concretely unfeasible as it lacks both historical reference data and programmable development data, as well as being flawed by the existence of data conditioned by the previous, contingent, and ongoing exceptional situation of health emergency.</w:t>
      </w:r>
    </w:p>
    <w:p>
      <w:r>
        <w:t>27. The Party has stated: "to temporarily refrain from applying the clause" (resolution of June 15, 2020) or "remains - currently - devoid of legal effect (...) the following clause (...)" (communications to taxi drivers of March 1 and 2, 2021).</w:t>
      </w:r>
    </w:p>
    <w:p>
      <w:r>
        <w:t>28. In this regard, Yellow Tax clarified that the enforceability of the Provision has been recognized by the company with the non-application of the clause, the aforementioned Board resolution, and the subsequent certified emails, but does not eliminate the noted non-definitive nature of the same, following the appeal for revocation of Judgment No. 3501/20.</w:t>
      </w:r>
    </w:p>
    <w:p>
      <w:r>
        <w:t>29. See the judgments of the Council of State Nos. 3501, 3502, and 3503 of June 4, 2020, concerning procedure I801B, Taxi Transport Booking Service-Milan and Council of State, No. 1547 of March 3, 2020, which accepted the appeal of the Turin taxi radio cooperative, annulling the precautionary measure of the Authority.</w:t>
      </w:r>
    </w:p>
    <w:p>
      <w:r>
        <w:t>30. This mode of compliance had indeed been proposed during the hearing of April 9, 2021.</w:t>
      </w:r>
    </w:p>
    <w:p>
      <w:r>
        <w:t>31. In particular, the current reference parameters, relating to the amount of taxi service requests and unfulfilled rides - both from business users and regular customers - no longer correspond to the structural data in place until 2019: both with respect to the quantitative and qualitative characteristics of the demand, and regarding the total and specific percentage of unfulfilled rides. Even more difficult would be the programmatic planning of a "business model development" plan that would presuppose the achievement of a return to normalcy that is unpredictable in terms of timing, extent, and implementation methods.</w:t>
      </w:r>
    </w:p>
    <w:p>
      <w:r>
        <w:rPr>
          <w:b/>
        </w:rPr>
        <w:t>[Pages 10–12]</w:t>
      </w:r>
    </w:p>
    <w:p>
      <w:r>
        <w:t>12 BULLETIN NO. 40 OF OCTOBER 11, 2021</w:t>
      </w:r>
    </w:p>
    <w:p>
      <w:r>
        <w:t>27. The Party finally highlighted that the complete replacement of the previous contracts with the new text, devoid of the censured clause, sent to all taxi drivers via certified email on July 14, 2021, constitutes an additional means suitable for complying with the Decision.</w:t>
      </w:r>
    </w:p>
    <w:p>
      <w:r>
        <w:t>28. In light of the overall initiatives undertaken and the considerations made, Yellow Tax believes it has implemented suitable compliance measures and, therefore, has engaged in non-sanctionable conduct.</w:t>
      </w:r>
    </w:p>
    <w:p>
      <w:r>
        <w:t>V.2) On the Specific Fact Reported by Mytaxi</w:t>
      </w:r>
    </w:p>
    <w:p>
      <w:r>
        <w:t>29. Yellow Tax argued that the interruption of service provision to the taxi driver, carried out through the disabling of the ItTaxi account, which is the subject of Mytaxi's report, would be attributable to a distinct and subsequent conduct of the taxi driver, three months after the already occurred double subscription of the taxi driver to the Mytaxi app (now Freenow) and the ItTaxi app, consisting of displaying two advertising films bearing the FreeNow logo, in large capital letters, next to the distinctive plate of Yellow Tax, which is of reduced size. In any case, the reported fact is specific and isolated. Therefore, this fact would not constitute a behavior of non-compliance with decision no. 27245/18.</w:t>
      </w:r>
    </w:p>
    <w:p>
      <w:r>
        <w:t>VI. EVALUATIONS</w:t>
      </w:r>
    </w:p>
    <w:p>
      <w:r>
        <w:t>VI.1) Compliance Measures</w:t>
      </w:r>
    </w:p>
    <w:p>
      <w:r>
        <w:t>30. The non-compliance procedure was initiated, pursuant to Article 15, paragraph 2, of Law no. 287/90, to contest to Yellow Tax the non-compliance with letter b) of the dispositive part of the Authority's decision of June 27, 2018, confirmed by the Council of State with judgment of June 4, 2020, which - having ascertained the anti-competitive illegality of the conduct carried out by Yellow Tax, consisting in the provision, in its service and goods rental contract, of a non-competition clause that prohibits subscribing taxi drivers from using other ride-hailing systems in competition with that of the company - ordered Yellow Tax to cease the behavior distorting competition and to refrain in the future from engaging in similar behaviors to that which constituted the ascertained infringement. In this context, letter c) of the dispositive part required the submission of a written report by Yellow Tax to the Authority, within one hundred and twenty days from the notification of the same decision, in order to account for the initiatives aimed at complying with the provisions.</w:t>
      </w:r>
    </w:p>
    <w:p>
      <w:r>
        <w:t>31. The Authority, with the resolution of February 2, 2021, deemed that the elements emerged from the communication of November 10, 2020, produced by Yellow Tax regarding compliance with the decision of June 27, 2018, indicated the perpetuation of anti-competitive conduct, as the Party limited itself to announcing the imminent notification of the appeal for revocation of the judgment of the Council of State no. 3501/2020 and to representing the current impossibility of compliance.</w:t>
      </w:r>
    </w:p>
    <w:p>
      <w:r>
        <w:t>32. Only during the non-compliance investigation did Yellow Tax communicate and document measures aimed at demonstrating compliance with the Decision.</w:t>
      </w:r>
    </w:p>
    <w:p>
      <w:r>
        <w:t>33. In this regard, initially, the Party: (i) submitted the minutes of the Board of Directors meeting of June 15, 2020, in which it was resolved "to temporarily refrain from applying the exclusivity clause, pending a definitive clarification of the situation in question, without modifying all contracts or proposing new ones"; (ii) reported the sending of communications via certified email to taxi drivers that took place on March 1 and 2, 2021, thus, eight months after the aforementioned Board resolution.</w:t>
      </w:r>
    </w:p>
    <w:p>
      <w:r>
        <w:t>34. Also during the non-compliance investigation, following the notification of the CRI, Yellow Tax communicated and documented further compliance measures with the Decision, consisting of the preparation of a new contract devoid of the unlawful contractual clause and the timely communication to all taxi drivers of the new contract for signature.</w:t>
      </w:r>
    </w:p>
    <w:p>
      <w:r>
        <w:t>35. Regarding the measures initially adopted by Yellow Tax with the Board resolution of June 15, 2020, to "temporarily refrain" from applying the unlawful contractual clause, and with its communication to taxi drivers, which was also late, it is noted that these do not constitute compliance with the Decision. In fact, consistent with the obligation imposed by the Decision to eliminate or modify, reducing its scope, the aforementioned contractual clause, Yellow Tax is required to adopt a definitive measure that entails a contractual agreement, in which an expression of will from the counterparty is necessary. The Board resolution of June 15, 2020, does not have a definitive nature and does not contractually eliminate or modify the unlawful clause, but merely temporarily prevents Yellow Tax from applying it.</w:t>
      </w:r>
    </w:p>
    <w:p>
      <w:r>
        <w:t>36. Moreover, Yellow Tax itself did not consider it necessary to inform the Authority about the resolution adopted by the Board of Directors in the meeting of June 15, 2020. Rather, on November 10, 2020, the Party made known its "current impossibility of complying with the Authority's decision no. 27245 of June 27, 2018." Among other things, the assumption that the measures could only be provisional is not shareable, considering both the non-definitive nature of the judgment of the Council of State no. 3501/2020 and the uncertainty of the jurisprudential framework regarding the validity and scope of non-competition clauses of taxi companies.</w:t>
      </w:r>
    </w:p>
    <w:p>
      <w:r>
        <w:t>37. In this regard, it is first observed that the judicial procedure for the revocation of the judgment of the Council of State no. 3501/2020, which confirmed the legitimacy of decision no. 27245/2018, does not suspend the enforceability of the decision itself. Nor is it valid to invoke an uncertainty in the jurisprudential framework, given that judgment no. 3501/2020 was issued precisely against Yellow Tax, unequivocally confirming decision no. 27245/2018 and therefore the illegitimacy of Yellow Tax's contractual clause.</w:t>
      </w:r>
    </w:p>
    <w:p>
      <w:r>
        <w:t>38. Also, the Party's reference to the Lazio TAR judgment concerning the CNF case does not appear relevant, as the warning contained in the Decision imposed on the Party the obligation to put an end to the ascertained infringement and to refrain in the future from engaging in similar behaviors, eliminating the anti-competitive clause or reducing its scope. This obligation became certain and binding with the judgment of the Council of State no. 3501/2020, which, reforming the TAR judgment no. 5359 of April 29, 2019, confirmed the legitimacy and effectiveness of the Decision.</w:t>
      </w:r>
    </w:p>
    <w:p>
      <w:r>
        <w:t>39. In light of the preceding considerations, the mere unilateral decision of non-application/provisional ineffectiveness of the clause and its late communication to taxi drivers cannot represent suitable measures to comply with the Decision, but rather it is necessary to modify the existing contracts. In this regard, the Party prepared a new contract devoid of the unlawful contractual clause, communicating it to all taxi drivers for signature only after the CRI. Therefore, only at that moment did the Party adopt measures consistent with the obligation imposed by the Decision to eliminate or modify, reducing its scope, the non-competition contractual clause.</w:t>
      </w:r>
    </w:p>
    <w:p>
      <w:r>
        <w:t>VI.2) The Specific Fact Reported by Mytaxi</w:t>
      </w:r>
    </w:p>
    <w:p>
      <w:r>
        <w:t>40. The specific fact reported by Mytaxi, besides being episodic, is characterized by elements, albeit not unequivocal, that reasonably lead to exclude that it constitutes specific non-compliance with the Decision. The interruption of the contractual relationship with the taxi driver appears to be attributable not to the taxi driver's double subscription to the two platforms, but to a conduct related to the use of the brand by the same.</w:t>
      </w:r>
    </w:p>
    <w:p>
      <w:r>
        <w:t>VII. THE SANCTION</w:t>
      </w:r>
    </w:p>
    <w:p>
      <w:r>
        <w:t>41. Pursuant to Article 15, paragraph 2, Law no. 287/90, in case of non-compliance with the warning referred to in Article 15, paragraph 1, the Authority applies an administrative pecuniary sanction of up to 10% of the turnover, or, in cases where the sanction provided for in Article 15, paragraph 1, has been applied, a minimum amount not less than double the sanction already applied.</w:t>
      </w:r>
    </w:p>
    <w:p>
      <w:r>
        <w:rPr>
          <w:b/>
        </w:rPr>
        <w:t>[Pages 13–15]</w:t>
      </w:r>
    </w:p>
    <w:p>
      <w:r>
        <w:t>BULLETIN NO. 40 OF OCTOBER 11, 2021 15</w:t>
      </w:r>
    </w:p>
    <w:p>
      <w:r>
        <w:t>42. Considering that the Authority did not impose sanctions on Yellow Tax for the infringement established in decision no. 27245/2018, in this case, an administrative pecuniary sanction of up to 10% of the company's turnover applies.</w:t>
      </w:r>
    </w:p>
    <w:p>
      <w:r>
        <w:t>43. Regarding the quantification of the sanction, account must be taken of the criteria identified by Article 11 of Law no. 689/81, by virtue of the reference provided in Article 31 of Law no. 287/90: in particular, the severity of the violation, the efforts made by the company to eliminate or mitigate the infringement, as well as the economic conditions of the company itself.</w:t>
      </w:r>
    </w:p>
    <w:p>
      <w:r>
        <w:t>44. As for the severity of the infringement, consideration must be given to Yellow Tax's failure to comply with the Authority's resolution no. 27245/2018, which had warned the Party to eliminate or modify, reducing its scope, the non-competition contractual clause. The conduct aimed at compliance - unlike some precedents regarding which compliance presented complex profiles - could have been easily maintained by the Party, as also demonstrated by the timely compliance of the other taxi companies subject to the same decision no. 27245/2018.</w:t>
      </w:r>
    </w:p>
    <w:p>
      <w:r>
        <w:t>45. Therefore, in this case, the Authority applies an administrative pecuniary sanction which is quantified, based on the elements outlined above, at 50,000 euros.</w:t>
      </w:r>
    </w:p>
    <w:p>
      <w:r>
        <w:t>46. That said, it is well-known, also resulting from the investigative acts, that since March 2020 the pandemic emergency from Covid-19, still ongoing, has caused a drastic collapse in taxi demand at the national level, and also at the local Milanese level, resulting in a severe crisis for companies in the sector. For this reason, the Authority deems it appropriate to apply a reduction of the sanction, which is therefore quantified at 5,000 euros.</w:t>
      </w:r>
    </w:p>
    <w:p>
      <w:r>
        <w:t>All of the above having been stated and considered;</w:t>
      </w:r>
    </w:p>
    <w:p>
      <w:r>
        <w:t>CONSIDERING, in light of the investigative findings, that the initiatives undertaken by Yellow Tax, consisting of the mere unilateral decision not to apply/temporary ineffectiveness of the clause and its late communication to taxi drivers, represent a violation of decision no. 27245 of June 27, 2018, having perpetuated the established anti-competitive situation;</w:t>
      </w:r>
    </w:p>
    <w:p>
      <w:r>
        <w:t>RESOLVES</w:t>
      </w:r>
    </w:p>
    <w:p>
      <w:r>
        <w:t>a) that the behavior of Yellow Tax Multiservice S.r.l., consisting of the mere unilateral decision not to apply/temporary ineffectiveness of the clause and its late communication to taxi drivers, constitutes non-compliance with decision no. 27245 of June 27, 2018, in violation of Article 15, paragraph 2, of Law no. 287/1990;</w:t>
      </w:r>
    </w:p>
    <w:p>
      <w:r>
        <w:t>b) to impose on Yellow Tax Multiservice S.r.l., for this behavior and for the reasons stated in the motivation, an administrative pecuniary sanction of 5,000.00 € (five thousand euros).</w:t>
      </w:r>
    </w:p>
    <w:p>
      <w:r>
        <w:t>The administrative sanction referred to in the previous letter b) must be paid within ninety days from the notification of this decision, using the tax codes indicated in the attached model F24 with identifying elements, pursuant to Legislative Decree no. 241/1997. Payment must be made electronically with a debit from one's bank or postal account, through home banking and CBI services provided by banks or by Poste Italiane S.p.A., or using the online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in the same period. Immediate notification of the payment must be given to the Authority, by sending a copy of the model certifying the payment made.</w:t>
      </w:r>
    </w:p>
    <w:p>
      <w:r>
        <w:t>Pursuant to Article 26 of the same law, companies in economically disadvantaged conditions may request the installment payment of the sanction.</w:t>
      </w:r>
    </w:p>
    <w:p>
      <w:r>
        <w:t>This decision will be notified to the interested parties and published in the Bulletin of the Authority for Competition and the Market.</w:t>
      </w:r>
    </w:p>
    <w:p>
      <w:r>
        <w:t>BULLETIN NO. 40 OF OCTOBER 11, 2021 17</w:t>
      </w:r>
    </w:p>
    <w:p>
      <w:r>
        <w:t>Against this decision, an appeal may be submitted to the TAR of Lazio, pursuant to Article 135, paragraph 1, letter b), of the Code of Administrative Procedure (Legislative Decree of July 2, 2010, no. 104), within sixty days from the date of notification of the decision itself, or an extraordinary appeal may be proposed to the President of the Republic, pursuant to Article 8, paragraph 2, of the Decree of the President of the Republic of November 24, 1971, no. 1199, within one hundred and twenty days from the date of notification of the decision itself.</w:t>
      </w:r>
    </w:p>
    <w:p>
      <w:r>
        <w:t>THE SECRETARY GENERAL THE PRESIDENT</w:t>
      </w:r>
    </w:p>
    <w:p>
      <w:r>
        <w:t>Filippo Arena Roberto Rustichelli</w:t>
      </w:r>
    </w:p>
    <w:p>
      <w:r>
        <w:rPr>
          <w:b/>
        </w:rPr>
        <w:t>[Pages 16–18]</w:t>
      </w:r>
    </w:p>
    <w:p>
      <w:r>
        <w:t>18 BULLETIN NO. 40 OF OCTOBER 11, 2021</w:t>
      </w:r>
    </w:p>
    <w:p>
      <w:r>
        <w:t>CONCENTRATION OPERATIONS</w:t>
      </w:r>
    </w:p>
    <w:p>
      <w:r>
        <w:t>C12394 - ITALIAN INVESTMENT FUND SGR - STELLEX CAPITAL HOLDINGS II LUXEMBOURG - SBI/MECAER AVIATION GROUP</w:t>
      </w:r>
    </w:p>
    <w:p>
      <w:r>
        <w:t>Provision No. 29827</w:t>
      </w:r>
    </w:p>
    <w:p>
      <w:r>
        <w:t>THE ANTITRUST AUTHORITY</w:t>
      </w:r>
    </w:p>
    <w:p>
      <w:r>
        <w:t>IN ITS MEETING of September 21, 2021;</w:t>
      </w:r>
    </w:p>
    <w:p>
      <w:r>
        <w:t>HEARD the Rapporteur Professor Michele Ainis;</w:t>
      </w:r>
    </w:p>
    <w:p>
      <w:r>
        <w:t>HAVING REGARD to Law No. 287 of October 10, 1990;</w:t>
      </w:r>
    </w:p>
    <w:p>
      <w:r>
        <w:t>HAVING REGARD to D.P.R. No. 217 of April 30, 1998;</w:t>
      </w:r>
    </w:p>
    <w:p>
      <w:r>
        <w:t>HAVING REGARD to the notification from Fondo Italiano d’Investimento SGR S.p.A. dated September 1, 2021;</w:t>
      </w:r>
    </w:p>
    <w:p>
      <w:r>
        <w:t>CONSIDERING the following:</w:t>
      </w:r>
    </w:p>
    <w:p>
      <w:r>
        <w:t>I. THE PARTIES</w:t>
      </w:r>
    </w:p>
    <w:p>
      <w:r>
        <w:t>1. Fondo Italiano d’Investimento SGR S.p.A. (FII) is a company controlled by CDP Equity S.p.A., which is controlled by Cassa depositi e prestiti S.p.A. (“CDP”), in turn controlled by the Ministry of Economy and Finance (“MEF”). FII was established in 2010 at the initiative of the Ministry of Economy and Finance with the aim of supporting the growth of Italian SMEs and, more generally, the Italian private capital market. FII's main objective is the management of closed-end real estate funds aimed at channeling patient capital towards the system of Italian excellence enterprises. Today, FII manages 13 closed-end investment funds reserved for qualified investors, including the Fondo Italiano Consolidamento e Crescita (FICC) dedicated to both majority and minority investments in medium-sized Italian excellence enterprises, capable of acting as an "aggregating pole" in their respective sector/supply chain, with a view to consolidation.</w:t>
      </w:r>
    </w:p>
    <w:p>
      <w:r>
        <w:t>2. In 2020, the revenue generated by CDP worldwide was [20-30]* billion euros, of which [20-30] was generated in Europe and [10-20] was generated in Italy.</w:t>
      </w:r>
    </w:p>
    <w:p>
      <w:r>
        <w:t>3. Stellex Capital Holdings II Luxembourg SARL (Stellex Lux) is part of the Stellex Capital Management group, which provides consulting to alternative investment funds and other investment vehicles operating in various geographical areas, asset classes, and investment strategies across a wide range of sectors, from materials for the automotive sector to industrial machinery to the aerospace and defense sector, in order to achieve attractive returns for its investors. In particular, Stellex primarily operates through direct investments or similarly structured transactions and aims to be substantially involved in the operations of the companies it acquires, in order to ensure their stability and growth. In 2020, the Stellex group generated revenue of [2-3] billion euros, of which [31-100] million was generated in Europe and [less than 1 million] euros was generated in Italy.</w:t>
      </w:r>
    </w:p>
    <w:p>
      <w:r>
        <w:t>* In this version, some data are omitted, as elements of confidentiality or secrecy of the information were deemed to exist.</w:t>
      </w:r>
    </w:p>
    <w:p>
      <w:r>
        <w:t>BULLETIN NO. 40 OF OCTOBER 11, 2021 19</w:t>
      </w:r>
    </w:p>
    <w:p>
      <w:r>
        <w:t>4. S.B.I. S.p.A. (SBI) is a company active in the following sectors: i) services intended for the aeronautical sector, including the operation of air transport, air taxi, the sale on its own account and on behalf of third parties of fixed-wing and rotary-wing aircraft, the establishment of flight schools, the operation of support activities for aircraft maintenance and overhauls; ii) real estate, including the design, construction, maintenance, administration, and management of real estate properties both owned and third-party, either synergistically related to service activities or independent from them; iii) securities, including the acquisition of shareholdings in other companies both in Italy and abroad with similar or analogous objects. SBI exclusively controls the company subject to acquisition Mecaer Aviation Group S.p.A. (MAG).</w:t>
      </w:r>
    </w:p>
    <w:p>
      <w:r>
        <w:t>5. In 2020, SBI's revenue, excluding that generated by the subsidiary MAG, was [less than 1 million] euros, entirely generated in Italy.</w:t>
      </w:r>
    </w:p>
    <w:p>
      <w:r>
        <w:t>6. Mecaer Aviation Group S.p.A. - MAG is active in the research, design, construction, overhaul, and marketing of equipment and subassemblies (kits) and, more generally, in industrial activities and services for aircraft. Specifically, the group designs and manufactures flight control systems, landing gear systems, non-structural components of interior fittings, intended for use on helicopters and small aircraft. It also provides product support services related to the products it manufactures based on its own designs, those of aircraft manufacturers, or TIER 1 suppliers, maintenance services, repair, and service station for helicopters, aircraft, and their parts. AG is also active, albeit in a very marginal way, in the design and realization of technical solutions for the naval sector, particularly for yachts, and in the management, through Società Aeroporto del Tronto S.p.A., of a landing strip for small aircraft and helicopters, which is dedicated to the group's activities. MAG is currently exclusively controlled by SBI.</w:t>
      </w:r>
    </w:p>
    <w:p>
      <w:r>
        <w:t>7. In 2020, MAG's revenue was [100-511] million euros, of which [31-100] was generated in Europe and [31-100] in Italy.</w:t>
      </w:r>
    </w:p>
    <w:p>
      <w:r>
        <w:t>II. DESCRIPTION OF THE OPERATION</w:t>
      </w:r>
    </w:p>
    <w:p>
      <w:r>
        <w:t>8. The Operation consists of the acquisition by FII, on behalf of FICC, and Stellex Lux of control over MAG and its subsidiaries, jointly with SBI, which currently already exclusively controls the company subject to acquisition. More specifically, FII and Stellex Lux, through a specially established vehicle company (HoldCo) of which they will hold joint control, will reach a share of [75-80%] of the share capital of MAG. The remaining part of the share capital will be held predominantly by S.B.I. ([omitted]) and, residually, by an individual. Regarding the control structure, FII, Stellex, and SBI will each individually have veto rights regarding essential decisions to determine the strategic directions of Mecaer's activities.</w:t>
      </w:r>
    </w:p>
    <w:p>
      <w:r>
        <w:t>9. In particular, the Board of Directors of the Company will be composed of nine members, seven appointed by HoldCo1 and the remaining two by SBI. Certain matters reserved for the Board of Directors of the Company ([omitted]) must be approved with the favorable vote of:</w:t>
        <w:br/>
        <w:t>1 [Omitted].</w:t>
      </w:r>
    </w:p>
    <w:p>
      <w:r>
        <w:t>20 BULLETIN NO. 40 OF OCTOBER 11, 2021</w:t>
      </w:r>
    </w:p>
    <w:p>
      <w:r>
        <w:t>i) the members appointed by HoldCo expressed by FII;</w:t>
        <w:br/>
        <w:t>ii) the members appointed by HoldCo expressed by Stellex; as well as</w:t>
        <w:br/>
        <w:t>iii) the members appointed by SBI.</w:t>
      </w:r>
    </w:p>
    <w:p>
      <w:r>
        <w:t>10. The terms of the operation also provide that the parties who, after closing, will be shareholders of MAG commit, for the period during which they hold their participation in the Company, to (i) not operate directly or indirectly in the sectors of activity and territories in which MAG currently operates; (ii) to a non-solicitation obligation of MAG's current suppliers, limited to cases where this could result in the interruption or a significant reduction of supplies to MAG; as well as (iii) to a non-solicitation obligation of employees.</w:t>
      </w:r>
    </w:p>
    <w:p>
      <w:r>
        <w:t>III. QUALIFICATION OF THE OPERATION</w:t>
      </w:r>
    </w:p>
    <w:p>
      <w:r>
        <w:t>11. The communicated operation, as it involves the acquisition of joint control of a company, constitutes a concentration pursuant to Article 5, paragraph 1, letter b), of Law No. 287/90.</w:t>
      </w:r>
    </w:p>
    <w:p>
      <w:r>
        <w:t>12. It falls within the scope of application of Law No. 287/90, as the conditions of Article 1 of Regulation (EC) No. 139/04 do not apply, and is subject to the obligation of prior notification provided for by Article 16, paragraph 1, of the same law, as the total revenue generated in the last financial year at the national level by the group of companies involved was over 511 million euros and the revenue generated individually at the national level by at least two of the companies involved was over 31 million euros.</w:t>
      </w:r>
    </w:p>
    <w:p>
      <w:r>
        <w:t>13. The non-competition and non-solicitation obligations signed by the parties and described in the previous paragraphs can be considered directly connected and necessary for the realization of the concentration operation in question, as they are functional to safeguarding the value of the acquired company2.</w:t>
      </w:r>
    </w:p>
    <w:p>
      <w:r>
        <w:t>IV. EVALUATION OF THE CONCENTRATION</w:t>
      </w:r>
    </w:p>
    <w:p>
      <w:r>
        <w:t>Relevant Markets</w:t>
      </w:r>
    </w:p>
    <w:p>
      <w:r>
        <w:t>14. The operation concerns the aeronautical sector and in particular flight control systems, landing gear systems, as well as accessories and interior fittings for helicopters and small aircraft. With regard to the Target's activity, in accordance with the Authority's precedents3, the following relevant markets can be identified: i) the market for primary flight control systems (composed of components controlled by an onboard computer and instrumental to the control of the aircraft during the cruise phase) for helicopters and small aircraft4; ii) the market for landing gear systems for helicopters and small aircraft.</w:t>
      </w:r>
    </w:p>
    <w:p>
      <w:r>
        <w:t>2 Communication from the Commission on restrictions directly connected and necessary for concentration operations (2005/C 56/03) published in the Official Journal of the European Communities on March 5, 2005.</w:t>
      </w:r>
    </w:p>
    <w:p>
      <w:r>
        <w:t>3 See case C9006 - S.B.I.-PEP-IMI INVESTIMENTI MECAER MECCANICA AERONAUTICA, provision No. 17791 of December 27, 2007 in bulletin 49/2007.</w:t>
      </w:r>
    </w:p>
    <w:p>
      <w:r>
        <w:t>4 The individual components of primary flight controls do not appear to constitute distinct markets. These components are generally marketed as part of a single system. See AGCM provision No. 17791, case C9006 cited in en. 9090 of January 9, 2001 case C4365 - UNITED TECHNOLOGIES/CLAVERHAM GROUP and No. 10223 of December 13, 2001, case C4954 - MICROTECNICA/MAGNAGHI AEROSPACE.</w:t>
      </w:r>
    </w:p>
    <w:p>
      <w:r>
        <w:rPr>
          <w:b/>
        </w:rPr>
        <w:t>[Pages 19–21]</w:t>
      </w:r>
    </w:p>
    <w:p>
      <w:r>
        <w:t>BULLETIN NO. 40 OF OCTOBER 11, 2021 21</w:t>
      </w:r>
    </w:p>
    <w:p>
      <w:r>
        <w:t>of small size; and iii) the market for accessories and interior fittings for helicopters and small aircraft.</w:t>
      </w:r>
    </w:p>
    <w:p>
      <w:r>
        <w:t>15. Although the components produced may vary depending on the type of aircraft on which they are installed, due to the high degree of substitutability existing from the supply side among the products provided, these different applications do not correspond to distinct markets.</w:t>
      </w:r>
    </w:p>
    <w:p>
      <w:r>
        <w:t>16. As for the services of overhaul, assistance, and maintenance, the parties believe that these do not constitute standalone product markets, but rather represent only ancillary services to the main aeronautical activity.</w:t>
      </w:r>
    </w:p>
    <w:p>
      <w:r>
        <w:t>17. Outside the aeronautical sector, MAG is marginally active in the naval sector, specifically in the production of technical solutions for yachts. In these areas, MAG generates a percentage of its revenue significantly below 1% and holds negligible market shares, in any case below 1%, regardless of the definition of the relevant market in terms of product and geographical scope.</w:t>
      </w:r>
    </w:p>
    <w:p>
      <w:r>
        <w:t>18. MAG, through the Company Aeroporto del Tronto S.p.A., also manages a landing strip for small aircraft and helicopters, which is currently dedicated to the activities of the group and generates revenue of approximately [less than 1,000,000] euros, entirely intra-group.</w:t>
      </w:r>
    </w:p>
    <w:p>
      <w:r>
        <w:t>The geographical market</w:t>
      </w:r>
    </w:p>
    <w:p>
      <w:r>
        <w:t>19. Considering the characteristics of the aeronautical sector, the marginal impact of transportation costs relative to the value of the products and services included in the relevant markets, the structure of the supply, and the significant investments required to operate, it can be concluded that, for the purposes of evaluating this operation, the affected markets have a supranational dimension, which the parties consider to be global. In any case, it is noted that the assessment of the operation would not change if a narrower geographical market were considered.</w:t>
      </w:r>
    </w:p>
    <w:p>
      <w:r>
        <w:t>Effects of the operation</w:t>
      </w:r>
    </w:p>
    <w:p>
      <w:r>
        <w:t>20. In the markets identified above, the parties have stated that the market share held globally by the Target is always below 5%, except in the market for accessories and interior fittings, where it reaches [5-10%]. The Operation does not entail any type of horizontal overlap or vertical integration. FII and Stellex, the two entities that will jointly acquire control over MAG along with SBI, do not operate in any of the markets identified above, nor in upstream or downstream markets. Therefore, there will be no increase in market shares, nor the emergence of possible vertical issues.</w:t>
      </w:r>
    </w:p>
    <w:p>
      <w:r>
        <w:t>21. The Operation, consisting of the transition from exclusive to joint control for SBI, is therefore not suitable to alter the competitive conditions in the markets identified above given the marginal market share held by the Target and the absence of horizontal or vertical overlaps with the Acquirers.</w:t>
      </w:r>
    </w:p>
    <w:p>
      <w:r>
        <w:t>22. In light of the above considerations, it is believed that in the relevant markets the operation will not have detrimental effects on competition, not resulting in substantial changes in the competitive structure of the same.</w:t>
      </w:r>
    </w:p>
    <w:p>
      <w:r>
        <w:t>22 BULLETIN NO. 40 OF OCTOBER 11, 2021</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and non-solicitation obligations between the parties are ancillary to this operation only to the extent described above and that the Authority reserves the right to evaluate the aforementioned agreements that are realized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Competition and Market Authority.</w:t>
      </w:r>
    </w:p>
    <w:p>
      <w:r>
        <w:t>THE SECRETARY GENERAL THE PRESIDENT</w:t>
      </w:r>
    </w:p>
    <w:p>
      <w:r>
        <w:t>Filippo Arena Roberto Rustichelli</w:t>
      </w:r>
    </w:p>
    <w:p>
      <w:r>
        <w:t>BULLETIN NO. 40 OF OCTOBER 11, 2021 23</w:t>
      </w:r>
    </w:p>
    <w:p>
      <w:r>
        <w:t>C12395 - ARMÒNIA SGR-AZIMUT LIBERA IMPRESA SGR/INDUPLAST GROUP</w:t>
      </w:r>
    </w:p>
    <w:p>
      <w:r>
        <w:t>Provision No. 29828</w:t>
      </w:r>
    </w:p>
    <w:p>
      <w:r>
        <w:t>THE COMPETITION AND MARKET AUTHORITY</w:t>
      </w:r>
    </w:p>
    <w:p>
      <w:r>
        <w:t>IN ITS MEETING of September 21, 2021;</w:t>
      </w:r>
    </w:p>
    <w:p>
      <w:r>
        <w:t>HEARD the Rapporteur Professor Michele Ainis;</w:t>
      </w:r>
    </w:p>
    <w:p>
      <w:r>
        <w:t>HAVING REGARD to Law No. 287 of October 10, 1990;</w:t>
      </w:r>
    </w:p>
    <w:p>
      <w:r>
        <w:t>HAVING REGARD to the Presidential Decree No. 217 of April 30, 1998;</w:t>
      </w:r>
    </w:p>
    <w:p>
      <w:r>
        <w:t>HAVING REGARD to the act of the companies Armonia SGR S.p.A. and Azimut Libera Impresa SGR S.p.A., received on September 1, 2021;</w:t>
      </w:r>
    </w:p>
    <w:p>
      <w:r>
        <w:t>CONSIDERING the following:</w:t>
      </w:r>
    </w:p>
    <w:p>
      <w:r>
        <w:t>I. THE PARTIES</w:t>
      </w:r>
    </w:p>
    <w:p>
      <w:r>
        <w:t>1. Armònia SGR S.p.A. (hereinafter, Armònia) is an independent asset management company that has established and manages the Italian law Alternative Investment Fund "Armònia Italy Fund" (hereinafter, Armònia Fund) constituted in the form of a closed-end mutual investment fund, whose participation is reserved for institutional investors. The investments of the Armònia Fund focus on typical sectors of Made in Italy (machinery, mechanics, pharmaceuticals, nutraceuticals, services, consumer goods, food, luxury, and lifestyle).</w:t>
      </w:r>
    </w:p>
    <w:p>
      <w:r>
        <w:t>2. The share capital of Armònia is 100% held by Armònia Holding S.r.l., whose share capital is held by individuals.</w:t>
      </w:r>
    </w:p>
    <w:p>
      <w:r>
        <w:t>3. In 2020, Armònia achieved a consolidated global revenue of approximately [100-511]* million euros, of which approximately [100-511] million euros from sales in the European Union and approximately [100-511] million euros from sales in Italy.</w:t>
      </w:r>
    </w:p>
    <w:p>
      <w:r>
        <w:t>4. Azimut Libera Impresa SGR S.p.A. (hereinafter, Azimut) is an integrated platform that offers dedicated products and services, on one hand, to entrepreneurs and small and medium-sized enterprises and, on the other hand, to investors and savers.</w:t>
      </w:r>
    </w:p>
    <w:p>
      <w:r>
        <w:t>5. Azimut is controlled by Azimut Holding S.p.A. and is part of the eponymous group, which operates in Italy in the management of private capital funds (hereinafter, Azimut Group).</w:t>
      </w:r>
    </w:p>
    <w:p>
      <w:r>
        <w:t>6. In 2020, Azimut achieved a consolidated global revenue of approximately [700-1,000] million euros, of which approximately [700-1,000] million euros from sales in the European Union and approximately [700-1,000] million euros from sales in Italy.</w:t>
      </w:r>
    </w:p>
    <w:p>
      <w:r>
        <w:t>7. Induplast Group S.r.l. (hereinafter, Induplast Group or the Target) is the holding company of the Induplast Group, composed of Italian law companies active in the design and production of rigid plastic packaging intended for the cosmetics industry. Among the products marketed by the Group</w:t>
      </w:r>
    </w:p>
    <w:p>
      <w:r>
        <w:t>* In this version, some data are omitted, as elements of confidentiality or secrecy of the information were deemed to exist.</w:t>
      </w:r>
    </w:p>
    <w:p>
      <w:r>
        <w:t>1 The vast majority of the Target's revenue is generated from packaging for cosmetics and beauty care products. An insignificant fraction of this revenue comes from packaging for food and para-pharmaceutical products.</w:t>
      </w:r>
    </w:p>
    <w:p>
      <w:r>
        <w:rPr>
          <w:b/>
        </w:rPr>
        <w:t>[Pages 22–24]</w:t>
      </w:r>
    </w:p>
    <w:p>
      <w:r>
        <w:t>24 BULLETIN NO. 40 OF OCTOBER 11, 2021</w:t>
      </w:r>
    </w:p>
    <w:p>
      <w:r>
        <w:t>Induplast includes various types of bottles, jars, sticks, makeup containers, airless containers and foamers, and other accessories.</w:t>
      </w:r>
    </w:p>
    <w:p>
      <w:r>
        <w:t>8. The share capital of Target is currently owned by Europe Capital Partners VI (56.04%) and Compagnia Fiduciaria Nazionale (43.96%).</w:t>
      </w:r>
    </w:p>
    <w:p>
      <w:r>
        <w:t>9. In 2020, the Induplast Group achieved a consolidated worldwide turnover of approximately [31-100] million euros, of which approximately [31-100] million euros were from sales in the European Union and approximately [10-31] million euros from sales in Italy.</w:t>
      </w:r>
    </w:p>
    <w:p>
      <w:r>
        <w:t>II. DESCRIPTION OF THE TRANSACTION</w:t>
      </w:r>
    </w:p>
    <w:p>
      <w:r>
        <w:t>10. Armònia and Azimut, as buyers, and Europe Capital Partners VI SCA and Compagnia Fiduciaria Nazionale S.p.A., as sellers, have signed a share purchase agreement called "Quota Purchase Agreement" (hereinafter, QPA), under which it is provided, inter alia, that - subject to the occurrence of certain events set forth therein as suspensive conditions - at the closing of the Transaction, Armònia and Azimut will indirectly acquire joint control of Target. The Transaction will be structured in the following phases:</w:t>
        <w:br/>
        <w:t>(i) Armònia and Azimut will establish a corporate vehicle (hereinafter, HoldCo), whose share capital will be held by Armònia, through a wholly-owned corporate vehicle, for approximately 45%, by Azimut for approximately 45%, and by certain managers of the Induplast Group companies (Management) for the remaining approximately 10%;</w:t>
        <w:br/>
        <w:t>(ii) HoldCo will control a newly established corporate vehicle (BidCo);</w:t>
        <w:br/>
        <w:t>(iii) at the closing of the Transaction, BidCo will acquire 100% of Induplast Group and, consequently, of the Induplast Group.</w:t>
      </w:r>
    </w:p>
    <w:p>
      <w:r>
        <w:t>11. Armònia and Azimut have signed a term sheet (hereinafter, TS), under which they have committed to comply with certain governance rules regarding HoldCo that, as provided by the same TS, must also be reflected in the governance of BidCo and Target. In particular, the TS provides that: (i) the Board of Directors will be composed of members appointed equally by Armònia and Azimut, while the CEO will be identified in agreement between Armònia and Azimut; and (ii) the resolutions of the Board of Directors, including those concerning the adoption and modification of the business plan and budget, will be adopted with the favorable vote of at least one director appointed, respectively, by Armònia and Azimut.</w:t>
      </w:r>
    </w:p>
    <w:p>
      <w:r>
        <w:t>12. It is expected that the agreement between Armònia, Azimut, and Management will contain, inter alia, a non-compete and non-solicitation obligation on the part of Management towards Target, the duration of which will be defined prior to closing.</w:t>
      </w:r>
    </w:p>
    <w:p>
      <w:r>
        <w:t>III. QUALIFICATION OF THE TRANSACTION</w:t>
      </w:r>
    </w:p>
    <w:p>
      <w:r>
        <w:t>13. The notified transaction, as it involves the acquisition of joint control of a company, constitutes a concentration pursuant to Article 5, paragraph 1, letter b), of Law No. 287/90.</w:t>
      </w:r>
    </w:p>
    <w:p>
      <w:r>
        <w:t>14. It falls within the scope of application of Law No. 287/90, as the conditions set forth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was above 511 million euros and the total turnover achieved individually at the national level by at least two of the companies involved was above 31 million euros.</w:t>
      </w:r>
    </w:p>
    <w:p>
      <w:r>
        <w:t>15. The non-compete and non-solicitation agreements described above can be qualified as ancillary to the notified concentration to the extent that they contain restrictions directly related to the realization of the transaction and necessary for it. In particular, in this case, the commitments made by Management benefit the buyers and respond to the need to ensure the transfer of the actual value of the acquired company, provided that such agreements are limited in terms of products to those of the acquired company, geographically to the area of activity of the acquired company, and temporally for the duration of the joint venture.</w:t>
      </w:r>
    </w:p>
    <w:p>
      <w:r>
        <w:t>IV. ASSESSMENT OF THE CONCENTRATION</w:t>
      </w:r>
    </w:p>
    <w:p>
      <w:r>
        <w:t>The relevant market</w:t>
      </w:r>
    </w:p>
    <w:p>
      <w:r>
        <w:t>16. From a product perspective, considering the activity of Target, the transaction concerns the market for plastic containers, which includes packaging for cosmetic products, care, and beauty products. The demand is represented by cosmetic and pharmaceutical industries that use plastic containers for packaging their products.</w:t>
      </w:r>
    </w:p>
    <w:p>
      <w:r>
        <w:t>17. Given the high transportation costs of products and the low level of imports, the market has a national dimension. At this stage, it is not necessary to arrive at an exact definition of the relevant geographical scope, as even considering a broader dimension, the assessment of the transaction would not change.</w:t>
      </w:r>
    </w:p>
    <w:p>
      <w:r>
        <w:t>Effects of the transaction</w:t>
      </w:r>
    </w:p>
    <w:p>
      <w:r>
        <w:t>18. In the Italian market for plastic containers, Target holds a market share of approximately [1-5%], while the buyers are not active.</w:t>
      </w:r>
    </w:p>
    <w:p>
      <w:r>
        <w:t>19. With regard to any vertical effects of the Transaction, it is noted that Azimut does not control companies operating in upstream or downstream markets of the market in which Target is active; Armònia controls BioDue S.p.A. (hereinafter, Biodue), a company that develops, produces, and markets cosmetic products and dietary supplements. Considering the business of Target, BioDue is active in the national markets for the production and marketing of cosmetic products and supplements, potentially downstream of the Italian market for plastic containers, with estimated shares of approximately [1-5%].</w:t>
      </w:r>
    </w:p>
    <w:p>
      <w:r>
        <w:t>20. In these markets, there are numerous and qualified competitors.</w:t>
      </w:r>
    </w:p>
    <w:p>
      <w:r>
        <w:t>21. In light of the above considerations, it is believed that in the relevant market the transaction will not have adverse effects on competition, not resulting in substantial changes in the competitive structure thereof.</w:t>
      </w:r>
    </w:p>
    <w:p>
      <w:r>
        <w:t>THEREFORE, it is deemed that the transaction in question does not result, pursuant to Article 6, paragraph 1, of Law No. 287/90, in the establishment or strengthening of a dominant position in the relevant market, such as to eliminate or substantially and durably reduce competition;</w:t>
      </w:r>
    </w:p>
    <w:p>
      <w:r>
        <w:t>IT IS ALSO DEEMED that the non-compete and non-solicitation obligations between the parties are ancillary to this transaction only to the limits described above and that the Authority reserves the right to assess the aforementioned agreements that are realized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Antitrust Authority.</w:t>
      </w:r>
    </w:p>
    <w:p>
      <w:r>
        <w:t>THE SECRETARY GENERAL THE PRESIDENT</w:t>
      </w:r>
    </w:p>
    <w:p>
      <w:r>
        <w:t>Filippo Arena Roberto Rustichelli</w:t>
      </w:r>
    </w:p>
    <w:p>
      <w:r>
        <w:rPr>
          <w:b/>
        </w:rPr>
        <w:t>[Pages 25–27]</w:t>
      </w:r>
    </w:p>
    <w:p>
      <w:r>
        <w:t>BULLETIN NO. 40 OF OCTOBER 11, 2021 27</w:t>
      </w:r>
    </w:p>
    <w:p>
      <w:r>
        <w:t>C12397 - PAI PARTNERS/SCRIGNO</w:t>
      </w:r>
    </w:p>
    <w:p>
      <w:r>
        <w:t>Decision No. 29829</w:t>
      </w:r>
    </w:p>
    <w:p>
      <w:r>
        <w:t>THE ANTITRUST AUTHORITY</w:t>
      </w:r>
    </w:p>
    <w:p>
      <w:r>
        <w:t>IN ITS MEETING of September 21, 2021;</w:t>
      </w:r>
    </w:p>
    <w:p>
      <w:r>
        <w:t>HEARD the Rapporteur Professor Michele Ainis;</w:t>
      </w:r>
    </w:p>
    <w:p>
      <w:r>
        <w:t>HAVING REGARD to Law No. 287 of October 10, 1990;</w:t>
      </w:r>
    </w:p>
    <w:p>
      <w:r>
        <w:t>HAVING REGARD to Presidential Decree No. 217 of April 30, 1998;</w:t>
      </w:r>
    </w:p>
    <w:p>
      <w:r>
        <w:t>HAVING REGARD to the notification from PAI Partners S. à r.l., received on September 3, 2021;</w:t>
      </w:r>
    </w:p>
    <w:p>
      <w:r>
        <w:t>CONSIDERED the following:</w:t>
      </w:r>
    </w:p>
    <w:p>
      <w:r>
        <w:t>I. THE PARTIES</w:t>
      </w:r>
    </w:p>
    <w:p>
      <w:r>
        <w:t>1. PAI Partners S. à r.l. (hereinafter PAI) is a Luxembourg company that manages private equity funds. The share capital of PAI is wholly owned by PAI Partners SAS, which heads the PAI Partners Group. The PAI Partners Group invests in medium and large European companies, primarily operating in France, Germany, and Spain. The Group includes a number of funds that own companies operating in various sectors such as business services, food and consumer products, industrial products, retail, and distribution. In 2020, the PAI Partners Group generated total revenues of [10-20]1 billion euros, of which [8-9] billion in Europe and approximately [700-1,000] million in Italy.</w:t>
      </w:r>
    </w:p>
    <w:p>
      <w:r>
        <w:t>2. Scrigno S.p.A. (Scrigno or target), an Italian company, heads the eponymous group founded in Santarcangelo di Romagna in 1989. The Scrigno Group is primarily engaged in the design, production, and marketing of frames for sliding doors, armored doors, and interior doors, as well as accessories for fixtures, such as handles, hinges, seals, edges, and sensitive safety edges for gates and doors. The Scrigno Group markets its products in Italy and abroad, in the latter case through trading companies (in France, Germany, the Czech Republic, and Spain) and a network of agents and distributors (mainly in the United Kingdom, Switzerland, Austria, Belgium, and Israel).</w:t>
      </w:r>
    </w:p>
    <w:p>
      <w:r>
        <w:t>3. Scrigno is currently under the control of Jupiter S.p.A., which holds approximately 99.66% of the share capital. The remaining 0.34% of Scrigno's capital is held by Cordusio Fiduciaria S.p.A. Jupiter is controlled by Clessidra, whose share capital is 100% owned by Clessidra Holding S.p.A., which is, in turn, wholly controlled by Italmobiliare S.p.A., a holding company with investments in companies operating in various sectors (such as, for example, construction materials, food packaging, banks, real estate, etc.).</w:t>
      </w:r>
    </w:p>
    <w:p>
      <w:r>
        <w:t>4. In 2020, the target generated revenues of [31-100] million euros, of which [31-100] million in Europe and [31-100] million in Italy.</w:t>
      </w:r>
    </w:p>
    <w:p>
      <w:r>
        <w:t>1 In this version, some data are omitted as there are elements of confidentiality or secrecy of the information.</w:t>
      </w:r>
    </w:p>
    <w:p>
      <w:r>
        <w:t>28 BULLETIN NO. 40 OF OCTOBER 11, 2021</w:t>
      </w:r>
    </w:p>
    <w:p>
      <w:r>
        <w:t>II. DESCRIPTION OF THE TRANSACTION</w:t>
      </w:r>
    </w:p>
    <w:p>
      <w:r>
        <w:t>5. The transaction in question consists of the purchase by PAI, through Remni S.r.l. (a newly established company wholly controlled by PAI), of the entire share capital of Scrigno.</w:t>
      </w:r>
    </w:p>
    <w:p>
      <w:r>
        <w:t>6. The Purchase Agreement includes a commitment from Clessidra (which indirectly controls the target) not to hold in any way, from the closing date until December 31, 2022, direct or indirect shareholdings, or other forms of interests, in Scrigno's competing companies (including in geographical areas and product sectors in which the latter plans to enter), as identified in the annex to the Agreement. Furthermore, Clessidra commits, for a period of two years from the closing date, not to solicit or hire employees with recognized knowledge and technical skills in the fields of design, creation, marketing, and production, who are employed by the Scrigno Group, unless the employment relationship between such employees and the Scrigno Group has been previously terminated at the request of the Scrigno Group.</w:t>
      </w:r>
    </w:p>
    <w:p>
      <w:r>
        <w:t>III. QUALIFICATION OF THE TRANSACTION</w:t>
      </w:r>
    </w:p>
    <w:p>
      <w:r>
        <w:t>7. The notified transaction, as it involves the acquisition of exclusive control of companies, constitutes a concentration pursuant to Article 5, paragraph 1, letter b), of Law No. 287/90.</w:t>
      </w:r>
    </w:p>
    <w:p>
      <w:r>
        <w:t>8.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511 million euros and the total revenue generated individually at the national level by at least two of the interested companies exceeded 31 million euros.</w:t>
      </w:r>
    </w:p>
    <w:p>
      <w:r>
        <w:t>9. The non-competition and non-solicitation obligations described in the previous paragraphs can be considered directly connected and necessary for the realization of the concentration transaction in question, as they are functional to safeguarding the value of the acquired company, provided that they do not prevent the sellers from acquiring or holding shares solely for financial investment purposes2.</w:t>
      </w:r>
    </w:p>
    <w:p>
      <w:r>
        <w:t>IV. ASSESSMENT OF THE CONCENTRATION</w:t>
      </w:r>
    </w:p>
    <w:p>
      <w:r>
        <w:t>The product market</w:t>
      </w:r>
    </w:p>
    <w:p>
      <w:r>
        <w:t>10. From a product perspective, due to the activities of the acquired company, the sectors affected by the transaction in question are the production and marketing of closure solutions for residential properties, such as: (i) frames for sliding doors; (ii) armored doors; (iii) interior doors; (iv) accessories for fixtures.</w:t>
      </w:r>
    </w:p>
    <w:p>
      <w:r>
        <w:t>11. Due to the specific characteristics of these products, it is believed, prima facie, that closure solutions for residential properties and those for commercial and industrial premises constitute distinct product markets. From the demand side, in fact, the market for the production and sale of closures for residential environments differs from that of the production and sale of solutions for industrial environments as the latter are used for applications in industry or commercial buildings (such as warehouses, distribution centers, supermarkets, etc.) to facilitate the transit of goods or vehicles. Solutions for residential environments, on the other hand, perform the different function of dividing and optimizing internal spaces.</w:t>
      </w:r>
    </w:p>
    <w:p>
      <w:r>
        <w:t>From the supply side as well, the market for the production and commercialization of interior solutions for residential environments represents a distinct sector, with specialized manufacturers developing technologies and creating designs different from those that characterize the industrial solutions sector.</w:t>
      </w:r>
    </w:p>
    <w:p>
      <w:r>
        <w:t>12. Regarding closure solutions for commercial and industrial premises, moreover, the Authority has defined two distinct product markets: the market for the production of industrial doors and that for passive security systems (such as cylinder locks for construction, interior locks and high-security locks, door closers, etc.)3. Conversely, there are no precedents at the national and community level regarding closure solutions for residential environments.</w:t>
      </w:r>
    </w:p>
    <w:p>
      <w:r>
        <w:t>13. For the purposes of assessing the Transaction, in any case, it is not necessary to precisely define the affected product markets, as the PAI Partners Group is not directly/indirectly active in the product sectors in which the target operates, nor are there vertical relationships between the PAI Partners Group and Scrigno.</w:t>
      </w:r>
    </w:p>
    <w:p>
      <w:r>
        <w:t>The geographic market</w:t>
      </w:r>
    </w:p>
    <w:p>
      <w:r>
        <w:t>14. Based on the Authority's and the Commission's precedents relating to similar or adjacent markets to those affected by the transaction in question, it is believed that the markets for the production and marketing of frames for sliding doors, armored doors, and interior doors for residential environments, as well as accessories for fixtures, have a national geographic dimension. This is also confirmed considering the technical specificities and selling prices of such products, which vary significantly depending on the country of distribution. Lastly, imports from abroad are limited compared to a more significant volume of exports.</w:t>
      </w:r>
    </w:p>
    <w:p>
      <w:r>
        <w:t>Effects of the transaction</w:t>
      </w:r>
    </w:p>
    <w:p>
      <w:r>
        <w:t>15. None of the companies belonging to the acquiring group PAI is active, directly or indirectly, in the product sectors in which Scrigno operates. Therefore, even if a relevant market corresponding to each of the four product sectors in which the target company is active were identified, the transaction in question would result in the replacement of one operator with another. In these sectors, moreover, there are numerous operators.</w:t>
      </w:r>
    </w:p>
    <w:p>
      <w:r>
        <w:t>16. In light of the above, it is believed that in the relevant markets the transaction will not have adverse effects on competition, not resulting in substantial changes in the competitive structure of the same.</w:t>
      </w:r>
    </w:p>
    <w:p>
      <w:r>
        <w:t>IT IS THEREFORE CONSIDERED that the transaction in question does not entail, pursuant to Article 6, paragraph 1, of Law No. 287/90, the establishment or strengthening of a dominant position in the affected markets, such as to eliminate or substantially and durably reduce competition;</w:t>
      </w:r>
    </w:p>
    <w:p>
      <w:r>
        <w:t>3 See AGCM decisions No. 13861 of December 16, 2004, case C6809 - Ingersoll-Rand Italiana/Cisa and No. 10291 of January 10, 2002, case C4984 - Ingersoll Rand-Financiere Errani-New Team/Cisa.</w:t>
      </w:r>
    </w:p>
    <w:p>
      <w:r>
        <w:rPr>
          <w:b/>
        </w:rPr>
        <w:t>[Pages 28–30]</w:t>
      </w:r>
    </w:p>
    <w:p>
      <w:r>
        <w:t>30 BULLETIN NO. 40 OF OCTOBER 11, 2021</w:t>
      </w:r>
    </w:p>
    <w:p>
      <w:r>
        <w:t>CONSIDERED, also, that the non-competition and non-solicitation obligations between the parties are ancillary to this operation only to the extent described above and that the Authority reserves the right to evaluate the aforementioned agreements that are realized beyond the limits indicated therein;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Competition and Market Authority.</w:t>
      </w:r>
    </w:p>
    <w:p>
      <w:r>
        <w:t>THE SECRETARY GENERAL THE PRESIDENT</w:t>
      </w:r>
    </w:p>
    <w:p>
      <w:r>
        <w:t>Filippo Arena Roberto Rustichelli</w:t>
      </w:r>
    </w:p>
    <w:p>
      <w:r>
        <w:t>BULLETIN NO. 40 OF OCTOBER 11, 2021 31</w:t>
      </w:r>
    </w:p>
    <w:p>
      <w:r>
        <w:t>REPORTING AND CONSULTATIVE ACTIVITIES</w:t>
      </w:r>
    </w:p>
    <w:p>
      <w:r>
        <w:t>AS1793 – MUNICIPALITY OF ASCEA (SA) - EXTENSION OF MARITIME STATE CONCESSIONS FOR TOURIST-RECREATIONAL PURPOSES</w:t>
      </w:r>
    </w:p>
    <w:p>
      <w:r>
        <w:t>Rome, May 31, 2021</w:t>
      </w:r>
    </w:p>
    <w:p>
      <w:r>
        <w:t>Municipality of Ascea</w:t>
      </w:r>
    </w:p>
    <w:p>
      <w:r>
        <w:t>The Competition and Market Authority, in its meeting of May 25, 2021, resolved to express its opinion, pursuant to Article 21-bis of Law No. 287 of October 10, 1990, regarding the competitive criticalities arising from eight recognition acts of the maritime state concessions of the Municipality of Ascea, with which the extension of such concessions until 2033 was provided, and any other related and consequent acts.</w:t>
      </w:r>
    </w:p>
    <w:p>
      <w:r>
        <w:t>In particular, through the aforementioned acts, the Municipality of Ascea has ordered the extension until 2033 of the duration of the concessions of maritime state assets for tourist-recreational purposes in favor of the current concessionaires, based on the provisions of Article 1, paragraphs 682, 683, and 684 of Law No. 145/2018 (which established a new expiration date for maritime state concessions for tourist-recreational purposes on December 31, 2033).</w:t>
      </w:r>
    </w:p>
    <w:p>
      <w:r>
        <w:t>In general terms, the Authority recalls that, in matters concerning the assignment of the use of public assets (falling within the state or local authorities' unassignable assets), the identification of the private concessionaire must occur through the conduct, by the Public Administration, of public evidence procedures.</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a national regulation that allows for the automatic extension of existing public state concessions for tourist-recreational activities must be considered in violation of these provisions.</w:t>
      </w:r>
    </w:p>
    <w:p>
      <w:r>
        <w:t>Furthermore, Directive 2006/123/EC (the so-called Services Directive) provides, in Article 12, that "where the number of available authorizations for a given activity is limited due to the scarcity of natural resources or usable technical capacities, Member States apply a selection procedure among potential candidates that presents guarantees of impartiality and transparency and provides, in particular, adequate publicity for the start of the procedure and its conduct and completion" (paragraph 1), and that, in such cases, "the authorization is granted for a limited duration and may not provide for an automatic renewal procedure nor grant other advantages to the outgoing provider or to persons who have particular ties with that provider" (paragraph 2).</w:t>
      </w:r>
    </w:p>
    <w:p>
      <w: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w:t>
      </w:r>
    </w:p>
    <w:p>
      <w:r>
        <w:t>In this sense, the Authority, in previous advocacy interventions, has repeatedly expressed the need to proceed with the assignment of concessions – including those concerning maritime state assets for tourist-recreational purposes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tendering procedures, in order to mitigate the distorting effects of competition associated with the privileged position attributed to the concessionaire.</w:t>
      </w:r>
    </w:p>
    <w:p>
      <w:r>
        <w:t>It is recalled, in fact, that, according to established European jurisprudence, all national administrations, in the exercise of their functions, are required to apply the provisions of European law, disapplying national rules that are not compliant; see, among others, the judgments issued by the European Court of Justice in case 103/88, Fratelli Costanzo v. Comune di Milano, as well as in case C-224/97, Ciola, and in case C-198/01, Consorzio Industrie Fiammiferi (CIF) v. Competition and Market Authority.</w:t>
      </w:r>
    </w:p>
    <w:p>
      <w:r>
        <w:t>In this regard, the European Court of Justice reiterated, most recently in the judgment of December 4, 2018, case C-378/17, that "the principle of the primacy of Union law imposes not only on judicial bodies but also on all institutions of the Member State to give full effect to Union rules" (paragraph 39), and recalls that the obligation to disapply also concerns "all bodies of the State, including administrative authorities, tasked with applying, within their respective competences, Union law" (paragraph 38). In this regard, see also, among others, the judgments issued by the European Court of Justice in case 106/77, Administration of State Finances v. Simmenthal SpA, in case C-119/05, Lucchini, in case C-614/14, Ognyanov, and in joined cases C-52/16 and C-113/16, "SEGRO" Kft.</w:t>
      </w:r>
    </w:p>
    <w:p>
      <w:r>
        <w:t>Also, the administrative jurisprudence has noted a misalignment between national legislation that provides for the extension of concessions and EU law,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In this regard, among others, see TAR Veneto, judgment No. 218/2020, TAR Puglia, judgment No. 36/2020, Council of State, Section VI, judgment No. 7874/2019; as well as, most recently, precisely on the issue of the automatic extension of existing maritime state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regulation must in this matter be inspired by the rules of the European Union on the calling of tenders (see Cons. Stato, Section VI, April 13, 2017, No. 1763), given the direct effect in the internal legal order of Member States of the Court's rulings," and, in the second case, that "the new context is characterized by the consideration of the effectiveness of the legal framework.</w:t>
      </w:r>
    </w:p>
    <w:p>
      <w:r>
        <w:rPr>
          <w:b/>
        </w:rPr>
        <w:t>[Pages 31–33]</w:t>
      </w:r>
    </w:p>
    <w:p>
      <w:r>
        <w:t>BULLETIN NO. 40 OF OCTOBER 11, 2021 33</w:t>
      </w:r>
    </w:p>
    <w:p>
      <w:r>
        <w:t>With specific reference to the procedures and measures for the extension of existing concessions, the Authority has repeatedly emphasized that it is in the interest of the market to carefully balance the short-term benefits and the possible costs that may arise in a longer time frame.</w:t>
      </w:r>
    </w:p>
    <w:p>
      <w:r>
        <w:t>The granting of extensions in favor of previous concessionaires, in fact, further postpones competitive comparison for the market, thus preventing the benefits that would arise from periodic competition for the awarding through public procedures. Therefore, any extensions of the assignments should not exceed the actual needs of the Administrations, in order to allow for the efficient allocation of public resources through competitive procedures as soon as possible.</w:t>
      </w:r>
    </w:p>
    <w:p>
      <w:r>
        <w:t>These principles have recently been confirmed by the TAR Toscana, which fully accepted the appeal under Article 21-bis with which the undersigned Authority challenged a measure (issued by another municipal Administration) of automatic extension, without a tender for maritime state concessions for tourism and recreational purposes, thus recognizing the full legitimacy of the Authority's intervention, in the exercise of the powers conferred upon it by the aforementioned provision, in this matter.</w:t>
      </w:r>
    </w:p>
    <w:p>
      <w:r>
        <w:t>In particular, regarding the disapplication of national legislation conflicting with Union law, reference is also made to the recent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&lt;&lt;obiter dictum&gt;&gt;, but consist of statements made in the context of a preliminary ruling and relating to the correct interpretation of the Treaties in relation to the decided case, that is, on the occasion of the precise fulfillment of the institutional tasks of that body, with the consequence that the related ruling is binding.”</w:t>
      </w:r>
    </w:p>
    <w:p>
      <w:r>
        <w:t>It is also recalled that the Court of Justice of the European Union, in establishing that the awarding of maritime state concessions for tourism and recreational use, which concern scarce natural resources, must necessarily take place through a selection procedure among potential candidates in compliance with all guarantees of impartiality and transparency, as well as adequate publicity, has highlighted that national legislation providing for an automatic extension ex lege of the expiration date of such concessions amounts to an automatic renewal in conflict with the provisions of Article 12, paragraph 2, of Directive 2006/123/EC. See CJEU, Fifth Chamber, judgment of July 14, 2016, joined cases C-458/14 and C-67/15, cited.</w:t>
      </w:r>
    </w:p>
    <w:p>
      <w:r>
        <w:t>See also the report made by the Authority on July 1, 2020, pursuant to Article 21 of Law No. 287/1990, AS1684 – Observations regarding the provisions contained in the Relaunch Decree, in Bulletin No. 28/2020. Furthermore, see the reports AS135 – Extensions of highway concessions, in Bulletin No. 19/98; AS491 – Provisions on the granting of state-owned assets concessions and on the direct exercise of administrative functions in the field of maritime state property, in Bulletin No. 46/2008; AS1114 – Concession regime present in the port of Livorno, in Bulletin No. 12/2014; AS1137 – Proposals for competitive reform for the annual law on the market and competition for the year 2014, in Bulletin No. 27/2014.</w:t>
      </w:r>
    </w:p>
    <w:p>
      <w:r>
        <w:t>In particular, the TAR Toscana annulled the Executive Determination No. 408 of May 21, 2020, of the Municipality of Piombino, which was the subject of a reasoned opinion from the Authority pursuant to Article 21-bis of Law No. 287/90 (see AS1701 – Municipality of Piombino (LI): maritime state concessions for tourism and recreational purposes, in Bulletin No. 41/2020), with which the local authority in question had initiated the procedure for the extension of the temporal validity of the maritime state concessions existing in the municipal territory without proceeding with the comparative procedure provided for by Article 12 of Directive 2006/123/EC. In this ruling, the administrative judge expressly stated that the Municipality should have disapplied the national regulatory provisions that provide for the automatic extension without a tender of the concessions, due to their conflict with the EU legislation referred to in Article 12 of Directive 2006/123/EC, and carry out public procedures for the identification of new concessionaires once the existing concessions expired.</w:t>
      </w:r>
    </w:p>
    <w:p>
      <w:r>
        <w:t>34 BULLETIN NO. 40 OF OCTOBER 11, 2021</w:t>
      </w:r>
    </w:p>
    <w:p>
      <w:r>
        <w:t>Consequently, the Authority believes that, for the reasons outlined above, this Municipality should have disapplied the legislation underlying the recognition acts under examination for their contradiction with the principles and EU legislation mentioned above. The provisions relating to the extension of maritime state concessions for tourism and recreational purposes contained in the administrative measures in question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recognition acts under examination are in conflict with Articles 49 and 56 of the TFEU, as they appear likely to unjustifiably limit the freedom of establishment and the free movement of services in the internal market, as well as with the EU regulatory provisions on public procurement, with particular reference to Article 12 of the so-called Services Directive.</w:t>
      </w:r>
    </w:p>
    <w:p>
      <w:r>
        <w:t>Pursuant to Article 21-bis, paragraph 2, of Law No. 287/1990, the Municipality of Ascea must therefore communicate to the Authority, within 60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w:t>
      </w:r>
    </w:p>
    <w:p>
      <w:r>
        <w:t>THE PRESIDENT</w:t>
      </w:r>
    </w:p>
    <w:p>
      <w:r>
        <w:t>Roberto Rustichelli</w:t>
      </w:r>
    </w:p>
    <w:p>
      <w:r>
        <w:t>_______________________________________________________________________________</w:t>
      </w:r>
    </w:p>
    <w:p>
      <w:r>
        <w:t>Communication regarding the non-compliance of the Municipality of Ascea with the reasoned opinion expressed by the Authority, pursuant to Article 21-bis of Law No. 287/1990, against eight recognition acts of maritime state concessions with an extension of duration until 2033, adopted by the Municipality of Ascea.</w:t>
      </w:r>
    </w:p>
    <w:p>
      <w:r>
        <w:t>In its meeting of May 25, 2021, the Antitrust Authority decided to send a reasoned opinion pursuant to Article 21-bis of Law No. 287 of October 10, 1990 regarding the content of eight recognition acts of maritime state concessions with an extension of duration until 2033, adopted by the Municipality of Ascea.</w:t>
      </w:r>
    </w:p>
    <w:p>
      <w:r>
        <w:t>In particular, with the aforementioned acts subject to the reasoned opinion, the Municipality of Ascea ordered the extension of maritime state concessions for tourism and recreational purposes, applying the national legislation referred to in Article 1, paragraphs 682, 683, and 684, of Law No. 145 of December 30, 2018, which, being in conflict with EU law, particularly with Articles 49 and 56 of the TFEU and with the principles of competition and transparency in awarding, should have been disapplied.</w:t>
      </w:r>
    </w:p>
    <w:p>
      <w:r>
        <w:t>Following the receipt of this reasoned opinion, the Municipality of Ascea, with communications received on June 14 and July 5, 2021, informed the Antitrust Authority that it had initiated the revocation procedures for the aforementioned acts, but had not proceeded to issue the final revocation measures, following exceptions raised in this regard by one of the concessionaires affected by the acts in question.</w:t>
      </w:r>
    </w:p>
    <w:p>
      <w:r>
        <w:t>Having noted the non-compliance of the administration with the aforementioned reasoned opinion, the Antitrust Authority, in its meeting of August 31, 2021, decided to challenge before the Regional Administrative Court for Campania the eight recognition acts adopted by the Municipality of Ascea concerning the automatic extension of maritime state concessions for tourism and recreational purposes until 2033.</w:t>
      </w:r>
    </w:p>
    <w:p>
      <w:r>
        <w:rPr>
          <w:b/>
        </w:rPr>
        <w:t>[Pages 34–36]</w:t>
      </w:r>
    </w:p>
    <w:p>
      <w:r>
        <w:t>36 BULLETIN NO. 40 OF OCTOBER 11, 2021</w:t>
      </w:r>
    </w:p>
    <w:p>
      <w:r>
        <w:t>UNFAIR TRADE PRACTICES</w:t>
      </w:r>
    </w:p>
    <w:p>
      <w:r>
        <w:t>PS11990 – TIK TOK – CRYSTAL DROPS</w:t>
      </w:r>
    </w:p>
    <w:p>
      <w:r>
        <w:t>Notice of initiation of investigative proceedings</w:t>
      </w:r>
    </w:p>
    <w:p>
      <w:r>
        <w:t>ANTITRUST AUTHORITY</w:t>
      </w:r>
    </w:p>
    <w:p>
      <w:r>
        <w:t>Notice of initiation of the investigation, pursuant to Articles 6, paragraph 2, and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PS11990.</w:t>
      </w:r>
    </w:p>
    <w:p>
      <w:r>
        <w:t>The publication of this notice, followed by the communication of the initiation of the procedure, in the weekly Bulletin of the Antitrust Authority, is made pursuant to and for the effects of Article 6, paragraph 2, and 19, paragraph 2, of the Regulation, given the unsuccessful outcome of the attempt to transmit the same initiation communication, carried out on May 12, 2021, via the Consulate General of Italy in New York. The communication sent by registered mail was, in fact, returned to the sending Consulate with the indication "unknown recipient."</w:t>
      </w:r>
    </w:p>
    <w:p>
      <w:r>
        <w:t>For any communication addressed to the Authority regarding the case in question, please refer to Directorate C of the Directorate General for Consumer Protection and the reference PS11990.</w:t>
      </w:r>
    </w:p>
    <w:p>
      <w:r>
        <w:t>_______________________________________________________________________</w:t>
      </w:r>
    </w:p>
    <w:p>
      <w:r>
        <w:t>PS11990 – TIK TOK – CRYSTAL DROPS</w:t>
      </w:r>
    </w:p>
    <w:p>
      <w:r>
        <w:t>Communication of initiation of investigative proceedings</w:t>
      </w:r>
    </w:p>
    <w:p>
      <w:r>
        <w:t>Subject: Communication of initiation of the procedure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I. The Parties</w:t>
      </w:r>
    </w:p>
    <w:p>
      <w:r>
        <w:t>1. TikTok Technology Limited, a professional active in the social media sector, provides, through the platform, services for the creation and sharing of videos and content.</w:t>
        <w:br/>
        <w:t>2. Crystal Drops.Co., a professional active in the marketing of the product Crystal drops.</w:t>
        <w:br/>
        <w:t>3. Federconsumatori Parma as a consumer association.</w:t>
      </w:r>
    </w:p>
    <w:p>
      <w:r>
        <w:t>BULLETIN NO. 40 OF OCTOBER 11, 2021 37</w:t>
      </w:r>
    </w:p>
    <w:p>
      <w:r>
        <w:t>II. The Commercial Practices</w:t>
      </w:r>
    </w:p>
    <w:p>
      <w:r>
        <w:t>A. The dissemination of promotional content through the TikTok platform</w:t>
      </w:r>
    </w:p>
    <w:p>
      <w:r>
        <w:t>4. According to the information acquired for the application of the Consumer Code and the report from the consumer association Federconsumatori, received on February 16, 2021, it emerged that the professional TikTok Technology Limited had disseminated on its platform a video concerning the product Crystal drops, which can be used to change the color of the eyes without disclosing its promotional content.</w:t>
        <w:br/>
        <w:t>5. In the video, a young girl holds the cardboard case of the product, which displays the Crystal Drops logo, as well as that of the Federal Drug Administration (FDA)1, which are prominently featured. The enthusiastic girl states, in English, about her experience reiterating the product's ability to change eye color: “I saw an ad on tiktok for eye drops that change your eye color… eye drops that change your eye color…eye color…I chose green.” The packaging (bottle) is also shown, particularly the image of three female doctors in white coats with stethoscopes around their necks and the FDA logo.</w:t>
        <w:br/>
        <w:t>6. The reporting association represents that careless use of the product - the efficacy of which it strongly doubts - could be detrimental to the health of children and young people who constitute the particularly vulnerable target audience due to their age and inexperience.</w:t>
      </w:r>
    </w:p>
    <w:p>
      <w:r>
        <w:t>B. The commercial communication on the website https://www.changeicolor.com</w:t>
      </w:r>
    </w:p>
    <w:p>
      <w:r>
        <w:t>7. It has also emerged that a commercial communication concerning the same eye drops Crystal drops, presented as suitable for changing the color of the iris, has been disseminated on the website https://www.changeicolor.com (also accessible by typing the address https://www.crystaldrops.co) and through the company Facebook profile https://www.facebook.com/CrystalDropsCo-109113074557427.</w:t>
        <w:br/>
        <w:t>8. In detail, based on observations from April 23, 2021, by typing the web address https://www.crystaldrops.co, the user is automatically redirected to the website https://www.changeicolor.com, primarily written in English. The homepage features images of three female doctors in white coats with stethoscopes around their necks and the product packaging, bearing the logos “FDA approved,” “Made in America,” “Medical travel certified.” These images are accompanied by the phrases “Change your eye color is possible now,” and, further down, “Crystal Eye Color Changing Drops 10+ Colors,” followed by images of various female faces, differing in eye color. Under each image, the color (i.e., Color-Light blue, Color-Purple) and the price starting from (from $69.99/from $139.99) are indicated.</w:t>
        <w:br/>
        <w:t>1 A U.S. government agency responsible for regulating food and pharmaceutical products, under the Department of Health and Human Services of the United States of America.</w:t>
      </w:r>
    </w:p>
    <w:p>
      <w:r>
        <w:t>38 BULLETIN NO. 40 OF OCTOBER 11, 2021</w:t>
      </w:r>
    </w:p>
    <w:p>
      <w:r>
        <w:t>Once a specific color is selected, the user views a page that displays, on the left, a scrolling gallery of images (images depicting the eye cut and the product packaging) and, on the right, an invitation to purchase 2 packages of the product, as well as the buttons “Add to bag” and “Buy now” to proceed with the purchase of the chosen color. Below, there is a section “Product Description” divided into the items “Colour,” “How to use”2, and “FAQ”3. With reference to some references, the description of the ingredients also appears.</w:t>
      </w:r>
    </w:p>
    <w:p>
      <w:r>
        <w:t>Within the usage instructions, there is a suggestion to use two packages in order to see results. Furthermore, within the FAQ, the action of the drops is explained, which inhibit the activation of key enzymes necessary for the production of melanin, gradually decreasing its levels over 25 to 52 days. The change in eye color lasts for 12 months. It is also specified that the product, marketed in the American market since 2017, has been approved by the FDA and that it can also be used by those who have undergone eye surgery using lasers, provided that one year has passed.</w:t>
      </w:r>
    </w:p>
    <w:p>
      <w:r>
        <w:t>9. Once the “Buy now” button is pressed, the consumer is directed to a webpage where fields for entering the email and delivery address are displayed; by pressing the “continue to shipping” button, the consumer views the page detailing the delivery, and by pressing the “continue to payment” button, the consumer is invited to enter credit card details to complete the transaction. In this process, there is no reference to the General Terms and Conditions of Sale.</w:t>
      </w:r>
    </w:p>
    <w:p>
      <w:r>
        <w:t>10. The purchase of the drops can also be made by clicking on the hyperlink present on the homepage “Change your eye color is possible now” or by clicking on the shop button located in the header of the homepage: in both cases, the user views the page https://www.changeicolor.com/collections/10-stunning-natural-colors which bears the wording “10+”.</w:t>
      </w:r>
    </w:p>
    <w:p>
      <w:r>
        <w:t>2 “How to use. Wash hands thoroughly before use. Store bottle in refrigeration after opening. Product sterile if the bottle is intact. Replace the cap after use. Keep out of reach of children. Note: One drop each eye every day in the Each bottle contains approximately 1-month usage. Two bottles recommended seeing the results.”</w:t>
      </w:r>
    </w:p>
    <w:p>
      <w:r>
        <w:t>3 “How Does It Work? Crystal Drops eye color-changing drops work by blocking the production of melanin found in your eyes. It does this by inhibiting the activation of key enzymes required to produce melanin. This action results in a gradual decrease of your melanin levels which is what ultimately causes the change in eye color, changing their eye color over 25 days to 52 days. -How long it takes to see the result? It can take a couple of weeks to months to see the result. Depending on different people. -Does this product create any bad side effects? Eyes are so important to humans, We do take your eyes' health seriously. Our products have been sold in the US market since 2017, and have been approved by FDA. -Can I use these eye drops with contacts? You can use Crystal Drops in the night when you take off the contacts. -Will Crystal Drops change the original eye color permanently? No. the Results are not permanent and last for 12 months. -Can I use Crystal Drops if I had eye laser surgery? Yes. However, It must be one year after eye surgery.</w:t>
      </w:r>
    </w:p>
    <w:p>
      <w:r>
        <w:rPr>
          <w:b/>
        </w:rPr>
        <w:t>[Pages 37–39]</w:t>
      </w:r>
    </w:p>
    <w:p>
      <w:r>
        <w:t>BULLETIN NO. 40 OF OCTOBER 11, 2021 39</w:t>
      </w:r>
    </w:p>
    <w:p>
      <w:r>
        <w:t>“STUNNING NATURAL COLORS” and images of female faces, to which the color and the corresponding reference that can be purchased are associated.</w:t>
      </w:r>
    </w:p>
    <w:p>
      <w:r>
        <w:t>11. In the middle section of the homepage, the indication “LIGHTEN AND BRIGHTEN YOUR EYE COLOR Lightening Drops - Speed up the eye color changing process for those who change eye color from brown to light eye color” is displayed along with an image of 4 packages of the product and the pink button Shop now.</w:t>
      </w:r>
    </w:p>
    <w:p>
      <w:r>
        <w:t>The following statements follow: “ABOUT SAFETY. Your health &amp; safety means everything. Our products have been sold on the US market since 2017 and have been approved by the FDA” and the image of a healthcare professional using a diagnostic machine. By clicking the pink button “Read more about safety,” the user is redirected to the page www.changeicolor.com/pages/about-safety where the production of the drops in the United States in compliance with good manufacturing practices (GMP) typical of the pharmaceutical industry is boasted, the sterile nature of all equipment, production facilities, and packaging, as well as the rigorous control procedures. The selection of natural ingredients also ensures a 100% safety guarantee, as well as their maximum tolerability even for the most sensitive eyes due to the absence of harmful preservatives, parabens, fragrances, and alcohol.</w:t>
      </w:r>
    </w:p>
    <w:p>
      <w:r>
        <w:t>40 BULLETIN NO. 40 OF OCTOBER 11, 2021</w:t>
      </w:r>
    </w:p>
    <w:p>
      <w:r>
        <w:t>The section is closed by the image of the three logos Medical travel certified, Trustpilot, and FDA approved.</w:t>
      </w:r>
    </w:p>
    <w:p>
      <w:r>
        <w:t>12. Finally, in the footer, the terms “Home,” “Shop,” “How to use,” “Before and After,” “Question and answer,” “Refund Policy,” “FAQ,” “Privacy Policy,” “How to Use,” “Shipping” are listed, integrating hyperlinks that allow viewing the corresponding sections of the website.</w:t>
      </w:r>
    </w:p>
    <w:p>
      <w:r>
        <w:t>It is worth noting that the consumer can learn the identity of the professional managing the website and their geographical address exclusively by consulting the document titled “Privacy Policy” thanks to the homonymous hyperlink in the footer.</w:t>
      </w:r>
    </w:p>
    <w:p>
      <w:r>
        <w:t>13. Regarding the promotional content disseminated on Facebook (subject to detection on March 4, 2021), a post published on February 25, 2021, states: “Your health and safety means everything. We understand that putting things in your eyes can be surprising. That’s why all our eye drops are manufactured in the UK in a government-approved facility, adhering to good manufacturing practices (GMP) and under the most stringent quality control (ISO 22716:2007). For all our products, we undertake a rigorous selection of only essential ingredients. This innovative concept allows for 100% guaranteed safety with maximum tolerance for even the most sensitive eyes, free from all harmful preservatives, parabens, fragrances, and alcohol.” Another post, disseminated on the same day, features the image of three female doctors in white coats with stethoscopes around their necks.</w:t>
      </w:r>
    </w:p>
    <w:p>
      <w:r>
        <w:t>III. Possible Profiles of Unfair Commercial Practice</w:t>
      </w:r>
    </w:p>
    <w:p>
      <w:r>
        <w:t>14. The behavior described in point II.A of this communication consists of the dissemination, by TikTok Technology Limited, on its platform, of a video advertising the effectiveness of Crystal Drops eye drops capable of changing eye color. This could constitute a case of hidden advertising in violation of Articles 20 and 23, letter m), of the Consumer Code, as the indication of the commercial and advertising intent pursued is omitted, and consumers may not activate those natural interpretative defenses that are triggered in the presence of a declared advertising intent. The failure to adopt the necessary precautions by TikTok to avoid phenomena of non-transparent advertising also appears to integrate a lack of professional diligence.</w:t>
      </w:r>
    </w:p>
    <w:p>
      <w:r>
        <w:t>The described conduct also involves the US professional Crystal Drops.Co as the producer of the eye drops due to the commercial return of the advertising message.</w:t>
      </w:r>
    </w:p>
    <w:p>
      <w:r>
        <w:t>It is worth adding, in any case, that the commercial practice appears to be in violation of Article 21, paragraph four, of the Consumer Code as it is likely, due to the means employed, to reach adolescents and threaten their safety. It should be noted that the nature of the product subject to the video is not mentioned: on one hand, the persistent display of the FDA logo and the image of the doctors on the packaging seem to suggest a medicinal nature; on the other hand, the fact that the drops are applied to the external surfaces of the human body to modify its appearance could lead to the belief that it is merely a cosmetic, in violation of Article 21, paragraph 1, letter b) of the Consumer Code. Finally, the professional appears to omit, in violation of Article 22 of the Consumer Code, relevant information that the average consumer needs for an informed commercial decision.</w:t>
      </w:r>
    </w:p>
    <w:p>
      <w:r>
        <w:t>15. The behavior described in point II.B of this communication consists of the promotion, by Crystal Drops.Co, on the website https://www.crystaldrops.co and on some social networks of Crystal Drops eye drops through content written in English and through the use of emphatic and misleading statements. This could constitute a violation of Articles 9, 20, 21, paragraph one, letter b), 22, paragraph 2, and 23, paragraph one, letter b), and 49, paragraph 1, letters b) and c), of the Consumer Code. Such behavior appears contrary to professional diligence and capable of misleading consumers about the actual characteristics of the product, leading them to use it without adopting the necessary precautions and respecting the normal rules of prudence and vigilance.</w:t>
      </w:r>
    </w:p>
    <w:p>
      <w:r>
        <w:t>16. In particular, the commercial communication is not made in Italian in violation of Article 9 of the Consumer Code. It does not seem to clarify the nature of the product, nor present the indication of the name or business name and the address of the responsible person, the nominal content (by weight or volume), the list of ingredients. Similarly, mandatory pre-contractual information, such as the identity of the professional and the geographical address where they are established and their telephone contact, is omitted. The omission of such information appears to be in violation of Articles 21, paragraph one, letter b), and 49, paragraph 1, letters b) and c), of the Consumer Code.</w:t>
      </w:r>
    </w:p>
    <w:p>
      <w:r>
        <w:t>17. Furthermore, some statements present on the website appear to be in contrast with Articles 22 and 23, paragraph one, letter b) of the Consumer Code: more precisely, the display of trust marks (such as “Trustpilot,” “FDA approved,” and “Medical travel certified”) seems to be made solely to reinforce the safety and credibility of the effectiveness of the advertised product, but the related statements do not appear to be minimally substantiated; it does not seem that sufficient emphasis is placed on the fact that the claimed effect of changing the color of the iris is limited to 12 months, with the related information relegated to the FAQ section on a page that is, moreover, for optional consultation.</w:t>
      </w:r>
    </w:p>
    <w:p>
      <w:r>
        <w:t>18. Finally, the content disseminated on Facebook also appears misleading under Articles 21, paragraph one, letter b), and 22 of the Consumer Code: indeed, the statements regarding the country of production of the eye drops (UK) diverge from those reported on the website (USA); the use of images of young female doctors seems, on one hand, to support the medicinal nature of the product and, on the other hand, to confer scientific credibility to the effectiveness of the product.</w:t>
      </w:r>
    </w:p>
    <w:p>
      <w:r>
        <w:t>IV. Investigative Procedures and Terms</w:t>
      </w:r>
    </w:p>
    <w:p>
      <w:r>
        <w:t xml:space="preserve">19. Based on the above, this is to inform you: </w:t>
        <w:br/>
        <w:t xml:space="preserve">a) the initiation of the procedure, pursuant to Article 6 of the Regulation, in order to verify the violations mentioned in point III; </w:t>
        <w:br/>
        <w:t>b) that the person responsible for the procedure is Dr. Marina Catallozzi;</w:t>
      </w:r>
    </w:p>
    <w:p>
      <w:r>
        <w:rPr>
          <w:b/>
        </w:rPr>
        <w:t>[Pages 40–42]</w:t>
      </w:r>
    </w:p>
    <w:p>
      <w:r>
        <w:t>42 BULLETIN NO. 40 OF OCTOBER 11, 2021</w:t>
      </w:r>
    </w:p>
    <w:p>
      <w:r>
        <w:t>c) that the proceedings will conclude within 210 days from the date of protocol of this communication, pursuant to Article 7 of the Regulation;</w:t>
      </w:r>
    </w:p>
    <w:p>
      <w:r>
        <w:t>d) that the person responsible for the proceedings will communicate, pursuant to Article 16, paragraph 1, of the Regulation, the date of conclusion of the investigative phase;</w:t>
      </w:r>
    </w:p>
    <w:p>
      <w:r>
        <w:t>e) that the person responsible for the proceedings will request the opinion from the Authority for Guarantees in Communications pursuant to Article 16, paragraphs 3 and 4, of the Regulation;</w:t>
      </w:r>
    </w:p>
    <w:p>
      <w:r>
        <w:t>f) that the Office where the Parties can access the documents of the proceedings, upon written request and telephone contact to establish the modalities of access, is the Directorate C of the Directorate General for Consumer Protection (tel. 06/85821452; fax 06/85821359; p.e.c. protocollo.agcm@pec.agcm.it). Access may be made directly by the Parties or by a person delegated in writing;</w:t>
      </w:r>
    </w:p>
    <w:p>
      <w:r>
        <w:t>g) that the Parties may submit written statements and documents within 30 days of receipt of this communication.</w:t>
      </w:r>
    </w:p>
    <w:p>
      <w:r>
        <w:t>V. Requests for Information</w:t>
      </w:r>
    </w:p>
    <w:p>
      <w:r>
        <w:t>20. In order to acquire useful information for the evaluation of the commercial practice outlined above, the following is requested:</w:t>
      </w:r>
    </w:p>
    <w:p>
      <w:r>
        <w:t>a) from TikTok Technology Limited to provide, within 30 days of receipt of this communication, the following information (accompanied by the relevant documentation, including internal relevance):</w:t>
        <w:br/>
        <w:t>1. clarify the existence of commercial relationships with Crystal Drops.Co for the dissemination of promotional videos on the platform;</w:t>
        <w:br/>
        <w:t>2. precautions taken to prevent instances of hidden advertising on the platform;</w:t>
        <w:br/>
        <w:t>3. any other element deemed useful for the evaluation of the case in question.</w:t>
      </w:r>
    </w:p>
    <w:p>
      <w:r>
        <w:t>b) from Crystal Drops.Co. to provide, within 30 days of receipt of this communication, the following information (accompanied by the relevant documentation, including internal relevance):</w:t>
        <w:br/>
        <w:t>1. initial year of operation of the website https://www.crystaldrops.co and initial year of marketing of the product Crystal drops;</w:t>
        <w:br/>
        <w:t>2. nature and composition of the product;</w:t>
        <w:br/>
        <w:t>3. monthly sales in volume (number of packages) and value for the period January 2020 – March 2021;</w:t>
        <w:br/>
        <w:t>4. documentation supporting claims regarding approval granted by the FDA, absence of parabens, and presence of natural and organic ingredients;</w:t>
        <w:br/>
        <w:t>5. documentation supporting claims about the satisfaction of thousands of consumers and reasons for the use of the logos “Judge.me” and “Trustpilot”;</w:t>
        <w:br/>
        <w:t>6. documentation supporting the logo “Medical travel certified”;</w:t>
        <w:br/>
        <w:t>7. tests conducted to prove the safety of the product;</w:t>
        <w:br/>
        <w:t>8. reasons supporting the use of the English language;</w:t>
        <w:br/>
        <w:t>9. any other element deemed useful for the evaluation of the case in question.</w:t>
      </w:r>
    </w:p>
    <w:p>
      <w:r>
        <w:t>The requested information and documents, as well as any statements, may also be transmitted on suitable electronic media.</w:t>
      </w:r>
    </w:p>
    <w:p>
      <w:r>
        <w:t>Pursuant to Article 11, paragraph 7, of the Regulation, it is possible to indicate specific information and parts of the documents provided for which confidentiality or secrecy is requested, stating the reasons justifying such a request. To this end, it is kindly requested to also transmit a non-confidential version of the documents containing confidential information.</w:t>
      </w:r>
    </w:p>
    <w:p>
      <w:r>
        <w:t>Pending the requested information, it is reminded that, pursuant to Article 27, paragraph 4, of the Consumer Code, the parties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r>
    </w:p>
    <w:p>
      <w:r>
        <w:t>For the purposes of quantifying any pecuniary sanction referred to in Article 27, paragraph 9, of the Consumer Code, TikTok Technology Limited and Crystal Drops.Co. are requested to provide a copy of the last approved financial statement or suitable tax documentation showing the economic results related to the considered financial year.</w:t>
      </w:r>
    </w:p>
    <w:p>
      <w:r>
        <w:t>For any communication addressed to the Authority regarding the case in question, please refer to Directorate C of the Directorate General for Consumer Protection and the reference PS11990.</w:t>
      </w:r>
    </w:p>
    <w:p>
      <w:r>
        <w:t>For any clarifications and information, please contact Dr. Marina Catallozzi at 06/85821452, email marina.catallozzi@agcm.it.</w:t>
      </w:r>
    </w:p>
    <w:p>
      <w:r>
        <w:t>Attached is the information pursuant to Article 13 of EU Regulation No. 679/2016.</w:t>
      </w:r>
    </w:p>
    <w:p>
      <w:r>
        <w:t>THE PERSON RESPONSIBLE FOR THE PROCEEDINGS</w:t>
      </w:r>
    </w:p>
    <w:p>
      <w:r>
        <w:t>_______________________________________________________________________</w:t>
      </w:r>
    </w:p>
    <w:p>
      <w:r>
        <w:t>INFORMATION ON THE PROCESSING OF PERSONAL DATA</w:t>
      </w:r>
    </w:p>
    <w:p>
      <w:r>
        <w:t>- Article 13 of Regulation (EU) 2016/679 -</w:t>
      </w:r>
    </w:p>
    <w:p>
      <w:r>
        <w:t>The Competition and Market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activities entrusted to it by the legislation on consumer protection (Legislative Decree of September 6, 2005, No. 206, containing the “Consumer Code” and subsequent amendments, Legislative Decree of August 2, 2007, No. 145, Article 30, paragraph 1 bis of Legislative Decree No. 59/2010, Legislative Decree No. 70/2003).</w:t>
      </w:r>
    </w:p>
    <w:p>
      <w:r>
        <w:t>The provision of this data is strictly functional to the performance of such activities and the related processing will be carried out, also through IT and telematic tools, in the ways and within the limits necessary to pursue these purposes or otherwise connected to the exercise of its public powers, including the purposes of archiving, historical research, and analysis for statistical purposes.</w:t>
      </w:r>
    </w:p>
    <w:p>
      <w:r>
        <w:t>Personal data will be kept for a period not exceeding the achievement of the purposes for which they are processed and in accordance with the rules on the retention of administrative documentation. Such data may be kept for longer periods exclusively for archiving purposes in the public interest, for scientific or historical research, or for statistical purposes.</w:t>
      </w:r>
    </w:p>
    <w:p>
      <w:r>
        <w:t>The data provided will be known by personnel authorized for processing and may be communicated to public entities based on legal or regulatory provisions and possibly to private entities that have an interest in accordance with the legislation on access to administrative documents. The same data may be published in the bulletin and on the institutional website of the Authority (www.agcm.it) within the limits permitted by law and regulations.</w:t>
      </w:r>
    </w:p>
    <w:p>
      <w:r>
        <w:t>Data subjects have the right to request the data controller access to their personal data and the rectification or deletion of the same or the limitation of processing concerning them or to object to the processing (Articles 15 et seq. of the Regulation). The specific request is submitted by contacting the Data Protection Officer at the Authority (Competition and Market Authority - Data Protection Officer, Piazza G. Verdi n. 6A, 00198, Rome, email: rpd@agcm.it).</w:t>
      </w:r>
    </w:p>
    <w:p>
      <w:r>
        <w:t>Data subjects, where the conditions are met, also have the right to lodge a complaint with the Data Protection Authority, as the supervisory authority, or to take appropriate judicial action.</w:t>
      </w:r>
    </w:p>
    <w:p>
      <w:r>
        <w:rPr>
          <w:b/>
        </w:rPr>
        <w:t>[Pages 43–43]</w:t>
      </w:r>
    </w:p>
    <w:p>
      <w:r>
        <w:t xml:space="preserve">Authority for the Guarantee of Competition and the Market Weekly Bulletin  </w:t>
        <w:br/>
        <w:t xml:space="preserve">Year XXXI - No. 40 - 2021  </w:t>
        <w:br/>
        <w:t xml:space="preserve">Editorial Coordination Giulia Antenucci  </w:t>
        <w:br/>
        <w:t xml:space="preserve">Editorial Staff Valerio Ruocco, Simonetta Schettini, Manuela Villani  </w:t>
        <w:br/>
        <w:t xml:space="preserve">Authority for the Guarantee of Competition and the Market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