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https://www.agcm.it/dotcmsdoc/bollettini/2024/40-24.pdf</w:t>
      </w:r>
    </w:p>
    <w:p>
      <w:r>
        <w:t>Pages translated : 26</w:t>
      </w:r>
    </w:p>
    <w:p/>
    <w:p>
      <w:r>
        <w:rPr>
          <w:b/>
        </w:rPr>
        <w:t>[Pages 1–3]</w:t>
      </w:r>
    </w:p>
    <w:p>
      <w:r>
        <w:t>Bulletin</w:t>
        <w:br/>
        <w:t>Weekly</w:t>
        <w:br/>
        <w:t>Year XXXIV - No. 40</w:t>
        <w:br/>
        <w:t>Published on the website www.agcm.it</w:t>
        <w:br/>
        <w:t>October 14, 2024</w:t>
      </w:r>
    </w:p>
    <w:p>
      <w:r>
        <w:t>SUMMARY</w:t>
        <w:br/>
        <w:t>CONCENTRATION OPERATIONS 5</w:t>
        <w:br/>
        <w:t>C12668 - DIGITAL VALUE/ITALTEL</w:t>
        <w:br/>
        <w:t>Decision No. 31334 5</w:t>
        <w:br/>
        <w:t>TELEVISION RIGHTS 9</w:t>
        <w:br/>
        <w:t>SR47 - LEGA PRO/GUIDELINES FOR THE MARKETING OF AUDIOVISUAL RIGHTS SEASONS</w:t>
        <w:br/>
        <w:t>2025/2026 - 2026/2027 - 2027/2028</w:t>
        <w:br/>
        <w:t>Decision No. 31335 9</w:t>
        <w:br/>
        <w:t>UNFAIR COMMERCIAL PRACTICES 19</w:t>
        <w:br/>
        <w:t>IP369 - BLUPARK-CREDIT CARD SURCHARGE</w:t>
        <w:br/>
        <w:t>Decision No. 31336 19</w:t>
        <w:br/>
        <w:t>PS12792 - VET DISTRIBUTION-AGRARIA PONTIFICIA-FAILURE TO DELIVER</w:t>
        <w:br/>
        <w:t>Decision No. 31337 24</w:t>
      </w:r>
    </w:p>
    <w:p>
      <w:r>
        <w:t>BULLETIN NO. 40 OF OCTOBER 14, 2024 5</w:t>
        <w:br/>
        <w:t>CONCENTRATION OPERATIONS</w:t>
        <w:br/>
        <w:t>C12668 - DIGITAL VALUE/ITALTEL</w:t>
        <w:br/>
        <w:t>Decision No. 31334</w:t>
        <w:br/>
        <w:t>THE ANTITRUST AUTHORITY</w:t>
        <w:br/>
        <w:t>IN ITS MEETING of September 24, 2024;</w:t>
        <w:br/>
        <w:t>HEARD the Rapporteur, Professor Elisabetta Iossa;</w:t>
        <w:br/>
        <w:t>HAVING REGARD TO Regulation (EC) No. 139/2004;</w:t>
        <w:br/>
        <w:t>HAVING REGARD TO Law No. 287 of October 10, 1990;</w:t>
        <w:br/>
        <w:t>HAVING REGARD TO Presidential Decree No. 217 of April 30, 1998;</w:t>
        <w:br/>
        <w:t>HAVING REGARD TO the communication from Digital Value S.p.A., received on September 6, 2024;</w:t>
        <w:br/>
        <w:t>HAVING REGARD TO the documentation on file;</w:t>
        <w:br/>
        <w:t>CONSIDERING the following</w:t>
        <w:br/>
        <w:t>I. THE PARTIES</w:t>
        <w:br/>
        <w:t>1. Digital Value S.p.A. (hereinafter, “DV”), is a joint-stock company under Italian law with its registered office in Rome, active in the ICT infrastructure sector. In particular, the company engages in research, design, development, and marketing of information technology (“IT”) solutions and services for the digitalization of clients operating in the telecommunications, manufacturing, energy services, and public utility sectors, as well as entities and companies of the Public Administration.</w:t>
        <w:br/>
        <w:t>2. In 2023, DV achieved a total global revenue of [700-1,000] million euros, of which [700-1,000] million euros in Europe and [700-1,000] million euros in Italy.</w:t>
        <w:br/>
        <w:t>3. Italtel S.p.A. (hereinafter, “Italtel” or “Target” and, together with DV, the “Parties”), a joint-stock company under Italian law with its registered office in Rome, specializes in the design, development, and implementation of innovative technological solutions for large companies and public administrations. The Company manages the entire ICT value chain (from infrastructure components to applications and services), offering its solutions to Telco, Media &amp; Tower Companies, Public Administration, Banking &amp; Insurance, Energy &amp; Utilities, Healthcare, and Manufacturing.</w:t>
        <w:br/>
        <w:t>4. The share capital of Italtel is controlled by Nextalia SGR S.p.A. (hereinafter, “Nextalia”) with 71.38%, while the remaining shares (28.62%) are held by Clessidra Capital Crediti SGR S.p.A. (hereinafter, “Clessidra”). In 2023, Italtel achieved a global revenue of approximately [100-567] million euros, of which [100-567] million euros in Europe and [100-567] million euros in Italy.</w:t>
        <w:br/>
        <w:t>1 Following the authorization for the concentration DV/Infordata, as per Decision No. 31305 of July 30, 2024 – C12654, the consolidated revenue of DV for the year 2023 included that of Infordata.</w:t>
        <w:br/>
        <w:t>2 In this version, some data are omitted, as there were deemed to be elements of confidentiality or secrecy of the information.</w:t>
      </w:r>
    </w:p>
    <w:p>
      <w:r>
        <w:rPr>
          <w:b/>
        </w:rPr>
        <w:t>[Pages 4–6]</w:t>
      </w:r>
    </w:p>
    <w:p>
      <w:r>
        <w:t>6 BULLETIN NO. 40 OF OCTOBER 14, 2024</w:t>
      </w:r>
    </w:p>
    <w:p>
      <w:r>
        <w:t>II. DESCRIPTION OF THE TRANSACTION</w:t>
      </w:r>
    </w:p>
    <w:p>
      <w:r>
        <w:t>5. The transaction under examination consists of the acquisition by DV of the entire share capital of Italtel from the companies Nextalia and Clessidra. The transaction is governed by a share purchase agreement representing the entirety of Italtel's share capital (the "Agreement"), signed on [omitted] by DV and the legal representatives holding the share capital of the Target company (hereinafter, collectively, the "Sellers"). Following the completion of the transaction, the Target will therefore be exclusively controlled by DV, which will proceed with integration within the DV group to realize the enhancement of certain unexpressed growth potentials.</w:t>
      </w:r>
    </w:p>
    <w:p>
      <w:r>
        <w:t>6. DV and the Sellers have not signed non-competition and non-solicitation clauses, [omitted].</w:t>
      </w:r>
    </w:p>
    <w:p>
      <w:r>
        <w:t>III. QUALIFICATION OF THE TRANSACTION</w:t>
      </w:r>
    </w:p>
    <w:p>
      <w:r>
        <w:t>7. The communicated transaction,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greater than 567 million euros and the total turnover achieved, in the last financial year at the national level, individually by at least two of the companies involved, was greater than 35 million euros.</w:t>
      </w:r>
    </w:p>
    <w:p>
      <w:r>
        <w:t>IV. ASSESSMENT OF THE CONCENTRATION</w:t>
      </w:r>
    </w:p>
    <w:p>
      <w:r>
        <w:t>Relevant Markets</w:t>
      </w:r>
    </w:p>
    <w:p>
      <w:r>
        <w:t>8. Considering the activities carried out by the companies involved in the transaction, it exclusively concerns the market for information technology (IT) services. [omitted].</w:t>
      </w:r>
    </w:p>
    <w:p>
      <w:r>
        <w:t>The Provision of Information Technology Services</w:t>
      </w:r>
    </w:p>
    <w:p>
      <w:r>
        <w:t>9. With reference to the IT services market, it is preliminarily noted that in the decision-making practice of the European Commission and the Authority, this market has generally been considered segmentable based on the functionality of the services offered and the industrial sectors interested in the provision of such services.</w:t>
      </w:r>
    </w:p>
    <w:p>
      <w:r>
        <w:t>10. In this case, taking into account the activities carried out by the Parties, the IT services market can be divided, based on the functionality of the service, into the following segments: (i) consulting, (ii) implementation of applications and managed services, (iii) implementation of infrastructures and managed services, (iv) services for business processes, (v) infrastructure as a service, and (vi) hardware support. Furthermore, the IT services market can be segmented by industrial sector into: (i) banking and credit securities, (ii) communication, (iii) media, (iv) education, (v) healthcare, (vi) government, (vii) insurance, (viii) manufacturing and natural resources, (ix) retail, (x) transportation, (xi) public service, (xii) wholesale.</w:t>
      </w:r>
    </w:p>
    <w:p>
      <w:r>
        <w:t>11. The activities carried out by the Parties could fall into two segments of the Gartner classification identified based on the functionality of the service, namely implementation of applications and managed services and implementation of infrastructures and managed services.</w:t>
      </w:r>
    </w:p>
    <w:p>
      <w:r>
        <w:t>12. In any case, for the purposes of this assessment, the exact delineation of the market can be left open, considering that the transaction does not raise concerns from the perspective of competition protection.</w:t>
      </w:r>
    </w:p>
    <w:p>
      <w:r>
        <w:t>13. From a geographical perspective, the aforementioned market can be considered, conservatively, to coincide with the national territory, given that the Authority, in its precedents, has noted the homogeneity of competitive conditions in the national territory and the absence of significant imports of IT services, leaning towards a national market size although there is a trend towards the internationalization of demand and supply. For the purposes of this assessment, the exact definition of the geographical market can be left open as, even with reference to the national scope alone [omitted], no competitive concerns emerge.</w:t>
      </w:r>
    </w:p>
    <w:p>
      <w:r>
        <w:t>The Effects of the Transaction</w:t>
      </w:r>
    </w:p>
    <w:p>
      <w:r>
        <w:t>14. The transaction under examination involves a horizontal overlap between the activities of the Parties in the national IT services market, in which in 2023 the Target holds a market share [below 1%] and DV a share of [1-5%]. Therefore, as a result of the transaction, the companies involved will have a combined market share of [1-5%].</w:t>
      </w:r>
    </w:p>
    <w:p>
      <w:r>
        <w:t>15. If one were to consider the hypothesis of a narrower relevant market, such as the segment of the IT services market related to the implementation of applications and managed services, the market shares of the Target and DV are [1-5%] and [5-10%], respectively, leading the Parties to have a post-merger share of [5-10%]. Finally, with reference to the segment of IT services related to the implementation of infrastructures and managed services, the Target holds a market share of [1-5%] while DV has a share of [5-10%], resulting in a post-merger share of [5-10%].</w:t>
      </w:r>
    </w:p>
    <w:p>
      <w:r>
        <w:t>16. In the event that one were to consider the hypothesis of the relevant market based on the industrial sectors where the greatest overlaps exist, it is noted that in 2023 the market shares of DV are [1-10%] in the telecommunications and media sector and [1-10%] in the Public Administration sector. The Parties do not have similar information regarding the Target company; however, considering its limited activity in the IT market (corresponding only to a share [below 1%]) and the modest market shares held by DV, the transaction does not appear to be likely to bring about a significant change in the structure of that market in the segments where overlaps exist.</w:t>
      </w:r>
    </w:p>
    <w:p>
      <w:r>
        <w:t>17. Therefore, due to the marginality of the shares held by the Target in any considered market and in light of the negligible horizontal overlaps between the Parties, it can be concluded that the transaction under examination does not give rise to horizontal effects. Furthermore, it is noted that the national IT services market appears to be particularly fragmented, with the presence of numerous and qualified competitors such as IBM, Lutech, Maticmind, and TIM, also operating in the aforementioned telecommunications and media and Public Administration segments.</w:t>
      </w:r>
    </w:p>
    <w:p>
      <w:r>
        <w:t>5 For the determination of these values, the total value of the IT market was used, extracted from the Sirmi report, obtained from the summation of the following market segments: implementation of applications and managed services, implementation of infrastructures and managed services, in which DV and the Target are active as well as the values associated with business processing and software development services in which only DV is active.</w:t>
      </w:r>
    </w:p>
    <w:p>
      <w:r>
        <w:t>8 BULLETIN NO. 40 OF OCTOBER 14, 2024</w:t>
      </w:r>
    </w:p>
    <w:p>
      <w:r>
        <w:t>CONSIDERING, therefore, that the transaction under examination does not significantly impede effective competition in the relevant market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7–9]</w:t>
      </w:r>
    </w:p>
    <w:p>
      <w:r>
        <w:t>BULLETIN NO. 40 OF OCTOBER 14, 2024</w:t>
      </w:r>
    </w:p>
    <w:p>
      <w:r>
        <w:t>TELEVISION RIGHTS</w:t>
      </w:r>
    </w:p>
    <w:p>
      <w:r>
        <w:t>SR47 - LEGA PRO/GUIDELINES FOR THE MARKETING OF AUDIOVISUAL RIGHTS</w:t>
      </w:r>
    </w:p>
    <w:p>
      <w:r>
        <w:t>SEASONS 2025/2026 - 2026/2027 - 2027/2028</w:t>
      </w:r>
    </w:p>
    <w:p>
      <w:r>
        <w:t>Provision No. 31335</w:t>
      </w:r>
    </w:p>
    <w:p>
      <w:r>
        <w:t>THE AUTHORITY FOR THE GUARANTEE OF COMPETITION AND THE MARKET</w:t>
      </w:r>
    </w:p>
    <w:p>
      <w:r>
        <w:t>IN ITS MEETING of September 24, 2024;</w:t>
      </w:r>
    </w:p>
    <w:p>
      <w:r>
        <w:t>HEARD the Rapporteur, Professor Elisabetta Iossa;</w:t>
      </w:r>
    </w:p>
    <w:p>
      <w:r>
        <w:t>HAVING REGARD to Law No. 287 of October 10, 1990;</w:t>
      </w:r>
    </w:p>
    <w:p>
      <w:r>
        <w:t>HAVING REGARD to Legislative Decree No. 9 of January 9, 2008, concerning the "Regulation of ownership and marketing of sports audiovisual rights and related distribution of resources";</w:t>
      </w:r>
    </w:p>
    <w:p>
      <w:r>
        <w:t>HAVING REGARD to Article 6, paragraph 1, of the aforementioned Legislative Decree, according to which the Italian Professional Football League is required to predetermine, for the football competitions under its jurisdiction, guidelines "for the marketing of audiovisual rights containing rules regarding the offer and assignment of the audiovisual rights themselves, criteria regarding the formation of the related packages and the further rules" provided by the decree in order to guarantee participants in the competitive procedures "conditions of absolute fairness, transparency, and non-discrimination";</w:t>
      </w:r>
    </w:p>
    <w:p>
      <w:r>
        <w:t>HAVING REGARD to Article 6, paragraph 6, of the same Legislative Decree, which establishes that the Authority for Guarantees in Communications and the Authority for the Guarantee of Competition and the Market shall verify, for their respective areas of competence, the compliance of the guidelines with the principles and provisions of Legislative Decree No. 9/2008 and approve them within sixty days of receipt;</w:t>
      </w:r>
    </w:p>
    <w:p>
      <w:r>
        <w:t>HAVING REGARD to the Guidelines, pursuant to Legislative Decree No. 9/2008, of the Italian Professional Football League for the marketing of audiovisual rights relating to the sports seasons 2025/2026, 2026/2027, and 2027/2028, received on August 2, 2024;</w:t>
      </w:r>
    </w:p>
    <w:p>
      <w:r>
        <w:t>HAVING REGARD to the public consultation called by the Authority with resolution of September 3, 2024;</w:t>
      </w:r>
    </w:p>
    <w:p>
      <w:r>
        <w:t>CONSIDERING the following:</w:t>
      </w:r>
    </w:p>
    <w:p>
      <w:r>
        <w:t>I. THE ITALIAN PROFESSIONAL FOOTBALL LEAGUE</w:t>
      </w:r>
    </w:p>
    <w:p>
      <w:r>
        <w:t>1. The Italian Professional Football League (hereinafter also "Lega Pro") is the private association of professional sports clubs affiliated with the Italian Football Federation ("FIGC") that participate in the Serie C Championship. Among the tasks assigned to Lega Pro are the organization and management of the Serie C Championship – structured in the Regular Season, Play Off, and Play Out tournaments – and the events of the Coppa Italia di Serie C and the Supercoppa di Serie C (hereinafter, collectively, also the "Competitions").</w:t>
      </w:r>
    </w:p>
    <w:p>
      <w:r>
        <w:t>II. THE CONTENTS OF THE GUIDELINES</w:t>
      </w:r>
    </w:p>
    <w:p>
      <w:r>
        <w:t>2. Below are summarized the main contents of the Guidelines prepared by Lega Pro, as communicated by it on August 2, 2024.</w:t>
      </w:r>
    </w:p>
    <w:p>
      <w:r>
        <w:t>a. Rights subject to commercialization</w:t>
      </w:r>
    </w:p>
    <w:p>
      <w:r>
        <w:t>3. The Guidelines in question regulate the sports audiovisual and radio rights pertaining to the following football competitions, organized by Lega Pro for the sports seasons 2025/2026, 2026/2027, and 2027/2028: Serie C Championship, the Play Off and Play Out tournaments, the Coppa Italia di Serie C tournament, and the Supercoppa di Serie C tournament.</w:t>
      </w:r>
    </w:p>
    <w:p>
      <w:r>
        <w:t>4. With reference to these competitions, Lega Pro will proceed with the centralized sale of primary audiovisual rights (first broadcast rights of the events) and secondary rights (rights for the transmission of replays, summaries, and highlights of the events) through the development of rights packages that provide for television transmission modes (satellite and digital terrestrial), radio, and via IP platform, which differ from each other depending on the exclusive or non-exclusive nature of their exploitation.</w:t>
      </w:r>
    </w:p>
    <w:p>
      <w:r>
        <w:t>b. General criteria for commercialization</w:t>
      </w:r>
    </w:p>
    <w:p>
      <w:r>
        <w:t>5. In view of the commercialization cycle of audiovisual rights for the triennium 2025/2028, Lega Pro intends to maintain an offer of free-to-air content to national and local operators. This approach is indeed dictated by the desire to guarantee clubs visibility on the national territory, with different packages of rights offered especially to local operators where the sports realities associated with Lega Pro can attract greater interest.</w:t>
      </w:r>
    </w:p>
    <w:p>
      <w:r>
        <w:t>6. Lega Pro therefore intends to continue both in the commercialization of paid "live" broadcasts through the platforms of the communication operator that will become its licensee, as well as on traditional free-to-air television, both at the national and local levels. Lega Pro indeed intends to find a balance between the exclusivity of paid live broadcasts and the visibility of events and the movement in general, guaranteed by free-to-air transmission.</w:t>
      </w:r>
    </w:p>
    <w:p>
      <w:r>
        <w:t>7. Lega Pro thus intends to continue to place great emphasis on local operators, in a logic of promoting the movement and in order to ensure the widespread dissemination of informational content greater than mere reporting. In this sense, both live broadcasts, highlights, delayed broadcasts, studio-stadium links, and radio broadcasts will represent, even for the next cycle, a primary focus of Lega.</w:t>
      </w:r>
    </w:p>
    <w:p>
      <w:r>
        <w:t>8. Based on the provisions of Legislative Decree No. 9/2008 (hereinafter "Decree"), Lega Pro, as the organizer of the Competitions, will exercise the audiovisual rights of the Competitions themselves through two different moments of commercialization: a first phase for the licensing of rights for events related to the Regular Season of the Serie C Championship and the Coppa Italia di Serie C; a second phase, usually in May and June, relating to the Play Off and Play Out tournaments, the final matches of the Coppa Italia di Serie C, and the matches of the Supercoppa di Serie C, considering the sports clubs admitted to participate at that time in the aforementioned tournaments.</w:t>
      </w:r>
    </w:p>
    <w:p>
      <w:r>
        <w:t>c. The criteria for the structuring of packages</w:t>
      </w:r>
    </w:p>
    <w:p>
      <w:r>
        <w:t>9. Lega Pro, while reserving the right to modify the packages at the time of their formal publication on its official website, has established in the Guidelines transmitted on August 2, 2024, some criteria for their commercialization summarized as follows:</w:t>
        <w:br/>
        <w:t>a) the structuring of the packages will be determined taking into account both the requests of communication operators and the needs of users and fans regarding the product, as well as the needs of the associated sports clubs;</w:t>
        <w:br/>
        <w:t>b) packages will be structured both for the entire national territory and limited to the local territory of the sports club of interest. The aim is to satisfy the interest of all users in being able to properly follow the Competitions that have national relevance, as well as to ensure greater visibility for sports clubs within their own territory. Packages may also be developed that provide for rights for the cumulative distribution of events from all groups or from a single group;</w:t>
        <w:br/>
        <w:t>c) the mode of commercialization selected as a rule by Lega Pro is that of cross-distribution both "by platform" and "by product": each individual package, in fact, will identify the specific events included therein and grant the license for the exercise of audiovisual rights on the identified platforms. This rule may be excepted for packages related to the live broadcast, both free-to-air and paid, of matches on the national territory, which may also provide for the freedom of choice of the transmission platform(s), with the choice of the commercialization model by product. Lega Pro reserves in any case the choice of the transmission platform even for the other packages, particularly where market evolution requires it;</w:t>
        <w:br/>
        <w:t>d) packages containing rights for the local distribution of free-to-air live broadcasts of events of individual sports clubs via satellite platform (DTH) or digital terrestrial platform (DTT), including their technological evolutions, will generally be prepared in such a way as to allow the distribution of matches played away by the aforementioned teams, with the option to include within the same packages also their home matches, provided that such structuring of the package may prove advantageous for Lega Pro;</w:t>
        <w:br/>
        <w:t>e) the audiovisual production of the events will be characterized by different production standards, including a basic standard, which guarantees a quality of service also in terms of reliability, and will be guaranteed centrally by Lega Pro. Where licensees provide for productions and/or integrations, they will be required to comply with the provisions of the "Media Regulation and Right of Reporting" as per the circular issued from time to time by Lega Pro at the beginning of each sports season (hereinafter "Operational Media Regulation"). Licensees must make available to Lega Pro and the competing sports clubs the "integrated" signal containing the images of the event itself and including any source of filming, without any compensation or reimbursement of technical costs;</w:t>
        <w:br/>
        <w:t>f) within the invitations to submit offers (hereinafter "Invitations"), the minimum production standards will be specified in relation to each type of exploitation of audiovisual rights, as well as the costs for access to the signal, which will be quantified based on market prices in the Invitations themselves. Lega Pro reserves the right to make changes to the minimum production standards and the costs for access to the signal in the presence of significant market innovations related to filming and transmission technologies of the events as well as in the presence of structural changes or changes to the facilities where the events will take place;</w:t>
        <w:br/>
        <w:t>g) in the event of a negative outcome of the competitive procedures (in the terms and with the methods indicated below), Lega Pro will reserve the right to market, in subsequent procedures, new packages, prepared through the aggregation of existing ones or through separate licensing of the individual rights that are part of the package or other packages;</w:t>
        <w:br/>
        <w:t>h) both within the licensed rights in the packages and in the event of direct distribution of events on its own channel, Lega Pro will proceed with the exploitation of the so-called archive rights owned by the sports clubs participating in the Competitions, as per Article 3 of the Decree;</w:t>
        <w:br/>
        <w:t>i) Lega Pro intends to license audiovisual rights for up to three sports seasons;</w:t>
        <w:br/>
        <w:t>j) Lega Pro, parallel to the domestic commercialization process, intends to broaden the visibility of events abroad, implementing methods aimed at allowing the enjoyment of the events of the Competitions by Italian communities residing abroad and enhancing the image of its Competitions.</w:t>
      </w:r>
    </w:p>
    <w:p>
      <w:r>
        <w:rPr>
          <w:b/>
        </w:rPr>
        <w:t>[Pages 10–12]</w:t>
      </w:r>
    </w:p>
    <w:p>
      <w:r>
        <w:t>12 BULLETIN NO. 40 OF OCTOBER 14, 2024</w:t>
      </w:r>
    </w:p>
    <w:p>
      <w:r>
        <w:t>d. The Structuring of Packages</w:t>
      </w:r>
    </w:p>
    <w:p>
      <w:r>
        <w:t>10. Based on the criteria indicated above, without prejudice to the possibility of proceeding with the direct distribution of events on its own channel, Lega Pro could offer the market, with reference to the sports seasons related to the 2025/2028 triennium, audiovisual rights packages with the following characteristics:</w:t>
        <w:br/>
        <w:t>a) possible exclusive national distribution of live broadcasts and/or highlights: one or more packages could be prepared for the live broadcast on any platform of certain matches or packages for the live broadcast of matches of a single team or a group of teams (including an entire group). These packages may provide for distribution both free-to-air and paid, and may have content that is either exclusive or non-exclusive. Highlights of all Competitions could be included, in exclusive or non-exclusive form, within the aforementioned live broadcast packages, or could be distributed individually for each Competition (Serie C Championship, Serie C Coppa Italia, and Serie C Supercoppa) or phase of Competition (Regular Season, Play Off, and Play Out) or for matches of individual/club within specific Packages;</w:t>
        <w:br/>
        <w:t>b) possible exclusive local distribution of live broadcasts: packages could be prepared for distribution on any platform of live broadcasts of Regular Season events played away by a single team, also aggregating events into packages intended for macro-territorial areas and/or with a limit on broadcasts for each single team. Packages could also be prepared for distribution on any platform of live broadcasts of events played away by one or more teams in the Play Off and Play Out tournaments;</w:t>
        <w:br/>
        <w:t>c) exclusive local distribution of delayed broadcasts: packages could be prepared for free-to-air distribution of delayed broadcasts, in exclusive or non-exclusive form, of all Regular Season events of the Serie C Championship, of the Serie C Coppa Italia (excluding the semifinal and final events) played by a single team, or packages for the distribution, free-to-air or paid, of delayed broadcasts of events from the Play Off and Play Out tournaments, the semifinals and finals of the Serie C Coppa Italia, and the Serie C Supercoppa;</w:t>
        <w:br/>
        <w:t>d) non-exclusive audiovisual transmission at the national or local level of "related images" (so-called stadium - studio): packages could be prepared containing the non-exclusive right to create and broadcast, live and free-to-air, usually via satellite and/or digital terrestrial and/or OTT platforms, sports programs of the type "stadium - studio," aired live during the Regular Season matches (excluding events from the Play Out and Play Off tournaments) and the Serie C Coppa Italia (excluding semifinals and finals) played by a single sports club, or by multiple sports clubs; in conjunction with the package of a single sports club, the related highlights may also be licensed in a non-exclusive form, including near-live images. Packages could also be prepared for the distribution, free-to-air or paid, of "stadium - studio" programs of events from the Play Off and Play Out tournaments, the semifinals and finals of the Serie C Coppa Italia, and the Serie C Supercoppa;</w:t>
        <w:br/>
        <w:t>e) national or local distribution of highlights, including near-live, and/or related images: in coordination and taking into account the content of the package(s) referred to in point (a), packages could be prepared for distribution, including in near-live mode, within sponsored in-depth programs and/or talk shows, of highlights, lasting three/five minutes, of each event of the Regular Season of the Serie C Championship and the Serie C Coppa Italia (excluding the semifinals and the final) played by all participating sports clubs, or of events from the Play Off and Play Out tournaments, the events of the semifinals and the final of the Serie C Coppa Italia, as well as the Serie C Supercoppa;</w:t>
        <w:br/>
        <w:t>f) exclusive or non-exclusive radio transmission: both at the national and local level, packages of rights for the live transmission, in full or in excerpts, of the radio commentary of all events of the Regular Season of the Serie C Championship and the Serie C Coppa Italia (excluding the events of the semifinals and the final) played by a single team, or of events from the Play Off and Play Out tournaments, the events of the semifinals and the final of the Serie C Coppa Italia, as well as the Serie C Supercoppa could be prepared;</w:t>
        <w:br/>
        <w:t>g) non-exclusive "web-commentary" rights via IP platform: packages could be prepared containing the non-exclusive right to perform, live free or pay, via IP platform, the so-called "web-commentary" (text commentary) of all events of the Regular Season of the Serie C Championship and the Serie C Coppa Italia (excluding the events of the semifinals and the final) played by a single team, or of events from the Play Off and Play Out tournaments, the events of the semifinals and the final of the Serie C Coppa Italia, as well as the Serie C Supercoppa;</w:t>
        <w:br/>
        <w:t>h) possible transmission of a container program (so-called goal program): based on the commercial strategy, Lega Pro may license the right to broadcast images of live events within a container program with rotating links from various fields;</w:t>
        <w:br/>
        <w:t>i) additional packages: Lega Pro reserves the right to market, in addition to international rights, also other rights of a particular nature, such as those based on innovation and technological development of broadcasts, or focused on the exploitation of a limited selection of images also on closed-circuit transmission systems (e.g. scouting, in-flight and in-ship, metaverse, games and betting, virtual, augmented reality, etc.).</w:t>
      </w:r>
    </w:p>
    <w:p>
      <w:r>
        <w:t>e. General License Conditions</w:t>
      </w:r>
    </w:p>
    <w:p>
      <w:r>
        <w:t>11. The "General License Conditions," which will be detailed within the invitations and offers to the market, provide that only communication operators holding the required authorization, if provided for by current regulations, for the distribution of audiovisual content on the distribution platform identified in the relevant package may be licensees of one or more audiovisual rights packages, and that they guarantee the requirements analytically described in the Guidelines regarding the possession of an adequate organizational structure and the necessary means to broadcast the events provided in each package.</w:t>
        <w:br/>
        <w:t>12. Furthermore, the assignee of the packages will be required to comply with the rules issued by Lega Pro in the Media Operating Regulation and to respect certain specific obligations regarding access to stadiums, provision of audience data, transmission of the Lega Pro signal, and protection and promotion of the image of the competitions organized by this entity, more analytically illustrated in paragraph 16 of the Guidelines, from letter a) to letter q).</w:t>
      </w:r>
    </w:p>
    <w:p>
      <w:r>
        <w:t>f. Offering Methods and Competitive Procedure</w:t>
      </w:r>
    </w:p>
    <w:p>
      <w:r>
        <w:t>13. Lega Pro will proceed with the marketing of audiovisual rights packages exclusively, pursuant to Article 7 of the Decree, through a specific competitive procedure in which communication operators and intermediaries may participate. Notice of the start of this procedure and the deadlines for submitting offers will be published on the official website of Lega Pro. The content of the individual packages will be detailed within the invitations and/or offers to the market.</w:t>
        <w:br/>
        <w:t>14. The minimum price of individual packages will be determined according to reasonableness and in consideration of market prices and dynamics, the value of the product, and the needs of fans.</w:t>
        <w:br/>
        <w:t>15. The submission of offers, which must relate to a single and autonomous package, as well as being free of any type of condition, by operators must take place in the formal manner analytically described in point 20 of the Guidelines, differing depending on whether they are non-exclusive or exclusive packages.</w:t>
        <w:br/>
        <w:t>16. Following the opening of the envelopes, a ranking of the offers that have exceeded the minimum price will be drawn up and, if no irregularities are found in the documentation provided or in the payment, Lega Pro will proceed to award the package to the bidder who submitted the highest offer. If no offers exceeding the minimum price are received, Lega Pro will have the right, pursuant to Article 8, paragraph 4, of the Decree, after notifying the Authority, to revoke the offer of the package.</w:t>
        <w:br/>
        <w:t>17. In any case, packages cannot be awarded at the end of the competitive procedure to communication operators against whom a dispute, even extrajudicial, is pending with Lega Pro for the failure or delayed payment of the fees provided for by the license contracts of the previous seasons to the current one, unless the operator has deposited, together with the offer, a bank guarantee on first request (according to the model prepared by Lega Pro) for the payment of any accrued and unpaid fees.</w:t>
        <w:br/>
        <w:t>18. Lega Pro will use the tool of private negotiation for the licensing of audiovisual rights only in the event of a negative outcome of the competitive procedure (due to lack of offers, failure to reach the minimum price of the same, for reasons of extreme urgency, or for any other reason that does not allow the awarding of the packages).</w:t>
        <w:br/>
        <w:t>19. In this case:</w:t>
        <w:br/>
        <w:t>a) if two or more communication operators express interest in purchasing the package, a series (regulated in the Invitation) of bids will be called for these subjects, with the procedure closing with the submission of the offer in a sealed envelope or via PEC. The package will be awarded to the subject who offers the highest price;</w:t>
        <w:br/>
        <w:t>b) if, on the other hand, only one communication operator expresses interest in purchasing the package, a true negotiation will be conducted, which will conclude with the awarding or not of the audiovisual rights.</w:t>
        <w:br/>
        <w:t>20. The certification of any negative outcome of the audiovisual rights assignment procedures will be entrusted to a third party by Lega Pro. The latter will subsequently regulate, in compliance with the applicable provisions of the Decree, the methods of exercising such unsold rights taking into account the limitations provided by other contracts already defined by Lega Pro. The individual club always retains the right to waive the exercise of unsold rights in favor of Lega Pro, which will still have the right to market them in a centralized manner together with the unsold rights of other Clubs that have expressly waived.</w:t>
      </w:r>
    </w:p>
    <w:p>
      <w:r>
        <w:t>III. THE PUBLIC CONSULTATION</w:t>
      </w:r>
    </w:p>
    <w:p>
      <w:r>
        <w:t>21. On September 3, 2024, the public consultation concerning the Guidelines prepared by Lega Pro, transmitted on August 2, 2024, was initiated.</w:t>
        <w:br/>
        <w:t>22. By the deadline of September 13, 2024, no contributions were received from interested parties.</w:t>
      </w:r>
    </w:p>
    <w:p>
      <w:r>
        <w:rPr>
          <w:b/>
        </w:rPr>
        <w:t>[Pages 13–15]</w:t>
      </w:r>
    </w:p>
    <w:p>
      <w:r>
        <w:t>BULLETIN NO. 40 OF OCTOBER 14, 2024</w:t>
      </w:r>
    </w:p>
    <w:p>
      <w:r>
        <w:t>IV. EVALUATIONS</w:t>
      </w:r>
    </w:p>
    <w:p>
      <w:r>
        <w:t>23. As is known, the Authority is called upon to examine the Guidelines approved by Lega Pro for the purpose of approval, following verification, for the relevant aspects, of their compliance with the principles and provisions of the aforementioned Legislative Decree No. 9/2008 (Article 6, paragraph 6).</w:t>
      </w:r>
    </w:p>
    <w:p>
      <w:r>
        <w:t>24. That said, the evaluations that follow do not prejudice the Authority's power to supervise the correct application of the Decree and the Guidelines, utilizing the powers provided by Law No. 287 of October 10, 1990 (Article 20 of the Decree). Furthermore, they take into account the current regulatory framework outlined by both national and community antitrust legislation and the Decree regarding the collective sale of audiovisual rights related to sporting events, including the regulatory amendment of that Decree, through Law No. 6 of January 13, 2023, converting Decree-Law No. 176 of November 18, 2022, (containing "Urgent measures to support the energy sector and public finance"), which, in particular, amended Article 10, paragraph 1, extending the maximum possible duration of license contracts from three to five years.</w:t>
      </w:r>
    </w:p>
    <w:p>
      <w:r>
        <w:t>25. Pursuant to Article 6, paragraph 1, of the Decree, the Guidelines must provide rules regarding the offering and assignment of audiovisual rights, criteria for the formation of the related packages, and additional rules to ensure that participants in competitive procedures are guaranteed conditions of absolute fairness, transparency, and non-discrimination.</w:t>
      </w:r>
    </w:p>
    <w:p>
      <w:r>
        <w:t>26. These rules concern the entirety of the audiovisual rights subject to the marketing procedure initiated by Lega Pro, considering the broad definition of audiovisual rights adopted by Article 2 of the Decree, letter o)1. This definition, in fact, explicitly includes "the use of images of the event [...] for the purpose of associating the images of the event with games and bets and for carrying out related activities" letter o) number 6, and is characterized by a broad formulation that also encompasses the exploitation of innovative digital audiovisual content in addition to that related to betting and scouting.</w:t>
      </w:r>
    </w:p>
    <w:p>
      <w:r>
        <w:t>27. The evaluations carried out below will focus solely on the text of the Guidelines transmitted on August 2, 2024, by Lega Pro, taking into account the competitive dynamics that have manifested in the national territory concerning the marketing of audiovisual rights for the competitions it organizes.</w:t>
      </w:r>
    </w:p>
    <w:p>
      <w:r>
        <w:t xml:space="preserve">1 "Article 2 'Definitions' </w:t>
        <w:br/>
        <w:t>1. For the purposes of this legislative decree, the following definitions apply:</w:t>
        <w:br/>
        <w:t>(o) 'audiovisual rights': the exclusive rights, lasting fifty years from the date of the event, which include:</w:t>
        <w:br/>
        <w:t>1) the fixation and reproduction, direct or indirect, temporary or permanent, in any manner or form, in whole or in part, of the images of the event, in any place where the event takes place;</w:t>
        <w:br/>
        <w:t>2) the communication to the public of the recordings, fixations, and reproductions, as well as their availability to the public in such a way that anyone can access them from the place and at the time individually chosen, on electronic communication networks. This right does not exhaust with any act of communication to the public or making available to the public the images of the event;</w:t>
        <w:br/>
        <w:t>3) the distribution in any manner, including sale, of the original and copies of the recordings, fixations, or reproductions of the event. The distribution right does not exhaust in the territory of the European Community except in the case of the first sale made or authorized by the right holder in a Member State;</w:t>
        <w:br/>
        <w:t>4) the rental and lending of the original and copies of the fixations of the event. The sale or distribution, in any form, does not exhaust the right of rental and lending;</w:t>
        <w:br/>
        <w:t>5) the fixation, processing, or reproduction, in whole or in part, of the broadcasts of the event for new transmissions or retransmissions or for new fixations concerning the event;</w:t>
        <w:br/>
        <w:t>6) the use of images of the event for promotional and advertising purposes of products and services, as well as for the purpose of associating the images of the event with games and bets and for carrying out related activities;</w:t>
        <w:br/>
        <w:t>7) the preservation of the fixations of the images of the event for the purpose of establishing an archive or database to be reproduced, processed, communicated to the public, and distributed in any manner and form under the terms set forth above, starting from midnight of the eighth day following the event itself."</w:t>
      </w:r>
    </w:p>
    <w:p>
      <w:r>
        <w:t>28. Regarding the criteria for forming packages, at the time of presenting the Guidelines, Lega Pro did not proceed with an analytical structuring of the packages, limiting itself to generically describing these criteria.</w:t>
      </w:r>
    </w:p>
    <w:p>
      <w:r>
        <w:t>29. Regarding the level of detail of the criteria for forming packages, it is noted that the description of the specific contents of the packages must be evaluated in light of the need to provide a minimum number of information suitable to allow an assessment of compliance with the guiding principles of the Decree, as well as the limits imposed by it, particularly concerning the characteristics of the events – such as their appeal – from which the possibility of proposing to the public the most interesting events follows.</w:t>
      </w:r>
    </w:p>
    <w:p>
      <w:r>
        <w:t>30. That said, it is emphasized that following the publication of the invitations to offer, the potential assessment of the compliance of the concrete formulation of the packages, as well as the subsequent assignment of rights, remains without prejudice, pursuant to national and community legislation and Article 8 of the Decree. The Authority, in fact, believes that national and community legislation on competition is sufficient to allow intervention where Lega Pro, in the concrete preparation of the packages and final assignment, does not adhere to the Authority's indications and such behavior prejudices competition in the acquisition of specific rights and in downstream markets, to the detriment of consumers.</w:t>
      </w:r>
    </w:p>
    <w:p>
      <w:r>
        <w:t>31. Lega Pro intends to structure its offer into different packages. Firstly, one or more packages of live broadcasts at the national level will be subject to invitation to offer, related to matches that may have a certain appeal concerning a specific geographical area or the notoriety of a single sports club. At the same time, the Guidelines provide for the structuring of a series of packages, both exclusive and non-exclusive, related to local broadcasts, in order to incentivize the specific demand coming from fans linked to the teams of the geographical area of belonging.</w:t>
      </w:r>
    </w:p>
    <w:p>
      <w:r>
        <w:t>32. In general, it is believed that the rules set forth in the guidelines under examination regarding the offering and assignment of audiovisual rights, and in particular the provision of a minimum offer price, the criteria for determining the same, and the use of selective competitive procedures, are currently suitable to allow full and impartial competition among participants, in accordance with Article 6, paragraph 1, of Legislative Decree No. 9/2008.</w:t>
      </w:r>
    </w:p>
    <w:p>
      <w:r>
        <w:t>33. On this point, it should be emphasized the importance of defining a minimum price appropriate to the content of each package and such as to minimize the possibility that the sale of one or more packages results in a negative outcome. This provision appears justifiable in the specific case of rights related to competitions organized by Lega Pro as it aims to maintain the overall appeal of the packages offered in a perspective of lesser appeal of such rights compared to competitions organized by other sports leagues. However, it is deemed necessary that the minimum price be set in such a way as to avoid that the provision of the option not to award any package in the absence of achieving the minimum price even for just one of them artificially generates a minimum price of the overall offer that, as previously noted by the Authority, does not find support in the provisions of the Decree and would create a high degree of uncertainty for participants in the procedures.</w:t>
      </w:r>
    </w:p>
    <w:p>
      <w:r>
        <w:t>34. Regarding the marketing criteria, it is stated that Lega Pro reserves the right to modify the packages, concerning their structuring in the Guidelines, at the time of publishing the invitations to offer, while maintaining the criteria for their formation.</w:t>
      </w:r>
    </w:p>
    <w:p>
      <w:r>
        <w:t>35. Given that a margin of flexibility in modifying the packages can be considered acceptable, in line with what the Authority has observed in previous marketing cycles2, it is nonetheless desirable that the choice of events that make up the individual packages be made through mechanisms that ensure their appeal and an effective competitive comparison among the interested operators assigned to them active on different technological platforms and modalities. The adopted criteria must lead to the preparation of packages that comply with the principles of fairness, transparency, and non-discrimination, with specific reference to the actual balance among them, especially in qualitative terms and in terms of the appeal of the events.</w:t>
      </w:r>
    </w:p>
    <w:p>
      <w:r>
        <w:t>36. The considerations made, related to the reference market context, also justify the possibility for Lega Pro to resort to private negotiation in the event of a negative outcome of the marketing procedure for audiovisual rights. In any case, while the certification of the negative outcome of the procedure will be entrusted to a third party with respect to Lega Pro, any phase of private negotiation must be conducted in compliance with the principles inherent to competitive procedures, taking into account, in particular, the need to ensure participants in the procedures in question conditions of absolute fairness, transparency, and non-discrimination.</w:t>
      </w:r>
    </w:p>
    <w:p>
      <w:r>
        <w:t>37. Finally, regarding the duration of the licenses, it is recalled that, pursuant to the amended Article 10, paragraph 1, of Legislative Decree No. 9/2008, license contracts must have a maximum duration of five years or, in any case, a maximum duration that ensures equal treatment of all communication operators. That said, the provision of licenses for a shorter duration, as proposed in the Guidelines presented by Lega Pro, is not in itself in conflict with the aforementioned provisions, without prejudice to the considerations made above regarding the preparation of balanced and genuinely valuable packages that ensure the enhancement of the rights marketed by Lega Pro.</w:t>
      </w:r>
    </w:p>
    <w:p>
      <w:r>
        <w:t>CONSIDERING that the Authority's power to assess the compliance of the invitations to offer and the sale procedure of the audiovisual rights subject to this proceeding with national and community antitrust legislation and Legislative Decree No. 9/2008 remains without prejudice and to proceed with the verification of any violations of the aforementioned legislation in the event that Lega Pro, in the concrete preparation of the packages and final assignment, does not adhere to the Authority's indications and such behavior prejudices competition in the acquisition of specific rights and in downstream markets, to the detriment of consumers;</w:t>
      </w:r>
    </w:p>
    <w:p>
      <w:r>
        <w:t>THEREFORE, CONSIDERING that it can approve, for the reasons and within the limits set forth in the motivation, the guidelines under examination pursuant to Article 6, paragraph 6, of Legislative Decree No. 9/2008;</w:t>
      </w:r>
    </w:p>
    <w:p>
      <w:r>
        <w:t>RESOLVES</w:t>
      </w:r>
    </w:p>
    <w:p>
      <w:r>
        <w:t>to approve, pursuant to Article 6, paragraph 6, of Legislative Decree No. 9/2008, for the reasons and within the limits set forth in the motivation, the guidelines of the Italian Professional Football League deposited on August 2, 2024, concerning the marketing of audiovisual sports rights related to the sports seasons 2025/2026, 2026/2027, and 2027/2028.</w:t>
      </w:r>
    </w:p>
    <w:p>
      <w:r>
        <w:t>This provision will be notified to the interested parties and published in the Bulletin of the Competition and Market Authority.</w:t>
      </w:r>
    </w:p>
    <w:p>
      <w:r>
        <w:t>2 See AGCM provision No. 30204 of June 14, 2022, case SR41 - LEGA PRO/GUIDELINES FOR MARKETING AUDIOVISUAL RIGHTS SEASONS 2022/2023 - 2023/2024 - 2024/2025.</w:t>
      </w:r>
    </w:p>
    <w:p>
      <w:r>
        <w:rPr>
          <w:b/>
        </w:rPr>
        <w:t>[Pages 16–18]</w:t>
      </w:r>
    </w:p>
    <w:p>
      <w:r>
        <w:t xml:space="preserve">18 BULLETIN NO. 40 OF OCTOBER 14, 2024  </w:t>
        <w:br/>
        <w:t xml:space="preserve">THE SECRETARY GENERAL THE PRESIDENT  </w:t>
        <w:br/>
        <w:t>Guido Stazi Roberto Rustichelli</w:t>
      </w:r>
    </w:p>
    <w:p>
      <w:r>
        <w:t xml:space="preserve">BULLETIN NO. 40 OF OCTOBER 14, 2024 19  </w:t>
        <w:br/>
        <w:t xml:space="preserve">UNFAIR TRADE PRACTICES  </w:t>
        <w:br/>
        <w:t xml:space="preserve">IP369 - BLUPARK-CREDIT CARD SURCHARGE  </w:t>
        <w:br/>
        <w:t xml:space="preserve">Decision No. 31336  </w:t>
        <w:br/>
        <w:t xml:space="preserve">THE ANTITRUST AUTHORITY  </w:t>
        <w:br/>
        <w:t xml:space="preserve">IN ITS MEETING of October 2, 2024;  </w:t>
        <w:br/>
        <w:t xml:space="preserve">HEARD the Rapporteur Professor Elisabetta Iossa;  </w:t>
        <w:br/>
        <w:t xml:space="preserve">HAVING REGARD to Part II, Title III and Part III Title III of Legislative Decree No. 206 of September 6, 2005, and subsequent amendments (hereinafter, the Consumer Code);  </w:t>
        <w:br/>
        <w:t xml:space="preserve">HAVING REGARD, in particular, to Article 27, paragraph 12, of the Consumer Code, according to which in case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  </w:t>
        <w:br/>
        <w:t xml:space="preserve">HAVING REGARD to Law No. 689 of November 24, 1981;  </w:t>
        <w:br/>
        <w:t xml:space="preserve">HAVING REGARD to its resolution No. 31000 of November 28, 2023, with which the Authority ascertained the unfairness of the conduct carried out by BLUPARK S.r.l. in violation of Article 62 of the Consumer Code consisting of the provision and application of price surcharges depending on the payment method chosen by the consumer for the purchase of fuel at the service station/sales point located in Loreo (RO), where BLUPARK S.r.l. operates;  </w:t>
        <w:br/>
        <w:t xml:space="preserve">HAVING REGARD to its resolution No. 31234 of May 28, 2024, with which the Authority contested to BLUPARK S.r.l. the violation of Article 27, paragraph 12, of the Consumer Code, for failing to comply with the aforementioned resolution No. 31000 of November 28, 2023;  </w:t>
        <w:br/>
        <w:t xml:space="preserve">HAVING REGARD to the documents of the proceedings;  </w:t>
        <w:br/>
        <w:t xml:space="preserve">CONSIDERING the following:  </w:t>
        <w:br/>
        <w:t xml:space="preserve">I. PREMISE  </w:t>
        <w:br/>
        <w:t xml:space="preserve">1. With decision No. 31000 of November 28, 2023 (hereinafter also the “Decision”), the Authority, following the PS12618 proceeding, ascertained the unfairness of the commercial practice carried out by BLUPARK S.r.l. (hereinafter also “BLUPARK”), consisting of the provision and application of price surcharges depending on the payment method chosen by the consumer for the purchase of fuel, in violation of Article 62 of the Consumer Code and prohibited its further dissemination or continuation, requiring the Professional to submit, within ninety days from notification (March 3, 2024), a report on the initiatives taken in compliance with the warning (as per letter a) of the Decision.  </w:t>
        <w:br/>
        <w:t xml:space="preserve">The Professional did not submit the aforementioned compliance report, despite reminders sent by the Authority on March 26 and April 10, 20241.  </w:t>
        <w:br/>
        <w:t xml:space="preserve">2. With a request for intervention received on March 20, 2024, the Guardia di Finanza reported a conduct similar to the commercial practice subject to the aforementioned decision, representing the application, by BLUPARK, of a price difference, equal to €0.02 per liter, for the purchase of fuel in the case of payment by credit card, charging consumers additional fees in relation to the use of a specific payment method.  </w:t>
        <w:br/>
        <w:t xml:space="preserve">Attached to the request for intervention was a photographic record made by a consumer at the service station/sales point located in Loreo (RO), where the professional conducts its activity, which shows a sign with the following wording: “WARNING price change,” followed by the statement, in smaller characters, “PRICE CHANGE FOR PAYMENT SERVICES BY BANK CARDS.” Lower down on the sign, “CREDIT CARD circuit” is highlighted, and the logos of the main circuits, such as VISA, MASTERCARD, MAESTRO, CARTA Sĺ, are also represented, as well as the indication “+€0.02/lt,” along with copies of two receipts issued by BLUPARK for the purchase of fuel, which indicate the amount for the “Service with Visa and Mastercard circuit +€0.02/lt” distinctly from the amount of the fuel and VAT.  </w:t>
        <w:br/>
        <w:t xml:space="preserve">3. On April 29, 2024, an additional complaint was received from a consumer, reporting the application by the Professional of the aforementioned price differential, equal to €0.02 per liter, in the case of payment by credit card.  </w:t>
        <w:br/>
        <w:t xml:space="preserve">Attached to the complaint was a copy of a receipt issued by BLUPARK on April 28, 2024, which shows the charge of a separate amount for “Service with Visa and Mastercard circuit +€0.02/lt.”  </w:t>
        <w:br/>
        <w:t xml:space="preserve">4. With an additional request for intervention, received on May 21, 20242, the Guardia di Finanza reported the recurrence, by BLUPARK, of the conduct subject to the aforementioned decision, highlighting the application, by BLUPARK, of a price difference, equal to €0.02 per liter for the purchase of fuel in the case of payment by credit card.  </w:t>
        <w:br/>
        <w:t xml:space="preserve">5. In light of the aforementioned reports, with the decision of May 28, 2024, No. 31234, the Authority decided to initiate the investigative proceeding IP369, contesting to the Professional the violation of Article 27, paragraph 12, of the Consumer Code, for failing to comply with the warning referred to in letter a) of the device of the aforementioned resolution, which prohibited the continuation of the conduct in violation of Article 62 of the Consumer Code.  </w:t>
        <w:br/>
        <w:t xml:space="preserve">II. THE ARGUMENTS OF THE PARTY  </w:t>
        <w:br/>
        <w:t xml:space="preserve">6. The notice of contestation of non-compliance with the aforementioned resolution of November 28, 2023, was notified to the Party on June 11, 2024, and published in the Authority's bulletin No. 24/2024 of June 17, 2024.  </w:t>
        <w:br/>
        <w:t xml:space="preserve">7. The professional, with communications received on July 4, 2024, and August 28, 2024, stated that it had complied with the Authority's resolution as of May 14, 2024, having displayed, starting from that date, the signs showing the “base prices” of fuel corresponding to those indicated in the “totems” and having obscured the wording “variation +€0.02/liter.” The Professional attached photographic documentation relating to these changes. To prove the interruption of the application of the surcharge in question as of May 14, 2024, Blupark produced three receipts, issued on the same date, which do not show the application of the credit card surcharge.  </w:t>
        <w:br/>
        <w:t xml:space="preserve">8. In its submissions, Blupark expressly confirmed that it had continued to apply a price difference depending on the payment method used until May 14, 2024, while simultaneously arguing that this charge does not correspond to a surcharge for payment by credit card, but rather a “lesser discount” compared to what is guaranteed to the consumer in the case of using other payment methods. In this regard, the  </w:t>
        <w:br/>
        <w:t>2 Cf. complaint from the Guardia di Finanza of May 21, 2024, prot. 50558.</w:t>
      </w:r>
    </w:p>
    <w:p>
      <w:r>
        <w:rPr>
          <w:b/>
        </w:rPr>
        <w:t>[Pages 19–21]</w:t>
      </w:r>
    </w:p>
    <w:p>
      <w:r>
        <w:t>BULLETIN NO. 40 OF OCTOBER 14, 2024</w:t>
      </w:r>
    </w:p>
    <w:p>
      <w:r>
        <w:t>21. The professional clarified, in fact, that "in case of payment by credit card, the discount of € 0.02/liter provided instead for cash or Pagobancomat payments is not applied." In this regard, the professional highlighted that he has filed an administrative appeal before the TAR Lazio against provision no. 3100 of November 28 and that, due to the pending merits judgment, he deemed it appropriate to wait for the TAR's ruling "before taking steps to comply with provision Prot. no. 3100 of 28.11.2023."</w:t>
      </w:r>
    </w:p>
    <w:p>
      <w:r>
        <w:t>III. EVALUATIONS</w:t>
      </w:r>
    </w:p>
    <w:p>
      <w:r>
        <w:t>9. In light of the investigative findings, it is believed that the behavior exhibited by the professional constitutes non-compliance with the resolution of November 28, 2023, no. 31000, as Blupark, as hypothesized in the initiation provision, has reiterated the conduct sanctioned by the Authority, thus violating the prohibition of continuation of the commercial practice contained in the resolution in question.</w:t>
      </w:r>
    </w:p>
    <w:p>
      <w:r>
        <w:t>10. As highlighted, in fact, following the notification of the aforementioned provision, the Professional continued to foresee and apply a price variation, consisting of an increase of € 0.02 per liter in case of payment by credit card, so-called "credit card surcharge," consequently charging consumers an additional expense in relation to the use of a specific payment instrument.</w:t>
      </w:r>
    </w:p>
    <w:p>
      <w:r>
        <w:t>11. In fact, from a factual point of view, the documentation in the records confirms, until May 14, 2024, the presence of a sign placed at the payment box for fuel at the service station in Loreo, with content identical to that already subject to verification in the context of the investigative procedure PS/12618. The tax documentation produced by the reporters also proves the actual application of this surcharge. The Professional expressly confirmed having applied the surcharge in question until May 14, 2024, from which date he suspended the conduct, producing photographic documentation of the changes to the signage and tax receipts from which it is evident that no price differentials were applied for payments with electronic money.</w:t>
      </w:r>
    </w:p>
    <w:p>
      <w:r>
        <w:t>12. Regarding Blupark's defensive considerations, according to which the price variation applied would imply a "discount" for the use of a specific payment instrument "in accordance with current regulations" and not a credit card surcharge, as already highlighted in provision no. 31000 closing the PS12618 procedure, it is reiterated that the prohibition contained in Article 62 of the Consumer Code is independent of the nature and/or qualification of the difference requested by the seller in case of payment by credit card, prohibiting any differentiation in the price of the good/service based on the consumer's choice between the use of cash or other payment instruments.</w:t>
      </w:r>
    </w:p>
    <w:p>
      <w:r>
        <w:t>13. In conclusion, based on the preceding considerations, Blupark does not appear to have complied with the resolution of November 28, 2023, no. 31000.</w:t>
      </w:r>
    </w:p>
    <w:p>
      <w:r>
        <w:t>IV. QUANTIFICATION OF THE SANCTION</w:t>
      </w:r>
    </w:p>
    <w:p>
      <w:r>
        <w:t>14. Pursuant to Article 27, paragraph 12, of the Consumer Code, the Authority orders the application of an administrative pecuniary sanction from €10,000 to €10,000,000, taking into account the severity and duration of the violation.</w:t>
      </w:r>
    </w:p>
    <w:p>
      <w:r>
        <w:t>15.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r>
    </w:p>
    <w:p>
      <w:r>
        <w:t>22. In the case at hand, the severity of the violation should be assessed with regard to: i) the economic size of the Professional; ii) the nature of the violation, which is likely to impact the EU objective of creating a single payment system free of discrimination between instruments.</w:t>
      </w:r>
    </w:p>
    <w:p>
      <w:r>
        <w:t>17. In relation to the economic size, it is noted that based on the provisional economic data provided by the Party, the Professional recorded a total business turnover of [1-10 million]* euros in the financial year 2023, and a gross operating margin of [less than 1 million] euros.</w:t>
      </w:r>
    </w:p>
    <w:p>
      <w:r>
        <w:t>18. Regarding the duration of the violation, the evidence in the records shows that the reiteration of the conduct was carried out from March 4, 2024, until May 14, 2024.</w:t>
      </w:r>
    </w:p>
    <w:p>
      <w:r>
        <w:t>19. Considering these elements, it is deemed appropriate to impose an administrative pecuniary sanction of €20,000 (twenty thousand euros) on the company BLUPARK S.r.l.</w:t>
      </w:r>
    </w:p>
    <w:p>
      <w:r>
        <w:t>All of the above having been stated and considered</w:t>
      </w:r>
    </w:p>
    <w:p>
      <w:r>
        <w:t>RESOLVES</w:t>
      </w:r>
    </w:p>
    <w:p>
      <w:r>
        <w:t>a) that the behavior of the company BLUPARK S.r.l. consisting of violating the Authority's resolution no. 31000 of November 28, 2023 constitutes non-compliance with the latter;</w:t>
      </w:r>
    </w:p>
    <w:p>
      <w:r>
        <w:t>b) to impose an administrative pecuniary sanction of €20,000 (twenty thousand euros) on the company BLUPARK S.r.l.</w:t>
      </w:r>
    </w:p>
    <w:p>
      <w:r>
        <w:t>The imposed administrative sanction must be paid within thirty days from the notification of this provision, using the tax codes indicated in the attached F24 model with identifying elements, pursuant to Legislative Decree no. 241/1997. Payment must be made electronically by debiting the bank or postal current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 Immediate communication of the payment must be given to the Authority by sending documentation certifying the payment made.</w:t>
      </w:r>
    </w:p>
    <w:p>
      <w:r>
        <w:t>* In this version, some data are omitted, as elements of confidentiality or secrecy of the information were deemed to exist.</w:t>
      </w:r>
    </w:p>
    <w:p>
      <w:r>
        <w:t>3 See provisional balance sheet for the financial year 2023 and communication regarding the gross operating margin, both attached to BLUPARK's final memorandum of August 28, 2024, prot. 80702.</w:t>
      </w:r>
    </w:p>
    <w:p>
      <w:r>
        <w:t>BULLETIN NO. 40 OF OCTOBER 14, 2024</w:t>
      </w:r>
    </w:p>
    <w:p>
      <w:r>
        <w:t>The present provision will be notified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Guido Stazi Roberto Rustichelli</w:t>
      </w:r>
    </w:p>
    <w:p>
      <w:r>
        <w:rPr>
          <w:b/>
        </w:rPr>
        <w:t>[Pages 22–24]</w:t>
      </w:r>
    </w:p>
    <w:p>
      <w:r>
        <w:t>24 BULLETIN NO. 40 OF OCTOBER 14, 2024</w:t>
      </w:r>
    </w:p>
    <w:p>
      <w:r>
        <w:t>PS12792 - VET DISTRIBUTION - AGRICULTURAL PONTIFICAL - FAILURE TO DELIVER</w:t>
      </w:r>
    </w:p>
    <w:p>
      <w:r>
        <w:t>Provision No. 31337</w:t>
      </w:r>
    </w:p>
    <w:p>
      <w:r>
        <w:t>THE ANTITRUST AUTHORITY</w:t>
      </w:r>
    </w:p>
    <w:p>
      <w:r>
        <w:t>IN ITS MEETING of October 8, 2024;</w:t>
      </w:r>
    </w:p>
    <w:p>
      <w:r>
        <w:t>HEARD the Rapporteur, Saverio Valentino;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acts of the proceeding;</w:t>
      </w:r>
    </w:p>
    <w:p>
      <w:r>
        <w:t>HAVING REGARD to the communication initiating proceeding PS12792 of October 3, 2024, aimed at verifying the existence of unfair commercial practices in violation of Articles 20, paragraph 2, 21, 22, 24, 25, paragraph 1, letter d), 49, and 61 of the Consumer Code, carried out by the company VET Distribuzione S.r.l.s. (hereinafter also "Professional" or "Company");</w:t>
      </w:r>
    </w:p>
    <w:p>
      <w:r>
        <w:t>CONSIDERING the following:</w:t>
      </w:r>
    </w:p>
    <w:p>
      <w:r>
        <w:t>I. FACT</w:t>
      </w:r>
    </w:p>
    <w:p>
      <w:r>
        <w:t>1. According to information acquired for the application of the Consumer Code, reports received since May 20241 as well as evaluations published by consumers on major online review sites, the Professional would have engaged in commercial practices in the online offering of products - sold at particularly convenient prices through the website https://happy-vet.com/ (hereinafter, "Site") - consisting of the failure to deliver the products ordered and paid for by consumers, and the failure to refund the amount paid by the consumer following a complaint or the exercise of the right of withdrawal.</w:t>
      </w:r>
    </w:p>
    <w:p>
      <w:r>
        <w:t>2. Furthermore, the Professional would have obstructed the after-sales assistance service, as the phone number and email address provided to customers would be inactive or, in any case, useless as their use would not elicit any response from the Professional.</w:t>
      </w:r>
    </w:p>
    <w:p>
      <w:r>
        <w:t>3. These issues have been the subject of numerous and continuous complaints from consumers – all of a similar nature – as evidenced by the reports in the records2.</w:t>
      </w:r>
    </w:p>
    <w:p>
      <w:r>
        <w:t>4. Consumer review sites (for example, Trustpilot, whose pages have been acquired in the records3 and from which a total of 610 reviews and a score of 1.2 out of 5 emerge) also report an absolutely negative judgment of the website https://happy-vet.com/, given the numerous complaints and criticisms arising from the systematic failure to deliver products purchased by consumers. The same complaints regarding the failure to deliver products purchased online on the website https://happy-vet.com/ can be found on the complaint portal of the consumer association Altroconsumo4.</w:t>
      </w:r>
    </w:p>
    <w:p>
      <w:r>
        <w:t>5. In summary, the contested behaviors consist of: the failure to deliver the products sold through the Site; the failure to refund what was paid by consumers; inadequate after-sales assistance and the omission of information required as mandatory for websites selling online.</w:t>
      </w:r>
    </w:p>
    <w:p>
      <w:r>
        <w:t>6. It is also noteworthy that the Professional failed to respond to the request for information sent by the Authority on May 20, 2024, nor does it appear from the information provided by the Guardia di Finanza that the Company is actually present at the address communicated to the Chamber of Commerce and indicated as its registered office.</w:t>
      </w:r>
    </w:p>
    <w:p>
      <w:r>
        <w:t>7. Finally, on August 8, 2024, the Authority requested the company GoDaddy.com LLC - as the registrar of the domain https://happy-vet.com/ - to activate the abuse complaints procedure for the revocation of the aforementioned domain. It is noteworthy that GoDaddy.com LLC has not cooperated, as the domain https://happy-vet.com/ is still active.</w:t>
      </w:r>
    </w:p>
    <w:p>
      <w:r>
        <w:t>II. EVALUATIONS</w:t>
      </w:r>
    </w:p>
    <w:p>
      <w:r>
        <w:t>8. From the perspective of fumus boni iuris, the elements described above lead to the conclusion that the serious behaviors described exist prima facie, in violation of Articles 20, paragraph 2, 21, 22, 24, 25, paragraph 1, letter d), 49, and 61 of the Consumer Code, as they present profiles of aggressiveness specifically regarding the behaviors consisting of the failure to deliver products sold online, the failure to recognize/obstruct the exercise of the rights of withdrawal and refund, as well as manifest profiles of misleadingness regarding the indication of product availability, delivery times, and violation of the obligation to provide actual and functioning contact details.</w:t>
      </w:r>
    </w:p>
    <w:p>
      <w:r>
        <w:t>9. Moreover, in light of the reports, the behavior of the Professional is characterized by particular seriousness and unfairness, as it continues to collect payment for goods sold online at the time of the order, and then does not deliver the ordered products, nor does it refund what was paid by consumers, causing evident economic harm to them, omitting any refund or after-sales assistance.</w:t>
      </w:r>
    </w:p>
    <w:p>
      <w:r>
        <w:t>10. The factual elements in the records therefore attest, prima facie, to the existence of strong criticalities regarding the management of purchases made by consumers and the refund requests submitted by them in light of the failure to deliver the products ordered online. The factual evidence that also emerges from the reports appearing on review sites or those of consumer associations demonstrates that these are not isolated behaviors, attributable to misunderstandings or business inefficiencies, but rather a commercial behavior carried out systematically with the aim of profiting from the failure to deliver products paid for by consumers.</w:t>
      </w:r>
    </w:p>
    <w:p>
      <w:r>
        <w:t>11. From the perspective of periculum in mora, it is worth noting that the behaviors described above are characterized by a high degree of offensiveness as the website https://happy-vet.com/ is still active and as such is capable, during the course of the proceeding, also considering the exponential growth of online sales, of reaching a large number of consumers who, attracted by the characteristics of the offer advertised by the Professional through the aforementioned Site (alleged immediate availability of products, at heavily discounted prices, as well as delivery times indicated as "24 - 48 hours"), could purchase the products, pay the price, not receive the goods, and subsequently be unable to obtain a refund of the amounts paid.</w:t>
      </w:r>
    </w:p>
    <w:p>
      <w:r>
        <w:t>12. In light of all the above, considering the seriousness and immediacy of the described unlawful behaviors, they are likely, during the course of the proceeding, to induce consumers to make a commercial decision that they otherwise would not take, such as making purchases on the website https://happy-vet.com/, only to not receive the purchased products, nor be able to obtain the corresponding refund.</w:t>
      </w:r>
    </w:p>
    <w:p>
      <w:r>
        <w:t>THEREFORE, IT IS CONSIDERED that from the examination of the acts of the proceeding, elements emerge that support the necessity to act with particular urgency, pursuant to Article 27, paragraphs 3 and 3-bis, of the Consumer Code, in order to prevent the above-described commercial practices, consisting of the misleading representation of product availability, the failure to deliver the sold goods, the omission of refunds of amounts paid, and the failure to provide after-sales assistance services, from continuing to be carried out during the course of the investigative proceeding;</w:t>
      </w:r>
    </w:p>
    <w:p>
      <w:r>
        <w:t>IT IS ORDERED</w:t>
      </w:r>
    </w:p>
    <w:p>
      <w:r>
        <w:t>pursuant to Article 27, paragraph 3, of the Consumer Code and Article 8, paragraph 1, of the Regulation, that the company VET Distribuzione S.r.l.s.:</w:t>
      </w:r>
    </w:p>
    <w:p>
      <w:r>
        <w:t>a) suspend any activity aimed at the marketing and sale of products in the manner indicated above;</w:t>
      </w:r>
    </w:p>
    <w:p>
      <w:r>
        <w:t>b) within seven days from the communication of this provision, submit written statements and documents for the confirmation of the aforementioned measure;</w:t>
      </w:r>
    </w:p>
    <w:p>
      <w:r>
        <w:t>c) within five days from the communication of this provision, inform the Authority of the execution of this suspension provision and the related methods, sending a detailed report in which the measures adopted are illustrated;</w:t>
      </w:r>
    </w:p>
    <w:p>
      <w:r>
        <w:t>d) that pursuant to Article 27, paragraph 3-bis, of the Consumer Code, in order to avoid the risk of serious harm to Italian consumers, access to the website https://happy-vet.com/ is prohibited, currently registered at IP address: 212.1.212.215;</w:t>
      </w:r>
    </w:p>
    <w:p>
      <w:r>
        <w:t>e) that, for the purposes of the prohibition referred to in the previous letter d), pursuant to Article 27, paragraphs 2 and 3-bis, of the Consumer Code and Article 3, paragraph 1, of Legislative Decree No. 68 of March 19, 2001 (concerning "Adjustment of the tasks of the Guardia di Finanza"), the Authority, for the execution of this provision, shall avail itself of the Special Antitrust Unit of the Guardia di Finanza.</w:t>
      </w:r>
    </w:p>
    <w:p>
      <w:r>
        <w:t>Pursuant to Article 8, paragraph 3, of the Regulation, the College, having evaluated the defensive arguments of the Parties, may confirm the provisional suspension of the commercial practice.</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communicated to the interested parties and published in the Bulletin of the Antitrust Authority.</w:t>
      </w:r>
    </w:p>
    <w:p>
      <w:r>
        <w:rPr>
          <w:b/>
        </w:rPr>
        <w:t>[Pages 25–26]</w:t>
      </w:r>
    </w:p>
    <w:p>
      <w:r>
        <w:t>BULLETIN NO. 40 OF OCTOBER 14, 2024</w:t>
      </w:r>
    </w:p>
    <w:p>
      <w:r>
        <w:t>27 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communication of the provision itself.</w:t>
      </w:r>
    </w:p>
    <w:p>
      <w:r>
        <w:t>It is reminded that, pursuant to Article 8, paragraph 4, of the Regulation, this decision of suspension must be immediately executed by the professional and that the appeal against the suspension provision of the Authority does not suspend its execution.</w:t>
      </w:r>
    </w:p>
    <w:p>
      <w:r>
        <w:t>THE SECRETARY GENERAL THE PRESIDENT</w:t>
        <w:br/>
        <w:t>Guido Stazi Roberto Rustichelli</w:t>
      </w:r>
    </w:p>
    <w:p>
      <w:r>
        <w:t>Antitrust Authority Weekly Bulletin</w:t>
        <w:br/>
        <w:t>of Competition and Market Year XXXIV - No. 40 - 2024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