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https://www.agcm.it/dotcmsdoc/bollettini/2020/41-20.pdf</w:t>
      </w:r>
    </w:p>
    <w:p>
      <w:r>
        <w:t>Pages translated : 82</w:t>
      </w:r>
    </w:p>
    <w:p/>
    <w:p>
      <w:r>
        <w:rPr>
          <w:b/>
        </w:rPr>
        <w:t>[Pages 1–3]</w:t>
      </w:r>
    </w:p>
    <w:p>
      <w:r>
        <w:t>Bulletin</w:t>
        <w:br/>
        <w:t>Weekly</w:t>
        <w:br/>
        <w:t>Year XXX - No. 41</w:t>
        <w:br/>
        <w:t>Published on the website www.agcm.it</w:t>
        <w:br/>
        <w:t>October 19, 2020</w:t>
      </w:r>
    </w:p>
    <w:p>
      <w:r>
        <w:t>SUMMARY</w:t>
        <w:br/>
        <w:t>CONCENTRATION OPERATIONS 5</w:t>
        <w:br/>
        <w:t>C12320 - CESED/THIRTEEN BUSINESS BRANCHES OF MARGHERITA DISTRIBUZIONE</w:t>
        <w:br/>
        <w:t>Decision No. 28363 5</w:t>
        <w:br/>
        <w:t>C12321 - MENDEL INVESTIMENTI/GENETIC-GENELIFE-MAX FARMA</w:t>
        <w:br/>
        <w:t>Decision No. 28364 9</w:t>
        <w:br/>
        <w:t>C12322 - DWS ALTERNATIVES GLOBAL LIMITED/MEDIPASS</w:t>
        <w:br/>
        <w:t>Decision No. 28365 16</w:t>
        <w:br/>
        <w:t>C12323 - UNIEURO/TWENTY BUSINESS BRANCHES OF IPER MONTEBELLO</w:t>
        <w:br/>
        <w:t>Decision No. 28366 20</w:t>
        <w:br/>
        <w:t>ACTIVITIES OF REPORTING AND CONSULTATION 27</w:t>
        <w:br/>
        <w:t>AS1701 – MUNICIPALITY OF PIOMBINO (LI) - MARITIME STATE CONCESSIONS FOR TOURIST RECREATIONAL PURPOSES 27</w:t>
        <w:br/>
        <w:t>UNFAIR COMMERCIAL PRACTICES 31</w:t>
        <w:br/>
        <w:t>PS11594 - ELECTRONIC ARTS-IN-VIDEO GAME PURCHASES</w:t>
        <w:br/>
        <w:t>Decision No. 28368 31</w:t>
        <w:br/>
        <w:t>PS11740 - FINANCE AND PENSIONS-VIDEO INVESTMENTS</w:t>
        <w:br/>
        <w:t>Decision No. 28369 56</w:t>
        <w:br/>
        <w:t>PS11742 - DEBT SOLUTION-VARIOUS CONDUCTS</w:t>
        <w:br/>
        <w:t>Decision No. 28370 62</w:t>
        <w:br/>
        <w:t>VARIOUS 71</w:t>
        <w:br/>
        <w:t>AMENDMENTS TO THE IMPLEMENTING REGULATION ON LEGALITY RATING</w:t>
        <w:br/>
        <w:t>Decision No. 28361 71</w:t>
      </w:r>
    </w:p>
    <w:p>
      <w:r>
        <w:t>BULLETIN NO. 41 OF OCTOBER 19, 2020 5</w:t>
        <w:br/>
        <w:t>CONCENTRATION OPERATIONS</w:t>
        <w:br/>
        <w:t>C12320 - CESED/THIRTEEN BUSINESS BRANCHES OF MARGHERITA DISTRIBUZIONE</w:t>
        <w:br/>
        <w:t>Decision No. 28363</w:t>
        <w:br/>
        <w:t>THE ANTITRUST AUTHORITY</w:t>
        <w:br/>
        <w:t>IN ITS MEETING of September 30, 2020;</w:t>
        <w:br/>
        <w:t>HEARD the Rapporteur Dr. Gabriella Muscolo;</w:t>
        <w:br/>
        <w:t>VIEWED Law No. 287 of October 10, 1990;</w:t>
        <w:br/>
        <w:t>VIEWED the Presidential Decree No. 217 of April 30, 1998;</w:t>
        <w:br/>
        <w:t>VIEWED the communication made by Cesed S.p.A., received on September 4, 2020;</w:t>
        <w:br/>
        <w:t>CONSIDERED the following:</w:t>
        <w:br/>
        <w:t>I. THE PARTIES</w:t>
        <w:br/>
        <w:t>1. CESED S.p.A. (hereinafter also Cesed) is a company that primarily operates in the modern distribution sector of food and non-food products of mass and general consumption, through its subsidiary Dico S.p.A. (also known as “Gruppo TUO”), with a network consisting of Tuodì branded discount stores and supermarkets and small supermarkets under the Fresco Market and Ingrande brands. The main shareholders of Cesed are Doreca Italia S.p.A. (48.91%) and Enerservice S.r.l. (49.41%). The total revenue generated by Cesed in 2019 was approximately [100-504]* million euros.</w:t>
        <w:br/>
        <w:t>2. The acquisition concerns 13 business branches consisting of as many sales points located in the province of Rome (hereinafter also Target), of which 12 are supermarkets and one is a small supermarket, currently controlled by Margherita Distribuzione S.p.A. (formerly Auchan S.p.A.), in one case through a business branch lease agreement. Margherita Distribuzione is controlled by BDC Italia, a company 51% owned by Conad – Consorzio Nazionale Dettaglianti soc. coop.. The revenue generated by the Target in 2019 was approximately 50 million euros.</w:t>
        <w:br/>
        <w:t>II. DESCRIPTION OF THE OPERATION</w:t>
        <w:br/>
        <w:t>3. The communicated operation consists of the acquisition of control, by Cesed, through controlled companies, of the 13 business branches described. In particular, the acquisition of control involves: i) for the sales point for which Margherita Distribuzione currently has a lease agreement in place, a substitution of Cesed in that agreement or the signing of a new lease agreement between Cesed and the property owner; ii) the transfer of the business branch for the remaining sales points.</w:t>
        <w:br/>
        <w:t>* In this version, some data is omitted, as there were deemed to be elements of confidentiality or secrecy of the information.</w:t>
      </w:r>
    </w:p>
    <w:p>
      <w:r>
        <w:rPr>
          <w:b/>
        </w:rPr>
        <w:t>[Pages 4–6]</w:t>
      </w:r>
    </w:p>
    <w:p>
      <w:r>
        <w:t>6 BULLETIN NO. 41 OF OCTOBER 19, 2020</w:t>
      </w:r>
    </w:p>
    <w:p>
      <w:r>
        <w:t>III. QUALIFICATION OF THE OPERATION</w:t>
      </w:r>
    </w:p>
    <w:p>
      <w:r>
        <w:t>4. As a preliminary matter, it is noted that the acquisitions communicated, being characterized by functional interdependence, constitute a single operation: every aspect of it has indeed been defined simultaneously in a single Framework Agreement entered into between Cesed and Margherita Distribuzione1. The operation under examination, as it involves the acquisition of exclusive control over parts of a business, constitutes a concentration pursuant to Article 5, paragraph 1, letter b), of Law No. 287/90.</w:t>
      </w:r>
    </w:p>
    <w:p>
      <w:r>
        <w:t>5. It falls within the scope of application of Law No. 287/90, as the conditions set out in Article 1 of Regulation No. 139/2004 do not apply, and it is subject to the obligation of prior notification provided for by Article 16, as the total turnover achieved in the last financial year at the national level by the group of companies involved was over 504 million euros and as the total turnover achieved individually at the national level by at least two of the companies involved was over 31 million euros.</w:t>
      </w:r>
    </w:p>
    <w:p>
      <w:r>
        <w:t>IV. EVALUATION OF THE OPERATION</w:t>
      </w:r>
    </w:p>
    <w:p>
      <w:r>
        <w:t>IV.I. Relevant markets from a product perspective</w:t>
      </w:r>
    </w:p>
    <w:p>
      <w:r>
        <w:t>6. This operation concerns the markets for the retail sale and supply of food and non-food consumer goods through points of sale of Large Organized Distribution (GDO). This sector is usually divided into: Large Distribution (GD), which includes large organized distribution chains structured as a company or group of companies, and Organized Distribution (DO), which consists of chains made up of distinct legal entities, but "linked" by common adherence to various types of associative formulas, such as consortia, voluntary unions, service companies, consumer cooperatives, etc.</w:t>
      </w:r>
    </w:p>
    <w:p>
      <w:r>
        <w:t>7. In the GDO sector, different types of points of sale can be distinguished based on a series of characteristics (size, positioning, range of products offered, presence of fresh food counters, etc.) that contribute to determining their quality and the level of services offered. In particular, the sector is generally divided into: hypermarkets (points of sale with a size equal to or greater than 2,500 square meters), supermarkets (points of sale with a size between 400 and 2,499 square meters), convenience stores (points of sale with a size between 100 and 399 square meters), and discount stores (points of sale of medium-small size, which usually do not exceed 2,000 square meters, with a limited assortment of references and brands and a commercial strategy mainly aimed at containing costs and selling prices).</w:t>
      </w:r>
    </w:p>
    <w:p>
      <w:r>
        <w:t>8. Following the most recent investigative deepening carried out in the context of proceedings for the evaluation of concentration operations in the GDO sector2, the Authority has updated the definition of the product markets for supermarkets, hypermarkets, and convenience stores, identifying them as follows:</w:t>
      </w:r>
    </w:p>
    <w:p>
      <w:r>
        <w:t>1 See Consolidated Communication of the Commission on the criteria for jurisdictional competence pursuant to Regulation (EC) No. 139/2004 of the Council concerning the control of concentrations between undertakings, in particular §43.</w:t>
      </w:r>
    </w:p>
    <w:p>
      <w:r>
        <w:t>2 See: C12279- DIPERDÌ/BRANCHES OF SMA AND SOCIETÀ GENERALE DISTRIBUZIONE, decision No. 28326 of August 4, 2020, in Bulletin No. 34/20; C12247B - BDC ITALIA-CONAD/AUCHAN, decision No. 28163 of February 25, 2020, in Bulletin No. 10/20; C12246 – FRATELLI ARENA/BRANCHES OF SMA-DISTRIBUZIONE CAMBRIA-ROBERTO ABATE, decision No. 28038 of December 20, 2019, in Bulletin No. 52/2019.</w:t>
      </w:r>
    </w:p>
    <w:p>
      <w:r>
        <w:t>BULLETIN NO. 41 OF OCTOBER 19, 2020 7</w:t>
      </w:r>
    </w:p>
    <w:p>
      <w:r>
        <w:t>i. the supermarket market, consisting of all supermarkets, convenience stores, hypermarkets, and discount stores, that is, all points of sale with a surface area starting from 100 square meters;</w:t>
      </w:r>
    </w:p>
    <w:p>
      <w:r>
        <w:t>ii. the hypermarket market, consisting, in addition to hypermarkets themselves, of all supermarkets and discount stores, that is, all points of sale with a surface area starting from 400 square meters;</w:t>
      </w:r>
    </w:p>
    <w:p>
      <w:r>
        <w:t>iii. the convenience store market, consisting of convenience stores, supermarkets, and discount stores, that is, all points of sale with a surface area between 100 and 2,499 square meters.</w:t>
      </w:r>
    </w:p>
    <w:p>
      <w:r>
        <w:t>9. In light of the above, the relevant markets affected by this operation are the supermarket market, for the 12 points of sale with sizes between 400 and 2,499 square meters, and the convenience store market, for the single point of sale with a size below 400 square meters.</w:t>
      </w:r>
    </w:p>
    <w:p>
      <w:r>
        <w:t>10. The operation also has effects in the markets for the supply of food and non-food consumer goods to modern distribution, in which GDO chains operate from the demand side and suppliers of the marketed products operate from the supply side. Although these markets can be subdivided by product categories and, within those categories, between private label products of the distributor and branded products of the industry, an exact definition does not seem necessary for the purposes of this evaluation: across all relevant supply markets, in fact, the market power of each chain from the demand side can be approximated by the share that such chain holds in total sales, as it can be presumed that, offering a complete basket of consumer goods, the sales shares, and therefore those of the purchases made by each operator, do not differ significantly by product category.</w:t>
      </w:r>
    </w:p>
    <w:p>
      <w:r>
        <w:t>IV.II. Relevant markets from a geographical perspective</w:t>
      </w:r>
    </w:p>
    <w:p>
      <w:r>
        <w:t>11. From a geographical point of view, GDO markets have a local dimension, considering consumer purchasing behaviors and the importance they attribute to the proximity of points of sale.</w:t>
      </w:r>
    </w:p>
    <w:p>
      <w:r>
        <w:t>12. In the recent investigations conducted for the evaluation of concentration operations in the GDO sector3, following a specific survey conducted on consumption habits in the GDO sector, the geographical extent of the relevant markets was identified in the area delineated by isochrones constructed around the points of sale of 15 minutes of driving time, with reference to supermarkets, and 10 minutes of driving time, with reference to convenience stores.</w:t>
      </w:r>
    </w:p>
    <w:p>
      <w:r>
        <w:t>13. The supply markets, on the other hand, generally have a national dimension, as both purchases and related negotiations take place at the national level. Some categories of fresh products or local specialties may be exceptions, whose purchases and negotiations occur at the local level. In any case, the market shares that operators hold at the local level also contribute to qualifying their market power in the purchasing phase, as a producing company that wants to ensure a widespread presence in all geographical areas is somewhat "obliged" to relate to distribution companies that hold strong positions in the downstream retail markets.</w:t>
      </w:r>
    </w:p>
    <w:p>
      <w:r>
        <w:t>IV.III. The effects of the operation</w:t>
      </w:r>
    </w:p>
    <w:p>
      <w:r>
        <w:t>14. At the local level, the operation results in horizontal overlaps that, in all 13 affected isochrones, lead to a post-merger market share in value of the new operator below 15%. These are therefore levels of share far below the attention threshold of 25%, used in the recent precedents cited4.</w:t>
      </w:r>
    </w:p>
    <w:p>
      <w:r>
        <w:t>15. At the national level, the chain belonging to Cesed holds a market share of less than 1% in the GDO sector, which would not significantly increase as a result of this operation. Regarding the supply markets, therefore, the operation does not result in significant increases in the purchasing power of the chain. With regard, on the other hand, to the increase in purchasing power resulting from the strengthening of the position held in local markets, it is believed that the analysis is absorbed by the assessment carried out on the downstream retail markets.</w:t>
      </w:r>
    </w:p>
    <w:p>
      <w:r>
        <w:t>CONSIDERED, therefore, that the operation under examination does not result, pursuant to Article 6, paragraph 1, of Law No. 287/90, in the creation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Filippo Arena Roberto Rustichelli</w:t>
      </w:r>
    </w:p>
    <w:p>
      <w:r>
        <w:t>4 See Council Regulation (EC) No. 139/2004 of January 20, 2004, concerning the control of concentrations between undertakings, para. 32: “Concentrations may be presumed compatible with the common market where, given the modest market share of the undertakings concerned, they are not such as to impede effective competition. Subject to Articles 81 [101 TFEU] and 82 [102 TFEU] of the Treaty, an indication in this sense exists where the market share of the undertakings concerned does not exceed 25% either in the common market or in a substantial part thereof.” See note 2 for the precedents.</w:t>
      </w:r>
    </w:p>
    <w:p>
      <w:r>
        <w:rPr>
          <w:b/>
        </w:rPr>
        <w:t>[Pages 7–9]</w:t>
      </w:r>
    </w:p>
    <w:p>
      <w:r>
        <w:t>BULLETIN NO. 41 OF OCTOBER 19, 2020 9</w:t>
      </w:r>
    </w:p>
    <w:p>
      <w:r>
        <w:t>C12321 - MENDEL INVESTIMENTI/GENETIC-GENELIFE-MAX FARMA</w:t>
      </w:r>
    </w:p>
    <w:p>
      <w:r>
        <w:t>Provision No. 28364</w:t>
      </w:r>
    </w:p>
    <w:p>
      <w:r>
        <w:t>THE ANTITRUST AUTHORITY</w:t>
      </w:r>
    </w:p>
    <w:p>
      <w:r>
        <w:t>IN ITS MEETING of September 30, 2020;</w:t>
      </w:r>
    </w:p>
    <w:p>
      <w:r>
        <w:t>HEARD the Rapporteur, Dr. Gabriella Muscolo;</w:t>
      </w:r>
    </w:p>
    <w:p>
      <w:r>
        <w:t>HAVING REGARD to Law No. 287 of October 10, 1990;</w:t>
      </w:r>
    </w:p>
    <w:p>
      <w:r>
        <w:t>HAVING REGARD to the Presidential Decree No. 217 of April 30, 1998;</w:t>
      </w:r>
    </w:p>
    <w:p>
      <w:r>
        <w:t>HAVING REGARD to the communication from Mendel Investimenti S.p.A., received on September 7, 2020, and supplemented on September 15, 2020;</w:t>
      </w:r>
    </w:p>
    <w:p>
      <w:r>
        <w:t>CONSIDERED the following:</w:t>
      </w:r>
    </w:p>
    <w:p>
      <w:r>
        <w:t>I. The parties</w:t>
      </w:r>
    </w:p>
    <w:p>
      <w:r>
        <w:t>1. The acquiring company, Mendel Investimenti S.p.A. (hereinafter, "Mendel"), is a newly established Italian joint-stock company, wholly owned by Mendel Investments S.à r.l. (hereinafter, "Mendel Investments"), a Luxembourg limited liability company engaged in the management of financial investments. Mendel itself engages in the direct and indirect management of equity interests in companies operating in the pharmaceutical sector and, in particular, in the market for the production and sale of pharmaceuticals. As a result of the notified operation, Mendel Investments, and thus also Mendel, will indirectly belong to a specialized investment fund established under the laws of the Grand Duchy of Luxembourg. In particular, Mendel will be indirectly controlled by CVC Capital Partners SICAV-FIS S.A. (hereinafter, "CVC"), which is part of the so-called CVC Network. The revenue generated by CVC in 2018 was approximately [1-2]* billion euros.</w:t>
      </w:r>
    </w:p>
    <w:p>
      <w:r>
        <w:t>2. The first company subject to acquisition, Genetic S.p.A. (hereinafter, "Genetics"), is an Italian joint-stock company that primarily operates as a manufacturer of pharmaceutical products on behalf of third parties as a Contract Development Manufacturing Organization ("CDMO"). Genetic also engages in R&amp;D, production, and sale of generic drugs, especially in the respiratory and ophthalmic therapeutic areas, for which it holds marketing authorization.</w:t>
      </w:r>
    </w:p>
    <w:p>
      <w:r>
        <w:t>3. The second acquired company, Genelife S.r.l. (hereinafter, "Genelife"), is an Italian limited liability company that also operates as a CDMO and is involved in the development and production of dietary supplements and cosmetics, as well as, to a limited extent, medical devices.</w:t>
      </w:r>
    </w:p>
    <w:p>
      <w:r>
        <w:t>4. The third acquired company, Max Farma S.r.l. (hereinafter, "Max Farma"), is an Italian limited liability company that does not hold any authorization for the trade of pharmaceuticals and is limited to distributing and marketing products manufactured by Genetic and Genelife. In particular, Max Farma operates as the exclusive distributor of Genetic's products to pharmacies and/or wholesalers in Italy and also markets products manufactured by Genelife.</w:t>
      </w:r>
    </w:p>
    <w:p>
      <w:r>
        <w:t>5. Genetic, Genelife, and Max Farma are part of the same corporate group, which is controlled by the Pavese family and, therefore, they will sometimes be referred to collectively as the "Genetic Group." The revenue generated in Italy in 2019 by the Genetic Group was approximately [40-50] million euros.</w:t>
      </w:r>
    </w:p>
    <w:p>
      <w:r>
        <w:t>II. The concentration operation</w:t>
      </w:r>
    </w:p>
    <w:p>
      <w:r>
        <w:t>6. The concentration operation (hereinafter, the "Operation") aims to allow CVC, through an indirectly controlled vehicle company, Mendel, (i) to enter the market for the development, production, and packaging of pharmaceutical products on behalf of third parties and (ii) to expand its presence in the Italian market for R&amp;D, production, and sale of pharmaceutical products, while the Genetic Group, thanks to cooperation with a major international financial operator, will be able to strengthen the expansion process of its business.</w:t>
      </w:r>
    </w:p>
    <w:p>
      <w:r>
        <w:t>7. The Operation is primarily governed by a sale and purchase agreement (hereinafter, the "Agreement"), which will allow Mendel to acquire the majority stake in the share capital of the companies belonging to the Genetic Group (hereinafter, the "Acquisition"), and is structured in several phases, which are described below.</w:t>
      </w:r>
    </w:p>
    <w:p>
      <w:r>
        <w:t>8. The Agreement provides for the reorganization of the Genetic Group through the acquisition by Genetic of 90% of the share capital of Genelife, currently owned by another company in the group, Lux Pharma Holding S.r.l. Therefore, Genetic and Genelife will no longer be so-called sister companies, but Genelife will become a company directly controlled by Genetic at 90%.</w:t>
      </w:r>
    </w:p>
    <w:p>
      <w:r>
        <w:t>9. Furthermore, the current shareholders of Genetic, Max Farma, and the majority of the shareholders of Genelife (hereinafter, the "Sellers") will transfer to Mendel their shares held, directly and indirectly, in the companies of the Genetic Group.</w:t>
      </w:r>
    </w:p>
    <w:p>
      <w:r>
        <w:t>10. Therefore, as a result of the Operation, Mendel will directly control Genetic and Max Farma and, indirectly, through Genetic, also Genelife. This will allow CVC to indirectly control, through Mendel, the companies of the Genetic Group.</w:t>
      </w:r>
    </w:p>
    <w:p>
      <w:r>
        <w:t>11. This indirect control of CVC over the Genetic Group will initially be total and then become majority. In fact, pursuant to a subsequent reinvestment agreement, some current (direct and indirect) shareholders of the Genetic Group (the "Investors") will collectively become holders of a minority stake in the share capital of the parent company of Mendel Investments.</w:t>
      </w:r>
    </w:p>
    <w:p>
      <w:r>
        <w:t>12. As a final phase, the Operation provides for Mendel to be merged into Genetic through a reverse merger, pursuant to Article 2501-bis of the Italian Civil Code.</w:t>
      </w:r>
    </w:p>
    <w:p>
      <w:r>
        <w:t>13. Upon completion of the Operation, Article 19 of the Agreement provides for a non-compete obligation and a prohibition on employee poaching on the part of the Sellers, both valid for 36 months, with reference to the activities carried out by the target companies. Furthermore, Article 15 of the reinvestment agreement provides for a non-compete obligation and a prohibition on employee poaching similar to those established by the Agreement for the entire duration of their investment and for the subsequent 30 months.</w:t>
      </w:r>
    </w:p>
    <w:p>
      <w:r>
        <w:t>BULLETIN NO. 41 OF OCTOBER 19, 2020 11</w:t>
      </w:r>
    </w:p>
    <w:p>
      <w:r>
        <w:t>III. Qualification of the operation</w:t>
      </w:r>
    </w:p>
    <w:p>
      <w:r>
        <w:t>14. Through the Operation, CVC will acquire exclusive, albeit indirect, control of the Genetic Group, both from a proprietary and a managerial perspective.</w:t>
      </w:r>
    </w:p>
    <w:p>
      <w:r>
        <w:t>15. Since the Operation involves the acquisition of exclusive control of a company, it constitutes a concentration pursuant to Article 5, paragraph 1, letter b), of Law No. 287/90 and falls within the scope of application of Law No. 287/90, as the conditions set out in Article 1 of Regulation (EC) No. 139/04 do not apply, and it is subject to the obligation of prior notification provided for by Article 16, paragraph 1, of the same law, as the total revenue at the national level from the set of companies involved in the Operation exceeds 504 million euros and the total revenue generated individually at the national level by at least two of the companies involved exceeds 31 million euros.</w:t>
      </w:r>
    </w:p>
    <w:p>
      <w:r>
        <w:t>16. The non-compete obligation and the prohibition on employee poaching provided for by the Agreement and the reinvestment agreement on the part of, respectively, the Sellers and the Investors, constitute restrictions directly connected and necessary for the realization of the Operation, insofar as they are strictly functional to safeguarding the value of the acquired company, including goodwill, and thus as long as the obligations therein provided:</w:t>
      </w:r>
    </w:p>
    <w:p>
      <w:r>
        <w:t>− relate to activities in the market - of the product and geographical - concerned by this operation1,</w:t>
        <w:br/>
        <w:t>− are limited to a duration of two years2; in this regard, it should be noted that a longer duration of such a pact would exceed the need to ensure the buyer the transfer of the actual value of the acquisitions;</w:t>
        <w:br/>
        <w:t>− are confined to a geographical area in which the target company carries out the activities subject to the transfer3, and</w:t>
        <w:br/>
        <w:t>− do not prevent the seller from acquiring or holding shares solely for financial investment purposes, without quantitative limits4.</w:t>
      </w:r>
    </w:p>
    <w:p>
      <w:r>
        <w:t>In this regard, it should be noted that a provision of broader scope than the material scope, for a duration of two years and a more extensive geographical area appears to exceed the need to ensure the buyer the transfer of the actual value of the acquisition.</w:t>
      </w:r>
    </w:p>
    <w:p>
      <w:r>
        <w:t>IV. Evaluation of the operation</w:t>
      </w:r>
    </w:p>
    <w:p>
      <w:r>
        <w:t>IV.1. The relevant markets</w:t>
      </w:r>
    </w:p>
    <w:p>
      <w:r>
        <w:t>a) The activity of research and development, production, and sale of pharmaceutical products, dietary supplements, and cosmetics</w:t>
      </w:r>
    </w:p>
    <w:p>
      <w:r>
        <w:t>17. The notified operation primarily concerns the sector of research and development, production, and sale of generic and OTC drugs, in the therapeutic areas in which Genetic is active.</w:t>
      </w:r>
    </w:p>
    <w:p>
      <w:r>
        <w:t>1 Communication from the Commission on restrictions directly connected and necessary to concentration operations (2005/C56/03) published in the Official Journal of the European Union on March 5, 2005, para. 18.</w:t>
        <w:br/>
        <w:t>2 Commission Communication cited, para. 20.</w:t>
        <w:br/>
        <w:t>3 Commission Communication cited, para. 22.</w:t>
        <w:br/>
        <w:t>4 Commission Communication cited, para. 25.</w:t>
      </w:r>
    </w:p>
    <w:p>
      <w:r>
        <w:rPr>
          <w:b/>
        </w:rPr>
        <w:t>[Pages 10–12]</w:t>
      </w:r>
    </w:p>
    <w:p>
      <w:r>
        <w:t>12 BULLETIN NO. 41 OF OCTOBER 19, 2020</w:t>
      </w:r>
    </w:p>
    <w:p>
      <w:r>
        <w:t>18. The relevant markets in the pharmaceutical sector, also in the context of concentration assessments, are defined based on therapeutic classes, in which drugs are classified taking into account their chemical action and therapeutic purpose. The identification of such classes in the most recent decisions of the European Commission is based on the use of the Anatomical Classification of Pharmaceutical Products, a classification system managed by the European Pharmaceutical Market Research Association (EphMRA), under which drugs are divided into four hierarchical levels, identified by alphanumeric codes.</w:t>
      </w:r>
    </w:p>
    <w:p>
      <w:r>
        <w:t>19. More specifically, the third level of this classification (ATC3) identifies groups of medicines that generally have the same therapeutic indications and are not substitutable with those belonging to other classes located at the first and second levels. It is therefore from this level that, usually, one starts to identify substitutable products for the purpose of defining the relevant market for the assessment of a concentration.</w:t>
      </w:r>
    </w:p>
    <w:p>
      <w:r>
        <w:t>20. From a geographical perspective, the size of the markets for the production and marketing of drugs is traditionally considered national: this is due to the differences between the health policies of individual countries (including price regulation, reimbursement methods, drug classification, distribution channels, etc.) and the different access regimes (i.e., patenting and marketing authorization regimes).</w:t>
      </w:r>
    </w:p>
    <w:p>
      <w:r>
        <w:t>21. In the specific case, the relevant markets for the purposes of this Operation coincide with the therapeutic classes in relation to which Genetic and two of the CVC Funds Portfolio Companies - Recordati S.p.A. (hereinafter, "Recordati") and Theramex Italia S.r.l. (hereinafter, "Theramex") - overlap in the national territory.</w:t>
      </w:r>
    </w:p>
    <w:p>
      <w:r>
        <w:t>22. In particular, the Operation produces overlaps between the Parties in 13 national markets for the production and sale of drugs corresponding to 13 different ATC3 codes. Specifically, these are the markets for the production and sale of calcium-regulating drugs for bones (M5B), topical preparations for the nose (R1A), corticosteroids (R3D), drugs for cerebral and peripheral vasotherapy (C10A), drugs for the regulation of cholesterol and triglycerides (C10A), products for benign prostatic hyperplasia (G4C), cephalosporins (J1D), systemic agents for fungal infections (J2A), antivirals (J5B), B2-antagonists (R3A), expectorants (R5C), systemic antihistamines (R6A), and antiulcerants (A2B).</w:t>
      </w:r>
    </w:p>
    <w:p>
      <w:r>
        <w:t>23. According to the information provided by the Parties, in none of these markets does the overlap between the Parties resulting from the Operation exceed 15% in the last three years, except for that related to the therapeutic area identified by the ATC3 code G4C (which identifies products for benign prostatic hyperplasia), for which the post-merger joint share is slightly above 15%.</w:t>
      </w:r>
    </w:p>
    <w:p>
      <w:r>
        <w:t>b) The development, production, and packaging of pharmaceutical products on behalf of third parties</w:t>
      </w:r>
    </w:p>
    <w:p>
      <w:r>
        <w:t>24. The notified Operation also concerns the sector of development, production, and packaging of pharmaceutical products on behalf of third parties in which Genetic is active.</w:t>
      </w:r>
    </w:p>
    <w:p>
      <w:r>
        <w:t>25. This market, in accordance with the precedents of this Authority, does not need to be further segmented into subcategories based on the manufactured product, as the production and packaging techniques are independent of the active ingredients and materials used.</w:t>
      </w:r>
    </w:p>
    <w:p>
      <w:r>
        <w:t>26. Although there has long been an intensified process of regulatory and legislative harmonization at the EU level, even in the case of the market for the production and packaging of drugs on behalf of third parties, the geographical dimension is currently considered to be national, given the different regulations that characterize the regulation of individual EU countries regarding drug production.</w:t>
      </w:r>
    </w:p>
    <w:p>
      <w:r>
        <w:t>27. In relation to this market, the Operation does not give rise to horizontal overlaps between the Parties, but affects an existing vertical relationship between them. In particular, Genetic acts as a CDMO on behalf of Recordati for the production of Budesonide for nebulization (ATC3 code R3D) under the brand "Aircort" and Lansoprazole (ATC3 code A2B) under the brand "Krovaneg".</w:t>
      </w:r>
    </w:p>
    <w:p>
      <w:r>
        <w:t>28. According to the information provided, Recordati represents the main customer of Genetic in relation to Budesonide (accounting for about [75-80%] of the sales value generated by Genetic for this product in 2019); however, in terms of total sales, this product represents only about [0-5%] of the sales generated by the Genetic Group worldwide and about [5-10%] at the national level. Recordati also purchased about [25-30%] of the sales value of Lansoprazole generated by Genetic in 2019 and, in terms of total sales, this product represents only about [0-1%] of the sales generated by the Genetic Group worldwide and about [0-1%] at the national level.</w:t>
      </w:r>
    </w:p>
    <w:p>
      <w:r>
        <w:t>c) The production and marketing of excipients</w:t>
      </w:r>
    </w:p>
    <w:p>
      <w:r>
        <w:t>29. The notified Operation finally concerns the market for the production and marketing of pharmaceutical excipients. Pharmaceutical excipients are substances, other than active ingredients, used in the production of a pharmaceutical form. The function of excipients is to serve as a vehicle for the drug, influencing its pharmaceutical characteristics, acceptability, and formulation. Generally, excipients are considered inert substances with respect to the active ingredient; however, some materials can modify the release of the active ingredient and the stability of the drug. Pharmaceutical excipients can have different chemical compositions and are based on various base substances including lactose, starch, cellulose, magnesium, stearic acid, gelatin, sucrose, talc, or sodium.</w:t>
      </w:r>
    </w:p>
    <w:p>
      <w:r>
        <w:t>30. In particular, it is believed that the market segment concerned in this case is that of the production and marketing of lactose-based excipients, to be distinguished from that of the production and marketing of other excipients. This is because, according to the practice of the European Commission, drugs based on a certain active ingredient and containing a specific excipient are not necessarily fungible with another drug based on the same active ingredient but containing a different excipient. Indeed, each excipient is chosen by the drug manufacturing company at the time of formulation selection, which in turn affects the method of administration of the drug itself. Similarly, the excipient is chosen based on its compatibility with other excipients that may be present in a drug and with the active ingredient, i.e., based on its stability. And even if there may be excipients that present a degree of stability and suitability for the chosen pharmaceutical formulation, which allow not to compromise the therapeutic functionality of the drug, it must be considered that from the demand side not all excipients can be considered equivalent, due to potential allergies or intolerances or other side effects.</w:t>
      </w:r>
    </w:p>
    <w:p>
      <w:r>
        <w:t>31. The geographical dimension of this market extends at least to the territory coinciding with the European Economic Area. However, in this specific case, it is not deemed necessary to provide a more specific definition from a geographical perspective.</w:t>
      </w:r>
    </w:p>
    <w:p>
      <w:r>
        <w:t>32. In relation to this specific market segment, the Operation also does not give rise to horizontal overlaps between the Parties, but affects an existing vertical relationship between them. In the market as defined, in fact, the German company DFE Pharma GmbH &amp; Co. KG (hereinafter, "DFE Pharma"), a Portfolio Company of CVC Funds, is active, which primarily produces lactose-based excipients. And Genetic purchases these excipients from DFE Pharma to produce its own drugs.</w:t>
      </w:r>
    </w:p>
    <w:p>
      <w:r>
        <w:t>33. In light of the information provided by the Parties, it emerges that DFE Pharma is the leading European producer of lactose-based excipients with a market share of just over [50-60%], and that Genetic purchases excipients from DFE Pharma and in 2018 such purchases amounted to less than [0-1%] of DFE Pharma's sales in the EEA in 2018. Furthermore, the Parties have indicated that, at least regarding the U.S. market, the use of lactose as an excipient by pharmaceutical companies is gradually decreasing.</w:t>
      </w:r>
    </w:p>
    <w:p>
      <w:r>
        <w:t>IV.2. The effects of the operation</w:t>
      </w:r>
    </w:p>
    <w:p>
      <w:r>
        <w:t>34. From a competitive perspective, the Operation does not result in appreciable horizontal effects in any of the relevant markets, not even in the market for the production and sale of products for benign prostatic hyperplasia, where the integration resulting from the Operation produces a negligible increase, equal to [0-1%] (both in value and in volume), of the market share held by Recordati in 2019, higher than those held in other relevant markets but in any case not significant in itself.</w:t>
      </w:r>
    </w:p>
    <w:p>
      <w:r>
        <w:t>35. As for vertical effects, it is noted that the Operation does not give rise to any significant integration either in the market for the development, production, and packaging of pharmaceutical products on behalf of third parties, nor in that of the production and marketing of lactose-based excipients, since such integration concerns products and market segments that generate a negligible or otherwise insignificant percentage of the sales generated by the Genetic Group worldwide and nationally.</w:t>
      </w:r>
    </w:p>
    <w:p>
      <w:r>
        <w:t>36. In light of the above considerations, the Operation under examination does not appear to be capable of establishing a dominant position or significantly altering the competitive conditions in any of the relevant markets mentioned.</w:t>
      </w:r>
    </w:p>
    <w:p>
      <w:r>
        <w:rPr>
          <w:b/>
        </w:rPr>
        <w:t>[Pages 13–15]</w:t>
      </w:r>
    </w:p>
    <w:p>
      <w:r>
        <w:t>BULLETIN NO. 41 OF OCTOBER 19, 2020 15</w:t>
      </w:r>
    </w:p>
    <w:p>
      <w:r>
        <w:t>CONSIDERED, therefore, that the Operation under examination does not result, pursuant to Article 6, paragraph 1, of Law No. 287/90, in the creation or strengthening of a dominant position in the relevant markets, such as to eliminate or substantially and durably reduce competition;</w:t>
      </w:r>
    </w:p>
    <w:p>
      <w:r>
        <w:t>CONSIDERED, furthermore, that the non-compete obligation and the prohibition on employee poaching described in § 13 above are directly connected and necessary to the concentration operation only within the temporal, territorial, and subject matter limits indicated in § 16 above, and that the Authority reserves the right to assess, where the conditions exist, the aforementioned non-compete obligation and prohibition on employee poaching that occur beyond the time, geographical scope, and subject matter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THE SECRETARY GENERAL THE PRESIDENT</w:t>
      </w:r>
    </w:p>
    <w:p>
      <w:r>
        <w:t>Filippo Arena Roberto Rustichelli</w:t>
      </w:r>
    </w:p>
    <w:p>
      <w:r>
        <w:t>16 BULLETIN NO. 41 OF OCTOBER 19, 2020</w:t>
      </w:r>
    </w:p>
    <w:p>
      <w:r>
        <w:t>C12322 - DWS ALTERNATIVES GLOBAL LIMITED/MEDIPASS</w:t>
      </w:r>
    </w:p>
    <w:p>
      <w:r>
        <w:t>Provision No. 28365</w:t>
      </w:r>
    </w:p>
    <w:p>
      <w:r>
        <w:t>THE COMPETITION AND MARKET AUTHORITY</w:t>
      </w:r>
    </w:p>
    <w:p>
      <w:r>
        <w:t>IN ITS MEETING of September 30, 2020;</w:t>
      </w:r>
    </w:p>
    <w:p>
      <w:r>
        <w:t>HEARD the Rapporteur, Dr. Gabriella Muscolo;</w:t>
      </w:r>
    </w:p>
    <w:p>
      <w:r>
        <w:t>HAVING REGARD to Law No. 287 of October 10, 1990;</w:t>
      </w:r>
    </w:p>
    <w:p>
      <w:r>
        <w:t>HAVING REGARD to the Presidential Decree No. 217 of April 30, 1998;</w:t>
      </w:r>
    </w:p>
    <w:p>
      <w:r>
        <w:t>HAVING REGARD to the communication from DWS Alternatives Global Limited, received on September 8, 2020;</w:t>
      </w:r>
    </w:p>
    <w:p>
      <w:r>
        <w:t>CONSIDERED the following:</w:t>
      </w:r>
    </w:p>
    <w:p>
      <w:r>
        <w:t>I. THE PARTIES</w:t>
      </w:r>
    </w:p>
    <w:p>
      <w:r>
        <w:t>1. DWS Alternatives Global Limited (hereinafter DWS) is a company under English law controlled by an asset management company (DWS Group GmbH &amp; Co. KGaA) that operates globally; in particular, DWS manages assets and offers various types of investments (hedge funds, private equity, real estate, etc.).</w:t>
      </w:r>
    </w:p>
    <w:p>
      <w:r>
        <w:t>2. DWS is part of the Deutsche Bank group, which provides financial services on a global scale.</w:t>
      </w:r>
    </w:p>
    <w:p>
      <w:r>
        <w:t>3. In 2019, the Deutsche Bank group achieved a total revenue of €37.4 billion, of which €22.0 billion and €1.1 billion were generated from sales made in the European Union and in Italy, respectively.</w:t>
      </w:r>
    </w:p>
    <w:p>
      <w:r>
        <w:t>4. Medipass S.r.l. (hereinafter MP) is an Italian company active in providing supplementary services in the healthcare sector; together with its subsidiaries, MP provides its services in Italy and also, to a lesser extent, in the United Kingdom and India. In particular, MP is active in the following three areas: the so-called clinical outsourcing, i.e., the integrated management of departments within public or private hospitals (which may include, depending on needs, the provision and maintenance of equipment and technologies as well as the availability of clinical and administrative personnel); the long-term management (8-24 years) of the technological parks of public and private hospitals, which include medium-high technology equipment (radiological devices, ultrasound machines, MRIs, CT scans, etc.); the direct management of diagnostic centers and clinics in private or accredited/conventioned arrangements with the National Health Service (specifically, MP manages three multi-specialty clinics located in Emilia Romagna and Tuscany).</w:t>
      </w:r>
    </w:p>
    <w:p>
      <w:r>
        <w:t>5. MP is currently part of the Kos group, which is in turn attributable to the company Cir S.p.A. and the fund management company F2i SGR S.p.A.</w:t>
      </w:r>
    </w:p>
    <w:p>
      <w:r>
        <w:t>6. MP and the companies it controls (Ecomedica S.p.A., El.si.da S.r.l., Medipass Healthcare Ltd, ClearMedi Healthcare Ltd, Clearview Ltd) achieved a total revenue of €79 million in 2019, of which €58 million and [31-100]* million were generated from sales made in the European Union and in Italy, respectively.</w:t>
      </w:r>
    </w:p>
    <w:p>
      <w:r>
        <w:t>II. DESCRIPTION OF THE OPERATION</w:t>
      </w:r>
    </w:p>
    <w:p>
      <w:r>
        <w:t>7. The communication under examination concerns the acquisition, by DWS and thus by the Deutsche Bank group, of control over MP, through the purchase of the entire share capital of the latter. The companies under Indian law currently controlled by MP, and thus the healthcare activities and services provided by them in India, are excluded from the scope of the operation and will be transferred to the current sole shareholder of MP (the aforementioned Kos) prior to the closing of the operation.</w:t>
      </w:r>
    </w:p>
    <w:p>
      <w:r>
        <w:t>8. The operation also includes certain purchase and supply obligations. In particular, in order to ensure the continuity of its business operations, MP has entered into a contract with the transferring Kos group for a transitional period of twelve months (renewable only once for an additional twelve months), for the provision of certain services that MP must guarantee within the public utility service it provides, which had so far always been supplied by Kos under intra-group agreements (these are services related to personnel management, equipment management, privacy consulting, and ICT services including substitute archiving services).</w:t>
      </w:r>
    </w:p>
    <w:p>
      <w:r>
        <w:t>III. QUALIFICATION OF THE OPERATION</w:t>
      </w:r>
    </w:p>
    <w:p>
      <w:r>
        <w:t>9. The communicated operation constitutes a concentration, pursuant to Article 5, paragraph 1 letter b), of Law No. 287/90, as it involves the acquisition of control over a company.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interested companies exceeded €504 million and the total revenue generated, in the last financial year at the national level, individually by at least two of the interested companies exceeded €31 million.</w:t>
      </w:r>
    </w:p>
    <w:p>
      <w:r>
        <w:t>10. The aforementioned provisions of the service provision contract can be qualified as ancillary to the communicated concentration to the extent that they contain purchase and supply obligations directly connected to the realization of the operation and necessary for it. In particular, in this case, the commitments undertaken by the Kos group benefit the acquirer and respond to the need to ensure the continuity of supply of MP for the services necessary for the conduct of the activities acquired by the acquirer; moreover, the duration of such purchase and supply obligations appears limited to a period sufficient to allow the replacement of dependency relationships with a position of autonomy in the market (in fact, as seen, this duration is a maximum of two years).</w:t>
      </w:r>
    </w:p>
    <w:p>
      <w:r>
        <w:t>* In this version, some data are omitted, as it was deemed that there were elements of confidentiality or secrecy of the information.</w:t>
      </w:r>
    </w:p>
    <w:p>
      <w:r>
        <w:t>1 See, in this regard, the Commission Communication on restrictions directly related and necessary to concentrations (O.J. EU 2005/C-56/03 of March 5, 2005).</w:t>
      </w:r>
    </w:p>
    <w:p>
      <w:r>
        <w:rPr>
          <w:b/>
        </w:rPr>
        <w:t>[Pages 16–18]</w:t>
      </w:r>
    </w:p>
    <w:p>
      <w:r>
        <w:t>18 BULLETIN NO. 41 OF OCTOBER 19, 2020</w:t>
      </w:r>
    </w:p>
    <w:p>
      <w:r>
        <w:t>IV. ASSESSMENT OF THE CONCENTRATION</w:t>
      </w:r>
    </w:p>
    <w:p>
      <w:r>
        <w:t>The product and geographical market</w:t>
      </w:r>
    </w:p>
    <w:p>
      <w:r>
        <w:t>11. From a commodity perspective, the sectors affected by the operation under examination are those in which the company MP, subject to acquisition, operates; on one hand, the outsourcing management of hospital departments and the long-term outsourcing management of hospital technology parks; on the other hand, the direct provision of healthcare services both in hospital and outpatient settings.</w:t>
      </w:r>
    </w:p>
    <w:p>
      <w:r>
        <w:t>12. The provision of outsourcing services typically consists of supplying public or private healthcare facilities with technical equipment for diagnostics (for example, to perform CT scans, MRIs, ultrasounds, X-rays, etc.) as well as administrative, technical, medical, and paramedical personnel (for example, for managing waiting lists, interpreting reports, operating facilities, etc.)2.</w:t>
      </w:r>
    </w:p>
    <w:p>
      <w:r>
        <w:t>13. Regarding the direct provision of healthcare services, it is necessary to distinguish between outpatient healthcare services and those of a hospital nature, due to their different characteristics and modes of delivery3. In particular, outpatient specialist care is directed at patients not hospitalized in the relevant facilities, unlike hospital care, which involves the provision of services even in an inpatient setting.</w:t>
      </w:r>
    </w:p>
    <w:p>
      <w:r>
        <w:t>14. Furthermore, outpatient healthcare services, as well as hospital services, can be provided either by public facilities within the National Health Service (Ssn) or by private facilities and private professionals; the latter, in turn, can operate either under a contract with the Ssn or outside of such a contractual regime. Regarding demand, patients who go to a public hospital or even to a contracted private center pay only the so-called health ticket - the amount of which varies based on the requested service, income, and the region in which the facility is located - with the remainder covered by the Ssn according to rates established at the regional level. Conversely, patients who go to non-contracted private centers bear the entire cost of the requested services. Consequently, as in the outpatient case, the two modes of acquiring hospital healthcare services, through the Ssn (via public or contracted private facilities) or in a private capacity, could identify distinct areas.</w:t>
      </w:r>
    </w:p>
    <w:p>
      <w:r>
        <w:t>15. From a geographical relevance perspective, both the market for outpatient healthcare services and that for hospital services present local dimensions, particularly regional (in this case, Emilia Romagna and Tuscany), considering the proximity constraint with the place of care that characterizes demand needs. Regarding outsourcing services provided to healthcare facilities, the geographical relevance can be defined as national, given the possibility for an operator to offer its services throughout the territory, as evidenced by MP's own activity (which serves healthcare facilities located in various Italian regions).</w:t>
      </w:r>
    </w:p>
    <w:p>
      <w:r>
        <w:t>2 See, for example, C10607 - KOS/EL.SI.DA. / GIORDANI-IMAGING, Decision No. 21265 in Bulletin No. 24/2010.</w:t>
      </w:r>
    </w:p>
    <w:p>
      <w:r>
        <w:t>3 See C11953 - HUMANITAS / PRESIDIO SANITARIO GRADENIGO, Decision No. 25067 in Bulletin No. 34/2014.</w:t>
      </w:r>
    </w:p>
    <w:p>
      <w:r>
        <w:t>BULLETIN NO. 41 OF OCTOBER 19, 2020 19</w:t>
      </w:r>
    </w:p>
    <w:p>
      <w:r>
        <w:t>16. In any case, in this instance, given the absence of horizontal overlaps and vertical relationships with the activities of the acquiring group, it is not necessary to arrive at an exact delineation of the commodity and geographical relevance of the markets affected by the operation.</w:t>
      </w:r>
    </w:p>
    <w:p>
      <w:r>
        <w:t>Effects of the operation</w:t>
      </w:r>
    </w:p>
    <w:p>
      <w:r>
        <w:t>17. As stated, the acquiring Deutsche Bank group is not present in any of the markets in which MP operates, nor in upstream or downstream markets.</w:t>
      </w:r>
    </w:p>
    <w:p>
      <w:r>
        <w:t>18. The operation under examination, therefore, will not result in horizontal overlaps or vertical relationships between the Parties, involving only the replacement of one operator with another. Moreover, MP holds market shares below 5% even considering the regional realities in which it operates.</w:t>
      </w:r>
    </w:p>
    <w:p>
      <w:r>
        <w:t>19. In light of the above considerations, the concentration under examination does not appear to be capable of significantly altering competitive dynamics in the relevant markets.</w:t>
      </w:r>
    </w:p>
    <w:p>
      <w:r>
        <w:t>CONSIDERED, therefore, that the operation under examination does not result, pursuant to Article 6, paragraph 1, of Law No. 287/90, in the creation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interested companies and the Minister of Economic Development. This decision will be published in the Bulletin of the Competition and Market Authority.</w:t>
      </w:r>
    </w:p>
    <w:p>
      <w:r>
        <w:t>THE SECRETARY GENERAL THE PRESIDENT</w:t>
      </w:r>
    </w:p>
    <w:p>
      <w:r>
        <w:t>Filippo Arena Roberto Rustichelli</w:t>
      </w:r>
    </w:p>
    <w:p>
      <w:r>
        <w:t>20 BULLETIN NO. 41 OF OCTOBER 19, 2020</w:t>
      </w:r>
    </w:p>
    <w:p>
      <w:r>
        <w:t>C12323 - UNIEURO/VENTI BRANCHES OF BUSINESS OF IPER MONTEBELLO</w:t>
      </w:r>
    </w:p>
    <w:p>
      <w:r>
        <w:t>Decision No. 28366</w:t>
      </w:r>
    </w:p>
    <w:p>
      <w:r>
        <w:t>THE COMPETITION AND MARKET AUTHORITY</w:t>
      </w:r>
    </w:p>
    <w:p>
      <w:r>
        <w:t>IN ITS MEETING of September 30, 2020;</w:t>
      </w:r>
    </w:p>
    <w:p>
      <w:r>
        <w:t>HEARD the Rapporteur Professor Michele Ainis;</w:t>
      </w:r>
    </w:p>
    <w:p>
      <w:r>
        <w:t>VIEWED Law No. 287 of October 10, 1990;</w:t>
      </w:r>
    </w:p>
    <w:p>
      <w:r>
        <w:t>VIEWED the Presidential Decree No. 217 of April 30, 1998;</w:t>
      </w:r>
    </w:p>
    <w:p>
      <w:r>
        <w:t>VIEWED the act of the company Unieuro S.p.A., received on September 15, 2020;</w:t>
      </w:r>
    </w:p>
    <w:p>
      <w:r>
        <w:t>CONSIDERED the following:</w:t>
      </w:r>
    </w:p>
    <w:p>
      <w:r>
        <w:t>I. THE PARTIES</w:t>
      </w:r>
    </w:p>
    <w:p>
      <w:r>
        <w:t>1. Unieuro S.p.A. (hereinafter, Unieuro) is a company primarily active in the wholesale and retail distribution of household appliances and consumer electronics (televisions, screens, projectors, video recorders, audiovisual products, computers, scanners, hi-fi, mobile phones, video games, etc.) and, marginally, in the distribution of other products, such as household goods, lighting products, etc. The company markets these products through a sales network structured in the following channels: i) retail, through points of sale directly managed by the company, located in various Italian provinces and at major public transport hubs; ii) wholesale, through affiliated points of sale; iii) online through the website www.unieuro.it. According to the information provided, with the exit of the majority shareholder Rhone Capital II L.P. from the share capital of Unieuro S.p.A., the latter is no longer subject to the determining influence of any company and, being listed on the STAR segment of the Italian Stock Exchange's Electronic Market, it is a public company. Currently, the main shareholders of Unieuro hold the following capital shares: 1) Dixons Darphone PLC which, through Alfa S.r.l., holds a 7.18% share; 2) Amundi Asset Management which, through Amundi SGR S.p.A. and Amundi Asset Management, holds a 5.016% share; 3) the Silvestrini family, which holds a total share of 5.6%; 4) some managers of the company who collectively hold about 2%. The remaining share capital is floating on the market. In 2019, Unieuro achieved a turnover of approximately [2-3]* billion euros, almost entirely attributable to sales in Italy.</w:t>
      </w:r>
    </w:p>
    <w:p>
      <w:r>
        <w:t>2. The object of the notified operation is 20 points of sale active in the retail sale of consumer electronics products, owned by Iper Montebello S.p.A. (hereinafter Iper) and managed by Universo S.r.l. Universo S.r.l. and Iper are wholly owned subsidiaries of Finiper S.p.A., whose share capital is held, for 96.1%, by Canova 2007 S.p.A.</w:t>
      </w:r>
    </w:p>
    <w:p>
      <w:r>
        <w:t>* In this version, some data are omitted, as elements of confidentiality or secrecy of the information were deemed to exist.</w:t>
      </w:r>
    </w:p>
    <w:p>
      <w:r>
        <w:rPr>
          <w:b/>
        </w:rPr>
        <w:t>[Pages 19–21]</w:t>
      </w:r>
    </w:p>
    <w:p>
      <w:r>
        <w:t>BULLETIN NO. 41 OF OCTOBER 19, 2020 21</w:t>
      </w:r>
    </w:p>
    <w:p>
      <w:r>
        <w:t>In 2019, the revenue generated by the 20 points of sale amounted to [31-100] million euros, entirely attributable to sales in Italy.</w:t>
      </w:r>
    </w:p>
    <w:p>
      <w:r>
        <w:t>II. DESCRIPTION OF THE OPERATION</w:t>
      </w:r>
    </w:p>
    <w:p>
      <w:r>
        <w:t>3. The notified operation involves the management of 20 points of sale owned by Iper and currently managed by Universo S.r.l. being entrusted to Unieuro S.p.A. These are corner-type points of sale located within hypermarkets under the brand "Iper, la grande i," situated in the provinces of Treviso, Verona, Milan, Monza and Brianza, Varese, Como, Bergamo, Cremona, Brescia, Pavia, Alessandria, and Forlì-Cesena.</w:t>
      </w:r>
    </w:p>
    <w:p>
      <w:r>
        <w:t>4. The terms of the operation are defined by a Framework Agreement and a series of "Department Management Agreements," one for each point of sale subject to the notified operation, entered into by Unieuro S.p.A. and Universo S.r.l. following the Framework Agreement. In particular, the Framework Agreement governs and regulates the relationships between the parties regarding: the general terms and conditions for the management of the 20 points of sale and, consequently, the individual management contracts to be entered into subsequently; the dates on which each point of sale will be entrusted; the fees that Unieuro must pay to Universo in relation to each management contract; the provisions concerning employees; etc.</w:t>
      </w:r>
    </w:p>
    <w:p>
      <w:r>
        <w:t>5. The individual "Department Management Agreements" for the 20 points of sale, all with the same text, provide:</w:t>
        <w:br/>
        <w:t>- in Article 2.1 ("Subject of the Agreement"), that Unieuro has "the right to manage the Corner at the Hypermarket, starting from the Effective Date [...] and, therefore, to provide for the commercial management of the Corner in order to market, through its own personnel (hereinafter, the "Unieuro Personnel"), the Products, in compliance with current regulations and under the Unieuro Brand;</w:t>
        <w:br/>
        <w:t>- that Unieuro manages the points of sale with its own employees, providing in Article 5.2 that it "assumes the qualification, for all intents and purposes, of 'employer' towards the Unieuro Personnel..., exercising... exclusive control over the same Unieuro Personnel employed in the Corner in accordance with current regulations";</w:t>
        <w:br/>
        <w:t>- in Article 3.1 that Unieuro "undertakes to set up, at its own care and expense, the Corner based on a structural project suitable for the marketing of the type of Products, which must be prepared" by Unieuro itself and to "manage the commercial activity within the Corner, taking care of the procurement of the Products and the further activity up to the offer for sale to the final customer, through the Unieuro Personnel";</w:t>
        <w:br/>
        <w:t>- in Article 3.2 that "the Products are delivered to the public consumers by, and in any case under the direct control of, the Unieuro Personnel";</w:t>
        <w:br/>
        <w:t>- in Article 3.3 that Unieuro "has the necessary autonomy in organizing the various procedures necessary for the operation of the Corner, even if differentiated from the uniform criteria adopted in the Hypermarket";</w:t>
        <w:br/>
        <w:t>1 According to the information provided, of the 20 points of sale subject to the operation, two are already directly managed by Unieuro by virtue of two "Department Management Agreements" entered into by Unieuro and Universo on March 27 and April 1, 2019. These are the points of sale located in San Martino Buon Albergo (VR) and Savignano sul Rubicone (FC), and the related operation was not notified to the Authority as - at the time of the signing of the aforementioned two "Department Management Agreements" - their aggregate revenue was below the threshold of 30 million euros.</w:t>
      </w:r>
    </w:p>
    <w:p>
      <w:r>
        <w:t>22 BULLETIN NO. 41 OF OCTOBER 19, 2020</w:t>
      </w:r>
    </w:p>
    <w:p>
      <w:r>
        <w:t>- in Article 6 that Unieuro establishes that "the assortment of Products at the Corner is... according to its own know-how and commercial savoir-faire," as well as "the selling price to the customer";</w:t>
        <w:br/>
        <w:t>- in Article 7 that Unieuro "is directly responsible towards Universo and third parties and undertakes to indemnify and hold Universo harmless from any damage, burden, and/or liability arising from the management of the Corner."</w:t>
      </w:r>
    </w:p>
    <w:p>
      <w:r>
        <w:t>6. The aforementioned agreements also provide for the possibility for Universo to change the location of the department (Article 2.2), to approve the corner project prepared by Unieuro in terms of compliance and compatibility with the overall operation of the hypermarket (Article 3.1.1), to "issue the commercial document using the telematic cash registers owned by Unieuro and installed by it at the Corner" during the sale of the products (Article 3.2), as well as the obligation to "provide [Unieuro] with the cleaning service for the Corner, as well as surveillance and guarding" (Article 3.8); to "provide [Unieuro] with the video surveillance service" (Article 3.9).</w:t>
      </w:r>
    </w:p>
    <w:p>
      <w:r>
        <w:t>7. The individual "Department Management Agreements" must be entered into by October 30, 2020, and expire on December 31, 2022, but are automatically renewed year by year, unless terminated by one of the parties.</w:t>
      </w:r>
    </w:p>
    <w:p>
      <w:r>
        <w:t>III. QUALIFICATION OF THE OPERATION</w:t>
      </w:r>
    </w:p>
    <w:p>
      <w:r>
        <w:t>8. The notified operation, as it involves the acquisition of control over parts of a business, constitutes a concentration pursuant to Article 5, paragraph 1, letter b), of Law No. 287/90. In this regard, it is noted that based on the provisions of the Framework Agreement and the individual "Department Management Agreements," Unieuro will manage the 20 points of sale subject to the notified operation in complete autonomy, using its own resources and assuming the commercial risk.</w:t>
      </w:r>
    </w:p>
    <w:p>
      <w:r>
        <w:t>9. The operation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was over 504 million euros and the revenue generated individually at the national level by at least two of the companies involved was over 31 million euros.</w:t>
      </w:r>
    </w:p>
    <w:p>
      <w:r>
        <w:t>IV. EVALUATION OF THE CONCENTRATION</w:t>
      </w:r>
    </w:p>
    <w:p>
      <w:r>
        <w:t>Relevant markets of distribution</w:t>
      </w:r>
    </w:p>
    <w:p>
      <w:r>
        <w:t>10. From a product perspective, considering the activity carried out by the 20 points of sale subject to the notified operation, the market for the retail distribution of household appliances and consumer electronics is involved, which can be conducted both through sales in traditional channels and through online sales.</w:t>
      </w:r>
    </w:p>
    <w:p>
      <w:r>
        <w:t>2 This is in implementation of what is provided for in the Framework Agreement according to which the products to be marketed within each point of sale "will be purchased directly by Unieuro and will remain the property of the same until the moment of the transfer of their ownership to Universo, which will occur at the time of purchase by the customers of the department... it will be Universo that will proceed to issue the commercial document using the telematic cash registers owned by Unieuro and installed by it at the relevant department" (Article 9.1).</w:t>
      </w:r>
    </w:p>
    <w:p>
      <w:r>
        <w:t>3 See, among others, decision No. 27561 of February 13, 2019, case C12217-Unieuro/Business branch of Pistone, Bulletin 9/2019.</w:t>
      </w:r>
    </w:p>
    <w:p>
      <w:r>
        <w:t>BULLETIN NO. 41 OF OCTOBER 19, 2020 23</w:t>
      </w:r>
    </w:p>
    <w:p>
      <w:r>
        <w:t>11. From a geographical perspective, considering consumer purchasing behaviors and the importance they attribute to the proximity of points of sale, according to the established practice of the Authority for the market described above, a local area has so far been identified, confined to the boundaries of the isochrone defined by a distance of approximately 30 minutes of travel from the points of sale involved in the operation, based on the evidence that the offline distribution channel represented the predominant mode of purchase.</w:t>
      </w:r>
    </w:p>
    <w:p>
      <w:r>
        <w:t>12. In this regard, Unieuro has emphasized the growth of online sales that has occurred in recent years and, in particular, in the last months characterized by the health emergency due to Covid-19. In particular, among the products sold online, those in the IT and electronics sector have recorded a growth rate of 18%, accounting for approximately 24% of the total purchases of such types of products. Given the ongoing dynamics, the Party argues that the relevant geographical area for the market identified above could be extended to the entire national territory.</w:t>
      </w:r>
    </w:p>
    <w:p>
      <w:r>
        <w:t>13. In this specific case, it is believed that the exact delimitation of the market can be left open as, even assuming the most restrictive definition confined to the boundaries of the isochrone defined by a distance of approximately 30 minutes of travel from the points of sale involved, the operation would not be suitable to substantially change the competitive conditions of the relevant markets.</w:t>
      </w:r>
    </w:p>
    <w:p>
      <w:r>
        <w:t>Effects of the operation</w:t>
      </w:r>
    </w:p>
    <w:p>
      <w:r>
        <w:t>14. The points of sale subject to this operation are active in the provinces of Bologna, Verona, Treviso, Milan, Monza Brianza, Varese, Como, Bergamo, Brescia, Pavia, Cremona, and Alessandria. More precisely, 20 relevant markets have been identified, considering, as mentioned, the area defined based on isochrones of approximately 30 minutes from the point of sale subject to management. As shown in Table 1, following the operation, Unieuro will increase its presence by one point of sale in each identified relevant market.</w:t>
      </w:r>
    </w:p>
    <w:p>
      <w:r>
        <w:t>4 See, among others, decision No. 27561 of February 13, 2019, cited.</w:t>
      </w:r>
    </w:p>
    <w:p>
      <w:r>
        <w:t>5 In fact, as shown in the aforementioned decision No. 27561, online sales did not exceed 20% of the total sales made in Italy in 2017, and this percentage was not deemed sufficient to consider the two distribution channels (online and offline) as a single national market.</w:t>
      </w:r>
    </w:p>
    <w:p>
      <w:r>
        <w:t>6 Source: GFK surveys.</w:t>
      </w:r>
    </w:p>
    <w:p>
      <w:r>
        <w:t>7 See the study "B2C eCommerce in Italy" prepared by Netcomm in collaboration with the Politecnico di Milano.</w:t>
      </w:r>
    </w:p>
    <w:p>
      <w:r>
        <w:t>8 See Digital Innovation Observatory "B2C eCommerce: the market grows but so does the value?", www.osservatori.net.</w:t>
      </w:r>
    </w:p>
    <w:p>
      <w:r>
        <w:rPr>
          <w:b/>
        </w:rPr>
        <w:t>[Pages 22–24]</w:t>
      </w:r>
    </w:p>
    <w:p>
      <w:r>
        <w:t>BULLETIN NO. 41 OF OCTOBER 19, 2020</w:t>
      </w:r>
    </w:p>
    <w:p>
      <w:r>
        <w:t>Tab. 1: Number of retail outlets involved in the operation by isochrone</w:t>
        <w:br/>
        <w:t>of which retail outlets</w:t>
        <w:br/>
        <w:t>of which affiliated to</w:t>
        <w:br/>
        <w:t>Isochrones 30 minutes9 Post-merger subject</w:t>
        <w:br/>
        <w:t>Unieuro</w:t>
        <w:br/>
        <w:t>of the operation</w:t>
        <w:br/>
        <w:t>San Martino Buon Albergo</w:t>
        <w:br/>
        <w:t>8 1 1</w:t>
        <w:br/>
        <w:t>(VR)</w:t>
        <w:br/>
        <w:t>Savignano sul Rubicone</w:t>
        <w:br/>
        <w:t>10 6 1</w:t>
        <w:br/>
        <w:t>(BO)</w:t>
        <w:br/>
        <w:t>Castel Franco Veneto (TV) 10 3 1</w:t>
        <w:br/>
        <w:t>Rozzano (MI) 7 2 1</w:t>
        <w:br/>
        <w:t>Arese (MI) 4 n.a. 1</w:t>
        <w:br/>
        <w:t>Vittuone (MI) 1 n.a. 1</w:t>
        <w:br/>
        <w:t>Magenta (MI) 2 n.a. 1</w:t>
        <w:br/>
        <w:t>Busnago (MI) 2 1 1</w:t>
        <w:br/>
        <w:t>Monza (MB) 5 1 1</w:t>
        <w:br/>
        <w:t>Solbiate Olona (VA) 10 1 1</w:t>
        <w:br/>
        <w:t>Varese 3 n.a. 1</w:t>
        <w:br/>
        <w:t>Grandate (CO) 4 2 1</w:t>
        <w:br/>
        <w:t>Seriate (BG) 1 n.a. 1</w:t>
        <w:br/>
        <w:t>Brembate (BG) 2 n.a. 1</w:t>
        <w:br/>
        <w:t>Orio al Serio (BG) 3 n.a. 1</w:t>
        <w:br/>
        <w:t>Gadesco Pieve Delmona</w:t>
        <w:br/>
        <w:t>2 n.a. 1</w:t>
        <w:br/>
        <w:t>(CR)</w:t>
        <w:br/>
        <w:t>Lonato (BS) 5 n.a. 1</w:t>
        <w:br/>
        <w:t>Montebello della Battaglia</w:t>
        <w:br/>
        <w:t>2 n.a. 1</w:t>
        <w:br/>
        <w:t>(PV)</w:t>
        <w:br/>
        <w:t>Tortona (AL) 1 n.a. 1</w:t>
        <w:br/>
        <w:t>Serravalle Scrivia (AL) 2 n.a. 1</w:t>
        <w:br/>
        <w:t>15. Based on the data provided by the Party, the pre and post-concentration shares attributable to Unieuro are represented in Tab. 2, from which it appears that in none of the 20 relevant local areas are there significant overlaps.</w:t>
        <w:br/>
        <w:t>9 Except for the retail outlet in Serravalle Scrivia (AL), for which the isochrone was calculated on 50 minutes, as it is located within a shopping park with high foot traffic that attracts visitors from afar.</w:t>
      </w:r>
    </w:p>
    <w:p>
      <w:r>
        <w:t>BULLETIN NO. 41 OF OCTOBER 19, 2020 25</w:t>
      </w:r>
    </w:p>
    <w:p>
      <w:r>
        <w:t>Tab. 2: Market shares resulting from the operation by isochrone</w:t>
        <w:br/>
        <w:t>of which retail outlets</w:t>
        <w:br/>
        <w:t>of which affiliated to</w:t>
        <w:br/>
        <w:t>Isochrones at 30 minutes Post-merger subject</w:t>
        <w:br/>
        <w:t>Unieuro</w:t>
        <w:br/>
        <w:t>of the operation</w:t>
        <w:br/>
        <w:t>San Martino Buon Albergo</w:t>
        <w:br/>
        <w:t>[20-25%] [less than 1%] [1-5%]</w:t>
        <w:br/>
        <w:t>(VR)</w:t>
        <w:br/>
        <w:t>Savignano sul Rubicone (BO) [25-30%] [less than 1%] [5-10%]</w:t>
        <w:br/>
        <w:t>Castel Franco Veneto (TV) [30-35%] [1-5%] [1-5%]</w:t>
        <w:br/>
        <w:t>Rozzano (MI) [10-15%] [less than 1%] [1-5%]</w:t>
        <w:br/>
        <w:t>Arese (MI) [5-10%] n.a. [1-5%]</w:t>
        <w:br/>
        <w:t>Vittuone (MI) [5-10%] n.a. [5-10%]</w:t>
        <w:br/>
        <w:t>Magenta (MI) [10-15%] n.a. [1-5%]</w:t>
        <w:br/>
        <w:t>Busnago (MI) [25-30%] [10-15%] [10-15%]</w:t>
        <w:br/>
        <w:t>Monza (MB) [5-10%] [less than 1%] [1-5%]</w:t>
        <w:br/>
        <w:t>Solbiate Olona (VA) [20-25%] [1-5%] [1-5%]</w:t>
        <w:br/>
        <w:t>Varese [25-30%] n.a. [5-10%]</w:t>
        <w:br/>
        <w:t>Grandate (CO) [15-20%] [5-10%] [5-10%]</w:t>
        <w:br/>
        <w:t>Seriate (BG) [5-10%] n.a. [5-10%]</w:t>
        <w:br/>
        <w:t>Brembate (BG) [5-10%] n.a. [1-5%]</w:t>
        <w:br/>
        <w:t>Orio al Serio (BG) [20-25%] n.a. [1-5%]</w:t>
        <w:br/>
        <w:t>Gadesco Pieve Delmona (CR) [15-20%] n.a. [1-5%]</w:t>
        <w:br/>
        <w:t>Lonato (BS) [15-20%] n.a. [1-5%]</w:t>
        <w:br/>
        <w:t>Montebello della Battaglia</w:t>
        <w:br/>
        <w:t>[25-30%] n.a. [10-15%]</w:t>
        <w:br/>
        <w:t>(PV)</w:t>
        <w:br/>
        <w:t>Tortona (AL) [5-10%] n.a. [5-10%]</w:t>
        <w:br/>
        <w:t>Serravalle Scrivia (AL) [20-25%] n.a. [5-10%]</w:t>
        <w:br/>
        <w:t>16. In the market where Unieuro's share is highest following the concentration, namely in Castel Franco Veneto, the Party has reported that the HHI index values are as follows: pre-merger 986; post-merger 1202, with a delta of 216.</w:t>
        <w:br/>
        <w:t>17. Even adopting more conservative estimates than those provided by the Party regarding the data used for the valuation of the market related to each isochrone, the operation does not raise competitive concerns considering that it involves only one retail outlet for each local area, having the characteristics of a corner located within supermarkets, as well as the presence, in each isochrone, of retail outlets of other qualified chains with established brands in the relevant sector.</w:t>
      </w:r>
    </w:p>
    <w:p>
      <w:r>
        <w:t>26 BULLETIN NO. 41 OF OCTOBER 19, 2020</w:t>
      </w:r>
    </w:p>
    <w:p>
      <w:r>
        <w:t>18. For the purposes of evaluating the operation in question, it is relevant that in the retail distribution of household appliances and consumer electronics, several specialist chains operate, with business models similar to that of Unieuro and a significant presence of the same in the above-identified local areas, including Mediaworld, Trony, Euronics, Expert, GRE (Trony and Sinergy brands).</w:t>
        <w:br/>
        <w:t>19. In light of the above, it is believed that in the relevant markets the operation will not have adverse effects on competition, not resulting in substantial changes in the competitive structure thereof.</w:t>
      </w:r>
    </w:p>
    <w:p>
      <w:r>
        <w:t>CONSIDERED, therefore, that the operation under examination does not result, pursuant to Article 6, paragraph 1, of Law No. 287/90, in the creation or strengthening of a dominant position in the relevant markets,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THE SECRETARY GENERAL THE PRESIDENT</w:t>
        <w:br/>
        <w:t>Filippo Arena Roberto Rustichelli</w:t>
      </w:r>
    </w:p>
    <w:p>
      <w:r>
        <w:rPr>
          <w:b/>
        </w:rPr>
        <w:t>[Pages 25–27]</w:t>
      </w:r>
    </w:p>
    <w:p>
      <w:r>
        <w:t>BULLETIN NO. 41 OF OCTOBER 19, 2020 27</w:t>
      </w:r>
    </w:p>
    <w:p>
      <w:r>
        <w:t>ACTIVITY OF REPORTING AND CONSULTATION</w:t>
      </w:r>
    </w:p>
    <w:p>
      <w:r>
        <w:t>AS1701 – MUNICIPALITY OF PIOMBINO (LI) - MARITIME STATE CONCESSIONS FOR TOURIST AND RECREATIONAL PURPOSES</w:t>
      </w:r>
    </w:p>
    <w:p>
      <w:r>
        <w:t>Rome, August 4, 2020</w:t>
      </w:r>
    </w:p>
    <w:p>
      <w:r>
        <w:t>Municipality of Piombino</w:t>
      </w:r>
    </w:p>
    <w:p>
      <w:r>
        <w:t>The Italian Competition Authority, in its meeting of July 28, 2020, resolved to express its opinion, pursuant to Article 21-bis of Law No. 287 of October 10, 1990, regarding the managerial determination of May 21, 2020, No. 408, concerning the "maritime state concessions for tourist and recreational purposes. Law No. 30/12/2018, No. 145, Article 1, paragraphs 682, 683, 684. Determination in execution of legislative provisions for the extension of the deadline to December 31, 2033."</w:t>
      </w:r>
    </w:p>
    <w:p>
      <w:r>
        <w:t>In particular, the Municipality of Piombino, through the aforementioned determination, in consideration of what is provided for in Article 1, paragraphs 682, 683, and 684 of Law No. 145/2018, where it specifically established a new expiration date for maritime state concessions for tourist and recreational purposes as of December 31, 2033, as well as by virtue of what is dictated by Article 182, paragraph 2, of Decree-Law No. 34 of May 19, 2020, as converted by Law No. 77 of July 17, 2020, where it provided for the continuation of activities in favor of existing concessionaires of maritime state assets, resolved to activate the procedure for the extension of the duration of maritime state concessions for tourist and recreational purposes in favor of existing concessionaires.</w:t>
      </w:r>
    </w:p>
    <w:p>
      <w:r>
        <w:t>In general terms, the Authority recalls that in matters concerning the granting of the use of public assets (falling within the state or local authorities' unavailable assets), the identification of the private concessionaire must always occur through the conduct, by the Public Administration, of public evidence procedures.</w:t>
      </w:r>
    </w:p>
    <w:p>
      <w: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a national regulation that allows for the automatic extension of existing public state concessions for tourist-recreational activities must be considered in violation of these provisions.</w:t>
      </w:r>
    </w:p>
    <w:p>
      <w:r>
        <w:t>Furthermore, Directive 2006/123/EC (the so-called Services Directive) provides in Article 12 that "where the number of available authorizations for a given activity is limited due to the scarcity of natural resources or usable technical capacities, Member States shall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 limited duration and may not provide for an automatic renewal procedure nor grant other advantages to the outgoing provider or to persons who have particular ties with that provider" (paragraph 2).</w:t>
      </w:r>
    </w:p>
    <w:p>
      <w:r>
        <w:t>As is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w:t>
      </w:r>
    </w:p>
    <w:p>
      <w:r>
        <w:t>In this sense, the Authority, in previous advocacy interventions, has repeatedly expressed the need to proceed with the granting of concessions – including those concerning maritime state assets for tourist-recreational purposes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granting of concessions must still occur through transparent and competitive procedures, in order to mitigate the distorting effects of competition associated with the privileged position attributed to the concessionaire.</w:t>
      </w:r>
    </w:p>
    <w:p>
      <w:r>
        <w:t>With specific reference to the procedures and measures for the extension of existing concessions, the Authority has repeatedly emphasized that it is in the market's interest to carefully balance the short-term benefits and the possible costs that could manifest over a longer time horizon. The granting of extensions in favor of previous concessionaires, in fact, further postpones competitive confrontation for the market, thus preventing the realization of the benefits that would derive from periodic competition for the award through public evidence procedures. Therefore, any extensions of the grants should not exceed the actual needs of the administrations, to allow for the efficient allocation of public resources through competitive procedures as soon as possible.</w:t>
      </w:r>
    </w:p>
    <w:p>
      <w:r>
        <w:t>Consequently, the Authority believes that, for the reasons outlined above, this Municipality should have disapplied the legislation underlying managerial determination No. 408/2020 due to its contradiction with the principles and EU regulations mentioned above. The provisions relating to the extension of maritime state concessions for tourist-recreational purposes contained in the administrative measure, indeed, integrate specific violations of competitive principles to the extent that they prevent the competitive confrontation that should be guaranteed in the awarding of services affecting scarce state resources, in a market context where competitive dynamics are already particularly weakened due to the long duration of the existing concessions.</w:t>
      </w:r>
    </w:p>
    <w:p>
      <w:r>
        <w:t>In conclusion, the managerial determination in question is in contrast with Articles 49 and 56 of the TFEU, as it appears likely to unjustifiably limit the freedom of establishment and the free movement of services in the internal market, as well as with the EU regulatory provisions concerning public procurement, particularly with reference to Article 12 of the so-called Services Directive.</w:t>
      </w:r>
    </w:p>
    <w:p>
      <w:r>
        <w:t>It is also recalled that the Court of Justice of the European Union, in establishing that the granting of maritime state concessions for tourist-recreational use, which concern scarce natural resources, must necessarily take place through a selection procedure among potential candidates in compliance with all guarantees of impartiality and transparency, as well as adequate publicity, has highlighted that a national regulation that provides for an automatic extension by law of the expiration date of such concessions amounts to automatic renewal in contrast with the provisions of Article 12, paragraph 2, of Directive 2006/123/EC.</w:t>
      </w:r>
    </w:p>
    <w:p>
      <w:r>
        <w:t>The Authority's report of July 1, 2020, pursuant to Article 21 of Law No. 287/1990, AS1684 – Observations regarding the provisions contained in the Relaunch Decree, in AGCM Bulletin No. 28/2020, should also be referenced. Furthermore, see reports AS135 - Extensions of highway concessions, in Bulletin No. 19/98; AS491 - Provisions on the granting of state assets concessions and on the direct exercise of administrative functions concerning maritime state assets, in Bulletin No. 46/2008; AS1114 - Concession regime present in the port of Livorno, in Bulletin No. 12/2014; AS1137 – Proposals for competitive reform for the annual law on the market and competition for the year 2014, in Bulletin No. 27/2014.</w:t>
      </w:r>
    </w:p>
    <w:p>
      <w:r>
        <w:rPr>
          <w:b/>
        </w:rPr>
        <w:t>[Pages 28–30]</w:t>
      </w:r>
    </w:p>
    <w:p>
      <w:r>
        <w:t>30 BULLETIN NO. 41 OF OCTOBER 19, 2020</w:t>
      </w:r>
    </w:p>
    <w:p>
      <w:r>
        <w:t>Pursuant to Article 21-bis, paragraph 2, of Law No. 287/90, the Municipality of Piombino must communicate to the Authority, within sixty days from the receipt of this opinion, the initiatives adopted to remove the aforementioned competition violations. If, within the aforementioned period, such initiatives do not comply with the competition principles expressed above, the Authority may file an appeal within the following thirty days.</w:t>
      </w:r>
    </w:p>
    <w:p>
      <w:r>
        <w:t>THE PRESIDENT</w:t>
        <w:br/>
        <w:t>Roberto Rustichelli</w:t>
        <w:br/>
        <w:t>____________________________________________________________________</w:t>
      </w:r>
    </w:p>
    <w:p>
      <w:r>
        <w:t>Communication regarding the failure of the Municipality of Piombino to comply with the reasoned opinion expressed by the Authority, pursuant to Article 21-bis of Law No. 287/1990, against the managerial determination No. 408 of May 21, 2020, concerning the extension of maritime state concessions for tourism and recreational purposes, in execution of the legislative provisions for the extension of the deadline to December 31, 2033, pursuant to Law No. 145 of December 30, 2018, Article 1, paragraphs 682, 683, and 684.</w:t>
      </w:r>
    </w:p>
    <w:p>
      <w:r>
        <w:t>In its meeting of July 28, 2020, the Authority decided to send a reasoned opinion pursuant to Article 21-bis of Law No. 287 of October 10, 1990, published at the end of this communication, regarding the content of managerial determination No. 408 of May 21, 2020, adopted by the Municipality of Piombino.</w:t>
      </w:r>
    </w:p>
    <w:p>
      <w:r>
        <w:t>In particular, with the managerial determination in question, the Municipality of Piombino ordered the automatic extension of all maritime state concessions for tourism and recreational purposes until December 31, 2033, implementing a national regulation (Law No. 145 of December 30, 2018, Article 1, paragraphs 682, 683, and 684) which, being in contrast with EU law, particularly with Articles 49 and 56 TFEU and with the principles of competition and public procurement, should have been disapplied.</w:t>
      </w:r>
    </w:p>
    <w:p>
      <w:r>
        <w:t>Following the receipt of said reasoned opinion, the Municipality of Piombino, with communication dated September 8, 2020, informed the Authority that it considers its actions legitimate, mainly because the extension would concern a limited number of maritime beach concessions for tourism and recreational purposes compared to those currently assigned, and the measure would be based on imperative reasons of general interest, as well as the need to protect the legitimate expectations of current concessionaires, as these concessions were awarded before the adoption of Directive 2006/123/EC (the so-called "Services Directive") and its transposition into Italian law.</w:t>
      </w:r>
    </w:p>
    <w:p>
      <w:r>
        <w:t>Therefore, having noted the failure of the administration to comply with the aforementioned reasoned opinion, the Italian Competition Authority, in its meeting of September 22, 2020, decided to appeal before the TAR Toscana against managerial determination No. 408/2020 adopted by the Municipality of Piombino concerning the automatic extension of maritime state concessions for tourism and recreational purposes.</w:t>
      </w:r>
    </w:p>
    <w:p>
      <w:r>
        <w:t>BULLETIN NO. 41 OF OCTOBER 19, 2020 31</w:t>
      </w:r>
    </w:p>
    <w:p>
      <w:r>
        <w:t>UNFAIR TRADE PRACTICES</w:t>
        <w:br/>
        <w:t>PS11594 - ELECTRONIC ARTS - IN-GAME PURCHASES</w:t>
        <w:br/>
        <w:t>Provision No. 28368</w:t>
      </w:r>
    </w:p>
    <w:p>
      <w:r>
        <w:t>THE ITALIAN COMPETITION AUTHORITY</w:t>
      </w:r>
    </w:p>
    <w:p>
      <w:r>
        <w:t>IN ITS MEETING of September 30, 2020;</w:t>
      </w:r>
    </w:p>
    <w:p>
      <w:r>
        <w:t>HEARD the Rapporteur Professor Michele Ainis;</w:t>
      </w:r>
    </w:p>
    <w:p>
      <w:r>
        <w:t>VIEWED Part II, Title III and Part III,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February 4 and subsequently supplemented on March 26, May 11, 17, 22, and June 24, 2020, through which the companies Electronic Arts Inc., Electronic Arts Swiss Sàrl, and Electronic Arts Italia S.r.l. submitted commitments, pursuant to Article 27, paragraph 7, of the Consumer Code and Article 9 of the Regulation;</w:t>
      </w:r>
    </w:p>
    <w:p>
      <w:r>
        <w:t>VIEWED Article 103 of Decree-Law No. 18/2020 and Article 37 of Decree-Law No. 23/2020, which provide for an ex lege suspension of procedural deadlines, as a result of which the deadline for concluding this proceeding has been postponed to October 7, 2020;</w:t>
      </w:r>
    </w:p>
    <w:p>
      <w:r>
        <w:t>VIEWED the "Communication on the interpretation of Article 103 of Decree-Law No. 17 of March 2020, No. 18, as amended by Article 37 of Decree-Law No. 23 of April 8, 2020," approved by the Authority's College in the meetings of April 1 and April 10, 2020;</w:t>
      </w:r>
    </w:p>
    <w:p>
      <w:r>
        <w:t>VIEWED the documents of the proceeding;</w:t>
      </w:r>
    </w:p>
    <w:p>
      <w:r>
        <w:t>I. THE PARTIES</w:t>
      </w:r>
    </w:p>
    <w:p>
      <w:r>
        <w:t>1. Electronic Arts Inc. (hereinafter, EA Inc), as a professional, pursuant to Article 18, letter b), of the Consumer Code. The company, based in the United States, is active in the development, marketing, and distribution of video games, content, and online services that can be played on various platforms and devices such as consoles, personal computers, and mobile devices.</w:t>
      </w:r>
    </w:p>
    <w:p>
      <w:r>
        <w:t>2. Electronic Arts Swiss Sàrl (hereinafter, EA Switzerland), as a professional, pursuant to Article 18, letter b), of the Consumer Code. The company, based in Switzerland, publishes and manages all EA-branded video games in Europe. The company also markets and distributes related video games, content, and online services that can be played on various platforms and devices such as consoles, personal computers, and mobile devices. The professional is also active in Italy through the company Electronic Arts Italia S.r.l. (hereinafter, EA Italy), based in Milan, which acts as a retailer of EA-branded video games for personal computers and consoles in Italy.</w:t>
      </w:r>
    </w:p>
    <w:p>
      <w:r>
        <w:t>32 BULLETIN NO. 41 OF OCTOBER 19, 2020</w:t>
      </w:r>
    </w:p>
    <w:p>
      <w:r>
        <w:t>3. Altroconsumo, Associazione Codici, Movimento Difesa del Cittadino, and Unione Nazionale Consumatori, as consumer associations reporting.</w:t>
      </w:r>
    </w:p>
    <w:p>
      <w:r>
        <w:t>II. THE CONDUCT SUBJECT TO THE PROCEEDING</w:t>
      </w:r>
    </w:p>
    <w:p>
      <w:r>
        <w:t>4. The proceeding concerns the behavior of the companies Electronic Arts Inc., Electronic Arts Swiss Sàrl, and Electronic Arts Italia S.r.l. (collectively, the EA group), in relation to the promotion and sale in the Italian market, through the websites www.ea.com/it-it and www.origin.com/ita1, of certain video games of the Group that offer the possibility of making in-game purchases and purchases through loot boxes (specifically, FIFA 19, FIFA 20, Star Wars Battlefront II, and Apex Legends).</w:t>
      </w:r>
    </w:p>
    <w:p>
      <w:r>
        <w:t>5. In-game purchases can be made within a video game, using real money. Through them, various utilities (such as weapons, equipment, players, special moves, various upgrades related to the nature of the game, virtual coins, etc.) are obtained, which allow players to enhance their character or team and advance quickly in the game. In other cases, purchases result in aesthetic or choreographic improvements to the character without affecting gameplay performance.</w:t>
      </w:r>
    </w:p>
    <w:p>
      <w:r>
        <w:t>6. Loot boxes are a particular set of in-game purchases. They allow players to randomly obtain a certain quantity of game elements, not previously known to the players, which can have a direct effect on gameplay performance, or aesthetic or choreographic decorations without effects on gameplay (collectively, in-game purchases and loot boxes are also referred to as microtransactions).</w:t>
      </w:r>
    </w:p>
    <w:p>
      <w:r>
        <w:t>7. From the reports acquired in the case file and from official investigations conducted on November 4 and December 3, 2019, it emerged that the sites do not clearly and easily convey, from the first contact, the information that the video games include in-game purchases. Furthermore, free-to-play games (i.e., games that do not have an initial purchase cost like Apex Legends) are presented as free, but they include in-game purchases within the game, without contextual indications clarifying the presence of such purchases.</w:t>
      </w:r>
    </w:p>
    <w:p>
      <w:r>
        <w:t>8. At the start of the proceeding, the EA group was accused of:</w:t>
        <w:br/>
        <w:t>a) having disseminated, through the aforementioned sites, misleading and/or omissive information regarding the characteristics and costs to be incurred in video games that implement in-game purchases and loot boxes, even when such games can be used by children and adolescents. From this perspective, the lack of transparent and comprehensive information about the presence of in-game purchases and loot boxes within the games and the presentation of the game Apex Legends as free, without a concurrent indication of the presence of in-game purchases within the game, appears likely to mislead consumers regarding the characteristics of the video game and the actual costs to be incurred for its enjoyment. Furthermore, this lack of information may not allow parents to</w:t>
      </w:r>
    </w:p>
    <w:p>
      <w:r>
        <w:rPr>
          <w:b/>
        </w:rPr>
        <w:t>[Pages 31–33]</w:t>
      </w:r>
    </w:p>
    <w:p>
      <w:r>
        <w:t>BULLETIN NO. 41 OF OCTOBER 19, 2020 33</w:t>
      </w:r>
    </w:p>
    <w:p>
      <w:r>
        <w:t>to make an informed purchase, nor subsequently to exercise control over their children's gaming activities;</w:t>
      </w:r>
    </w:p>
    <w:p>
      <w:r>
        <w:t>b) to have activated, in video games intended for children or that can also be used by children, a gaming mechanism aimed at inducing them to make purchases or to request their parents to do so, disseminating messages aimed at the same purpose;</w:t>
      </w:r>
    </w:p>
    <w:p>
      <w:r>
        <w:t>c) to have omitted or inadequately provided, in the process of purchasing video games, certain pre-contractual information required by law regarding the right of withdrawal and its possible exclusion, in possible violation of Article 49, paragraph 1, letters h) and m), 52, 54, and 59, of the Consumer Code.</w:t>
      </w:r>
    </w:p>
    <w:p>
      <w:r>
        <w:t>III. THE OUTCOMES OF THE PROCEEDING: THE PRESENTATION OF COMMITMENTS</w:t>
      </w:r>
    </w:p>
    <w:p>
      <w:r>
        <w:t>1) The procedure process</w:t>
      </w:r>
    </w:p>
    <w:p>
      <w:r>
        <w:t>9. In relation to the conduct described above, on December 19, 2019, the companies Electronic Arts Inc., Electronic Arts Swiss Sàrl, and Electronic Arts Italia S.r.l. were notified of the initiation of investigation procedure No. PS11594. In this context, it was hypothesized that the conduct of the companies could constitute unfair commercial practices, in violation of Articles 20, 21, paragraph 1, letters b) and d), 21, paragraph 4, 22, 24, and 26, letter e), of the Consumer Code, as well as Articles 49, paragraph 1, letters h) and m), 52, 54, and 59, of the Consumer Code, as they are contrary to professional diligence and potentially capable, on the one hand, of appreciably distorting the economic behavior of consumers in relation to the promotion and sale of the professional's video games; on the other hand, of hindering the exercise of consumers' contractual rights.</w:t>
      </w:r>
    </w:p>
    <w:p>
      <w:r>
        <w:t>10. On January 28, 2020, the EA group responded to the request for information made in the initiation communication of the procedure and presented its defensive arguments in notes received on March 9 and July 21, 2020.</w:t>
      </w:r>
    </w:p>
    <w:p>
      <w:r>
        <w:t>11. The EA group had access to the documents of the procedure and extracted copies of the documents acquired in the file on January 15, 2020, and July 16, 2020.</w:t>
      </w:r>
    </w:p>
    <w:p>
      <w:r>
        <w:t>12. On January 31, 2020, the EA group was heard in a hearing.</w:t>
      </w:r>
    </w:p>
    <w:p>
      <w:r>
        <w:t>13. On February 4, 2020, the EA group submitted a proposal for commitments, pursuant to Article 27, paragraph 7, of the Consumer Code and Article 9 of the Regulation, subsequently supplemented on March 26, May 27, June 11, 17, 22, and 24, 2020. A consolidated version of the commitments was transmitted on July 14, 2020.</w:t>
      </w:r>
    </w:p>
    <w:p>
      <w:r>
        <w:t>14. On July 10, 2020, the date of conclusion of the investigative phase was communicated to the Parties, pursuant to Article 16, paragraph 1, of the Regulation.</w:t>
      </w:r>
    </w:p>
    <w:p>
      <w:r>
        <w:t>2) The acquired elements and the commitments of the EA group</w:t>
      </w:r>
    </w:p>
    <w:p>
      <w:r>
        <w:t>15. The EA group stated that it sells digital video games for PC directly within the Origin platform store, accessible at www.origin.com/ita and, through distributors, packaged physical video games for PlayStation 4, Xbox One, and Nintendo Switch consoles. In its defensive notes of January 28, 2020, and March 9, 2020, the EA group described the characteristics and functioning of in-game purchases present in its video games. The EA Group</w:t>
      </w:r>
    </w:p>
    <w:p>
      <w:r>
        <w:t>4 Cf. doc. n. 12 of the investigation file.</w:t>
      </w:r>
    </w:p>
    <w:p>
      <w:r>
        <w:t>BULLETIN NO. 41 OF OCTOBER 19, 2020 34</w:t>
      </w:r>
    </w:p>
    <w:p>
      <w:r>
        <w:t>believes that its conduct is fully legitimate and does not in any way constitute violations of consumer protection regulations. In particular, according to the professional, EA's video games, as well as all related advertising material, including the information available on the Origin platform, are fully compliant with the guidelines of the PEGI system, and the video games under investigation are subject to a stringent parental control system.</w:t>
      </w:r>
    </w:p>
    <w:p>
      <w:r>
        <w:t>3) The PEGI and AGCOM video game classification systems</w:t>
      </w:r>
    </w:p>
    <w:p>
      <w:r>
        <w:t>16. The Pan European Game Information (PEGI) is a video game classification system based on age, which uses five age categories and eight content descriptions. The PEGI classification examines the suitability of a game by providing a recommendation regarding the minimum age based on the game's content. Established in the spring of 2003 to help European parents make informed decisions when purchasing computer games, the PEGI system has replaced various national age classification systems and has established itself as a unique system in most European countries5.</w:t>
      </w:r>
    </w:p>
    <w:p>
      <w:r>
        <w:t>17. In this regard, it should be noted that Article 17 of the resolution of the Authority for Communications Guarantees 74/19/cons, of March 6, 2019, Regulation on the classification of audiovisual works intended for the web and video games referred to in Article 10, paragraphs 1 and 2, of Legislative Decree 7/12/2017 No. 203, concerning "Display of pictograms and thematic descriptors in video games," establishes that: "The pictograms associated with each age class and the thematic descriptors are displayed, in the forms and with the methods detailed in the guidelines referred to in Article 14, on the physical product, on the digital product, and in online promotion and sales." Paragraph 2 of the guidelines regarding video game classification ("regulation on the classification of audiovisual works intended for the web and video games," approved by resolution No. 74/19/cons), has considered video games already subjected to the PEGI classification procedure to be compliant with the provisions of this Regulation, recognizing the equivalence between the PEGI and AGCOM classification systems6.</w:t>
      </w:r>
    </w:p>
    <w:p>
      <w:r>
        <w:t>18. One of the thematic descriptors of video games provided by the PEGI classification system is that related to in-game purchases. The pictogram for in-game purchases, introduced in September 2018, is represented by a hand with a credit card in the act of making a payment. Recently, in April 2020, PEGI announced a new thematic description in cases where in-game purchases include random items (such as loot boxes). Information must be provided in the form of a notice (Includes Paid Random Items) on the game's packaging or on the</w:t>
      </w:r>
    </w:p>
    <w:p>
      <w:r>
        <w:t>5 Albania, Austria, Belgium, Bosnia and Herzegovina, Bulgaria, Croatia, Cyprus, Czech Republic, Denmark, Estonia, Finland, France, Greece, Hungary, Iceland, Ireland, Israel, Italy, Kosovo, Latvia, Lithuania, Luxembourg, Malta, Moldova, Montenegro, Netherlands, Norway, Slovakia, Slovenia, Poland, Portugal, Romania, Serbia, Spain, Sweden, Switzerland, and the United Kingdom.</w:t>
      </w:r>
    </w:p>
    <w:p>
      <w:r>
        <w:t>6 "Pursuant to Article 11, paragraph 2 of the Regulation of resolution No. 74/19/CONS, video games that are subjected to the PEGI classification procedure, whether already distributed on the market at the date of entry into force of the Regulation or at any subsequent date, are considered compliant with the provisions of the Regulation, without further burdens for the subjects identified in letters g) and h) of Article 1 of the same Regulation." Paragraph 3 of the guidelines titled "Dimensions and display of pictograms and descriptors" establishes that: "the PEGI age class labels and PEGI descriptors must appear on products or be associated with products in a size that allows the message to be readable and clearly visible to the consumer at the point of sale or on the product page of an online store, in line with the graphic models contained in the most updated version of the PEGI Guidelines "Labeling and Advertising" [...]. Video games that are in line with the provisions of the most updated version of the PEGI Guidelines "Labeling and Advertising" are considered compliant with the provisions of Articles 13 and 17 of the Regulation."</w:t>
      </w:r>
    </w:p>
    <w:p>
      <w:r>
        <w:t>BULLETIN NO. 41 OF OCTOBER 19, 2020 35</w:t>
      </w:r>
    </w:p>
    <w:p>
      <w:r>
        <w:t>19. In order to address the concerns raised by the Authority in the initiation communication of the procedure, the EA Group submitted, on February 4, 2020, pursuant to Article 27, paragraph 7, of the Consumer Code and Article 9 of the Regulation, a proposal for commitments, subsequently supplemented on March 26, May 27, June 11, 17, 22, and 24, 2020. A consolidated version of the commitments was transmitted on July 14, 2020.</w:t>
      </w:r>
    </w:p>
    <w:p>
      <w:r>
        <w:t>1) Commitment 1: information provided to consumers regarding the presence in video games and the functioning of in-game purchases and loot boxes within the Origin platform</w:t>
      </w:r>
    </w:p>
    <w:p>
      <w:r>
        <w:t>20. Regarding the games marketed through its Origin platform, the EA group commits to adopting the following measures:</w:t>
      </w:r>
    </w:p>
    <w:p>
      <w:r>
        <w:t>a) to use, within the game description page, the latest version of the PEGI pictogram related to in-game purchases, containing, in addition to the graphic icon, also: (i) the wording "In-game purchases," when there are purchases of items within the video game that are not attributed through a random selection; (ii) the wording "In-game purchases (contains random items)," for all games that contain microtransactions to purchase virtual game items, also attributed through a random selection (cf. figure Commitment 1 letter a) of the commitment declaration);</w:t>
      </w:r>
    </w:p>
    <w:p>
      <w:r>
        <w:t>b) to increase the size of the PEGI pictogram related to in-game purchases in order to make it 66% larger than it appeared previously and more clearly visible (cf. figure Commitment 1 letter b) of the commitment declaration);</w:t>
      </w:r>
    </w:p>
    <w:p>
      <w:r>
        <w:t>c) to include, within the game description page in a clearly visible manner in addition to the PEGI pictogram as illustrated above, the description of the presence and functioning of in-game purchases and loot boxes by means of the wording: "This game includes the possibility of purchasing in-game using real money a virtual currency to be used to purchase virtual game items, which may also be attributed through a random selection" (cf. figure Commitment 1 letter c) of the commitment declaration);</w:t>
      </w:r>
    </w:p>
    <w:p>
      <w:r>
        <w:t>d) to include the PEGI pictogram related to in-game purchases, as described above, before the purchase, in a clearly visible manner next to the "Buy Now" button (cf. figure Commitment 1 letter d) of the commitment declaration).</w:t>
      </w:r>
    </w:p>
    <w:p>
      <w:r>
        <w:t>21. Electronic Arts has committed to extending the above commitments, in addition to the games FIFA 19, FIFA 20, Star Wars Battlefront II, and Apex Legends, to all EA games published before the introduction of the new PEGI pictogram and marketed on the Origin platform, which provide for microtransactions to purchase virtual game items, including those attributed through a random selection.</w:t>
      </w:r>
    </w:p>
    <w:p>
      <w:r>
        <w:t>22. Regarding the packaging of the physical games FIFA 19, FIFA 20, Star Wars Battlefront II, and Apex Legends and any game published before the introduction of the PEGI pictogram for in-game purchases, that is, those containing microtransactions to purchase virtual game items, including those attributed through a random selection, EA commits to using the new PEGI pictogram on them. This also applies to all future editions of EA games that contain in-game purchases and loot boxes when they are distributed (e.g., FIFA 2021).</w:t>
      </w:r>
    </w:p>
    <w:p>
      <w:r>
        <w:t>23. The Electronics Arts group commits to implementing the measures referred to in the previous letters a), b), and c) of Commitment No. 1 by December 31, 2020.</w:t>
      </w:r>
    </w:p>
    <w:p>
      <w:r>
        <w:rPr>
          <w:b/>
        </w:rPr>
        <w:t>[Pages 34–36]</w:t>
      </w:r>
    </w:p>
    <w:p>
      <w:r>
        <w:t>36 BULLETIN NO. 41 OF OCTOBER 19, 2020</w:t>
      </w:r>
    </w:p>
    <w:p>
      <w:r>
        <w:t>24. With reference to letter d) of Commitment 1 (insertion of the PEGI pictogram also on the screen with the “Buy now” button), EA has represented that setting up a beta test of the new purchase flow requires several months for development, engineering, and quality assurance of the software; this is also because it involves inserting, within the architecture of the EA store prepared for the global market, the specific and differentiated PEGI pictograms for each game and country, to make them dynamically visible to users during the purchase flow of each individual video game. For these reasons, the professional will be able to implement this commitment no later than June 30, 2021.</w:t>
      </w:r>
    </w:p>
    <w:p>
      <w:r>
        <w:t>2) Commitment 2: Information provided to consumers regarding the presence in video games and the operation of in-game purchases and loot boxes on the website www.ea.com/it</w:t>
      </w:r>
    </w:p>
    <w:p>
      <w:r>
        <w:t>25. Electronics Arts commits to adopting the following measures on the website www.ea.com/it:</w:t>
        <w:br/>
        <w:t>a) update the PEGI pictogram in the footer of the pages of the website www.ea.com/it, including the PEGI pictogram for both games that feature in-game purchases and games containing microtransactions aimed at purchasing virtual game items that may also be obtained through random selection, where applicable;</w:t>
        <w:br/>
        <w:t>b) add a transition page that will be displayed before downloading video games that can be downloaded directly from the website www.ea.com/it (for example, Apex Legends), without being redirected to Origin or another platform (Playstation, Xbox, and/or Nintendo). This page will display the PEGI rating and the relevant PEGI pictograms for in-game purchases, as per commitment no. 1, letters a) and b), and the description of the presence and characteristics of in-game purchases, as per commitment no. 1, letter c);</w:t>
        <w:br/>
        <w:t>c) add the ratings and PEGI pictograms for in-game purchases (see Commitment no. 1 letters a and b), as well as the description of the presence and operation of in-game purchases and loot boxes with the wording “This game includes the possibility of purchasing in-game using real money a virtual currency to be used to purchase virtual game items, which may also be obtained through random selection” (commitment no. 1 letter c), on the following pages of the website www.ea.com/it that include sales offers:</w:t>
        <w:br/>
        <w:t>- the pages of the website that include sales offers for the games FIFA 19, FIFA 20, Star Wars Battlefront II, and Apex Legends;</w:t>
        <w:br/>
        <w:t>- the pages of the website for games released from January 1, 2019, or for which a new version has been released since January 1, 2019, that include sales offers;</w:t>
        <w:br/>
        <w:t>- the pages of the website reserved for “Featured Games” that include sales offers;</w:t>
        <w:br/>
        <w:t>- the pages of the website that include sales offers for all new games that will be published by EA from September 2020 onwards.</w:t>
      </w:r>
    </w:p>
    <w:p>
      <w:r>
        <w:t>26. Such information to consumers will be displayed with the same size as the examples from the Origin platform shown in commitment no. 1 letters a), b), and c).</w:t>
      </w:r>
    </w:p>
    <w:p>
      <w:r>
        <w:t>27. With reference to Commitment no. 2, letter b), the EA group clarified that, once the aforementioned transition page is displayed, the user will have the option to either proceed with the download of the game or stop the process. In other words, the display of the aforementioned transition page will not automatically trigger the download of the game, which will only start by clicking on a specific command included on the same transition page.</w:t>
      </w:r>
    </w:p>
    <w:p>
      <w:r>
        <w:t>28. The measures of commitment no. 2 will be implemented by December 31, 2020.</w:t>
      </w:r>
    </w:p>
    <w:p>
      <w:r>
        <w:t>BULLETIN NO. 41 OF OCTOBER 19, 2020 37</w:t>
      </w:r>
    </w:p>
    <w:p>
      <w:r>
        <w:t>3) Commitment 3: Information provided to consumers regarding the right of withdrawal and the limitations related to the enjoyment of digital content</w:t>
      </w:r>
    </w:p>
    <w:p>
      <w:r>
        <w:t>29. Regarding the right of withdrawal and its limitations for digital content, EA commits to adopting the following measures on the Origin platform:</w:t>
        <w:br/>
        <w:t>a) modify the information already provided to consumers regarding the right of withdrawal present in the General Terms and Conditions of Sale and prior to purchase to clearly indicate the regime of withdrawal and its limitations pursuant to the Consumer Code. The terminology used will be as follows: “Right of withdrawal: withdrawal and right to a refund within 14 days from the date of purchase. Important: If you download the game within 14 days from the date of purchase, you will lose your right of withdrawal. If you are entitled to a refund, we will refund the cost of the game within 14 days from the date of the refund request. In any case, the user's legal warranty is preserved. Click here to request a refund. Alternatively, we invite you to contact the EA Help page. Games may benefit from the refund conditions provided by the Great Games Guarantee as shown on the Order Summary page and in the purchase confirmation email.” The form to exercise the right of withdrawal will also be made available;</w:t>
      </w:r>
    </w:p>
    <w:p>
      <w:r>
        <w:t>b) EA also commits to inserting a tool on the Origin platform that will allow users to cancel purchases and obtain a refund within 24 hours after the first execution of the game, or within 14 days from the day of purchase, if the customer has not started the game.</w:t>
      </w:r>
    </w:p>
    <w:p>
      <w:r>
        <w:t>30. This commitment will be implemented by December 31, 2020.</w:t>
      </w:r>
    </w:p>
    <w:p>
      <w:r>
        <w:t>4) Commitment 4: Set a default spending limit of 0 Euros for Teen Accounts</w:t>
      </w:r>
    </w:p>
    <w:p>
      <w:r>
        <w:t>31. EA has stated that currently: (i) with the Child account, it is not possible to access any online content and therefore it is not possible to participate in online gameplay (including FIFA's FUT mode) nor proceed with any type of purchase; (ii) Teen accounts (for boys and girls aged 16 to 18) have a default monthly spending limit of 25 euros, regardless of whether they are linked to the parent's account or not. Currently, the only way to modify these limits is to link a Teen account to the parent's account.</w:t>
      </w:r>
    </w:p>
    <w:p>
      <w:r>
        <w:t>32. The Electronics Arts group commits to lowering the spending limit for the Teen account to the minimum threshold of zero euros; this limit can only be modified through the conscious choice of the parent by linking their account to that of the Teen Account. This measure will be implemented on the Origin platform and will apply to all video games sold by EA on that platform.</w:t>
      </w:r>
    </w:p>
    <w:p>
      <w:r>
        <w:t>33. This commitment will also be implemented by December 31, 2020.</w:t>
      </w:r>
    </w:p>
    <w:p>
      <w:r>
        <w:t>5) Commitment 5: Information provided to parents on how to create a Child Account during the registration process</w:t>
      </w:r>
    </w:p>
    <w:p>
      <w:r>
        <w:t>34. With reference to the information provided to parents regarding the functionalities of Parental Control within the Origin platform, Electronics Arts commits to inserting, on the homepage of the registration process, a hyperlink that clearly identifies the options available to parents when creating a Child account and immediately redirects to the procedure and steps on how to create a Child account with the wording “Do you want to create an EA account for your child?” (see figure Commitment 5 of the statement of commitments).</w:t>
      </w:r>
    </w:p>
    <w:p>
      <w:r>
        <w:t>38 BULLETIN NO. 41 OF OCTOBER 19, 2020</w:t>
      </w:r>
    </w:p>
    <w:p>
      <w:r>
        <w:t>35. The commitment will be implemented by December 31, 2020.</w:t>
      </w:r>
    </w:p>
    <w:p>
      <w:r>
        <w:t>6) Commitment 6: Inform platform providers about the commitments proposed to the Authority for the Italian market</w:t>
      </w:r>
    </w:p>
    <w:p>
      <w:r>
        <w:t>36. Regarding the commitments proposed in terms of transparency, Electronics Arts will communicate to providers of other gaming platforms the measures that will be implemented within the Origin platform and will send proof of the communication to the Authority.</w:t>
      </w:r>
    </w:p>
    <w:p>
      <w:r>
        <w:t>37. Again, this commitment will be implemented by December 31, 2020.</w:t>
      </w:r>
    </w:p>
    <w:p>
      <w:r>
        <w:t>38. Electronics Arts has finally reiterated that the commitments described above will apply to all video games sold by the professional on the Origin platform and not only those mentioned in the initiation communication of the Procedure7 and will be implemented, except for commitment 1, letter d), by December 31, 2020.</w:t>
      </w:r>
    </w:p>
    <w:p>
      <w:r>
        <w:t>IV. OPINION OF THE AUTHORITY FOR GUARANTEES IN COMMUNICATIONS</w:t>
      </w:r>
    </w:p>
    <w:p>
      <w:r>
        <w:t>39. Since the commercial practice subject to this provision has also been disseminated via the internet, on July 22, 2020, the opinion of the Authority for Guarantees in Communications was requested, pursuant to Article 27, paragraph 6, of the Consumer Code.</w:t>
      </w:r>
    </w:p>
    <w:p>
      <w:r>
        <w:t>40. In the opinion received on August 10, 2020, the aforementioned Authority considered that the internet is a suitable tool to significantly influence the realization of the practice under examination. This is because the means of communication used, in this case, is suitable for developing a significant impact on consumers, leading them to make a commercial decision that they would not otherwise have made and thus concretely demonstrating the full promotional potential of online communication.</w:t>
      </w:r>
    </w:p>
    <w:p>
      <w:r>
        <w:t>V. EVALUATION OF THE COMMITMENTS</w:t>
      </w:r>
    </w:p>
    <w:p>
      <w:r>
        <w:t>41. The commitments proposed by the EA Group must be evaluated within the context of a commercial trend that has introduced in video games, also aimed at children and adolescents, in-game purchases and purchases through loot boxes8. The business model of video games is gradually shifting from selling copies of a certain game at a profitable price to building an engaging environment that encourages the user to purchase content and features within the game itself. In-game purchases are increasingly becoming a significant source of revenue (if not the only one as in the case of free-to-play games) for industry operators.</w:t>
      </w:r>
    </w:p>
    <w:p>
      <w:r>
        <w:t>42. In this context, since video games are also intended for vulnerable users such as children and adolescents who may not have a clear awareness of the economic and psychological mechanisms underlying in-game purchases, maximum clarity and transparency for consumers and parents regarding the possibility of making such purchases is necessary. This is even more true for video games that contain in-game purchases in the form of loot boxes, where randomness is a characteristic element.</w:t>
      </w:r>
    </w:p>
    <w:p>
      <w:r>
        <w:t>7 Regarding the website www.ea.com/it, the commitments will be implemented for all games with the specifications of commitment 2, letter c).</w:t>
      </w:r>
    </w:p>
    <w:p>
      <w:r>
        <w:t>8 It should be noted that the PEGI website contains a specific section dedicated to in-game purchases, which provides advice to parents on how to control such purchases on the platforms and devices that their children can use (see https://pegi.info/it/node/50).</w:t>
      </w:r>
    </w:p>
    <w:p>
      <w:r>
        <w:rPr>
          <w:b/>
        </w:rPr>
        <w:t>[Pages 37–39]</w:t>
      </w:r>
    </w:p>
    <w:p>
      <w:r>
        <w:t>BULLETIN NO. 41 OF OCTOBER 19, 2020 39</w:t>
      </w:r>
    </w:p>
    <w:p>
      <w:r>
        <w:t>43. That said, the Authority believes that the commitments presented by the EA group are suitable to remedy the potential unfairness of the commercial practices contested in the initiation communication of December 19, 2019.</w:t>
      </w:r>
    </w:p>
    <w:p>
      <w:r>
        <w:t>44. The proposed measures, in fact, provide concrete elements to inform consumers about the characteristics of the purchase they are about to make, or of the video game they are about to download, namely that playing the game may involve payments in the form of in-game purchases or loot boxes.</w:t>
      </w:r>
    </w:p>
    <w:p>
      <w:r>
        <w:t>45. In this sense, commitments no. 1 and 2 - the inclusion of the PEGI pictogram in sizes that make it more visible, accompanied by an explanatory caption - are significant as they warn the user, on the game description pages and, therefore, before the purchase, that real money payments within the game are possible (see figure 1 regarding the video game FIFA 20). The inclusion of the PEGI pictogram in larger sizes and the related caption contributes to strengthening consumers' responsible purchasing choices, amplifying the usefulness of the PEGI system for the adoption of informed decisions by parents.</w:t>
      </w:r>
    </w:p>
    <w:p>
      <w:r>
        <w:t>Figure 1</w:t>
      </w:r>
    </w:p>
    <w:p>
      <w:r>
        <w:t>46. It should be emphasized that information about in-game purchases will be provided to consumers not only on the Origin site (commitment no. 1), where it is solely possible to proceed with the potential purchase of games, but also on the website www.ea.com/it (commitment no. 2), which is the general site of the Group intended for presenting video games. This circumstance allows consumers to obtain all necessary information from the very first contact with the professional, also through the website www.ea.com/it.</w:t>
      </w:r>
    </w:p>
    <w:p>
      <w:r>
        <w:t>47. The commitments also appear suitable to remedy the complaint in the initiation communication regarding the circumstance that free-to-play games (i.e., games that do not have an initial purchase cost, such as the video game Apex Legends), downloadable directly from the website www.ea.com/it, are presented as free.</w:t>
      </w:r>
    </w:p>
    <w:p>
      <w:r>
        <w:t>48. In fact, with the commitment referred to in no. 2 letter b) - the introduction of a transition page before downloading the game - EA provides adequate information that qualifies the possible presence of the term "free" and specifies its limits. The information is placed immediately before the download, activated by clicking on a specific command included on the same transition page. This gives the information a position of particular prominence that cannot escape the consumer.</w:t>
      </w:r>
    </w:p>
    <w:p>
      <w:r>
        <w:t>49. It is worth noting EA's commitment to implement the proposed commitments even beyond the video games identified in the initiation communication. Electronic Arts, in fact, commits to extend the described measures to all video games developed and offered to the public through the Origin website.</w:t>
      </w:r>
    </w:p>
    <w:p>
      <w:r>
        <w:t>50. In particular, the commitment to use the new PEGI pictogram on future physical packaging of currently marketed video games and on all future editions of EA games that contain in-game purchases and loot boxes when they are distributed (e.g., FIFA 2021) is also commendable.</w:t>
      </w:r>
    </w:p>
    <w:p>
      <w:r>
        <w:t>51. The informational improvements described above are accompanied by tools that allow parents to exercise control over their children's gaming activities with extreme ease (commitments no. 4 and 5) and help to overcome the possible issues highlighted in the initiation communication. In particular, lowering the threshold to zero euros as a spending limit for the Teen Account (similarly to that already provided for the Child Account) prevents children and teenagers from making purchases within the game without specific consent from their parents. Furthermore, through commitment no. 5, parents are informed about the functionalities of the Parental Control available within the Origin platform and the procedure to follow to set up accounts for children. Through Parental Control, parents can monitor and set numerous gaming parameters for their children through a series of functionalities that concern, among other things, access to certain games, gaming time, the ability to interact with other users, and finally, the possibility or not to make purchases and with what monthly spending limit. The commitments make it much easier for parents to create an account for the minor through a hypertext link and to access the functionalities of Parental Control through it.</w:t>
      </w:r>
    </w:p>
    <w:p>
      <w:r>
        <w:t>52. The initiation communication also noted the lack of clarity of the information provided during the video game purchase process, regarding the right of withdrawal. This informational deficit will be fully removed by the implementation of the commitments presented.</w:t>
      </w:r>
    </w:p>
    <w:p>
      <w:r>
        <w:t>53. Commitment no. 3, in fact, which modifies the information provided to consumers both in the General Terms and Conditions of Sale and before the purchase, appears particularly commendable, as it provides for an expansion of the right of withdrawal in favor of the consumer compared to what is provided by the Consumer Code regarding digital content. In fact, through the introduction of a tool on the Origin platform (where purchases are made), it will be possible to cancel purchases and obtain a refund within 24 hours following the first execution of the game (in addition to, of course, within 14 days from the day of purchase, if the customer has not started the game, as provided by the Consumer Code). The user will therefore have the opportunity to purchase the video game and, if not satisfied after a first trial, obtain the cancellation of the purchase and the refund of the amount paid.</w:t>
      </w:r>
    </w:p>
    <w:p>
      <w:r>
        <w:t>54. Finally, through Commitment no. 6 - informing the suppliers of other platforms that distribute the Group's games (Sony, Microsoft, and Nintendo) about the changes implemented on the Origin site - EA disseminates a standard of transparency for the benefit of Italian consumers that can trigger a virtuous process also by other market operators, with potential benefits for users in the promotion and sale of video games that include in-game purchases.</w:t>
      </w:r>
    </w:p>
    <w:p>
      <w:r>
        <w:t>BULLETIN NO. 41 OF OCTOBER 19, 2020 41</w:t>
      </w:r>
    </w:p>
    <w:p>
      <w:r>
        <w:t>55. The commitments described above, considered as a whole, for the reasons stated above, are such as to remove the issues referred to in the initiation communication.</w:t>
      </w:r>
    </w:p>
    <w:p>
      <w:r>
        <w:t>56. In light of the above considerations, it is believed that the commitments presented meet the requirements set forth in Article 27, paragraph 7, of the Consumer Code.</w:t>
      </w:r>
    </w:p>
    <w:p>
      <w:r>
        <w:t>CONSIDERED, therefore, that the commitments presented by the companies Electronic Arts Inc., Electronic Arts Swiss Sàrl, and Electronic Arts Italia S.r.l., in the terms outlined above, are suitable to eliminate the possible aspects of unfairness of the commercial practices under investigation;</w:t>
      </w:r>
    </w:p>
    <w:p>
      <w:r>
        <w:t>CONSIDERED to order the mandatory nature of the aforementioned commitments towards the companies Electronic Arts Inc., Electronic Arts Swiss Sàrl, and Electronic Arts Italia S.r.l.;</w:t>
      </w:r>
    </w:p>
    <w:p>
      <w:r>
        <w:t>CONSIDERED, therefore, that it is possible to close the procedure without establishing the infringement;</w:t>
      </w:r>
    </w:p>
    <w:p>
      <w:r>
        <w:t>RESOLVES</w:t>
      </w:r>
    </w:p>
    <w:p>
      <w:r>
        <w:t>a) to make mandatory, towards the companies Electronic Arts Inc., Electronic Arts Swiss Sàrl, and Electronic Arts Italia S.r.l., pursuant to Article 27, paragraph 7, of the Consumer Code and Article 9, paragraph 2, letter a), of the Regulation, the commitments proposed by the same companies on February 4, 2020, subsequently supplemented on March 26, May 27, June 11, 17, 22, and 24, 2020, and submitted in the final consolidated version on July 14, 2020, as described in the declaration attached to this provision;</w:t>
      </w:r>
    </w:p>
    <w:p>
      <w:r>
        <w:t>b) to close the procedure without establishing the infringement, pursuant to Article 27, paragraph 7, of the Consumer Code and Article 9, paragraph 2, letter a), of the Regulation;</w:t>
      </w:r>
    </w:p>
    <w:p>
      <w:r>
        <w:t>c) that the companies Electronic Arts Inc., Electronic Arts Swiss Sàrl, and Electronic Arts Italia S.r.l., within ninety days from the date of notification of this provision, inform the Authority of the implementation of the commitments, except for commitment no. 1, letter d), regarding which the same companies must inform the Authority by June 30, 2021.</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40–42]</w:t>
      </w:r>
    </w:p>
    <w:p>
      <w:r>
        <w:t>42 BULLETIN NO. 41 OF OCTOBER 19, 2020</w:t>
      </w:r>
    </w:p>
    <w:p>
      <w:r>
        <w:t>This provision will be notified to the interested parties and published in the Bulletin of the Italian Competition Authority.</w:t>
      </w:r>
    </w:p>
    <w:p>
      <w:r>
        <w:t>THE SECRETARY GENERAL THE PRESIDENT</w:t>
        <w:br/>
        <w:t>Filippo Arena Roberto Rustichelli</w:t>
      </w:r>
    </w:p>
    <w:p>
      <w:r>
        <w:t>BULLETIN NO. 41 OF OCTOBER 19, 2020 43</w:t>
      </w:r>
    </w:p>
    <w:p>
      <w:r>
        <w:t>Annex 1</w:t>
        <w:br/>
        <w:t>STATEMENT OF COMMITMENTS</w:t>
      </w:r>
    </w:p>
    <w:p>
      <w:r>
        <w:t>In the context of proceeding No. PS11594 initiated by the Italian Competition Authority on December 19, 2019, concerning the commercial conduct of the companies Electronic Arts Inc., Electronic Arts Swiss Sàrl, and Electronic Arts Italia S.r.l. with reference to the promotion and sale of video games through the websites www.ea.com/it-it and www.origin.com/ita, of video games of the Group that implement the possibility of making in-game purchases and purchasing loot boxes, Electronic Arts Inc., Electronic Arts Swiss Sàrl, and Electronic Arts Italia S.r.l., pursuant to and for the purposes of Article 27, paragraph 7, of the "Consumer Code" (Legislative Decree No. 206 of September 6, 2005, and subsequent amendments), commit, starting from the date of communication of the Authority's provision, to implement the following measures in the manner and within the timeframes indicated below:</w:t>
      </w:r>
    </w:p>
    <w:p>
      <w:r>
        <w:t>44 BULLETIN NO. 41 OF OCTOBER 19, 2020</w:t>
      </w:r>
    </w:p>
    <w:p>
      <w:r>
        <w:t>TEXT OF THE COMMITMENTS</w:t>
      </w:r>
    </w:p>
    <w:p>
      <w:r>
        <w:t>Textual content of the proposed commitments:</w:t>
      </w:r>
    </w:p>
    <w:p>
      <w:r>
        <w:rPr>
          <w:b/>
        </w:rPr>
        <w:t>[Pages 43–45]</w:t>
      </w:r>
    </w:p>
    <w:p>
      <w:r>
        <w:t>BULLETIN NO. 41 OF OCTOBER 19, 2020 45</w:t>
      </w:r>
    </w:p>
    <w:p>
      <w:r>
        <w:t>46 BULLETIN NO. 41 OF OCTOBER 19, 2020</w:t>
      </w:r>
    </w:p>
    <w:p>
      <w:r>
        <w:t>BULLETIN NO. 41 OF OCTOBER 19, 2020 47</w:t>
      </w:r>
    </w:p>
    <w:p>
      <w:r>
        <w:rPr>
          <w:b/>
        </w:rPr>
        <w:t>[Pages 46–48]</w:t>
      </w:r>
    </w:p>
    <w:p>
      <w:r>
        <w:t>48 BULLETIN NO. 41 OF OCTOBER 19, 2020</w:t>
      </w:r>
    </w:p>
    <w:p>
      <w:r>
        <w:t>BULLETIN NO. 41 OF OCTOBER 19, 2020 49</w:t>
      </w:r>
    </w:p>
    <w:p>
      <w:r>
        <w:t>50 BULLETIN NO. 41 OF OCTOBER 19, 2020</w:t>
      </w:r>
    </w:p>
    <w:p>
      <w:r>
        <w:rPr>
          <w:b/>
        </w:rPr>
        <w:t>[Pages 49–51]</w:t>
      </w:r>
    </w:p>
    <w:p>
      <w:r>
        <w:t>BULLETIN NO. 41 OF OCTOBER 19, 2020 51</w:t>
      </w:r>
    </w:p>
    <w:p>
      <w:r>
        <w:t>52 BULLETIN NO. 41 OF OCTOBER 19, 2020</w:t>
      </w:r>
    </w:p>
    <w:p>
      <w:r>
        <w:t>BULLETIN NO. 41 OF OCTOBER 19, 2020 53</w:t>
      </w:r>
    </w:p>
    <w:p>
      <w:r>
        <w:rPr>
          <w:b/>
        </w:rPr>
        <w:t>[Pages 52–54]</w:t>
      </w:r>
    </w:p>
    <w:p>
      <w:r>
        <w:t>54 BULLETIN NO. 41 OF OCTOBER 19, 2020</w:t>
      </w:r>
    </w:p>
    <w:p>
      <w:r>
        <w:t>BULLETIN NO. 41 OF OCTOBER 19, 2020 55</w:t>
      </w:r>
    </w:p>
    <w:p>
      <w:r>
        <w:t>56 BULLETIN NO. 41 OF OCTOBER 19, 2020</w:t>
        <w:br/>
        <w:t>PS11740 - FINANCE AND PENSIONS - VIDEO INVESTMENTS</w:t>
        <w:br/>
        <w:t>Measure No. 28369</w:t>
        <w:br/>
        <w:t>THE ANTITRUST AUTHORITY</w:t>
        <w:br/>
        <w:t>IN ITS MEETING of September 30, 2020;</w:t>
        <w:br/>
        <w:t>HEARD the Rapporteur, Dr. Gabriella Muscolo;</w:t>
        <w:br/>
        <w:t>HAVING REGARD to Part II, Title III, of Legislative Decree No. 206 of September 6, 2005, containing the “Consumer Code” and subsequent amendments (hereinafter Consumer Code);</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 of April 8, 2020, whereby the non-adoption of the precautionary measure was resolved, pursuant to Article 27, paragraph 3, of the Consumer Code;</w:t>
        <w:br/>
        <w:t>HAVING REGARD to the communication of April 29, 2020, whereby Finanza e Previdenza S.r.l. submitted commitments pursuant to Article 27, paragraph 7, of the Consumer Code and Article 9 of the Regulation;</w:t>
        <w:br/>
        <w:t>HAVING REGARD to Article 103 of Decree-Law No. 18/2020 and Article 37 of Decree-Law No. 23/2020, which provide for an ex lege suspension of procedural deadlines, as a result of which the deadline for concluding this proceeding has been postponed to October 7, 2020;</w:t>
        <w:br/>
        <w:t>HAVING REGARD to the “Communication on the interpretation of Article 103 of Decree-Law No. 18 of March 17, 2020, as amended by Article 37 of Decree-Law No. 23 of April 8, 2020,” approved by the Authority's College in the meetings of April 1 and April 10, 2020;</w:t>
        <w:br/>
        <w:t>HAVING REGARD to the acts of the proceeding;</w:t>
      </w:r>
    </w:p>
    <w:p>
      <w:r>
        <w:t>I. THE PARTY</w:t>
        <w:br/>
        <w:t>1. Finanza e Previdenza S.r.l. (hereinafter also “Professional” or “Company”), with registered office in Imola (Bologna), is a company active in the insurance consultancy sector.</w:t>
      </w:r>
    </w:p>
    <w:p>
      <w:r>
        <w:t>II. THE COMMERCIAL PRACTICE</w:t>
        <w:br/>
        <w:t>2. The proceeding concerns the commercial practice adopted by the Professional, consisting of presenting, through emphatic expressions, in the video disseminated on the Youtube platform from March 26, 2020, to April 3, 2020, the fact that the financial investments it is able to propose, made during a period characterized by strong financial instability and low prices linked to the Covid-19 health emergency, are safe and profitable, in possible violation of Articles 20 and 21 of the Consumer Code. The described conduct, as hypothesized at the start of the investigation, could lead consumers to erroneously believe that the proposed investments are capable of generating safe and particularly high positive results, when instead, in the emergency context, there is no guarantee regarding the realization and consistency of such returns, potentially leading consumers to make commercial decisions they would not otherwise take.</w:t>
      </w:r>
    </w:p>
    <w:p>
      <w:r>
        <w:rPr>
          <w:b/>
        </w:rPr>
        <w:t>[Pages 55–57]</w:t>
      </w:r>
    </w:p>
    <w:p>
      <w:r>
        <w:t>BULLETIN NO. 41 OF OCTOBER 19, 2020 57</w:t>
      </w:r>
    </w:p>
    <w:p>
      <w:r>
        <w:t>III. THE OUTCOMES OF THE PROCEEDING</w:t>
      </w:r>
    </w:p>
    <w:p>
      <w:r>
        <w:t>1) The procedure process</w:t>
      </w:r>
    </w:p>
    <w:p>
      <w:r>
        <w:t>3. Following a consumer report received on March 27, 2020, on April 3, 2020, the initiation of the investigative procedure PS11740 was communicated to Finanza e Previdenza S.r.l., for possible violations of Articles 20 and 21 of the Consumer Code, with simultaneous initiation of the precautionary sub-procedure.</w:t>
      </w:r>
    </w:p>
    <w:p>
      <w:r>
        <w:t>4. With the communication of the initiation of the investigation, in order to acquire useful knowledge elements for the evaluation of the commercial practice under examination, the Professional was requested, pursuant to Article 27, paragraphs 3 and 4, of the Consumer Code and Article 12, paragraph 1, of the Regulation, to provide information accompanied by documentation regarding the proposed investments and the returns obtained during the relevant period.</w:t>
      </w:r>
    </w:p>
    <w:p>
      <w:r>
        <w:t>5. On April 7, 2020, the Professional sent a communication regarding the cessation of the dissemination of the aforementioned message.</w:t>
      </w:r>
    </w:p>
    <w:p>
      <w:r>
        <w:t>6. On April 8, 2020, considering the removal of the video from the YouTube platform, and noting that the same message was not disseminated otherwise on the internet, the Authority decided not to adopt the precautionary measure concerning the behavior of the Professional.</w:t>
      </w:r>
    </w:p>
    <w:p>
      <w:r>
        <w:t>7. On April 29, 2020, the Professional provided the requested information and documentation in response to the communication initiating the procedure, subsequently supplemented by a communication received on May 19, 2020.</w:t>
      </w:r>
    </w:p>
    <w:p>
      <w:r>
        <w:t>8. On the same date, the Professional also submitted commitments pursuant to Article 27, paragraph 7, of the Consumer Code and Article 9 of the Regulation, aimed at removing the unfair aspects of the contested commercial practice.</w:t>
      </w:r>
    </w:p>
    <w:p>
      <w:r>
        <w:t>9. On June 12, 2020, the Professional was informed of the conclusion date of the investigative phase, pursuant to Article 16, paragraph 1, of the Regulation.</w:t>
      </w:r>
    </w:p>
    <w:p>
      <w:r>
        <w:t>10. On July 2, 2020, opinions were requested from the Institute for the Supervision of Insurance (hereinafter IVASS), as the conduct in question was carried out by an operator active in the intermediation of insurance products, pursuant to Article 27, paragraph 1-bis, of the Consumer Code, and from the Authority for Communications Guarantees (hereinafter also AGCOM), as the conduct was carried out through the dissemination of a video on the internet, pursuant to Article 16, paragraphs 3 and 4, of the Regulation.</w:t>
      </w:r>
    </w:p>
    <w:p>
      <w:r>
        <w:t>11. On July 28, 2020, the opinion of AGCOM was received.</w:t>
      </w:r>
    </w:p>
    <w:p>
      <w:r>
        <w:t>12. On August 3, 2020, the opinion of IVASS was received.</w:t>
      </w:r>
    </w:p>
    <w:p>
      <w:r>
        <w:t>2) The acquired elements</w:t>
      </w:r>
    </w:p>
    <w:p>
      <w:r>
        <w:t>13. From the elements collected during the investigation, it appears that Finanza e Previdenza S.r.l. operates through its headquarters located in Imola and is active in the insurance intermediation activity, as a multi-mandate agent registered in section A of the RUI Register managed by IVASS, and through secondary offices, including that of Ancona, whose employees are registered in section E of the RUI (sub-agents).</w:t>
      </w:r>
    </w:p>
    <w:p>
      <w:r>
        <w:t>14. The video of the Professional titled “Finanza e Previdenza Smart.Working Agency of Ancona,” which is the subject of the proceeding, is visible on the YouTube platform and concerns the promotion of its professional activity. In this video, lasting 2 minutes and 37 seconds, the consultants advertise, in an urgent tone, the various insurance and financial services provided, to “reassure” and “protect” clients, as well as “safeguard savings” through profitable investments, while clients remain at home during the health emergency.</w:t>
      </w:r>
    </w:p>
    <w:p>
      <w:r>
        <w:t>15. The information provided to consumers that could lead them to resort to the services promoted by the video in order to protect and increase their savings is:</w:t>
        <w:br/>
        <w:t>- at the beginning, the first consultant states: “We stay at home but continue to protect and safeguard what you have built with so much love […] your savings. For this reason, we are always ready for any clarification […] to study with you the most effective investment strategies […] and to choose with you the most innovative insurance products that help you safeguard, protect, and increase your investments. We are here because we want to reassure you that this phase of instability represents a wonderful opportunity to increase your investments”;</w:t>
        <w:br/>
        <w:t>- subsequently, the second consultant clarifies what the first stated: “You should know that the financial fluctuations of this period allow you to buy at exceptionally low prices to then return above-average returns. These are real opportunities that the market rarely gives us”;</w:t>
        <w:br/>
        <w:t>- the conclusion of the second consultant is: “these instability phenomena should be seized, relying on us who will rationally manage the investments helping you ride the wave. We are here to reassure you and help you live these days with serenity.”</w:t>
      </w:r>
    </w:p>
    <w:p>
      <w:r>
        <w:t>16. From the investigative findings, it emerged that the Company, following the communication of the initiation of the procedure on April 3, 2020, proceeded to the immediate removal of the message from the YouTube platform; no other messages with similar content were found to be disseminated on the internet.</w:t>
      </w:r>
    </w:p>
    <w:p>
      <w:r>
        <w:t>17. The evidence shows that the message in question had marginal dissemination, as it was viewed, on said platform, from March 26, 2020, to the evening of April 3, 2020, by 99 viewers for 182 times.</w:t>
      </w:r>
    </w:p>
    <w:p>
      <w:r>
        <w:t>18. Furthermore, from the documentation, it emerges that the consultants of the secondary office in Ancona, to which the message refers, during the aforementioned dissemination period, did not enter into any insurance contract with a financial component (so-called branch III Life, which presents alongside the protection function in case of the insured's death also purposes of savings protection and investment) and that, in the subsequent period until April 16, 2020, they entered into a single contract with such characteristics with a subject who had already been a client of Finanza e Previdenza S.r.l. since 2017.</w:t>
      </w:r>
    </w:p>
    <w:p>
      <w:r>
        <w:t>3) The commitments of the Professional</w:t>
      </w:r>
    </w:p>
    <w:p>
      <w:r>
        <w:t>19. The commitments presented by Finanza e Previdenza S.r.l. on April 29, 2020, pursuant to Article 27, paragraph 7, of the Consumer Code and Article 9 of the Regulation, provide for the adoption of the following measures, some of which have already been implemented by the Professional.</w:t>
      </w:r>
    </w:p>
    <w:p>
      <w:r>
        <w:t>20. Finanza e Previdenza S.r.l. removed the video from the YouTube platform on April 3, 2020.</w:t>
      </w:r>
    </w:p>
    <w:p>
      <w:r>
        <w:t>21. Finanza e Previdenza S.r.l. formally contested to the employees who created the video the initiation of a disciplinary procedure on April 8, 2020.</w:t>
      </w:r>
    </w:p>
    <w:p>
      <w:r>
        <w:t>22. Finanza e Previdenza S.r.l. proceeded to draft an internal document, called Social Media Policy, addressed to employees and collaborators, containing new guidelines regarding the use of social channels and the web, which stipulates that employees and collaborators cannot open blogs, web pages, or other channels using the name “Finanza e Previdenza S.r.l.” or that deal with topics related to the insurance activity carried out by the Company; this document was sent to the recipients on April 17, 2020.</w:t>
      </w:r>
    </w:p>
    <w:p>
      <w:r>
        <w:t>23. Finanza e Previdenza S.r.l. committed to strengthening control, supervision, and prevention tasks through the following measures:</w:t>
        <w:br/>
        <w:t>a) assigning the Marketing Office the permanent monitoring of websites and accounts on the internet to verify the publication by subjects external to the Company of messages not compliant with current regulations, starting from May 2, 2020;</w:t>
        <w:br/>
        <w:t>b) conducting periodic visits by the CEO, initiated on May 15, 2020, to the various secondary offices to verify compliance with the indications provided with the internal document Social Media Policy;</w:t>
        <w:br/>
        <w:t>c) scheduling free training meetings held by lawyers and other professionals in the sector during the 2020-2022 triennium, conducted during working hours at the headquarters and secondary offices, aimed at raising awareness among employees and collaborators about compliance with regulations also concerning the use of the web for promoting professional activity.</w:t>
      </w:r>
    </w:p>
    <w:p>
      <w:r>
        <w:t>IV. OPINION OF THE AUTHORITY FOR COMMUNICATIONS GUARANTEES</w:t>
      </w:r>
    </w:p>
    <w:p>
      <w:r>
        <w:t>24. Since the practice subject to this provision was carried out through the dissemination of a video on the internet, the opinion of AGCOM was requested, pursuant to Article 16, paragraphs 3 and 4, of the Regulation.</w:t>
      </w:r>
    </w:p>
    <w:p>
      <w:r>
        <w:t>25. With the opinion received on July 28, 2020, the aforementioned Authority deemed that the internet is a suitable tool to significantly influence the realization of the commercial practice in question.</w:t>
      </w:r>
    </w:p>
    <w:p>
      <w:r>
        <w:t>V. OPINION OF THE INSTITUTE FOR THE SUPERVISION OF INSURANCE</w:t>
      </w:r>
    </w:p>
    <w:p>
      <w:r>
        <w:t>26. Since the practice subject to this provision was carried out by an operator active in the intermediation of insurance products, on July 2, 2020, the opinion was requested from the Institute for the Supervision of Insurance (IVASS), pursuant to Article 27, paragraph 1-bis, of the Consumer Code.</w:t>
      </w:r>
    </w:p>
    <w:p>
      <w:r>
        <w:t>27. With the opinion received on August 3, 2020, the aforementioned Institute communicated that, as far as it is concerned, it has no observations to make.</w:t>
      </w:r>
    </w:p>
    <w:p>
      <w:r>
        <w:rPr>
          <w:b/>
        </w:rPr>
        <w:t>[Pages 58–60]</w:t>
      </w:r>
    </w:p>
    <w:p>
      <w:r>
        <w:t>60 BULLETIN NO. 41 OF OCTOBER 19, 2020</w:t>
      </w:r>
    </w:p>
    <w:p>
      <w:r>
        <w:t>VI. EVALUATION OF COMMITMENTS</w:t>
      </w:r>
    </w:p>
    <w:p>
      <w:r>
        <w:t>28. The Authority believes that the commitments proposed by the Professional are suitable to remedy the possible illegitimacy profiles of the contested commercial practice in the initiation communication of the procedure dated April 3, 2020. In particular, the Authority notes that the measures proposed and partially already implemented are characterized by features that give them concreteness and effectiveness in protecting consumers.</w:t>
      </w:r>
    </w:p>
    <w:p>
      <w:r>
        <w:t>29. These measures are, from the perspective of consumer protection, suitable to permanently and structurally eliminate potential behaviors both at the central level and in the secondary offices of the Professional, aimed at harming consumers in the contested aspect, related to the representation of financial interventions capable of generating certain and particularly high positive results, especially in the current emergency context.</w:t>
      </w:r>
    </w:p>
    <w:p>
      <w:r>
        <w:t>30. In this regard, the commitment aimed at prohibiting forms of advertising through blogs or other web pages dealing with financial elements in the name of the Company is capable of blocking the adoption of similar conduct in the future by employees through social channels.</w:t>
      </w:r>
    </w:p>
    <w:p>
      <w:r>
        <w:t>31. Furthermore, the new strengthened corporate policy, communicated to all staff, the newly established control and verification functions of the Chief Executive Officer at the secondary offices, the centralization at the Marketing Office of the task of permanent monitoring of internet accounts, along with training programs for a period of three years, constitute, when considered as a whole, measures suitable to ensure, in a structured manner, effective control and prevention forms that prevent the dissemination of messages capable of misleading consumers through the untruthful representation of certain positive results.</w:t>
      </w:r>
    </w:p>
    <w:p>
      <w:r>
        <w:t>32. Ultimately, the measures subject to the commitments are aimed at providing adequate protection for consumers in the representation of the services and products offered by the Professional.</w:t>
      </w:r>
    </w:p>
    <w:p>
      <w:r>
        <w:t>33. In light of the above considerations, it is believed that the commitments presented by the Professional meet the requirements set forth in Article 27, paragraph 7, of the Consumer Code.</w:t>
      </w:r>
    </w:p>
    <w:p>
      <w:r>
        <w:t>CONSIDERED, therefore, that the commitments presented by Finanza e Previdenza S.r.l., in the terms outlined above, are suitable to eliminate the possible profiles of unfairness of the commercial practice subject to investigation;</w:t>
      </w:r>
    </w:p>
    <w:p>
      <w:r>
        <w:t>CONSIDERED to impose the obligation of the aforementioned commitments on Finanza e Previdenza S.r.l.;</w:t>
      </w:r>
    </w:p>
    <w:p>
      <w:r>
        <w:t>CONSIDERED, therefore, that it is possible to close the procedure without establishing the infringement;</w:t>
      </w:r>
    </w:p>
    <w:p>
      <w:r>
        <w:t>RESOLVES</w:t>
      </w:r>
    </w:p>
    <w:p>
      <w:r>
        <w:t>a) to make mandatory, towards the company Finanza e Previdenza S.r.l., pursuant to Article 27, paragraph 7, of the Consumer Code and Article 9, paragraph 2, letter a), of the Regulation, the commitments proposed by the same Company on April 29, 2020, as described in the form attached to this provision;</w:t>
      </w:r>
    </w:p>
    <w:p>
      <w:r>
        <w:t>b) to close the procedure without establishing the infringement, pursuant to Article 27, paragraph 7, of the Consumer Code and Article 9, paragraph 2, letter a), of the Regulation;</w:t>
      </w:r>
    </w:p>
    <w:p>
      <w:r>
        <w:t>c) that the company Finanza e Previdenza S.r.l.,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r>
    </w:p>
    <w:p>
      <w:r>
        <w:t>Filippo Arena Roberto Rustichelli</w:t>
      </w:r>
    </w:p>
    <w:p>
      <w:r>
        <w:t>62 BULLETIN NO. 41 OF OCTOBER 19, 2020</w:t>
      </w:r>
    </w:p>
    <w:p>
      <w:r>
        <w:t>PS11742 - DEBT SOLUTION - VARIOUS CONDUCTS</w:t>
      </w:r>
    </w:p>
    <w:p>
      <w:r>
        <w:t>Provision No. 28370</w:t>
      </w:r>
    </w:p>
    <w:p>
      <w:r>
        <w:t>THE COMPETITION AND MARKET AUTHORITY</w:t>
      </w:r>
    </w:p>
    <w:p>
      <w:r>
        <w:t>IN ITS MEETING of September 30, 2020;</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procedure;</w:t>
      </w:r>
    </w:p>
    <w:p>
      <w:r>
        <w:t>I. THE PARTY</w:t>
      </w:r>
    </w:p>
    <w:p>
      <w:r>
        <w:t>1. Soluzionedebito S.r.l.s. (hereinafter also Soluzionedebito, Party, Company, or Professional), with registered office in Rome, as a professional pursuant to Article 18 letter b) of the Consumer Code. The Company operates nationwide and offers consulting and intermediation services in the sector of resolving contentious debt situations.</w:t>
      </w:r>
    </w:p>
    <w:p>
      <w:r>
        <w:t>II. THE COMMERCIAL PRACTICE</w:t>
      </w:r>
    </w:p>
    <w:p>
      <w:r>
        <w:t>2. The provision concerns the promotion of paid consulting and intermediation services offered to debtor consumers by Soluzionedebito.</w:t>
      </w:r>
    </w:p>
    <w:p>
      <w:r>
        <w:t>3. The activity carried out by the Professional is presented on the website in such a way as to lead consumers to believe that it is always possible, for debtors who avail themselves of the consulting and intermediation activity of the Company, to extinguish or restructure their debts and, substantially, to conclude positive transactions with their creditors, in the absence of specific indications on the limits and uncertainty of the outcomes of the action taken, as well as indications of the costs required in such a way as to place the consumer in a position to make a fully informed choice1.</w:t>
      </w:r>
    </w:p>
    <w:p>
      <w:r>
        <w:t>III. THE OUTCOMES OF THE PROCEDURE</w:t>
      </w:r>
    </w:p>
    <w:p>
      <w:r>
        <w:t>1. The course of the procedure</w:t>
      </w:r>
    </w:p>
    <w:p>
      <w:r>
        <w:t>4. In relation to the conduct described above, on April 7, 2020, Soluzionedebito S.r.l.s. was notified of the initiation of investigative procedure No. PS11742 for possible violation of Articles 20, 21 paragraph 1 letters b) and c) and 22 paragraph 1 of the Consumer Code2.</w:t>
      </w:r>
    </w:p>
    <w:p>
      <w:r>
        <w:t xml:space="preserve">1 See Docs. NN. 1 and 2. </w:t>
        <w:br/>
        <w:t>2 See Doc. N. 3.</w:t>
      </w:r>
    </w:p>
    <w:p>
      <w:r>
        <w:rPr>
          <w:b/>
        </w:rPr>
        <w:t>[Pages 61–63]</w:t>
      </w:r>
    </w:p>
    <w:p>
      <w:r>
        <w:t>BULLETIN NO. 41 OF OCTOBER 19, 2020 63</w:t>
      </w:r>
    </w:p>
    <w:p>
      <w:r>
        <w:t>5. On July 7, 2020, official inspections were carried out on the company's website of the Professional, and the relevant web pages were acquired for the proceedings3, supplementing the findings made on April 3, 20204.</w:t>
      </w:r>
    </w:p>
    <w:p>
      <w:r>
        <w:t>6. On June 19, 2020, the Professional was requested, pursuant to Article 27, paragraph 5 of the Consumer Code and Article 15 of the Regulation, to provide evidence regarding the material accuracy of the factual data related to the commercial practice under investigation5, to which the Professional did not respond.</w:t>
      </w:r>
    </w:p>
    <w:p>
      <w:r>
        <w:t>7. On July 15, 2020, the Party was notified of the conclusion date of the investigative phase pursuant to Article 16, paragraph 1, of the Regulation6.</w:t>
      </w:r>
    </w:p>
    <w:p>
      <w:r>
        <w:t>8. On August 20, 2020, pursuant to and for the effects of Article 27, paragraph 6 of the Consumer Code, a request for an opinion was sent to the Authority for Communications Guarantees7. The opinion of the sector Authority was received on September 11, 20208.</w:t>
      </w:r>
    </w:p>
    <w:p>
      <w:r>
        <w:t>2. The evidence acquired</w:t>
      </w:r>
    </w:p>
    <w:p>
      <w:r>
        <w:t>9. In relation to the conduct subject to the proceedings, a report was received from the Association Emergency Debts, forwarded through the Guardia di Finanza on February 17, 20209. It denounces the presence, on the Company's website, of information likely to confuse and alter the opinion of potential clients – consisting of individuals in debt distress – regarding the consulting activities carried out by Soluzionedebito and the possibilities for resolving the positions of debtors.</w:t>
      </w:r>
    </w:p>
    <w:p>
      <w:r>
        <w:t>10. Specifically, the activity carried out by the Company is presented on the site, leading consumers to believe that Soluzionedebito is capable of resolving, in any case, their debt situation, claiming from the homepage that, through the Company's consulting, it is possible to reduce debt and recover "significant amounts on unjustly paid interest"10, especially through the effective and guaranteed tool of "settlement and write-off" to amicably achieve debt recovery11.</w:t>
      </w:r>
    </w:p>
    <w:p>
      <w:r>
        <w:t>11. The nature and results of the consulting services offered by Soluzionedebito to debtors, protested individuals, and bad payers are emphasized, without any reference to costs, namely those who, being in particular conditions of economic and/or financial difficulty, are unable to extinguish their debts to their creditors. These are consulting services for debt restructuring, for concluding transactions with creditors, for removal from the databases of bad payers and protested individuals.</w:t>
      </w:r>
    </w:p>
    <w:p>
      <w:r>
        <w:t>3 Cfr. Doc. N. 6.</w:t>
        <w:br/>
        <w:t>4 Cfr. Doc. N. 2.</w:t>
        <w:br/>
        <w:t>5 Cfr. Doc. N. 5.</w:t>
        <w:br/>
        <w:t>6 Cfr. Doc. N. 7.</w:t>
        <w:br/>
        <w:t>7 Cfr. Doc. N. 8</w:t>
        <w:br/>
        <w:t>8 Cfr. Doc. N. 9</w:t>
        <w:br/>
        <w:t>9 Cfr. Doc. N. 1 attached to Annex A.</w:t>
        <w:br/>
        <w:t>10 Cfr. Docc. NN 2 and 6. On the homepage of the website www.zerodebitigroup.com it reads: “Reduce your debt. Recover significant amounts on unjustly paid interest.”</w:t>
        <w:br/>
        <w:t>11 Ibidem.</w:t>
      </w:r>
    </w:p>
    <w:p>
      <w:r>
        <w:t>64 BULLETIN NO. 41 OF OCTOBER 19, 2020</w:t>
      </w:r>
    </w:p>
    <w:p>
      <w:r>
        <w:t>12. On the landing page of the link "Reduce your debt" present on the homepage, it states: “In the case of disputed or distressed positions, an effective tool that allows closing a debt with a sum lower than the total amount is the 'Settlement and Write-off', that is, a transaction through which the interested parties amicably resolve the debt recovery in order to achieve, on one hand, a percentage reduction of the remaining sums that the debtor must pay to the bank or financial company, and on the other hand, to satisfy the creditor's requests who thus agrees to waive any enforcement procedures against the debtor. [...] The settlement and write-off of debts is a very complex procedure; experience and 'negotiating power' are essential, one must know the legal provisions in the matter and the right strategies to follow”12.</w:t>
      </w:r>
    </w:p>
    <w:p>
      <w:r>
        <w:t>13. As evidenced by the documentation on file, on the landing pages of the links "Loans to Bad Payers" and "Cancellation of Protests" present on the homepage, it states that Soluzionedebito is capable of obtaining the removal from the list of debtors and their complete rehabilitation, “obliging BY FORCE OF LAW any database to delete the protest or protests of checks and promissory notes from any archive”13.</w:t>
      </w:r>
    </w:p>
    <w:p>
      <w:r>
        <w:t>14. Furthermore, the following information is absent:</w:t>
        <w:br/>
        <w:t>- a detailed description of each activity that can be provided regarding specific debt situations;</w:t>
        <w:br/>
        <w:t>- the economic conditions for each service;</w:t>
        <w:br/>
        <w:t>- additional expenses to be incurred (administrative and otherwise), in addition to the fee due to the Company;</w:t>
        <w:br/>
        <w:t>- indications on the specific preliminary conditions of potential clients, necessary to allow the Company to undertake actions useful for achieving a positive solution for consumers' debt situations, and on the fact that the outcome of such actions depends, in any case, on the willingness of the creditor counterpart.</w:t>
      </w:r>
    </w:p>
    <w:p>
      <w:r>
        <w:t>15. The Professional did not provide any response to the request for information made concurrently with the communication of the initiation of the proceedings.</w:t>
      </w:r>
    </w:p>
    <w:p>
      <w:r>
        <w:t>16. Therefore, considering it necessary to request Soluzionedebito, pursuant to Article 27, paragraph 5, of the Consumer Code, to demonstrate the accuracy of the factual data related to the commercial practice under examination, the Professional was invited to produce suitable documentation aimed at demonstrating the specific intermediation and consulting activity offered to debtor consumers from July 2018 to the present. In particular, the Company was requested to provide a schedule of fees for each specific activity and/or service offered, indicating the sums actually collected during the same period and the elements to prove the positive outcome of the services advertised on the site14.</w:t>
      </w:r>
    </w:p>
    <w:p>
      <w:r>
        <w:t>17. The Professional did not respond to the burden of proof referred to in the previous point, nor did he provide or send during the procedural process any information, memorandum, or documentation regarding the contested conduct.</w:t>
      </w:r>
    </w:p>
    <w:p>
      <w:r>
        <w:t>18. Taking into account the evidence acquired in the records through reports and official findings, it was possible to ascertain that the conduct has been carried out at least since July 201815, and is still ongoing16.</w:t>
      </w:r>
    </w:p>
    <w:p>
      <w:r>
        <w:t>IV. OPINION OF THE AUTHORITY FOR COMMUNICATIONS GUARANTEES</w:t>
      </w:r>
    </w:p>
    <w:p>
      <w:r>
        <w:t>19. On August 20, 202017, a request for an opinion was sent to the Authority for Communications Guarantees, pursuant to Article 27, paragraph 6, of the Consumer Code since the conduct subject to this provision was carried out via the Internet.</w:t>
      </w:r>
    </w:p>
    <w:p>
      <w:r>
        <w:t>20. On September 11, 2020, the opinion18 of the aforementioned Authority was received, which, in its formulation, highlighted that “the Internet is a global communication network, capable of quickly offering the user a wide range of potential information likely to influence their behavior. […] In 2019, 67.9% of the population aged 6 years and older used the Internet daily and […] 57.2% of users aged 14 and older made purchases online […]”, estimating “over 20 million people who made online purchases, with a 9% year-on-year growth. […] The means of communication used is suitable for developing a significant impact on consumers who, based on the information contained on the professional's site, could be induced to make a commercial decision that they otherwise would not have made, thus concretely developing the full promotional potential of online communication.”</w:t>
      </w:r>
    </w:p>
    <w:p>
      <w:r>
        <w:t>21. Therefore, considering that the conduct was carried out on the web, the Authority for Communications Guarantees believes that “in this case, the Internet is a suitable tool to significantly influence the realization of the commercial practice for which an opinion is requested from this Authority”19.</w:t>
      </w:r>
    </w:p>
    <w:p>
      <w:r>
        <w:t>V. CONCLUDING EVALUATIONS</w:t>
      </w:r>
    </w:p>
    <w:p>
      <w:r>
        <w:t>22. The proceedings concern the conduct carried out by Soluzionedebito related to the promotion, via the internet, of paid consulting and intermediation services offered by it.</w:t>
      </w:r>
    </w:p>
    <w:p>
      <w:r>
        <w:t>14 Cfr. Doc. N. 5.</w:t>
        <w:br/>
        <w:t>15 Cfr. Doc. N. 1, Annex A, attachment 1, Report of the Association Emergency Debts of July 11, 2018.</w:t>
        <w:br/>
        <w:t>16 Cfr. Doc. N. 6.</w:t>
        <w:br/>
        <w:t>17 Cfr. Doc. N. 8.</w:t>
        <w:br/>
        <w:t>18 Cfr. Doc. N. 9.</w:t>
        <w:br/>
        <w:t>19 Ibidem.</w:t>
      </w:r>
    </w:p>
    <w:p>
      <w:r>
        <w:rPr>
          <w:b/>
        </w:rPr>
        <w:t>[Pages 64–66]</w:t>
      </w:r>
    </w:p>
    <w:p>
      <w:r>
        <w:t>66 BULLETIN NO. 41 OF OCTOBER 19, 2020</w:t>
      </w:r>
    </w:p>
    <w:p>
      <w:r>
        <w:t>offered to debtor consumers to positively resolve their debt situations with creditors and the related consequences.</w:t>
      </w:r>
    </w:p>
    <w:p>
      <w:r>
        <w:t>23. The investigative activity has allowed for the ascertainment that, within the scope of this promotional activity via the web, information is omitted and/or partial or blatantly untrue information is provided that induces or is likely to induce the debtor consumer, who is also in a particular condition of economic difficulty and emotional fragility, to make a commercial decision that they would not otherwise have made.</w:t>
      </w:r>
    </w:p>
    <w:p>
      <w:r>
        <w:t>24. In fact, the evidence on file shows that the Professional has placed particular emphasis on the effectiveness of the services offered, thereby inducing consumers to avail themselves of the consultancy and intermediation of Soluzionedebito, in order to resolve their particular debt situations and avoid the related consequences, as well as to pay the Company the amounts requested and not indicated on the site for the provision of such services which, contrary to what is claimed, cannot, in reality, always be guaranteed given the uncertainty arising from the specific debt situation, the complexity of the procedures involved, and, in any case, the availability of the creditor.</w:t>
      </w:r>
    </w:p>
    <w:p>
      <w:r>
        <w:t>25. First of all, on the homepage of the Company's website, the necessity that the formulation of resolution proposals requires a careful assessment of the debt distress condition of each individual is not immediately highlighted. A reference to this circumstance is included only within the page relating to debt reduction. The debtor consumer is informed at this point of the impossibility of establishing "rules" and determining in advance the percentage of reduction of the amounts owed that the Company will be able to obtain from the creditor since "each situation is different," but certainly, the possibility of obtaining a reduction is not called into question.</w:t>
      </w:r>
    </w:p>
    <w:p>
      <w:r>
        <w:t>26. The advertising messages present on the professional's website, such as "reduce your debt," tend to lead non-compliant consumers to believe that, through the intermediation of the Company, debt reduction is a certainty and not a mere eventuality dependent on the specific debt situation of each individual and the willingness of the creditor, just as there is a certainty of obtaining the granting of further loans, even if consumers were classified as "bad payers." It is not specified that this circumstance could only occur with the lender's consent, offering particular guarantees and/or according to certain modalities (assignment of one-fifth, payment delegation, guarantee of a third co-obligor).</w:t>
      </w:r>
    </w:p>
    <w:p>
      <w:r>
        <w:t>27. Furthermore, the achievement of the "settlement" of one's debt, as well as the "cancellation of protests from specific databases," contrary to how they are presented on the site, are not guaranteed operations, for which "experience and negotiation power" would suffice, in addition to knowledge of "legal provisions in the matter and [the] right strategies to follow," skills and knowledge that the Company would be able to offer. This is also in light of the sector regulations, specifically Article 17 of Law No. 108 of 1996 on the cancellation from the Register of Protests and Articles 6-20 of Law No. 3 of 2012 relating to the procedure for the resolution of over-indebtedness crises, which provide for long and complex procedures involving third parties with respect to the debtor and the creditor.</w:t>
      </w:r>
    </w:p>
    <w:p>
      <w:r>
        <w:t>28. In general, the results emphatically promoted by the Professional appear abstract and conditioned by various factors while, instead, the consumer is led to believe they are easily and immediately achievable.</w:t>
      </w:r>
    </w:p>
    <w:p>
      <w:r>
        <w:t>BULLETIN NO. 41 OF OCTOBER 19, 2020 67</w:t>
      </w:r>
    </w:p>
    <w:p>
      <w:r>
        <w:t>29. Soluzionedebito tends to highlight, among other things, that the bank or financial company with which the debt was contracted prefers to obtain "immediately" the recovery of part of the debt rather than "undertake a long and uncertain judicial recovery process with the risk of not getting back either the entire capital granted as financing or the expenses and interests."</w:t>
      </w:r>
    </w:p>
    <w:p>
      <w:r>
        <w:t>30. It is evident that information of this kind can only generate in the debtor consumer the conviction regarding the positive outcome of the initiatives undertaken by Soluzionedebito on their behalf.</w:t>
      </w:r>
    </w:p>
    <w:p>
      <w:r>
        <w:t>31. It is also undeniable that expressions such as "recovery of significant sums on unjustly paid interest," "negotiation power" that the Company attributes to itself, the ability to "legally compel any database to cancel the protest of checks and promissory notes," used on the site, can easily lead individuals exposed to a situation of debt distress and in a state of strong emotional fragility to make the decision to seek assistance from the consultants of Soluzionedebito, given also the absence of necessary elements to adequately weigh that decision.</w:t>
      </w:r>
    </w:p>
    <w:p>
      <w:r>
        <w:t>32. In fact, only the alleged capabilities and skills of the Company regarding the resolution of debt disputes and the related consequences are highlighted, but important information is also omitted: the detailed description of the activities that can be provided regarding specific debt situations; the fee requested by the Company for the services offered, even in percentage form relative to the debt, and the additional expenses to be incurred (administrative and otherwise).</w:t>
      </w:r>
    </w:p>
    <w:p>
      <w:r>
        <w:t>33. Such information is fundamental for the debtor consumer in order to allow them to adequately assess the commitment that the Company undertakes regarding their specific situation, the actual guarantees it can offer to the debtor, the appropriateness between the service offered and the cost requested, and the additional economic burdens necessary, so that their decision is informed regarding the real economic advantage of the consultancy offered.</w:t>
      </w:r>
    </w:p>
    <w:p>
      <w:r>
        <w:t>34. The Professional, finally, has not provided any evidence to meet the burden of proof, nor has it sent, during the investigative activity, documentation proving the effectiveness of its actions and the results it is able to achieve. Therefore, the factual premises underlying its statements on the site must be considered non-compliant with the statements themselves.</w:t>
      </w:r>
    </w:p>
    <w:p>
      <w:r>
        <w:t>35. In conclusion, the conduct carried out by Soluzionedebito regarding the promotion of the activities offered, as presented on the website www.zerodebitigroup.com, taking into account also the particular target of consumers to whom it is addressed, consists of disseminating information that does not correspond to the truth regarding the positive resolution of debt disputes, as well as omitting all those economic and technical information necessary for debtor consumers to make an informed decision.</w:t>
      </w:r>
    </w:p>
    <w:p>
      <w:r>
        <w:t>36. The Company Soluzionedebito has, therefore, not reserved the necessary attention to the quality, completeness, and correctness of the information presented on its site regarding the services that it actually offers and guarantees to consumers.</w:t>
      </w:r>
    </w:p>
    <w:p>
      <w:r>
        <w:t>37. Such conduct constitutes, therefore, a violation of Articles 21, paragraph 1, letters b) and c), and 22, paragraph 1 of the Consumer Code, as it is likely to mislead the average consumer and lead them to make a commercial decision that they would not otherwise have made.</w:t>
      </w:r>
    </w:p>
    <w:p>
      <w:r>
        <w:t>V. QUANTIFICATION OF THE SANCTION</w:t>
      </w:r>
    </w:p>
    <w:p>
      <w:r>
        <w:t>38. Pursuant to Article 27, paragraph 9, with the provision that prohibits practices carried out in violation of Articles 20 et seq. of the Consumer Code, the Authority orders the application of an administrative pecuniary sanction from €5,000 to €5,000,000, taking into account the severity and duration of the violation.</w:t>
      </w:r>
    </w:p>
    <w:p>
      <w:r>
        <w:t>39.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40. With regard to the severity of the violation, account is taken, in the case at hand, of the misleading profile that characterized the promotional phase of Soluzionedebito's activity, based on the omission of information concerning the services and the related costs requested for them and also on the communication of untrue information regarding the certainly positive outcome of the actions it has undertaken.</w:t>
      </w:r>
    </w:p>
    <w:p>
      <w:r>
        <w:t>41. Furthermore, account is taken of the modest economic size of the professional, considering the revenues of Soluzionedebito as of December 31, 2017, amounting to €65,530.</w:t>
      </w:r>
    </w:p>
    <w:p>
      <w:r>
        <w:t>42. As for the duration of the violation, from the elements available in the records, it appears that the conduct has been carried out at least since July 2018, and is still ongoing.</w:t>
      </w:r>
    </w:p>
    <w:p>
      <w:r>
        <w:t>43. Based on the aforementioned elements, it is deemed appropriate to determine the amount of the administrative pecuniary sanction applicable to Soluzionedebito in the amount of €10,000 (ten thousand euros).</w:t>
      </w:r>
    </w:p>
    <w:p>
      <w:r>
        <w:t>CONSIDERED, therefore, in accordance with the opinion of the Authority for Guarantees in Communications and based on and within the limits of the considerations set forth, that the conduct described in paragraph II constitutes a violation of Articles 21, paragraph 1, letters b) and c), and 22, paragraph 1 of the Consumer Code for the misleading nature of the information and the omissions related to the promotion of paid consultancy and intermediation services offered to debtor consumers;</w:t>
      </w:r>
    </w:p>
    <w:p>
      <w:r>
        <w:t>RESOLVES</w:t>
      </w:r>
    </w:p>
    <w:p>
      <w:r>
        <w:t>a) that the conduct described in paragraph II of this provision, carried out by Soluzionedebito S.r.l.s., constitutes, for the reasons and within the limits set forth in the motivation, a violation of Articles 21, paragraph 1, letters b) and c), and 22, paragraph 1 of the Consumer Code, and prohibits its dissemination or reiteration;</w:t>
      </w:r>
    </w:p>
    <w:p>
      <w:r>
        <w:rPr>
          <w:b/>
        </w:rPr>
        <w:t>[Pages 67–69]</w:t>
      </w:r>
    </w:p>
    <w:p>
      <w:r>
        <w:t>BULLETIN NO. 41 OF OCTOBER 19, 2020 69</w:t>
      </w:r>
    </w:p>
    <w:p>
      <w:r>
        <w:t>b) to impose an administrative pecuniary sanction of €10,000 (ten thousand) on the company Soluzionedebito S.r.l.s.;</w:t>
      </w:r>
    </w:p>
    <w:p>
      <w:r>
        <w:t>c) that the professional communicates to the Authority, within sixty days from the notification of this provision, the initiatives taken in compliance with the warning referred to in point a).</w:t>
      </w:r>
    </w:p>
    <w:p>
      <w:r>
        <w:t>The administrative sanction imposed must be paid within thirty days from the notification of this provision, using the attached F24 model with identifying elements, as per Legislative Decree No. 241/1997.</w:t>
      </w:r>
    </w:p>
    <w:p>
      <w:r>
        <w:t>Payment must be made electronically by debiting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the role is transmitted to the collection agent; in this case, the increase absorbs the late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r>
    </w:p>
    <w:p>
      <w:r>
        <w:t>70 BULLETIN NO. 41 OF OCTOBER 19, 2020</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t>BULLETIN NO. 41 OF OCTOBER 19, 2020 71</w:t>
      </w:r>
    </w:p>
    <w:p>
      <w:r>
        <w:t>VARIOUS</w:t>
      </w:r>
    </w:p>
    <w:p>
      <w:r>
        <w:t>AMENDMENTS TO THE IMPLEMENTING REGULATION ON LEGALITY RATING</w:t>
      </w:r>
    </w:p>
    <w:p>
      <w:r>
        <w:t>Provision No. 28361</w:t>
      </w:r>
    </w:p>
    <w:p>
      <w:r>
        <w:t>THE COMPETITION AND MARKET AUTHORITY</w:t>
      </w:r>
    </w:p>
    <w:p>
      <w:r>
        <w:t>IN ITS MEETING of July 28, 2020;</w:t>
      </w:r>
    </w:p>
    <w:p>
      <w:r>
        <w:t>HAVING REGARD to Law No. 287 of October 10, 1990;</w:t>
      </w:r>
    </w:p>
    <w:p>
      <w:r>
        <w:t>HAVING REGARD to Article 5-ter of Decree-Law No. 1 of January 24, 2012, as amended by Article 1, paragraph 1-quinquies, of Decree-Law No. 29 of March 24, 2012, converted, with amendments, by Law No. 62 of May 18, 2012;</w:t>
      </w:r>
    </w:p>
    <w:p>
      <w:r>
        <w:t>HAVING REGARD to its implementing regulation on legality rating adopted by resolution of November 14, 2012, No. 24075;</w:t>
      </w:r>
    </w:p>
    <w:p>
      <w:r>
        <w:t>HAVING REGARD to its resolutions of June 5, 2014, No. 24953, September 24, 2014, No. 25121, December 4, 2014, No. 25207, July 13, 2016, No. 26166, and May 15, 2018, No. 27165, with which it was deemed necessary to amend the Regulation to ensure greater effectiveness of the control that the Authority is called to exercise in the issuance of the rating;</w:t>
      </w:r>
    </w:p>
    <w:p>
      <w:r>
        <w:t>HAVING REGARD to its resolution of December 20, 2019, with which it was deemed necessary to proceed with some amendments to the Regulation aimed at enhancing the rewarding nature of the institution, through the extension of the subjective and objective scope of application of the Regulation, the elimination of certain interpretative doubts of the Regulation, the adjustment of the Regulation to the intervening case law, and the simplification and clarification of the procedure;</w:t>
      </w:r>
    </w:p>
    <w:p>
      <w:r>
        <w:t>HAVING REGARD to the preliminary public consultation for the revision of the Regulation concerning Articles 1, 2, 4, 5, 6, 7, and 8;</w:t>
      </w:r>
    </w:p>
    <w:p>
      <w:r>
        <w:t>CONSIDERING it necessary to definitively approve the amendments to the implementing regulation on legality rating adopted by resolution of May 15, 2018, No. 27165;</w:t>
      </w:r>
    </w:p>
    <w:p>
      <w:r>
        <w:t>RESOLVES</w:t>
      </w:r>
    </w:p>
    <w:p>
      <w:r>
        <w:t>to approve the amendments to the implementing regulation on legality rating, the text of which is attached and forms an integral part of this provision.</w:t>
      </w:r>
    </w:p>
    <w:p>
      <w:r>
        <w:rPr>
          <w:b/>
        </w:rPr>
        <w:t>[Pages 70–72]</w:t>
      </w:r>
    </w:p>
    <w:p>
      <w:r>
        <w:t>72 BULLETIN NO. 41 OF OCTOBER 19, 2020</w:t>
      </w:r>
    </w:p>
    <w:p>
      <w:r>
        <w:t>This provision is published in the Bulletin of the Authority for the Protection of Competition and the Market. The Regulation with the approved amendments is published in the Official Gazette and comes into force the day after its publication.</w:t>
      </w:r>
    </w:p>
    <w:p>
      <w:r>
        <w:t>THE SECRETARY GENERAL THE PRESIDENT</w:t>
        <w:br/>
        <w:t>Filippo Arena Roberto Rustichelli</w:t>
      </w:r>
    </w:p>
    <w:p>
      <w:r>
        <w:t>BULLETIN NO. 41 OF OCTOBER 19, 2020 73</w:t>
      </w:r>
    </w:p>
    <w:p>
      <w:r>
        <w:t>IMPLEMENTING REGULATION ON LEGALITY RATING</w:t>
        <w:br/>
        <w:t>(in implementation of Article 5-ter of Decree-Law No. 1 of January 24, 2012, as amended by Article 1, paragraph 1-quinquies, of Decree-Law No. 29 of March 24, 2012, converted, with amendments, by Law No. 62 of May 18, 2012)</w:t>
      </w:r>
    </w:p>
    <w:p>
      <w:r>
        <w:t>Article 1</w:t>
        <w:br/>
        <w:t>Definitions</w:t>
      </w:r>
    </w:p>
    <w:p>
      <w:r>
        <w:t>1. For the purposes of this Regulation, the following definitions apply:</w:t>
        <w:br/>
        <w:t>a) Authority, the Authority for the Protection of Competition and the Market, referred to in Article 10 of Law No. 287 of October 10, 1990;</w:t>
        <w:br/>
        <w:t>b) Enterprise, the enterprise (in individual or collective form) or entity that carries out business activities:</w:t>
        <w:br/>
        <w:t>i) having its operational headquarters in the national territory;</w:t>
        <w:br/>
        <w:t>ii) that has achieved a minimum turnover of two million euros, attributable to the last closed financial year in the year preceding the request for the issuance of the rating, referring to the individual enterprise or the group to which it belongs and resulting from the financial statements, regularly approved by the competent corporate body and published in accordance with the law;</w:t>
        <w:br/>
        <w:t>iii) that, at the date of the request for the rating, has been registered for at least two years in the business register or in the Economic and Administrative News Register (R.E.A.).</w:t>
      </w:r>
    </w:p>
    <w:p>
      <w:r>
        <w:t>Article 2</w:t>
        <w:br/>
        <w:t>Requirements for the attribution of the legality rating</w:t>
      </w:r>
    </w:p>
    <w:p>
      <w:r>
        <w:t>1. The enterprise referred to in Article 1, letter b), that intends to obtain the issuance of the legality rating must submit a specific application to the Authority signed by the legal representative and prepared by completing the form published on the Authority's website. The submission of the application must be made electronically, according to the instructions provided on the Authority's website.</w:t>
      </w:r>
    </w:p>
    <w:p>
      <w:r>
        <w:t>2. The enterprise must declare:</w:t>
        <w:br/>
        <w:t>a) if an individual enterprise, that no personal and/or asset prevention measures and no personal and/or asset precautionary measures have been adopted against its owner, the institutor, the technical director, and the attorneys, endowed with decision-making and managerial powers, derivable from the power of attorney and comparable to the powers of the owner or with delegation on matters related to the relevant crimes under this article, and that no conviction has been pronounced, or irrevocable criminal decree has been issued, or sentence of application of the penalty upon request has been pronounced, pursuant to Article 444 of the Code of Criminal Procedure, for the crimes referred to in Legislative Decree No. 231 of June 8, 2001, for tax crimes referred to in Legislative Decree No. 74 of March 10, 2000 and subsequent amendments, for crimes concerning health and safety in the workplace referred to in Legislative Decree No. 81 of April 9, 2008, for the crimes referred to in Articles 346-bis, 353, 353-bis, 354, 355, 356, 512-bis, 629, and 644 of the Penal Code, for the crime referred to in Article 216 of Royal Decree No. 267 of March 16, 1942, and for the crime referred to in Article 2, paragraphs 1 and 1-bis of Decree-Law No. 463 of September 12, 1983, converted into Law No. 638 of November 11, 1983; that no criminal action has been initiated pursuant to Article 405 of the Code of Criminal Procedure for aggravated crimes pursuant to Article 416 bis.1 of the Penal Code. The same declaration must also be made in reference to all natural persons, key figures of the enterprise, as identified above, whose office and/or position has ceased in the year preceding the request for the rating;</w:t>
      </w:r>
    </w:p>
    <w:p>
      <w:r>
        <w:t>b) if a collective enterprise, that no personal and/or asset prevention measures and no personal and/or asset precautionary measures have been adopted against its directors, the institutor, the general director, the technical director, the attorneys, endowed with decision-making and managerial powers, derivable from the power of attorney and comparable to those of the directors endowed with representation powers or with delegation on matters related to the relevant crimes under this article, the legal representative, as well as the shareholders who are natural persons holding majority or controlling interests, and that no conviction has been pronounced, or irrevocable criminal decree has been issued, or sentence of application of the penalty upon request has been pronounced, pursuant to Article 444 of the Code of Criminal Procedure, for the crimes referred to in Legislative Decree No. 231 of June 8, 2001, for tax crimes referred to in Legislative Decree No. 74 of March 10, 2000 and subsequent amendments, for crimes concerning health and safety in the workplace referred to in Legislative Decree No. 81 of April 9, 2008, for the crimes referred to in Articles 346-bis, 353, 353-bis, 354, 355, 356, 512-bis, 629, and 644 of the Penal Code, for the crime referred to in Article 216 of Royal Decree No. 267 of March 16, 1942, and for the crime referred to in Article 2, paragraphs 1 and 1-bis of Decree-Law No. 463 of September 12, 1983, converted into Law No. 638 of November 11, 1983; that no criminal action has been initiated pursuant to Article 405 of the Code of Criminal Procedure for aggravated crimes pursuant to Article 416 bis.1 of the Penal Code. The same declaration must also be made in reference to all natural persons, key figures of the enterprise, as identified above, whose office and/or position has ceased in the year preceding the request for the rating;</w:t>
      </w:r>
    </w:p>
    <w:p>
      <w:r>
        <w:t>b bis) if it is a corporate entity and is controlled or subject to direction and coordination by another company or entity, that no personal and/or asset prevention measures and no personal and/or asset precautionary measures have been adopted against the directors of the controlling company or the company or entity exercising direction and coordination: i) that no conviction has been pronounced, or irrevocable criminal decree has been issued, or sentence of application of the penalty upon request has been pronounced, pursuant to Article 444 of the Code of Criminal Procedure, for the crimes referred to in Legislative Decree No. 231 of June 8, 2001, for tax crimes referred to in Legislative Decree No. 74 of March 10, 2000 and subsequent amendments, for crimes concerning health and safety in the workplace referred to in Legislative Decree No. 81 of April 9, 2008, for the crimes referred to in Articles 346-bis, 353, 353-bis, 354, 355, 356, 512-bis, 629, and 644 of the Penal Code, for the crime referred to in Article 216 of Royal Decree No. 267 of March 16, 1942, and for the crime referred to in Article 2, paragraphs 1 and 1-bis of Decree-Law No. 463 of September 12, 1983, converted into Law No. 638 of November 11, 1983;</w:t>
      </w:r>
    </w:p>
    <w:p>
      <w:r>
        <w:rPr>
          <w:b/>
        </w:rPr>
        <w:t>[Pages 73–75]</w:t>
      </w:r>
    </w:p>
    <w:p>
      <w:r>
        <w:t>BULLETIN NO. 41 OF OCTOBER 19, 2020 75</w:t>
      </w:r>
    </w:p>
    <w:p>
      <w:r>
        <w:t xml:space="preserve">ii) no criminal action has been initiated pursuant to Article 405 of the Code of Criminal Procedure for aggravated crimes under Article 416 bis.1 of the Penal Code;  </w:t>
        <w:br/>
        <w:t xml:space="preserve">iii) the same declaration referred to in this paragraph must also be made with respect to all natural persons, key figures of the company, as identified above, whose office and/or position has ceased in the year preceding the request for rating.  </w:t>
        <w:br/>
        <w:t xml:space="preserve">c) that no conviction has been pronounced against them, no sentence of application of the penalty upon request, pursuant to Article 444 of the Code of Criminal Procedure, and no precautionary measures have been adopted for administrative offenses arising from the crimes referred to in Legislative Decree No. 231 of June 8, 2001;  </w:t>
        <w:br/>
        <w:t xml:space="preserve">d) that they are not the subject of condemnation measures from the Authority and the European Commission for serious antitrust violations, which have become unchallengeable or confirmed by a final judgment in the two years preceding the request for rating, except in the case of non-imposition or reduction of the administrative pecuniary sanction, following cooperation provided within a national or European leniency program;  </w:t>
        <w:br/>
        <w:t xml:space="preserve">d bis) that they are not the subject of condemnation measures from the Authority for unfair commercial practices, pursuant to Article 21, paragraphs 3 and 4, of the Consumer Code and for non-compliance with the provisions of the Authority, pursuant to Article 27, paragraph 12, of the Consumer Code, which have become unchallengeable or confirmed by a final judgment in the two years preceding the request for rating;  </w:t>
        <w:br/>
        <w:t xml:space="preserve">e) that they are not the subject of measures from the competent Authority for ascertaining non-compliance with the obligation to pay taxes and duties and for ascertaining violations regarding wage, contribution, and insurance obligations and obligations related to tax withholdings concerning their employees and collaborators, which have become unchallengeable or confirmed by a final judgment in the two years preceding the request for rating. Acts of ascertainment for which, in cases provided for by law, payment has been made following adherence or acquiescence are excluded;  </w:t>
        <w:br/>
        <w:t xml:space="preserve">f) that they are not the subject of measures from the competent Authority for ascertaining non-compliance with legal provisions regarding health and safety protection in the workplace, which have become unchallengeable or confirmed by a final judgment in the two years preceding the request for rating, excluding procedural acts;  </w:t>
        <w:br/>
        <w:t>g) to make payments and financial transactions exceeding the threshold set by the law in force regarding the regulation of cash use, exclusively through traceable payment instruments, also according to the methods provided in Determination No. 4 of July 7, 2011, of the Authority for the Supervision of Public Contracts;</w:t>
      </w:r>
    </w:p>
    <w:p>
      <w:r>
        <w:t xml:space="preserve">76 BULLETIN NO. 41 OF OCTOBER 19, 2020  </w:t>
        <w:br/>
        <w:t xml:space="preserve">h) that they are not the subject of revocation measures of public funding of which they are or have been beneficiaries, for which the obligations of restitution have not been fulfilled, which have become unchallengeable or confirmed by a final judgment in the two years preceding the request for rating;  </w:t>
        <w:br/>
        <w:t xml:space="preserve">i) that they are not the subject of sanctioning measures from ANAC regarding the prevention of corruption, transparency, and public contracts of a pecuniary and/or prohibitive nature and that there are no annotations in the Business Computer Register referred to in Article 213, paragraph 10, of Legislative Decree No. 50 of April 18, 2016, that imply prohibitions on entering into contracts with the Public Administration or participating in tender procedures or awarding public contracts for works, services, or supplies that have become unchallengeable or confirmed by a final judgment in the two years preceding the request for rating;  </w:t>
        <w:br/>
        <w:t xml:space="preserve">l) if a collective enterprise, not to be controlled de jure or de facto by foreign companies or entities, for which, by virtue of the legislation of the State in which they are based, it is not possible to identify the subjects holding ownership shares of the capital or otherwise controlling, unless the company that has submitted the application is able to provide information on the aforementioned subjects.  </w:t>
        <w:br/>
        <w:t xml:space="preserve">3. The legality rating cannot be granted to companies:  </w:t>
        <w:br/>
        <w:t xml:space="preserve">a) recipients of communications or prohibitive anti-mafia information, unless their relative effectiveness has been suspended;  </w:t>
        <w:br/>
        <w:t xml:space="preserve">b) against which the appointment of a commissioner has been ordered pursuant to Article 32, paragraph 1, or pursuant to Article 32, paragraph 10, of Legislative Decree No. 90 of June 24, 2014, converted, with amendments, by Law No. 114 of August 11, 2014, limited to the period of effectiveness of the related provision.  </w:t>
        <w:br/>
        <w:t xml:space="preserve">4. After five years from the final judgment of the sentence or the conviction measure, the rating may be granted if:  </w:t>
        <w:br/>
        <w:t xml:space="preserve">a) against the subjects referred to in paragraph 2, letters a) and b), no criminal action has been initiated, pursuant to Article 405 of the Code of Criminal Procedure, for aggravated crimes under Article 416 bis.1 of the Penal Code, no precautionary measures have been adopted, preventive measures have not been issued, and no conviction measures or sentences, even non-definitive, have been issued pursuant to this article;  </w:t>
        <w:br/>
        <w:t xml:space="preserve">b) against the company, no conviction sentences, sentences of application of the penalty upon request, pursuant to Article 444 of the Code of Criminal Procedure, and precautionary measures referred to in paragraph 2, letter c) of this article have been issued, and the additional required conditions are met. The company must also demonstrate total dissociation of the current structure from the definitively ascertained crimes.  </w:t>
        <w:br/>
        <w:t xml:space="preserve">5. Notwithstanding the provisions of paragraph 2, letters a), b), and c), the rating may be granted if:  </w:t>
        <w:br/>
        <w:t>a) the company subject to seizure or confiscation pursuant to Article 12-sexies of Legislative Decree No. 306 of June 8, 1992, converted, with amendments, by Law No. 356 of August 7, 1992, has been entrusted to a custodian or judicial or financial administrator for the purpose of continuing or resuming productive activity;</w:t>
      </w:r>
    </w:p>
    <w:p>
      <w:r>
        <w:t xml:space="preserve">BULLETIN NO. 41 OF OCTOBER 19, 2020 77  </w:t>
        <w:br/>
        <w:t xml:space="preserve">b) the company subject to a precautionary asset measure of seizure or confiscation pursuant to Legislative Decree No. 159 of September 6, 2011, has been entrusted to a judicial administrator for the purpose of continuing or resuming productive activity;  </w:t>
        <w:br/>
        <w:t xml:space="preserve">c) the business assets subject to definitive confiscation have been allocated for rent or sale in favor of public or private companies for the purpose of continuing or resuming productive activity by provision of the National Agency for the administration, management, and allocation of assets seized and confiscated from organized crime, pursuant to Article 48, paragraph 8 of Legislative Decree No. 159 of September 6, 2011;  </w:t>
        <w:br/>
        <w:t xml:space="preserve">d) the controlling interests of the company have been subject to seizure pursuant to the Code of Criminal Procedure with the appointment of a custodian or judicial administrator;  </w:t>
        <w:br/>
        <w:t xml:space="preserve">e) the company demonstrates that there has been complete and effective dissociation from the conduct carried out concerning the crimes that hinder the granting of the rating, held by the subjects referred to in paragraph 2, letters a) and b), who have ceased their positions in the year preceding the request for rating.  </w:t>
        <w:br/>
        <w:t xml:space="preserve">6. Notwithstanding the provisions of paragraph 2, letter e), the rating may also be granted if the ascertainment acts concern an amount not exceeding 0.5% of the sales and/or service revenues as resulting from item A1 of the income statement of the financial statements for the year relating to the same ascertainment. This amount, in any case, cannot exceed 50,000 euros, even in the case of multiple ascertainment measures, which occurred in the two years preceding the request for the issuance of the rating.  </w:t>
        <w:br/>
        <w:t xml:space="preserve">7. Notwithstanding the provisions of paragraph 2, letter f), the rating may also be granted if the ascertainment concerns an amount not exceeding 1,000 euros and, in any case, not exceeding 3,000 euros, in the case of multiple ascertainment measures, which occurred in the two years preceding the same request for rating.  </w:t>
        <w:br/>
        <w:t xml:space="preserve">Article 3  </w:t>
        <w:br/>
        <w:t xml:space="preserve">Evaluation of requirements  </w:t>
        <w:br/>
        <w:t xml:space="preserve">1. For the attribution of the legality rating, compliance with all the requirements referred to in Article 2, paragraphs 2 and 3, of this Regulation is necessary. In this case, the company is entitled to recognition of a base score of ★.  </w:t>
        <w:br/>
        <w:t xml:space="preserve">2. The base score will be increased by + for each of the following conditions:  </w:t>
        <w:br/>
        <w:t>a) adherence to protocols or agreements of legality aimed at preventing and combating the infiltration of organized crime in the legal economy, signed by the Ministry of the Interior or the Prefectures-UTG with business and trade associations;</w:t>
      </w:r>
    </w:p>
    <w:p>
      <w:r>
        <w:rPr>
          <w:b/>
        </w:rPr>
        <w:t>[Pages 76–78]</w:t>
      </w:r>
    </w:p>
    <w:p>
      <w:r>
        <w:t>78 BULLETIN NO. 41 OF OCTOBER 19, 2020</w:t>
      </w:r>
    </w:p>
    <w:p>
      <w:r>
        <w:t xml:space="preserve">b) use of payment traceability systems even for amounts lower than those set by law;  </w:t>
        <w:br/>
        <w:t xml:space="preserve">c) adoption of a function or organizational structure, even outsourced, that performs compliance control of business activities with the applicable legal provisions for the company or an organizational model pursuant to Legislative Decree No. 231 of June 8, 2001;  </w:t>
        <w:br/>
        <w:t xml:space="preserve">d) adoption of organizational processes aimed at ensuring forms of Corporate Social Responsibility, also through adherence to programs promoted by national or international organizations and the acquisition of sustainability indices;  </w:t>
        <w:br/>
        <w:t xml:space="preserve">e) being registered in one of the lists of suppliers, service providers, and contractors not subject to attempts of mafia infiltration established pursuant to current legal provisions (white list);  </w:t>
        <w:br/>
        <w:t xml:space="preserve">f) having adhered to ethical self-regulation codes adopted by trade associations or having included, in contracts with its clients, mediation clauses, when not mandatory by law, for the resolution of disputes or having adopted protocols between consumer associations and business associations for the implementation of parity conciliations;  </w:t>
        <w:br/>
        <w:t>g) having adopted organizational models for the prevention and contrast of corruption.</w:t>
      </w:r>
    </w:p>
    <w:p>
      <w:r>
        <w:t xml:space="preserve">3. The achievement of three plus signs (+) results in the allocation of an additional star (★), up to a maximum total score of ★★★.  </w:t>
        <w:br/>
        <w:t xml:space="preserve">4. For the purpose of increasing the base score, which in any case cannot exceed the maximum value referred to in the previous paragraph 3, the company may achieve a plus sign (+) if it demonstrates that it has reported to the judicial authority or law enforcement any of the crimes provided for in this Regulation, committed to the detriment of the entrepreneur or their family members and collaborators; the attribution of the plus sign (+) referred to in this paragraph is subject to the exercise of criminal action in relation to the reported criminal facts.  </w:t>
        <w:br/>
        <w:t>5. The score is reduced by one plus sign (+) if in the Business Computer Registry referred to in Article 213, paragraph 10, of Legislative Decree No. 50 of April 18, 2016, there are annotations that have become unchallengeable or confirmed, with a final judgment, in the two years preceding the rating request, which integrate conduct of serious negligence or gross error in the execution of contracts or serious contractual breaches, also with reference to compliance with safety regulations and obligations arising from the employment relationship. The assessment cannot, in any case, result in a reduction of the base score (equal to one star).</w:t>
      </w:r>
    </w:p>
    <w:p>
      <w:r>
        <w:t>BULLETIN NO. 41 OF OCTOBER 19, 2020 79</w:t>
      </w:r>
    </w:p>
    <w:p>
      <w:r>
        <w:t xml:space="preserve">Article 4  </w:t>
        <w:br/>
        <w:t xml:space="preserve">Possession of requirements  </w:t>
        <w:br/>
        <w:t xml:space="preserve">1. The possession of the requirements referred to in the previous Articles 2, paragraph 2 and 3, paragraphs 2 and 4, is certified by self-declaration of the legal representative of the company. The provisions that sanction, including criminally, false and misleading statements apply, in particular, those provided for by the Decree of the President of the Republic No. 445 of December 28, 2000.  </w:t>
        <w:br/>
        <w:t xml:space="preserve">2. The possession of the requirement referred to in Article 2, paragraph 3, letter a), is verified by the Authority also through direct consultation of the National Anti-Mafia Documentation Database, referred to in Articles 96 et seq. of Legislative Decree No. 159 of September 6, 2011 and subsequent amendments. The consultation methods are indicated in the agreement signed between the Ministry and the Authority.  </w:t>
        <w:br/>
        <w:t>3. The existence of annotations referred to in Article 3, paragraph 5 is verified by ANAC, through consultation of the Computer Registry established at the Observatory.</w:t>
      </w:r>
    </w:p>
    <w:p>
      <w:r>
        <w:t xml:space="preserve">Article 5  </w:t>
        <w:br/>
        <w:t xml:space="preserve">Procedure for the attribution of the legality rating  </w:t>
        <w:br/>
        <w:t xml:space="preserve">1. The Authority, upon proposal of the competent Directorate, resolves the attribution of the rating within sixty days from the receipt of the request.  </w:t>
        <w:br/>
        <w:t xml:space="preserve">2. In case of incompleteness of the submitted application, the Authority informs the company within fifteen days; in this case, the term referred to in paragraph 1 begins to run from the date of receipt of the complete request. In case of no response within thirty days from the receipt of the communication of incompleteness, the application itself is deemed rejected, without prejudice to the possibility for the company to resubmit the application.  </w:t>
        <w:br/>
        <w:t xml:space="preserve">2-bis. In any case, the Authority may request the company to provide relevant information and documents for the issuance of the rating.  </w:t>
        <w:br/>
        <w:t xml:space="preserve">3. Regarding the requests for the attribution of the rating received, the Authority promptly transmits to the National Anti-Corruption Authority – ANAC – the elements and information useful for the performance of the relevant checks. The aforementioned transmission preferably occurs in digital format. ANAC may formulate any observations within thirty days from receipt. In this case, the term referred to in paragraph 1 is extended by thirty days. ANAC collaborates with the Authority, pursuant to Article 213, paragraph 7, Legislative Decree No. 50 of April 18, 2016, for the detection of business behaviors worthy of evaluation for the purpose of rating attribution.  </w:t>
        <w:br/>
        <w:t>3-bis. For the purposes of evaluations for the issuance of the rating, the Authority may submit requests for information and/or opinions to the Ministries of the Interior and Justice on general issues and on individual aspects related to the applications received.</w:t>
      </w:r>
    </w:p>
    <w:p>
      <w:r>
        <w:t xml:space="preserve">80 BULLETIN NO. 41 OF OCTOBER 19, 2020  </w:t>
        <w:br/>
        <w:t xml:space="preserve">3-ter. If elements or behaviors objectively relevant for the evaluation of the requests for the attribution of the rating emerge or are reported by institutions responsible for legality control, also in terms of violation of diligence rules and failure to comply with the principles of legality informing the legal system, the Authority suspends the procedure for a period not exceeding twelve months, extendable for justified reasons in cases of particular severity, in order to carry out the necessary investigations.  </w:t>
        <w:br/>
        <w:t xml:space="preserve">3-quater. The Authority for investigative needs may extend the term referred to in paragraph 1 by a maximum of 60 days, providing justified communication to the requesting company.  </w:t>
        <w:br/>
        <w:t xml:space="preserve">4. Regarding the truthfulness of the statements provided by the legal representative of the company, the Authority may carry out the necessary checks, also requesting information from all public administrations on the existence of the requirements declared by the applicant for the attribution of the legality rating. The information requested from public administrations must be received within forty-five days from the request, after which the existence of the requirements declared by the companies is deemed confirmed. The request for information from public administrations suspends, for a period not exceeding forty-five days, the term referred to in the previous paragraph 1.  </w:t>
        <w:br/>
        <w:t xml:space="preserve">5. The existence of final convictions for the crimes referred to in Article 2, paragraph 2, of the Regulation is verified by the Authority through direct consultation of the information system of the criminal record referred to in Article 3 of the Decree of the President of the Republic No. 313 of November 14, 2002. Until the implementation of the interconnection with this information system, the verification will be carried out, on a sample basis, through the Ministry of Justice, by requesting the office of the criminal record in Rome.  </w:t>
        <w:br/>
        <w:t xml:space="preserve">6. The existence of pending charges for the crimes referred to in Article 2, paragraph 2, of the Regulation is verified by the Authority through direct consultation of the information system of pending charges, referred to in Article 6 of the Decree of the President of the Republic No. 313 of November 14, 2002. Until the implementation of this system, the verification will be carried out, on a sample basis, through the Ministry of Justice, by requesting the competent judicial offices.  </w:t>
        <w:br/>
        <w:t xml:space="preserve">7. The Authority communicates the outcome of the request to the applicant. In the case of a positive response, the Authority includes the company in the list referred to in the subsequent Article 8 of this Regulation.  </w:t>
        <w:br/>
        <w:t>8. The Authority, if it intends to deny the attribution of the rating, communicates to the company the reasons preventing the acceptance of the application. Within fifteen days from the receipt of the communication, the company has the right to submit its observations in writing. The communication referred to in the first sentence interrupts the deadlines for concluding the procedure, which begin to run again from the date of submission of the observations or, in the absence thereof, from the expiration of the term referred to in the second sentence.</w:t>
      </w:r>
    </w:p>
    <w:p>
      <w:r>
        <w:rPr>
          <w:b/>
        </w:rPr>
        <w:t>[Pages 79–81]</w:t>
      </w:r>
    </w:p>
    <w:p>
      <w:r>
        <w:t>BULLETIN NO. 41 OF OCTOBER 19, 2020 81</w:t>
      </w:r>
    </w:p>
    <w:p>
      <w:r>
        <w:t xml:space="preserve">Article 6  </w:t>
        <w:br/>
        <w:t xml:space="preserve">Duration, modification, renewal, cancellation, suspension, and revocation  </w:t>
        <w:br/>
        <w:t xml:space="preserve">1. The legality rating has a duration of two years from issuance and can be renewed upon request.  </w:t>
        <w:br/>
        <w:t xml:space="preserve">2. For the purpose of renewal, the company submits a specific application to the Authority, to be prepared and sent in accordance with the provisions of Article 2, paragraph 1.  </w:t>
        <w:br/>
        <w:t xml:space="preserve">2-bis. The renewal application may be submitted starting six months prior to the expiration of the rating. If the renewal application is submitted at least sixty days before the expiration, the rating retains its validity for all purposes until the date of adoption of the resolution by which the Authority decides on the request. In case of acceptance, the rating is confirmed for a new two-year period starting from the date of the relevant resolution; otherwise, the effects of the rating cease from the date of adoption of the resolution of non-acceptance.  </w:t>
        <w:br/>
        <w:t xml:space="preserve">2-ter. In the event of suspension of the procedure pursuant to Article 5, paragraph 3-ter, the effectiveness of the rating for which renewal is requested is suspended.  </w:t>
        <w:br/>
        <w:t xml:space="preserve">3. The Authority decides on requests for renewal of the legality rating and for an increase in the score by applying the procedure referred to in the previous Article 5.  </w:t>
        <w:br/>
        <w:t xml:space="preserve">4. In the event of loss of one of the requirements referred to in Article 2, the Authority, by its own provision, orders the revocation of the rating effective from the moment the requirement is no longer met. If the rating was issued based on false or misleading statements regarding elements other than the requirements referred to in Article 2, the Authority orders the revocation effective from the moment it becomes aware of the false or misleading nature of the statement.  </w:t>
        <w:br/>
        <w:t xml:space="preserve">4-bis. If the rating was issued or renewed in the absence of one or more of the requirements referred to in Article 2, the Authority orders the cancellation of the rating.  </w:t>
        <w:br/>
        <w:t xml:space="preserve">5. Upon the loss of one or more of the requirements referred to in Article 3, paragraph 2, the Authority orders the reduction of the assigned score.  </w:t>
        <w:br/>
        <w:t xml:space="preserve">6. In the event of the adoption of personal or asset precautionary measures within a criminal proceeding for one of the offenses referred to in Article 2 of this Regulation, the Authority orders the suspension of the rating until the precautionary measures remain in effect.  </w:t>
        <w:br/>
        <w:t>7. The Authority may order the suspension of the rating, in relation to the severity of the facts and the acquisition of further information regarding them, in the presence of one of the measures referred to in Article 2, paragraph 2, letters d), d) bis, e), f), h), and i) of this Regulation, where such measure is contested and until the final judgment of the judicial authority.</w:t>
      </w:r>
    </w:p>
    <w:p>
      <w:r>
        <w:t xml:space="preserve">82 BULLETIN NO. 41 OF OCTOBER 19, 2020  </w:t>
        <w:br/>
        <w:t xml:space="preserve">8. The Authority, before the formal adoption of the revocation, reduction of the score, suspension, or cancellation measure, communicates to the company the reasons that prevent the maintenance of the rating, the confirmation of the score already assigned, or that lead to its suspension or cancellation. Within fifteen days from the receipt of the communication, the company has the right to submit its written observations. The term referred to in Article 5, paragraph 1, starts from the date of submission of the observations or, in the absence thereof, from the expiration of the term referred to in the second period.  </w:t>
        <w:br/>
        <w:t>9. In the event of a request for information made pursuant to paragraph 7, the term referred to in Article 5 is interrupted until the requested information is received.</w:t>
      </w:r>
    </w:p>
    <w:p>
      <w:r>
        <w:t xml:space="preserve">Article 7  </w:t>
        <w:br/>
        <w:t xml:space="preserve">Information obligations  </w:t>
        <w:br/>
        <w:t xml:space="preserve">1. The requesting company or the company to which the rating has been attributed is required to communicate to the Authority:  </w:t>
        <w:br/>
        <w:t xml:space="preserve">a) events that affect the possession of the mandatory requirements referred to in Article 2 and those referred to in Article 6, paragraphs 6 and 7, the loss of premium requirements referred to in Article 3, paragraph 2, as well as the registration in the Business Information Registry of relevant annotations pursuant to Article 3, paragraph 5, of the Regulation, within ten days from their occurrence, if known immediately by the company, or from the notification of the relevant provisions;  </w:t>
        <w:br/>
        <w:t xml:space="preserve">b) changes in the data reported in its chamber certificates relevant for the issuance of the rating, within thirty days from their occurrence.  </w:t>
        <w:br/>
        <w:t xml:space="preserve">2. The violation of the obligations referred to in the previous paragraph results in the revocation referred to in Article 6, paragraph 4, of this Regulation, effective from the moment the requirement is no longer met or from the expiration of such communication obligations.  </w:t>
        <w:br/>
        <w:t xml:space="preserve">3. Except for the provisions of paragraph 2, the failure to communicate an event that has led to the emergence of an obstacle to the attribution/maintenance of the rating also entails the prohibition of submitting a new application before one year from the cessation of such obstacle, as established by the same Regulation.  </w:t>
        <w:br/>
        <w:t xml:space="preserve">4. In the event that the communicated event is relevant for the determination of the score, the Authority makes the necessary updates, accounting for them in the list referred to in Article 8. Such updates do not affect the expiration date of the rating.  </w:t>
        <w:br/>
        <w:t>5. The public administrations involved in verifying the requirements for the issuance of the legality rating, for the profiles of their competence, as soon as they become aware of them, communicate to the Authority any changes, as well as the events referred to in Article 6, paragraph 7, of this Regulation.</w:t>
      </w:r>
    </w:p>
    <w:p>
      <w:r>
        <w:t xml:space="preserve">BULLETIN NO. 41 OF OCTOBER 19, 2020 83  </w:t>
        <w:br/>
        <w:t xml:space="preserve">6. Each year, the Authority identifies a representative sample, evenly distributed across the national territory, equal to 10% of the companies holding the legality rating, and sends the list to the Guardia di Finanza to verify individual profiles of tax and contribution relevance. Within 60 days, the Guardia di Finanza communicates the results of the checks to the Authority.  </w:t>
        <w:br/>
        <w:t>7. The verification of changes in the possession of the requirements referred to in Article 2, paragraph 2, letters a), b), and c) of this Regulation is carried out according to the methods indicated in Article 5, paragraphs 5 and 6.</w:t>
      </w:r>
    </w:p>
    <w:p>
      <w:r>
        <w:t xml:space="preserve">Article 8  </w:t>
        <w:br/>
        <w:t xml:space="preserve">List of companies with legality rating  </w:t>
        <w:br/>
        <w:t xml:space="preserve">1. The Authority publishes and constantly updates in a specific section of its website the list of companies to which the legality rating has been attributed, suspended, revoked, or canceled, with the relevant effective date. The entries related to revocation and cancellation remain in the list until the expiration date of the rating or, in any case, for a period not less than six months.  </w:t>
        <w:br/>
        <w:t>2. The use of the Authority's logo is prohibited. In case of violation, the rating is suspended until the company has removed it.</w:t>
      </w:r>
    </w:p>
    <w:p>
      <w:r>
        <w:t xml:space="preserve">Article 9  </w:t>
        <w:br/>
        <w:t xml:space="preserve">Entry into force  </w:t>
        <w:br/>
        <w:t xml:space="preserve">1. This Regulation replaces the previous one approved by the Authority's resolution of May 15, 2018, No. 27165, published in the Official Gazette of the Italian Republic on May 28, 2018, No. 122.  </w:t>
        <w:br/>
        <w:t>2. This Regulation enters into force the day after its publication in the Official Gazette.</w:t>
      </w:r>
    </w:p>
    <w:p>
      <w:r>
        <w:rPr>
          <w:b/>
        </w:rPr>
        <w:t>[Pages 82–82]</w:t>
      </w:r>
    </w:p>
    <w:p>
      <w:r>
        <w:t xml:space="preserve">Antitrust Authority Weekly Bulletin  </w:t>
        <w:br/>
        <w:t xml:space="preserve">of Competition and Market Year XXX - No. 41 - 2020  </w:t>
        <w:br/>
        <w:t xml:space="preserve">Editorial Coordination Giulia Antenucci  </w:t>
        <w:br/>
        <w:t xml:space="preserve">Editorial Staff Sandro Cini, Valerio Ruocco, Simonetta Schettini,  </w:t>
        <w:br/>
        <w:t xml:space="preserve">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