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https://www.agcm.it/dotcmsdoc/bollettini/2021/41-21.pdf</w:t>
      </w:r>
    </w:p>
    <w:p>
      <w:r>
        <w:t>Pages translated : 105</w:t>
      </w:r>
    </w:p>
    <w:p/>
    <w:p>
      <w:r>
        <w:rPr>
          <w:b/>
        </w:rPr>
        <w:t>[Pages 1–3]</w:t>
      </w:r>
    </w:p>
    <w:p>
      <w:r>
        <w:t>Bulletin</w:t>
        <w:br/>
        <w:t>Weekly</w:t>
        <w:br/>
        <w:t>Year XXXI - No. 41</w:t>
        <w:br/>
        <w:t>Published on the website www.agcm.it</w:t>
        <w:br/>
        <w:t>October 18, 2021</w:t>
      </w:r>
    </w:p>
    <w:p>
      <w:r>
        <w:t>SUMMARY</w:t>
        <w:br/>
        <w:t>CONCENTRATION OPERATIONS 5</w:t>
        <w:br/>
        <w:t>C12396 - CC BEVERAGES HOLDINGS II - COMPONENTS OF THE VERGNANO FAMILY / CASA DEL CAFFÈ VERGNANO</w:t>
        <w:br/>
        <w:t>Decision No. 29834 5</w:t>
        <w:br/>
        <w:t>C12398 - F2I SGR / RELIFE</w:t>
        <w:br/>
        <w:t>Decision No. 29835 9</w:t>
        <w:br/>
        <w:t>C12373 - NEXI / SIA</w:t>
        <w:br/>
        <w:t>Decision No. 29839 13</w:t>
        <w:br/>
        <w:t>REPORTING AND CONSULTATIVE ACTIVITIES 68</w:t>
        <w:br/>
        <w:t>AS1794 – MUNICIPALITY OF PROCIDA (NA) - EXTENSION OF MARITIME CONCESSIONS</w:t>
        <w:br/>
        <w:t>68</w:t>
        <w:br/>
        <w:t>FOR TOURIST-RECREATIONAL PURPOSES</w:t>
        <w:br/>
        <w:t>AS1795 – MUNICIPALITY OF GROSSETO - EXTENSION OF MARITIME CONCESSIONS</w:t>
        <w:br/>
        <w:t>73</w:t>
        <w:br/>
        <w:t>FOR TOURIST-RECREATIONAL PURPOSES</w:t>
        <w:br/>
        <w:t>AS1796 – METHODS FOR FORMING LISTS OF PROFESSIONALS AUTHORIZED FOR</w:t>
        <w:br/>
        <w:t>77</w:t>
        <w:br/>
        <w:t>REAL ESTATE SALES OPERATIONS</w:t>
        <w:br/>
        <w:t>UNFAIR COMMERCIAL PRACTICES 79</w:t>
        <w:br/>
        <w:t>PS12009 - BAT - HIDDEN ADVERTISING GLO ON SOCIAL NETWORKS</w:t>
        <w:br/>
        <w:t>Decision No. 29837 79</w:t>
        <w:br/>
        <w:t>PS11856 - FACILE.IT - PERSONAL LOANS</w:t>
        <w:br/>
        <w:t>Decision No. 29838 88</w:t>
        <w:br/>
        <w:t>CONFLICT OF INTEREST 104</w:t>
        <w:br/>
        <w:t>SI1155B - SALVATORE MARGIOTTA - UNDERSECRETARY OF STATE FOR INFRASTRUCTURE AND</w:t>
        <w:br/>
        <w:t>TRANSPORT - OPINION POST OFFICE</w:t>
      </w:r>
    </w:p>
    <w:p>
      <w:r>
        <w:t>BULLETIN NO. 41 OF OCTOBER 18, 2021 5</w:t>
        <w:br/>
        <w:t>CONCENTRATION OPERATIONS</w:t>
        <w:br/>
        <w:t>C12396 - CC BEVERAGES HOLDINGS II - COMPONENTS OF THE VERGNANO FAMILY</w:t>
        <w:br/>
        <w:t>/ CASA DEL CAFFÈ VERGNANO</w:t>
        <w:br/>
        <w:t>Decision No. 29834</w:t>
        <w:br/>
        <w:t>THE ANTITRUST AUTHORITY</w:t>
        <w:br/>
        <w:t>IN ITS MEETING of September 30, 2021;</w:t>
        <w:br/>
        <w:t>HEARD the Reporting President, Roberto Rustichelli;</w:t>
        <w:br/>
        <w:t>HAVING REGARD TO Law No. 287 of October 10, 1990;</w:t>
        <w:br/>
        <w:t>HAVING REGARD TO the Presidential Decree No. 217 of April 30, 1998;</w:t>
        <w:br/>
        <w:t>HAVING REGARD TO the communication made by the companies CC Beverages Holding II B.V. and Casa del Caffè Vergnano S.p.A., received on September 2, 2021;</w:t>
        <w:br/>
        <w:t>CONSIDERING the following:</w:t>
        <w:br/>
        <w:t>I. THE PARTIES</w:t>
        <w:br/>
        <w:t>1. CC Beverages Holding II B.V. (hereinafter also CCH) is a Dutch law company, controlled by Coca Cola HBC AG (hereinafter CCHBC), a Swiss law company listed on the London Stock Exchange and the Athens Stock Exchange. The main shareholders of CCHBC are The Coca Cola Company (hereinafter TCCC) and Kar-Tess Holding, each holding 23% of the share capital; the remaining 54% of the capital is represented by free float. CCHBC is a bottler of the so-called "Coca Cola system," within which TCCC produces and sells concentrates, beverage preparations, and syrups to its bottlers, in addition to being the owner and licensor of the main brands used to produce non-alcoholic beverages. CCHBC, by virtue of a licensing agreement with TCCC, bottles and distributes beverages in sixteen countries of the EEA, as well as in the territories of Nigeria, Russia, and - from the end of 2021 - Egypt. This company also distributes products from several other major beverage companies, with brands such as Monster, Brown, Lucano, Campari, etc., and is the owner or co-owner with TCCC of several beverage brands. CCHBC operates in Italy through its subsidiary Coca-Cola HBC Italia S.r.l. The worldwide revenue of CCHBC recorded in 2020 is approximately 6 billion euros, of which approximately [700-1,000]* million euros were generated in Italy.</w:t>
        <w:br/>
        <w:t>2. Casa del Caffè Vergnano S.p.A. (hereinafter also Caffè Vergnano or Target) is an Italian law company owned by the eponymous family, which primarily operates in the blending, roasting, and packaging of raw coffee beans, in the wholesale and retail marketing of packaged coffee (in beans or ground) and capsules for automatic coffee machines. It controls, among others, the German company Caffè Vergnano GmbH and distributes its products in approximately</w:t>
        <w:br/>
        <w:t>* In this version, some data are omitted, as elements of confidentiality or secrecy of the information were deemed to exist.</w:t>
      </w:r>
    </w:p>
    <w:p>
      <w:r>
        <w:rPr>
          <w:b/>
        </w:rPr>
        <w:t>[Pages 4–6]</w:t>
      </w:r>
    </w:p>
    <w:p>
      <w:r>
        <w:t>6 BULLETIN NO. 41 OF OCTOBER 18, 2021</w:t>
      </w:r>
    </w:p>
    <w:p>
      <w:r>
        <w:t>90 countries, including France, Germany, Poland, Greece, Russia, and the United States. In 2020, the company achieved a global turnover of approximately 79 million euros, of which [31-100] million euros in Italy.</w:t>
      </w:r>
    </w:p>
    <w:p>
      <w:r>
        <w:t>II. DESCRIPTION OF THE OPERATION</w:t>
      </w:r>
    </w:p>
    <w:p>
      <w:r>
        <w:t>3. The notified Operation consists of an agreement between the Parties (“Share and Purchase Agreement” or “S.p.A.”) under which: i) CCH will acquire 30% of the capital of Caffè Vergnano from the members of the Vergnano Family, who collectively hold 100%1; ii) a Framework Agreement will be entered into to regulate the governance of the Target, granting veto rights to the minority shareholder on certain strategic decisions; iii) a Master Distribution Agreement will be entered into between the Target and CCHBC.</w:t>
      </w:r>
    </w:p>
    <w:p>
      <w:r>
        <w:t>4. In the context of the operation, it is also provided that the shareholders of Caffè Vergnano and the company TCCC, through its subsidiary [omitted], commit to concluding a separate agreement, under which TCCC's subsidiary, or an authorized Coca-Cola bottler designated by it, may acquire an additional share of the Target's capital, equal to [10-19%] (“Call Option”). In the event of the exercise of the option right, the [10-19%] will be acquired by [omitted], directly or through a wholly-owned subsidiary, or - with the consent of the members of the Vergnano Family - by an authorized Coca-Cola bottler designated by [omitted].</w:t>
      </w:r>
    </w:p>
    <w:p>
      <w:r>
        <w:t>5. The economic and strategic objective of the Operation is to promote the international expansion of the Target, combining its brand and know-how in coffee-based products with CCHBC's distribution and marketing network in the territories covered by the bottling agreement with TCCC other than Italy (hereinafter also CCHBC Territories). With reference to the Italian market, the Parties have expressly agreed that the distribution in Italy of Caffè Vergnano products remains the exclusive responsibility of that company.</w:t>
      </w:r>
    </w:p>
    <w:p>
      <w:r>
        <w:t>6. Upon completion of the Operation, the minority shareholder CCH will be able to exercise joint control over Caffè Vergnano by virtue of the following provisions of the Framework Agreement: i) CCH will have the right to designate the Chief Financial Officer (CFO) of the Target, after consulting with the Sellers, and will have an advisory role regarding the appointment and removal of the Chief Executive Officer; ii) the Strategic Industrial Plan for abroad must indicate that the Target will operate in accordance with the Master Distribution Agreement that the Parties have agreed upon and attached to the S.p.A. Any modification of the Plan that results in a deviation from the distribution strategy in the CCH territories outlined in the Master Distribution Agreement must be agreed upon with CCH; iii) CCH will have a veto right on various decisions of the Board of Directors and the Shareholders' Meeting, including, in addition to those typical of protecting minority shareholders, the conclusion of sales or distribution contracts for the Target's products in any CCHBC Territory.</w:t>
      </w:r>
    </w:p>
    <w:p>
      <w:r>
        <w:t>7. The provision of a Call Option in favor of a subsidiary of TCCC, or another authorized Coca-Cola bottling company, although not falling within the scope of this concentration operation (as it is currently an event of uncertain nature that could in the future lead to a further change in the current control structure), is an element suitable to confirm the industrial nature, and not merely financial, of CCH's acquisition of 30%. In fact, although there are no formal control relationships between TCCC and CCH, the same Share and Purchase Agreement that governs the entire operation, in regulating the governance of the Target in the event that the option right is actually exercised, identifies CCH and TCCC's subsidiary as a single block of shareholders (the holders of type B shares), evidently linked by a convergence of interests arising from their common membership in the “Coca-Cola” system.</w:t>
      </w:r>
    </w:p>
    <w:p>
      <w:r>
        <w:t>8. Finally, under the Master Distribution Agreement: i) CCH will be the exclusive distributor of Caffè Vergnano products in the CCH Territories, and Caffè Vergnano commits not to distribute its products directly or indirectly in the CCH Territories; ii) CCH will not be able to engage in activities related to the production, sale, and distribution in the CCH Territories of coffee products (in beans, ground, or in capsules) of any brand of Italian origin, except for Costa-branded coffee products. Coffee machines are excluded from these restrictions.</w:t>
      </w:r>
    </w:p>
    <w:p>
      <w:r>
        <w:t>9. Based on what the Parties have stated, the obligations imposed on CCH and Caffè Vergnano, as limited to the products offered by the Target and geographically restricted to the territories where CCH is active, would constitute restrictions directly connected and accessory to the operation.</w:t>
      </w:r>
    </w:p>
    <w:p>
      <w:r>
        <w:t>III. QUALIFICATION OF THE OPERATION</w:t>
      </w:r>
    </w:p>
    <w:p>
      <w:r>
        <w:t>10. The notified operation, as it involves the acquisition of joint control of a company, constitutes a concentration pursuant to Article 5, paragraph 1, letter b), of Law No. 287/90. It is subject to the obligation of prior notification provided for by Article 16, paragraph 1, of Law No. 287/90, as the total turnover achieved in the last financial year at the national level by the group of companies involved was over 511 million euros and the total turnover achieved individually at the national level by at least two of the companies involved was over 31 million euros.</w:t>
      </w:r>
    </w:p>
    <w:p>
      <w:r>
        <w:t>11. In relation to the additional agreements entered into between the Parties, only the non-compete obligation of CCH in the coffee products sector - in which the joint venture Caffè Vergnano operates - appears directly connected and necessary for the realization of the notified operation, to the extent that it reflects the need to preserve the goodwill and assets of the joint venture itself2. Conversely, the exclusive distribution right granted to CCH, not being strictly necessary to protect the value of the company over which CCH has acquired joint control, cannot be considered an accessory restriction to the concentration operation under examination.</w:t>
      </w:r>
    </w:p>
    <w:p>
      <w:r>
        <w:t>IV. EVALUATION OF THE OPERATION</w:t>
      </w:r>
    </w:p>
    <w:p>
      <w:r>
        <w:t>12. Caffè Vergnano is active in the production and distribution of coffee-based products and preparations (coffee beans, ground coffee, coffee pods, or capsules for automatic machines), operating both in the “out of home” channel, whose typical customer is represented by bars/cafés, and in the “in home” channel, represented by the set of retail outlets, including large-scale distribution (GDO). CCH, on the other hand, operates in the production and distribution of non-alcoholic beverages (both carbonated and still), also in both channels, “out of home” and “in home,” distributing, among others, the following beverage brands: Adez, Amita, Coca-Cola, Coca-Cola Zero, Fanta, Kinley, Lilia, FUZETEA, Powerade, Royal Bliss, Sprite. In Italy, CCH does not offer coffee-based products.</w:t>
      </w:r>
    </w:p>
    <w:p>
      <w:r>
        <w:t>13. Based on the above, the operation does not result in horizontal overlaps between the Acquirer and the Target in the national territory. The effects of the operation resulting from a possible widening of the range of products distributed in Italy by CCH are also negligible, as the overall market share held by the Target in the coffee market is less than 5%, compared to a share of the leading operator of [35-40]%. This leads to the exclusion of the operation's suitability to create a significant structural leverage effect in favor of the other beverages already present in CCH's portfolio. Moreover, to date, CCH has no veto power regarding decisions concerning distribution activities in the Italian territory, as the Parties have expressly agreed that the distribution strategy for Caffè Vergnano products in Italy remains the exclusive responsibility of the majority shareholder.</w:t>
      </w:r>
    </w:p>
    <w:p>
      <w:r>
        <w:t>14. Therefore, it is not considered that the operation is likely to alter the competitive structure of the markets concerned.</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based on the above, only the non-compete obligation of CCH in the coffee products sector appears directly connected and necessary for the realization of the notified operation, while the Authority reserves the right, where the conditions exist, to evaluate the effects of the exclusive distribution right granted to CCH, which does not appear to be an accessory restriction to the concentration operation under examination;</w:t>
      </w:r>
    </w:p>
    <w:p>
      <w:r>
        <w:t>RESOLVES</w:t>
      </w:r>
    </w:p>
    <w:p>
      <w: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t>This provision will be published in the Bulletin of the Antitrust Authority.</w:t>
      </w:r>
    </w:p>
    <w:p>
      <w:r>
        <w:t>THE SECRETARY GENERAL THE PRESIDENT</w:t>
      </w:r>
    </w:p>
    <w:p>
      <w:r>
        <w:t>Filippo Arena Roberto Rustichelli</w:t>
      </w:r>
    </w:p>
    <w:p>
      <w:r>
        <w:rPr>
          <w:b/>
        </w:rPr>
        <w:t>[Pages 7–9]</w:t>
      </w:r>
    </w:p>
    <w:p>
      <w:r>
        <w:t xml:space="preserve">BULLETIN NO. 41 OF OCTOBER 18, 2021 9  </w:t>
        <w:br/>
        <w:t xml:space="preserve">C12398 - F2I SGR/RELIFE  </w:t>
        <w:br/>
        <w:t xml:space="preserve">Provision No. 29835  </w:t>
        <w:br/>
        <w:t xml:space="preserve">THE ANTITRUST AUTHORITY  </w:t>
        <w:br/>
        <w:t xml:space="preserve">IN ITS MEETING of September 30, 2021;  </w:t>
        <w:br/>
        <w:t xml:space="preserve">HEARD the Rapporteur, President Roberto Rustichelli;  </w:t>
        <w:br/>
        <w:t xml:space="preserve">SEEN Law No. 287 of October 10, 1990;  </w:t>
        <w:br/>
        <w:t xml:space="preserve">SEEN the Presidential Decree No. 217 of April 30, 1998;  </w:t>
        <w:br/>
        <w:t xml:space="preserve">SEEN the communication from F2i SGR S.p.A., received on September 7, 2021;  </w:t>
        <w:br/>
        <w:t xml:space="preserve">SEEN the documentation on file;  </w:t>
        <w:br/>
        <w:t xml:space="preserve">CONSIDERED the following:  </w:t>
        <w:br/>
        <w:t xml:space="preserve">I. THE PARTIES  </w:t>
        <w:br/>
        <w:t xml:space="preserve">1. F2i SGR S.p.a. (“F2i SGR”) is a savings management company established in 2007 that currently manages a closed-end alternative investment fund called “F2i – Fund for Sustainable Infrastructures” (“F2i V”), which, alongside traditional infrastructural sectors strategic for the economic system, aims to invest in the sectors of energy transition, circular economy, digitalization, and socio-healthcare infrastructures; F2i SGR also manages three additional closed-end reserved alternative investment funds, named “F2i – Second Italian Fund for Infrastructures,” “F2i – Third Fund for Infrastructures,” and “ANIA F2i Fund.” The share capital of F2i SGR is held by numerous distinct legal entities, none of which exercises exclusive or joint control1. In 2021, the total revenue of F2i SGR, including that generated by the companies held in the portfolio of the funds it manages, was [3-4 billion]*, of which [3-4 billion] was generated in Italy.  </w:t>
        <w:br/>
        <w:t xml:space="preserve">2. ReLife S.p.A. (“ReLife”) is a company active in the entire process of enhancing differentiated waste collection, starting from the collection of industrial waste and continuing with the recovery of urban and industrial waste, up to the final phase of selling products derived from selected waste, particularly through the production of new packaging, goods, and products, in a circular economy perspective2. In 2020, ReLife generated a total revenue, including that of the companies it controls, of [100-511] million euros, of which approximately [100-511] million euros was generated in Italy.  </w:t>
        <w:br/>
        <w:t xml:space="preserve">1 See the Authority's provision of February 16, 2021, No. 28576, C12351 – F2i Ports/Marterner.  </w:t>
        <w:br/>
        <w:t xml:space="preserve">* In this version, some data are omitted, as elements of confidentiality or secrecy of the information were deemed to exist.  </w:t>
        <w:br/>
        <w:t>2 Currently, the share capital of ReLife is divided between XHL S.à.r.l. (33.16%) and a number of individuals, among whom the main ones are [omitted].</w:t>
      </w:r>
    </w:p>
    <w:p>
      <w:r>
        <w:t xml:space="preserve">10 BULLETIN NO. 41 OF OCTOBER 18, 2021  </w:t>
        <w:br/>
        <w:t xml:space="preserve">II. DESCRIPTION OF THE OPERATION  </w:t>
        <w:br/>
        <w:t xml:space="preserve">3. The operation consists of the acquisition by F2i SGR, in the name, on behalf of, and in the interest of the F2i V fund, of the exclusive control of ReLife; following a series of intermediate steps that also involve the establishment of a vehicle company that will then be merged by incorporation into ReLife, the operation will involve the purchase by F2i SGR, in its capacity as manager of F2i V, of 70% of the share capital of ReLife. The remaining shares will be held by a number of individuals and legal entities that previously held shares in the share capital of ReLife (and, in particular, [omitted] who will collectively hold 18% of the share capital) and, for the remaining 12%, by [omitted].  </w:t>
        <w:br/>
        <w:t xml:space="preserve">4. Concurrently with the signing of the sale contract, on August 10, 2021, the future holders of the shares of ReLife also signed an investment agreement and shareholders' agreement, which grants F2i SGR, in the name, on behalf of, and in the interest of F2i V, exclusive control of the company3.  </w:t>
        <w:br/>
        <w:t xml:space="preserve">5. Article 8 of the investment agreement and shareholders' agreement includes a non-competition clause under which [omitted], previously holders of shares in ReLife and who, as seen, following the operation will collectively hold 18% of the share capital, commit, with regard to the territory of Italy and the European Union, for a period of five years from the signing of the aforementioned agreement, to: (i) not provide consultancy or information to third parties that engage, even on a non-prevalent basis, in activities competing with ReLife; (ii) not offer consultancy or employment contracts to any of the employees of the company, or of companies controlled by it; and, (iii) not engage in acts aimed at diverting the clientele and/or suppliers of the company.  </w:t>
        <w:br/>
        <w:t xml:space="preserve">6. Furthermore, both the holders of 18% of the shares identified above and the other partners [omitted], who will hold 12% of the share capital, commit to ensuring that, for the entire duration of the investment, any acquisition of companies operating in (i) waste collection, selection, and treatment, (ii) production of paper and/or cardboard, (iii) production of plastic and/or paper packaging, as well as (iv) production of secondary solid fuel from waste, is carried out through ReLife and/or wholly owned subsidiaries of ReLife.  </w:t>
        <w:br/>
        <w:t xml:space="preserve">III. QUALIFICATION OF THE OPERATION  </w:t>
        <w:br/>
        <w:t xml:space="preserve">7. The notified operation involves the acquisition of exclusive control of a company, and thus constitutes a concentration pursuant to Article 5, paragraph 1 letter b), of Law No. 287/1990. It falls within the scope of application of Law No. 287/1990 as the conditions of Article 1 of Regulation No. 139/2004 are not met, and it is subject to the obligation of prior notification provided for by Article 16, paragraph 1, of the same law as the total revenue generated in the last financial year at the national level by the group of companies concerned was over 511 million euros and the total revenue generated individually, at the national level, by at least two of the companies concerned was over 31 million euros.  </w:t>
        <w:br/>
        <w:t xml:space="preserve">8. The restrictions imposed on the minority shareholders of ReLife by Article 8 of the investment agreement and shareholders' agreement cannot be qualified as ancillary to the notified concentration to the extent that they do not appear to be directly connected to the realization of the operation and necessary for it and therefore do not constitute the subject of this assessment. Firstly, the above-mentioned restrictions do not only involve the sellers but bind, moreover for broad temporal, material, and geographical scopes, individuals and legal entities that maintain or acquire anew the status of shareholders of ReLife following the operation, even with a minority participation, and therefore do not respond to the need to ensure the buyer the transfer of the actual value of the company; similarly, the obligation not to acquire shares in a competing company, which prevents future minority shareholders of ReLife from acquiring or holding shares even for mere financial investment purposes, without this resulting, directly or indirectly, in the conferment of management roles or substantial influence in the competing company4.  </w:t>
        <w:br/>
        <w:t xml:space="preserve">IV. ASSESSMENT OF THE CONCENTRATION  </w:t>
        <w:br/>
        <w:t xml:space="preserve">Relevant markets  </w:t>
        <w:br/>
        <w:t xml:space="preserve">9. According to the notifying party, also considering the decision-making practice of the Authority, the markets affected by the operation, in which ReLife operates, are as follows:  </w:t>
        <w:br/>
        <w:t xml:space="preserve">i) the market for the collection and transport of non-hazardous special waste, in which a further distinction may be made, from a commodity perspective, depending on the origin of the waste (commercial, industrial, demolition, and construction) and/or the material collected (glass, paper, plastic, etc.), at a regional level;  </w:t>
        <w:br/>
        <w:t xml:space="preserve">ii) the market for the selection and treatment of urban differentiated waste in which, from a commodity perspective, it is possibly possible to identify distinct markets depending on the material treated, at a supra-regional level;  </w:t>
        <w:br/>
        <w:t xml:space="preserve">iii) the market for the selection and treatment of special waste in which, from a commodity perspective, it is also possibly possible to identify distinct markets for the material treated, at a supra-regional level;  </w:t>
        <w:br/>
        <w:t xml:space="preserve">iv) the market for the sale of waste paper, at a global level;  </w:t>
        <w:br/>
        <w:t xml:space="preserve">v) the market for the production of gray cardboard sheets, at a level corresponding to the EEA;  </w:t>
        <w:br/>
        <w:t xml:space="preserve">vi) the market for the production and marketing of corrugated cardboard packaging, at a local level (radius of about 300 km);  </w:t>
        <w:br/>
        <w:t xml:space="preserve">vii) the market for the production and marketing of regenerated polymers, at least at a national level.  </w:t>
        <w:br/>
        <w:t>4 See European Commission, Communication on restrictions directly related and necessary to concentrations, in O.J. EU 2005/C 56/03, paras. 17-25.</w:t>
      </w:r>
    </w:p>
    <w:p>
      <w:r>
        <w:rPr>
          <w:b/>
        </w:rPr>
        <w:t>[Pages 10–12]</w:t>
      </w:r>
    </w:p>
    <w:p>
      <w:r>
        <w:t>12 BULLETIN NO. 41 OF OCTOBER 18, 2021</w:t>
      </w:r>
    </w:p>
    <w:p>
      <w:r>
        <w:t>10. None of the companies currently held in the portfolio of the funds managed by F2i SGR operates in the markets just described, in which ReLife is active, nor in markets upstream or downstream of those in which ReLife operates. Consequently, in this case, the precise definition of the relevant markets can be left open, as it does not change the competitive assessment of the notified operation.</w:t>
      </w:r>
    </w:p>
    <w:p>
      <w:r>
        <w:t>Effects of the operation</w:t>
      </w:r>
    </w:p>
    <w:p>
      <w:r>
        <w:t>11. In 2020, on a national basis, ReLife held market shares below [5-10%] in all relevant markets; although sub-national data is not available (for sub-markets i), ii), iii) and vi)) or supra-national data (for sub-markets iv) and v)), the operation in question does not appear to be capable of negatively affecting the competitive conditions of the relevant markets since, as previously mentioned, no company present in the portfolio of the funds managed by F2i SGR is active in those markets, nor is any of those companies active in markets upstream or downstream of those in which ReLife operates.</w:t>
      </w:r>
    </w:p>
    <w:p>
      <w:r>
        <w:t>CONSIDERING, therefore, that the operation in question does not entail, pursuant to Article 6, paragraph 1, of Law No. 287/1990, the establishment or strengthening of a dominant position in the relevant markets, such as to eliminate or substantially and durably reduce competition;</w:t>
      </w:r>
    </w:p>
    <w:p>
      <w:r>
        <w:t>CONSIDERING, furthermore, that the restrictions provided for in paragraph 8 of the investment agreement and shareholders' agreement do not constitute the subject of this resolution as they are not ancillary to the concentration operation in question, and that the Authority, therefore, reserves the right to subsequently assess, where the prerequisites exist, such contractual provisions;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Economic Development.</w:t>
      </w:r>
    </w:p>
    <w:p>
      <w:r>
        <w:t>This provision will be published in the Bulletin of the Antitrust Authority.</w:t>
      </w:r>
    </w:p>
    <w:p>
      <w:r>
        <w:t>THE SECRETARY GENERAL THE PRESIDENT</w:t>
      </w:r>
    </w:p>
    <w:p>
      <w:r>
        <w:t>Filippo Arena Roberto Rustichelli</w:t>
      </w:r>
    </w:p>
    <w:p>
      <w:r>
        <w:t>BULLETIN NO. 41 OF OCTOBER 18, 2021</w:t>
      </w:r>
    </w:p>
    <w:p>
      <w:r>
        <w:t>C12373 - NEXI/SIA</w:t>
      </w:r>
    </w:p>
    <w:p>
      <w:r>
        <w:t>Provision No. 29839</w:t>
      </w:r>
    </w:p>
    <w:p>
      <w:r>
        <w:t>THE ANTITRUST AUTHORITY</w:t>
      </w:r>
    </w:p>
    <w:p>
      <w:r>
        <w:t>IN ITS MEETING of October 12, 2021;</w:t>
      </w:r>
    </w:p>
    <w:p>
      <w:r>
        <w:t>HEARD the Rapporteur, President Roberto Rustichelli;</w:t>
      </w:r>
    </w:p>
    <w:p>
      <w:r>
        <w:t>HAVING REGARD TO Reg. (EC) No. 139/2004;</w:t>
      </w:r>
    </w:p>
    <w:p>
      <w:r>
        <w:t>HAVING REGARD TO Law of October 10, 1990, No. 287;</w:t>
      </w:r>
    </w:p>
    <w:p>
      <w:r>
        <w:t>HAVING REGARD TO D.P.R. of April 30, 1998, No. 217;</w:t>
      </w:r>
    </w:p>
    <w:p>
      <w:r>
        <w:t>HAVING REGARD TO D.L. of March 17, 2020, No. 18, as amended by D.L. of April 8, 2020, No. 23;</w:t>
      </w:r>
    </w:p>
    <w:p>
      <w:r>
        <w:t>HAVING REGARD TO the communication from Nexi S.p.A. and SIA S.p.A., received on May 12, 2021;</w:t>
      </w:r>
    </w:p>
    <w:p>
      <w:r>
        <w:t>HAVING REGARD TO the request for information sent on June 9, 2021, with consequent interruption of the terms pursuant to Article 5, paragraph 3, of D.P.R. of April 30, 1998, No. 217;</w:t>
      </w:r>
    </w:p>
    <w:p>
      <w:r>
        <w:t>HAVING REGARD TO the subsequent communication from Nexi S.p.A. and SIA S.p.A. received on August 6, 2021, as supplemented on August 10, 2021;</w:t>
      </w:r>
    </w:p>
    <w:p>
      <w:r>
        <w:t>HAVING REGARD TO its resolution of August 31, 2021, which initiated an investigation, pursuant to Article 16, paragraph 4, of Law No. 287/90, against the companies Nexi S.p.A. and SIA S.p.A.;</w:t>
      </w:r>
    </w:p>
    <w:p>
      <w:r>
        <w:t>HAVING REGARD TO the requests for participation in the proceedings submitted, respectively, on September 8, 2021, by Worldline SA and, on September 9, 2021, supplemented on September 13, 2021, by Cedacri S.p.A., pursuant to Article 7, paragraph 1, letter b), of D.P.R. No. 217/98;</w:t>
      </w:r>
    </w:p>
    <w:p>
      <w:r>
        <w:t>HAVING REGARD TO the communication of the investigative findings, sent to the Parties on September 27, 2021;</w:t>
      </w:r>
    </w:p>
    <w:p>
      <w:r>
        <w:t>HAVING REGARD TO the submissions made by the Parties and third parties intervening on October 4, 2021;</w:t>
      </w:r>
    </w:p>
    <w:p>
      <w:r>
        <w:t>HEARD in the final hearing, on October 6, 2021, the representatives of Nexi S.p.A., SIA S.p.A., and Worldline SA;</w:t>
      </w:r>
    </w:p>
    <w:p>
      <w:r>
        <w:t>HAVING REGARD TO the acts of the proceedings and the documentation acquired during the investigation;</w:t>
      </w:r>
    </w:p>
    <w:p>
      <w:r>
        <w:t>CONSIDERING the following:</w:t>
      </w:r>
    </w:p>
    <w:p>
      <w:r>
        <w:t>I. THE PARTIES</w:t>
      </w:r>
    </w:p>
    <w:p>
      <w:r>
        <w:t>1. Nexi S.p.A. (hereinafter, "Nexi") is the Italian holding company of the eponymous group active, mainly in Italy, in the payment services sector, and in particular, in the activities of Merchant Services &amp; Solutions, Cards &amp; Digital Payments, and Digital Banking Solutions. Recently, the Nexi Group has also acquired the companies Nets A/S Nexi and Condardis Payment Group1. Nexi is listed on the Italian electronic stock market of Borsa Italiana. It is currently indirectly controlled through the vehicle Mercury UK HoldCo (hereinafter, "Mercury"), which holds 19.6% of the share capital, under the joint control of the funds Advent International Corporation (hereinafter, "Advent") and Bain Capital Investors L.L.C. (hereinafter, "Bain")2.</w:t>
      </w:r>
    </w:p>
    <w:p>
      <w:r>
        <w:t>The revenue generated by Nexi in 2020 was approximately [1-2]* billion euros, almost entirely generated in Italy.</w:t>
      </w:r>
    </w:p>
    <w:p>
      <w:r>
        <w:t>2. SIA S.p.A. (hereinafter, "SIA") is an Italian company at the head of the eponymous group active worldwide in the design, implementation, and management of technological infrastructures and services for financial institutions, central banks, companies, and public entities, as well as in payment services. In particular, SIA operates through three lines of business, namely, Card &amp; Merchant Solutions, Digital Payment Solutions, and Capital Market &amp; Network Solutions. It is under the joint control of Cassa Depositi e Prestiti – CDP S.p.A. (through CDP Equity S.p.A.) and Poste Italiane S.p.A., which jointly control FSIA Investimenti S.r.l.3, the majority shareholder of SIA.</w:t>
      </w:r>
    </w:p>
    <w:p>
      <w:r>
        <w:t>In 2020, SIA generated total revenue of approximately [700-1,000] million euros, of which approximately [511-700] million euros generated in Italy.</w:t>
      </w:r>
    </w:p>
    <w:p>
      <w:r>
        <w:t>Interveners</w:t>
      </w:r>
    </w:p>
    <w:p>
      <w:r>
        <w:t>3. Worldline SA (hereinafter also referred to as "Worldline" or "equensWorldline") is a French company active worldwide in the payments industry. Worldline is at the top of a group of companies, a global leader in payments, operating in multiple markets. Among other services, it offers merchant acquiring services, both for physical and online points of sale, processing services, and solutions for businesses active in e-commerce to facilitate online purchases.</w:t>
      </w:r>
    </w:p>
    <w:p>
      <w:r>
        <w:t>4. Cedacri S.p.A. (hereinafter also referred to as "Cedacri") is an Italian company specialized in IT outsourcing services for the banking and financial sector. It is controlled by ION Investment Group, a fintech company active internationally in the development of software, data, and analytics for international financial institutions, central banks, and large corporations.</w:t>
      </w:r>
    </w:p>
    <w:p>
      <w:r>
        <w:t>II. DESCRIPTION OF THE OPERATION</w:t>
      </w:r>
    </w:p>
    <w:p>
      <w:r>
        <w:t>5. The operation consists of the merger by incorporation of SIA into Nexi. Following the operation, the share capital of the post-merger entity will be held, for the non-floating part, by the following subjects: Hellman &amp; Friedman LC (for a share of approximately [omitted]), CDP Equity S.p.A./ FSIA Investimenti S.r.l. (for a share equal to [omitted]), Mercury UK HoldCo (for [omitted]), Eagle AIBC &amp; Cy S.C.A. (for a share of approximately [omitted]), Intesa Sanpaolo S.p.A.</w:t>
      </w:r>
    </w:p>
    <w:p>
      <w:r>
        <w:t>2 See the European Commission decision of September 16, 2015 in case M.7711 – Advent International/Bain Capital/ICBPI.</w:t>
      </w:r>
    </w:p>
    <w:p>
      <w:r>
        <w:t>* In this version, some data and/or information have been omitted for confidentiality reasons.</w:t>
      </w:r>
    </w:p>
    <w:p>
      <w:r>
        <w:t>3 In particular, FSIA Investimenti S.r.l. is jointly controlled by CDP Equity S.p.A. (which holds 70% of the capital) and Poste Italiane S.p.A. (which holds the remaining 30%) based on a shareholders' agreement signed by them, which consequently means that CDP S.p.A. and Poste Italiane S.p.A. jointly control SIA as well (see the AGCM decision of January 11, 2017 - C12073 - Poste Italiane-FSII Investimenti-F2I Reti Logistiche/SIA).</w:t>
      </w:r>
    </w:p>
    <w:p>
      <w:r>
        <w:rPr>
          <w:b/>
        </w:rPr>
        <w:t>[Pages 13–15]</w:t>
      </w:r>
    </w:p>
    <w:p>
      <w:r>
        <w:t xml:space="preserve">BULLETIN NO. 41 OF OCTOBER 18, 2021 15  </w:t>
        <w:br/>
        <w:t xml:space="preserve">(for a share of approximately [omitted]), AB Europe Luxembourg Investment S.à.r.l. (for a share of approximately [omitted]).  </w:t>
        <w:br/>
        <w:t xml:space="preserve">6. Concurrently with the operation, CDP Equity S.p.A., FSIA Investimenti S.r.l., Mercury UK HoldCo, AB Europe Luxembourg Investment S.à.r.l., Eagle AIBC &amp; Cy S.C.A. and Hellman &amp; Friedman LC have signed a Shareholders' Agreement aimed at regulating certain aspects of the governance of the post-merger entity. The Parties assume that, as a result of the operation, there will be no shareholder who, alone or jointly with other shareholders, will have the ability to exercise control over the entity resulting from the operation. In this sense, some provisions of the Shareholders' Agreement would support this, particularly those that provide that:  </w:t>
        <w:br/>
        <w:t xml:space="preserve">- the Board of Directors shall be composed of [10-15] members appointed according to the provisions of the same Agreement, such that no shareholder is able to appoint the majority of the Directors. In particular, according to the Shareholders' Agreement, and as communicated by the Parties on August 30, 2021, the Directors will be appointed as follows: CDP Equity S.p.A./FSIA Investimenti S.r.l. may appoint [5-10], Mercury UK HoldCo together with AB Europe Luxembourg Investment S.à.r.l. and Eagle AIBC &amp; Cy S.C.A. (the latter three companies are ultimately controlled by the Advent and Bain funds) may appoint [1-5], Hellman &amp; Friedman LC may appoint [1-5], minority shareholders may appoint [1-5], and finally, one seat will be reserved for the Chief Executive Officer [omitted]4;  </w:t>
        <w:br/>
        <w:t xml:space="preserve">- the Board of Directors makes its resolutions by a majority of those present, with the presence of the majority of the Directors being necessary;  </w:t>
        <w:br/>
        <w:t xml:space="preserve">- finally, no shareholder is granted veto rights on matters relevant from an antitrust perspective.  </w:t>
        <w:br/>
        <w:t xml:space="preserve">7. Furthermore, it is worth noting that [omitted]5.  </w:t>
        <w:br/>
        <w:t xml:space="preserve">8. In light of the corporate documentation, including the Shareholders' Agreement, considering that none of the shareholders is able to appoint the majority of the Directors nor enjoys veto rights on matters relevant for antitrust purposes, and given the presence, role, and different nature of the shareholders, it is believed that no shareholder is able to exclusively or jointly control the post-merger entity.  </w:t>
        <w:br/>
        <w:t xml:space="preserve">III. QUALIFICATION OF THE OPERATION  </w:t>
        <w:br/>
        <w:t xml:space="preserve">9. The communicated operation, as it involves the merger between two companies, constitutes a concentration pursuant to Article 5, paragraph 1, letter a), of Law No. 287/90.  </w:t>
        <w:br/>
        <w:t xml:space="preserve">10. It falls within the scope of application of Law No. 287/90, as the conditions set out in Article 1 of EC Regulation No. 139/04 do not apply, and is subject to the obligation of prior notification provided for by Article 16, paragraph 1, of the same law, as the total turnover, calculated pursuant to Article 16, paragraph 1, of Law No. 287/90, achieved in the last financial year at the national level by the group of companies involved was over 511 million euros, and the turnover achieved individually, at the national level, by at least two of them is over 31 million euros. Furthermore, the operation does not have a community dimension pursuant to Article 1 of EU Regulation No. 139/2004 concerning the control of concentrations between companies, as each of the Parties generates more than two-thirds of its total turnover in the EU within a single EU Member State (Italy)6.  </w:t>
        <w:br/>
        <w:t xml:space="preserve">IV. INITIATION OF THE PROCEDURE AND INVESTIGATIVE ACTIVITY  </w:t>
        <w:br/>
        <w:t xml:space="preserve">11. On February 15, 2021, a preliminary communication was received from Nexi and SIA, subsequently supplemented (most recently on May 12, 2021), concerning the operation in question. Due to the lack of necessary information to proceed with the evaluation, on June 9, 2021, the Authority sent a request for information, resulting in the suspension of the deadlines pursuant to Article 5, paragraph 3, of the Presidential Decree of April 30, 1998, No. 2177. In response to the request made by the Authority, communications were received from Nexi and SIA on August 6 and 10, 2021.  </w:t>
        <w:br/>
        <w:t xml:space="preserve">12. In view of the documentation on file, on August 31, 2021, the Authority initiated an investigation, pursuant to Article 16, paragraph 4, of Law No. 287/90, against Nexi and SIA, believing that the concentration operation in question could lead to the creation and/or strengthening of a dominant position in certain markets – all of which are extensively described below – falling within the broader payment sector, such as to eliminate or substantially and durably reduce competition therein.  </w:t>
        <w:br/>
        <w:t xml:space="preserve">13. During the investigation, the Parties to the operation were heard in a hearing and had access to the case files on June 18, September 10, 21, 28, 2021, and October 4, 2021.  </w:t>
        <w:br/>
        <w:t xml:space="preserve">14. On September 8, 2021, a request for participation was received from Worldline and on September 9, 2021, supplemented on September 13, 2021, a request for participation from Cedacri. Worldline and Cedacri were heard in a hearing, had access to the case files, and submitted observations.  </w:t>
        <w:br/>
        <w:t xml:space="preserve">15. Furthermore, requests for information were sent to several national banks and to the Bank of Italy, while Bancomat S.p.A. and CBI S.c.p.a. were heard in a hearing.  </w:t>
        <w:br/>
        <w:t xml:space="preserve">16. On September 28, 2021, the Communication of Investigative Findings was sent to the Parties and interveners; on the same date, they had access to the investigative file.  </w:t>
        <w:br/>
        <w:t xml:space="preserve">17. On October 4, 2021, the Parties and interveners submitted their final defense briefs.  </w:t>
        <w:br/>
        <w:t xml:space="preserve">18. Finally, on October 6, 2021, the final hearing was held before the College.  </w:t>
        <w:br/>
        <w:t xml:space="preserve">V. INVESTIGATIVE FINDINGS  </w:t>
        <w:br/>
        <w:t xml:space="preserve">V.1. Premise  </w:t>
        <w:br/>
        <w:t xml:space="preserve">19. Due to the activities carried out by the Parties, the operation involves numerous services that are offered within the payment services value chain, fitting into different levels of it and involving different operators, both from the demand and supply perspectives.  </w:t>
        <w:br/>
        <w:t xml:space="preserve">20. The payment services sector, by its nature, is characterized by a complex and heterogeneous supply chain, articulated in the offering of services that are often vertically integrated and in which operators can offer a single service or, as in the case of the Parties to this operation, many services, even jointly. The intricate structure of the industry and the very nature of the services promote economies of scale and diversification and an operation that goes beyond national borders.  </w:t>
        <w:br/>
        <w:t xml:space="preserve">21. In this context, services that are typically dedicated to the payment phase (such as acquiring services) are accompanied by other related and functional activities, such as the technical processing of the transaction, the management of the network through which the data transit, the retail payment clearing services, the provision of hardware and software services, and the management of ATMs.  </w:t>
        <w:br/>
        <w:t xml:space="preserve">22. The set of these services allows for the payment to take place (or for the withdrawal to be made) and ensures the general functioning of the system. Through these services, in fact, merchants are connected to financial institutions, namely the bank that issued the card and the bank that collects the payment on behalf of the merchant, so that the entire transaction can be executed, from the moment the payment is made with the card (or the withdrawal) to the moment the amount is credited to the merchant's current account (and debited from the cardholder's account).  </w:t>
        <w:br/>
        <w:t>23. For example, once a payment card is issued (so-called issuing), it can be used at affiliated merchants, that is, merchants to whom, through a contracting agreement (so-called acquiring), a POS (physical or online) has been provided along with all the services that allow the bank that has contracted the merchant to communicate with the bank that</w:t>
      </w:r>
    </w:p>
    <w:p>
      <w:r>
        <w:rPr>
          <w:b/>
        </w:rPr>
        <w:t>[Pages 16–18]</w:t>
      </w:r>
    </w:p>
    <w:p>
      <w:r>
        <w:t>18 BULLETIN NO. 41 OF OCTOBER 18, 2021</w:t>
      </w:r>
    </w:p>
    <w:p>
      <w:r>
        <w:t>issued the card with which the payment is made. To this end, at the time of payment, an authorization request is transmitted from the merchant's POS (and thus from the contracting party) to the cardholder's bank. The dialogue between the two financial institutions occurs through processors, meaning operators who, whether on the side of the contracting party or the issuer, handle the technical processing of the transaction and communicate directly with the Payment Network (for example, they verify the validity of the card or the availability of funds in the cardholder's account). The outcome of the authorization request is transmitted, in real-time, to the merchant's POS, in a reverse path, so that the payment can proceed.</w:t>
      </w:r>
    </w:p>
    <w:p>
      <w:r>
        <w:t>24. In addition to the card issuance, contracting, and processing services now described, there are other related services, such as the management of the network through which the data transit, retail payment clearing services, the provision of hardware and software services, and the management of ATMs. The combination of these services allows the payment to take place (or the withdrawal to be made).</w:t>
      </w:r>
    </w:p>
    <w:p>
      <w:r>
        <w:t>25. In general, it should be noted that this sector has recently undergone significant evolution, also stimulated by the adoption of harmonization regulations at the European level, which has had important repercussions on the competitive dynamics of the markets concerned.</w:t>
      </w:r>
    </w:p>
    <w:p>
      <w:r>
        <w:t>26. In fact, with the aim of creating a single payment area in Europe (so-called SEPA) and overcoming existing barriers to the integration of payment markets, European institutions have adopted a regulatory framework22 that has standardized at the European level the procedures and protocols of payment systems existing in different Member States, thus facilitating cross-border activities by companies active in this sector.</w:t>
      </w:r>
    </w:p>
    <w:p>
      <w:r>
        <w:t>27. As highlighted by Banca d’Italia, “the rules of the PSD and the IF Regulation, fully operational only for a few years in all countries, have intensified the competitive tone in the offer of payment and processing services, removing potential obstacles to open competition among all European players. Similarly, the launch of SEPA, since 2014, has reduced the specificities of national payment systems”23.</w:t>
      </w:r>
    </w:p>
    <w:p>
      <w:r>
        <w:t>28. The high technological component that characterizes payment services and related activities, observes Banca d’Italia, together with “the interrelation between operators, also due to corporate and contractual constraints, makes the production chain of the sector complex and at the same time creates favorable conditions for consolidation operations. The technological depth indeed entails high fixed costs, rewards the specialization of operators, and requires investments in research and development. The expansion of the operational perimeter and the number of transactions processed allows for the exploitation of economies of scale and diversification and increases profit margins, generating useful resources for financing innovation”24.</w:t>
      </w:r>
    </w:p>
    <w:p>
      <w:r>
        <w:t>29. In particular, activities that fall within the scope of merchant acquiring, processing, clearing, interbank data transmission, and digital corporate banking services can be classified as highly technological.</w:t>
      </w:r>
    </w:p>
    <w:p>
      <w:r>
        <w:t>30. An additional push for the consolidation process comes from the strategic choices of traditional operators: according to Banca d’Italia, to offer advanced and innovative services in the field of issuing, acquiring, and processing digital payments, as well as to promote greater efficiency, “many banks turn to specialized providers, through outsourcing contracts or by transferring entire business units. This further increases the concentration of activities among the large operators in the sector”25.</w:t>
      </w:r>
    </w:p>
    <w:p>
      <w:r>
        <w:t>31. Such consolidation dynamics have characterized the entire digital payment industry globally. For example, in Europe, from 2010 to 2017, more than 40 significant concentration operations were recorded in the payment industry, which, according to the European Commission26, were motivated by the desire of international operators to achieve greater transaction volumes and maximize economies of scale. Among these, in Europe, the recent merger between the two French operators Worldline and Ingenico27 is noteworthy, which created one of the main groups at the international level, while in the US market, mergers between Fiserv and First Data, between FIS and Worldpay, and between Global Payment and TSYS have also created operators active on a global scale.</w:t>
      </w:r>
    </w:p>
    <w:p>
      <w:r>
        <w:t>32. The effect of consolidation is the presence of entities operating on a European basis and no longer merely national: for example, in the provision of merchant acquiring services, the European Commission has noted that over 50 acquirers present in Europe are active in more than one Member State, on average in 5 different States28.</w:t>
      </w:r>
    </w:p>
    <w:p>
      <w:r>
        <w:t>33. It is therefore in this context of sectoral changes that the concentration operation under examination should be framed.</w:t>
      </w:r>
    </w:p>
    <w:p>
      <w:r>
        <w:t>V.2. The markets concerned</w:t>
      </w:r>
    </w:p>
    <w:p>
      <w:r>
        <w:t>a) Merchant acquiring services</w:t>
      </w:r>
    </w:p>
    <w:p>
      <w:r>
        <w:t>34. Merchant acquiring services consist of a series of activities aimed at enabling merchants to accept payments by card, both at traditional points of sale and online, and to ensure the subsequent receipt of the money related to such transactions. These services include: i) the marketing of necessary and ancillary products and services for the acceptance of online payments, in order to allow merchants to accept as many payment methods as possible; ii) the contracting activity with merchants and the provision of the technical infrastructure (hardware/software – POS terminals) for the acceptance of payments and the acquisition of transaction data; iii) the maintenance and management of the relationship with the merchant; iv) the verification of the merchant's suitability to join the payment circuit and the management of the relationship with the circuits themselves; v) the performance of any activity necessary to compensate and settle the transfer of money (a) to the issuer that issued the payment card to the consumer, (b) to the payment circuit through whose network the transaction was directed, and (c) to the merchant concerning the executed operation, net of the various fees due to the merchant acquirer; and vi) the provision of other miscellaneous and/or ancillary services related to merchant acquiring.</w:t>
      </w:r>
    </w:p>
    <w:p>
      <w:r>
        <w:t>35. The listed services are provided to merchants by banks or Payment Service Providers - PSPs; banks, in turn, can self-produce these services or purchase them wholesale from PSPs.</w:t>
      </w:r>
    </w:p>
    <w:p>
      <w:r>
        <w:t>36. In the past, in its decision-making practice29, the Authority has considered that the activities of contracting merchants, managing relationships with payment circuits, negotiating and managing fees charged to the merchant (merchant fee), installing and managing POS, managing fraud, and, in general, customer service activities all fell within a single relevant product market, defined as the acquiring market. From a geographical point of view, it was characterized by a national dimension.</w:t>
      </w:r>
    </w:p>
    <w:p>
      <w:r>
        <w:t>37. Recently, the European Commission30, also with reference to an operation that specifically concerned the Italian market and in partial modification of its own practice, has identified within the sector three distinct markets, namely: i) the wholesale merchant acquiring market, ii) the retail merchant acquiring market, and iii) the provision of POS services; however, regarding the latter, and with particular regard to the Italian market, the Commission has effectively left the definition of the market open, having found no unequivocal elements in favor of a standalone market, distinct from acquiring services. Furthermore, from a geographical point of view, it has observed a trend towards a broader definition of geographical boundaries, without, however, reaching a definitive definition in this regard.</w:t>
      </w:r>
    </w:p>
    <w:p>
      <w:r>
        <w:t>38. In line with this more recent practice of the Commission, in the Form, the Parties propose a market definition for the services in question similar to that identified by the European Institution. In particular, regarding the product market, they assume that within merchant acquiring three distinct markets should be identified: i) wholesale merchant acquiring, which would identify only the wholesale level, where banks purchase services from PSPs to then resell them to merchants; ii) retail merchant acquiring, which identifies the level of selling services at retail, directly to merchants, both by banks and directly by PSPs; iii) provision of POS and related services. According to the Parties, possible further segmentations of merchant acquiring services are not relevant for understanding the actual dynamics of the Italian market; this is due to the degree of fungibility both from the supply side, as merchant acquirers tend to offer and provide acquiring services for all payment cards and all types of transactions, including virtual ones, and from the demand side, as merchants now tend to offer (and thus request from merchant acquirers) various solutions.</w:t>
      </w:r>
    </w:p>
    <w:p>
      <w:r>
        <w:rPr>
          <w:b/>
        </w:rPr>
        <w:t>[Pages 19–21]</w:t>
      </w:r>
    </w:p>
    <w:p>
      <w:r>
        <w:t>BULLETIN NO. 41 OF OCTOBER 18, 2021 21</w:t>
        <w:br/>
        <w:t>of payment31. According to the Parties, these dynamics would therefore allow for overcoming any further segmentation.</w:t>
      </w:r>
    </w:p>
    <w:p>
      <w:r>
        <w:t>39. Regarding its geographical dimension, the Parties assume that the market should be extended to the European Economic Area (EEA), primarily due to the absence of significant barriers, the regulatory framework that would facilitate the offering of cross-border acquiring services32, and the standardization of services33.</w:t>
      </w:r>
    </w:p>
    <w:p>
      <w:r>
        <w:t>40. Worldline, on the other hand, holds a different view, stating that a distinction should be made, from a product market perspective, between POS transactions and e-commerce transactions. As for the geographical aspect, Worldline represents that the market for merchant acquiring services for POS transactions (both wholesale and retail) should have a national dimension; this is due to the need for the merchant acquirer to have a local presence for technical-logistical support, the barrier that the domestic card circuit would effectively constitute, the existence of local regulations and national customer habits, the composition of Nexi and SIA's clientele consisting solely of Italian customers, and the fact that no bank purchases wholesale services from a foreign merchant acquirer (with the exception of Worldline itself, which, however, does not have a license for the Bancomat circuit)34.</w:t>
      </w:r>
    </w:p>
    <w:p>
      <w:r>
        <w:t>41. The investigation, from a product market perspective, has confirmed the presence of elements suitable to support the distinction between the wholesale merchant acquiring market and the retail merchant acquiring market, while also providing evidence that supports the inclusion of the provision of POS and related services in the relevant markets of merchant acquiring, without them constituting a distinct market, due to the substantial pairing that occurs between merchant acquiring services and the provision of POS and related services, as will be described later. However, no sufficient elements have emerged to support further segmentation.</w:t>
      </w:r>
    </w:p>
    <w:p>
      <w:r>
        <w:t>42. From the geographical dimension perspective, the investigation has produced elements supporting the supranational nature of the wholesale merchant acquiring market, reinforcing the trend already observed by the Commission; retail merchant acquiring services, on the other hand, still exhibit dynamics and peculiarities that justify the definition of the relevant market as national in dimension.</w:t>
      </w:r>
    </w:p>
    <w:p>
      <w:r>
        <w:t>a.1) Wholesale Merchant Acquiring Market and Provision of POS and Related Services</w:t>
      </w:r>
    </w:p>
    <w:p>
      <w:r>
        <w:t>43. As mentioned, the evidence collected during the investigation has confirmed what emerged in recent decisions of the Commission regarding the distinction, in terms of product market, between the provision of merchant acquiring services at the wholesale level and at the retail level. In fact, the provision of merchant acquiring services in Italy is characterized by a retail market level, where services are offered by banks and PSPs directly to merchants, and by a wholesale level, where services are purchased by banks wholesale, directly from PSPs, and are then resold to merchants possibly in combination with other products and services (both related to payments and other banking services, such as current accounts, cash pooling, financial and insurance services)35.</w:t>
      </w:r>
    </w:p>
    <w:p>
      <w:r>
        <w:t>44. In particular, the responses to the requests for information sent to the primary banks active in Italy36 have highlighted that, in the wholesale merchant acquiring market, banks typically purchase from PSPs some services related to acquiring, essentially those related to transactions on international circuits, internalizing only transactions on the domestic circuit; in some cases, banks perform in-house acquiring for all transactions or effectively outsource all acquiring services, due to specific agreements with PSPs. The outsourcing of acquiring services can also occur in favor of more than one provider.</w:t>
      </w:r>
    </w:p>
    <w:p>
      <w:r>
        <w:t>45. Banks tend to purchase acquiring services in combination with other services, such as processing services, terminal management, and POS provision; this is primarily for reasons of efficiency, simplification from the operational and managerial processes perspective, as well as better integration of the activities of each service within the supply chain. However, the investigation has shown that, although acquirers purchase such products in combination, they would not have difficulty turning to other providers, including international ones, for the purchase of the same services even if not in combination37.</w:t>
      </w:r>
    </w:p>
    <w:p>
      <w:r>
        <w:t>46. In the context of wholesale merchant acquiring, it is the bank that maintains the commercial relationship with the merchant and establishes the price and other sales conditions of the service downstream. Some operators have specified that this price definition, made autonomously by the bank, takes into account a fee to be paid back to the merchant acquirer.</w:t>
      </w:r>
    </w:p>
    <w:p>
      <w:r>
        <w:t>47. Again from a product market perspective, the investigation did not provide sufficient elements to support the Parties' hypothesis regarding the existence of a distinct market for the provision of POS and related services separate from those of wholesale and retail merchant acquiring38. In fact, although the in-depth analyses conducted account for various and recent dynamics that have affected the provision of POS, currently, POS are typically provided in combination with merchant acquiring services.</w:t>
      </w:r>
    </w:p>
    <w:p>
      <w:r>
        <w:t>48. In particular, at the wholesale level, merchant acquirers "typically include" in their offer to banks acquiring services in combination with the provision of POS, as emphasized by the Parties39. The market practice of purchasing the two services in combination has also emerged from the responses provided by primary banking operators40, who justify it mainly for reasons of operational efficiency and managerial continuity.</w:t>
      </w:r>
    </w:p>
    <w:p>
      <w:r>
        <w:t>49. In this context, some recent dynamics typical of the provision of POS are observed that could lead to a different definition of the market in the future. In particular, the spread of card and digital payments, along with the technological evolution of processes, payment devices, and the terminals themselves, have favored the entry of new operators who exploit the possibility of decoupling acquiring services from more strictly banking services, offering the provision of POS and related services directly to end customers, currently especially small retail merchants, including fully digital solutions (the so-called Soft POS) or virtual POS on mobile41. While there could thus be a growth of the non-banking channel in the future, even regarding the offering of the same merchant acquiring services, the investigation has confirmed the current centrality and prevalence of the "traditional" banking channel42.</w:t>
      </w:r>
    </w:p>
    <w:p>
      <w:r>
        <w:t>50. Therefore, based on the evidence collected during the investigation and here summarized, it is not considered that there are sufficient elements to define a distinct market for the provision of POS services.</w:t>
      </w:r>
    </w:p>
    <w:p>
      <w:r>
        <w:t>51. Similarly, in line with what has also been highlighted by the Commission regarding the Italian market, and contrary to what Worldline has argued, no sufficient evidence has emerged to support a distinction between POS transactions and e-commerce transactions43. Moreover, in the recent decision on case M9759–Nexi/ISP, the European Commission was clear in stating that in the analyzed Italian market, the investigation did not allow for a distinction between the two types of transactions, only citing some precedents that, however, did not concern the Italian market, just as the decision M9776-Worldline/Ingenico, referenced by Worldline, does not concern the Italian market. Furthermore, it should be noted that none of the interviewed banks raised such a distinction.</w:t>
      </w:r>
    </w:p>
    <w:p>
      <w:r>
        <w:t xml:space="preserve">52. From a geographical perspective, the evidence collected during the investigation allows attributing a supranational dimension to the wholesale merchant acquiring market. In particular, the main banking operators have indicated that they can change their merchant acquiring service provider, also turning to foreign operators, as there are no particular barriers to entry or obstacles in this regard44. More specifically, from the responses provided, it emerged that the majority of operators would change, or consider changing, their wholesale provider in the face of an increase of about 5% or 10% in the price of the service, while being aware of the complexity and costs associated with such a choice45; moreover, operators have emphasized that there would be no problems in turning to foreign operators, identifying possible difficulties only concerning the activities.39 Cfr. doc. 135.  </w:t>
        <w:br/>
        <w:t xml:space="preserve">40 Cfr. al riguardo doc. 43, 44, 45, 46, 47, 48, 49, 50, 51 e 52.  </w:t>
        <w:br/>
        <w:t xml:space="preserve">41 Cfr. in particolare doc. 55.  </w:t>
        <w:br/>
        <w:t xml:space="preserve">42 Cfr. doc. 43, 44, 45, 46, 47, 48, 49, 50, 51, 52 e 55.  </w:t>
        <w:br/>
        <w:t xml:space="preserve">43 Cfr. decisione della Commissione del 26 giugno 2021, nel caso M.9759 – Nexi/Intesa Sanpaolo (Merchant acquiring business)  </w:t>
        <w:br/>
        <w:t xml:space="preserve">44 Cfr. docc. 43, 44, 45, 46, 47, 48, 49, 50, 51 e 52.  </w:t>
        <w:br/>
        <w:t>45 At the same time, other operators have emphasized that there are more decisive components in the choice of provider, such as service quality.</w:t>
      </w:r>
    </w:p>
    <w:p>
      <w:r>
        <w:rPr>
          <w:b/>
        </w:rPr>
        <w:t>[Pages 22–24]</w:t>
      </w:r>
    </w:p>
    <w:p>
      <w:r>
        <w:t>24 BULLETIN NO. 41 OF OCTOBER 18, 2021</w:t>
      </w:r>
    </w:p>
    <w:p>
      <w:r>
        <w:t>related to the Bancomat Circuit, mainly linked to obtaining the license and to regulatory compliance. The market investigation presented by the Parties reached the same results, highlighting the absence, in the event of a change of provider, of significant switching costs in terms of transfer costs and technological constraints; furthermore, the investigation found that all interviewed banks report a consolidated presence of international operators in Italy at the wholesale merchant acquiring level and that in recent years banks have received offers from such operators or would be willing to consider them46. For these reasons, it is not possible to accept the thesis proposed by Worldline, according to which the market in question would have a national dimension.</w:t>
      </w:r>
    </w:p>
    <w:p>
      <w:r>
        <w:t>53. The investigation provided sufficient elements to support the supranational dimension of the market also in relation to the provision of POS and related services at the wholesale level. The investigation commissioned by the Parties and the responses from banking operators indeed revealed that there is a complete openness to the possibility of resorting to an international provider, provided that a presence in Italy is guaranteed for the various technical assistance and support activities.</w:t>
      </w:r>
    </w:p>
    <w:p>
      <w:r>
        <w:t>54. In light of the evidence collected during the investigation and reported above, it is not possible to accept Worldline's observations regarding the national nature of merchant acquiring services for transactions with POS at the wholesale level. In fact, the elements that emerged following the in-depth analyses have highlighted that the national specificities mentioned by Worldline in relation to merchant acquiring services are relevant only at the retail level and do not constitute sufficient elements to support a national dimension of the relevant market at the wholesale level.</w:t>
      </w:r>
    </w:p>
    <w:p>
      <w:r>
        <w:t>55. Therefore, it is believed that the wholesale merchant acquiring market and the provision of POS and related services have a supranational dimension, corresponding to the borders of the EEA, in line with the recent practice of the European Commission.</w:t>
      </w:r>
    </w:p>
    <w:p>
      <w:r>
        <w:t>a.2) Retail merchant acquiring market and the provision of POS and related services</w:t>
      </w:r>
    </w:p>
    <w:p>
      <w:r>
        <w:t>56. As already mentioned, at the retail level, merchant acquiring services are sold to merchants so that they can allow their customers to make payments by card. Merchants can obtain such services from their reference bank, which already offers them the main banking services, from another bank, from a PSP, and, more prospectively, from an alternative operator. In the event that the merchant turns to banks – which in Italy currently represent the main providers of merchant acquiring services at the retail level – these can provide the services directly (if they internalize them), refer the customer to a PSP, or provide the services that they procure, in turn, at the wholesale level; as previously illustrated, the bank can offer merchant acquiring services in conjunction with other payment services and/or other credit and financial services.</w:t>
      </w:r>
    </w:p>
    <w:p>
      <w:r>
        <w:t>57. In particular, from the product market perspective, the investigative findings revealed that even at the retail level, the market practice is to provide merchant acquiring activities in conjunction with POS47. The main banking operators reported that it is the merchants themselves who generally request this combination, with the partial exception of large merchants (especially in the GDO) and corporate merchants, who tend to source from specialized producers or to have their own autonomous equipment. This was also confirmed by the market investigation commissioned by the Parties48, which highlighted how not only medium-small merchants have a strong propensity to procure through the banking channel (over 75% with the main bank) and in conjunction with acquiring services (over 80%), but also large merchants (75%), although they more frequently resort to specialized suppliers or directly to producers, and have a high level of supplier switching. Furthermore, it emerged that a potential change of supplier is generally a sustainable choice for the customer.</w:t>
      </w:r>
    </w:p>
    <w:p>
      <w:r>
        <w:t>58. From all that has been stated, it follows that the product market includes both the provision of retail merchant acquiring services and the provision of POS.</w:t>
      </w:r>
    </w:p>
    <w:p>
      <w:r>
        <w:t>59. From a geographical perspective, in line with what has been observed by the Commission49, the market still appears to be characterized by a national dimension. In fact, although the in-depth analyses conducted during the investigation have highlighted that both banks and merchants are inclined to use foreign suppliers, the vast majority of the Italian market at the retail level is served by national operators or those with a solid foothold in Italy, and in particular by banking operators (who are entirely rooted in the Italian market). In this sense, as also highlighted by the European Commission, the specificities related to the functioning of the Bancomat circuit are relevant, which is currently adopted by the substantial majority of national operators or those rooted in Italy. Indeed, despite the spread of so-called co-badged cards and the possibility of using debit cards exclusively related to national circuits, payments through the Bancomat circuit still represent a highly significant market share and are of great importance for merchants50.</w:t>
      </w:r>
    </w:p>
    <w:p>
      <w:r>
        <w:t>60. Therefore, at present, while there is a trend towards a supranational dimension, the retail merchant acquiring market is defined on a national basis.</w:t>
      </w:r>
    </w:p>
    <w:p>
      <w:r>
        <w:t>b) Processing services</w:t>
      </w:r>
    </w:p>
    <w:p>
      <w:r>
        <w:t>b.1) Introduction</w:t>
      </w:r>
    </w:p>
    <w:p>
      <w:r>
        <w:t>61. In the context of payment card transactions, processing activity consists of a series of operations that the processor performs for the benefit of banks or other companies that issue payment cards (issuing processing) or that contract with merchants (acquiring processing).</w:t>
      </w:r>
    </w:p>
    <w:p>
      <w:r>
        <w:t>62. This is an activity characterized by a high technological component and is generally regulated by common standards at the community level, dictated also by the aforementioned regulations. In this sense, for example, the MIF Regulation51, in establishing commercial rules to which both circuit operators and processors must adhere, provides that "territorial discrimination in the rules regarding treatment applied by payment card schemes is prohibited" (art. 7, paragraph 4); furthermore, the subsequent paragraph 5 establishes that "the entities responsible for processing operations in the Union ensure the technical interoperability of their system with other systems of entities responsible for processing in the Union through the use of standards developed by international or European standardization bodies. Moreover, payment card schemes do not adopt or apply commercial rules that limit interoperability between entities responsible for processing in the Union."</w:t>
      </w:r>
    </w:p>
    <w:p>
      <w:r>
        <w:t>63. Within the processing activity, it is possible to distinguish: i) acquiring processing, which includes the activities necessary for the technical processing and routing of a transaction on the merchant's side, and includes, among other things, the acquisition and management of contracts with merchants, the management of POS, transactions, clearing, and settlement, as well as the production and shipment of merchant statements and the charging of fees; in this sense, information on record shows that processing services constitute an important input for merchant acquiring services; moreover, processing services are offered by the processor to merchant acquirers, and thus to banks, often jointly with both merchant acquiring services, in cases where banks do not produce the acquiring service in-house but purchase it from third parties, and with POS services; ii) issuing processing, which consists of the technical processing and routing activities of a transaction on the cardholder's side and includes, among other things, the management of data, authorizations, and accounting positions of cardholders, as well as the management of card blocking and security parameters. These services can also be provided to banks jointly with card issuance and personalization services.</w:t>
      </w:r>
    </w:p>
    <w:p>
      <w:r>
        <w:t>64. In its decision-making practice, from a commodity perspective, the Authority has defined processing services as distinct in two relevant markets: i) processing of national debit cards and ii) processing of international payment cards; the latter, in particular, could be further segmented depending on whether the processing concerns debit or credit cards52.</w:t>
      </w:r>
    </w:p>
    <w:p>
      <w:r>
        <w:t>65. From a geographical perspective, in the past, the Authority has defined this market as having a national dimension53, noting, however, the intervention of some regulatory changes, including the aforementioned MIF Regulation54, which appeared to suggest a homogenization and extension of the operational area beyond national borders, such as to outline a European processing market55.</w:t>
      </w:r>
    </w:p>
    <w:p>
      <w:r>
        <w:t>66. In the Form and in subsequent submissions, the Parties, referring to some precedents of the Commission56, propose a different definition of the relevant market. In particular, with reference to the product market, the Parties believe that processing services should be articulated into two distinct relevant markets: i) acquiring processing and ii) issuing processing, without the need for further segmentation depending on the type of payment card or transaction;</w:t>
      </w:r>
    </w:p>
    <w:p>
      <w:r>
        <w:rPr>
          <w:b/>
        </w:rPr>
        <w:t>[Pages 25–27]</w:t>
      </w:r>
    </w:p>
    <w:p>
      <w:r>
        <w:t>BULLETIN NO. 41 OF OCTOBER 18, 2021 27</w:t>
      </w:r>
    </w:p>
    <w:p>
      <w:r>
        <w:t>such services would indeed differ in content, price, regulatory framework, competitive landscape, and clientele.</w:t>
      </w:r>
    </w:p>
    <w:p>
      <w:r>
        <w:t>67. With reference to the geographical dimension of the market, in line with some precedents of the European Commission, the Parties believe that acquiring processing should have a dimension equal to that of the EEA. Similarly, due to the technical and offer analogies with acquiring processing activities, the Parties believe that the issuing processing market should also have a dimension equal to that of the EEA57.</w:t>
      </w:r>
    </w:p>
    <w:p>
      <w:r>
        <w:t>68. In this context, from a commodity perspective, the investigation has, on the one hand, confirmed the persistence of peculiar elements related to the processing of cards from the Bancomat Circuit, which continue to justify a distinct market definition between the processing of Bancomat debit cards and the processing of cards related to other international Circuits58; on the other hand, it has emerged that in the short term, these services will be subject to a profound change in the operational model of the Bancomat Circuit, which will have a significant impact on the provision of processing services. As for the processing of cards from international Circuits, the presence of different standards from those of the Bancomat Circuit but common to international Circuits is confirmed, justifying the inclusion in a single market for the processing of cards from international Circuits.</w:t>
      </w:r>
    </w:p>
    <w:p>
      <w:r>
        <w:t>b.2) Market for processing services of Bancomat Circuit cards</w:t>
      </w:r>
    </w:p>
    <w:p>
      <w:r>
        <w:t>69. More specifically, it appears that, in Italy, the processing activities of Bancomat Circuit cards can only be carried out by Application Centers, i.e., entities authorized by the Bank of Italy to perform certain activities that go beyond mere processing, including, for example, monitoring of acquirers and issuers, reporting activities to the Circuit, routing transactions between issuing banks and acquirers and among the Application Centers themselves, switching, clearing, and sending information to BI-COMP59 for settlement60.</w:t>
      </w:r>
    </w:p>
    <w:p>
      <w:r>
        <w:t>70. The Application Centers operate within the System for the telematic transmission of data – SITRAD, which allows for the telematic transmission, among participants, of data and information flows related to the execution of banking and financial operations. The System is a telematic infrastructure based on the use of network technological infrastructures and shared communication standards, as well as the operation of structures that perform processing functions, namely the Application Centers. It is governed by the relevant Convention, the resolutions adopted by the Interbank Convention for Automation (CIPA), as well as the regulations issued by ABI and Bancomat.</w:t>
      </w:r>
    </w:p>
    <w:p>
      <w:r>
        <w:t>57 In particular, according to the Parties, this approach would be supported by the fact that the main processors, including SIA, operate at a supranational level and, in particular, that processors primarily rooted on an international scale also operate in Italy, which constitutes evidence of the absence of barriers to entry. On this point, the Parties specify, however, that the Commission in its precedents has left the geographical definition of the issuing processing market open.</w:t>
      </w:r>
    </w:p>
    <w:p>
      <w:r>
        <w:t>58 This regardless of an analysis of the fungibility, for the holder of the Bancomat card, of the same with a debit or credit card from another Circuit.</w:t>
      </w:r>
    </w:p>
    <w:p>
      <w:r>
        <w:t>59 BI-COMP is a retail payment system managed by the Bank of Italy as a non-profit public service to settle payments denominated in euros in central bank money.</w:t>
      </w:r>
    </w:p>
    <w:p>
      <w:r>
        <w:t>60 See doc. 110.</w:t>
      </w:r>
    </w:p>
    <w:p>
      <w:r>
        <w:t>28 BULLETIN NO. 41 OF OCTOBER 18, 2021</w:t>
      </w:r>
    </w:p>
    <w:p>
      <w:r>
        <w:t>71. Currently, Nexi, ICCREA, and SIA are authorized and operate as Application Centers. According to statements [omitted] from Bancomat itself and the directly interested party, starting from January 1, 2022, equensWorldline has also been authorized to carry out the activities of an Application Center; furthermore, another significant international operator has requested information aimed at the authorization request61.</w:t>
      </w:r>
    </w:p>
    <w:p>
      <w:r>
        <w:t>72. Regarding Nexi's operations, the investigation revealed that, concerning Bancomat cards, this company does not directly provide the processing service but procures the service from equensWorldline. In other words, the processing is technically carried out on the equensWorldline platform, and Nexi merely markets it commercially to its clients. Within the contractual relationship between these parties, the presence of a non-compete clause is relevant, to which equensWorldline is subject concerning Nexi's client banks, the expiration of which has been extended to [omitted]. Under this clause, which also extends to clearing services, equensWorldline cannot approach clients actually served by Nexi if equensWorldline operates as a subcontractor of the service62. On this point, Nexi clarified that the clause pertains only to clients actually contracted and that the contracts Nexi enters into with its clients have a duration of [omitted], with the consequence that, upon expiration, clients may choose to acquire the service from equensWorldline; moreover, the clause does not apply to other companies in the Worldline Group (e.g., SIX)63.</w:t>
      </w:r>
    </w:p>
    <w:p>
      <w:r>
        <w:t>73. Based on what was stated by Bancomat during the hearing64, the current model will remain in effect until the new model that Bancomat is implementing becomes operational.</w:t>
      </w:r>
    </w:p>
    <w:p>
      <w:r>
        <w:t>74. In particular, Bancomat has decided to adopt a new operational model for the Circuit "in order to align the functioning of the domestic scheme with international schemes (Visa and Mastercard) and other domestic schemes in terms of adopting a centralized infrastructure and revisiting the processing activity." Specifically, the new model provides for the "unbundling from the activities currently performed by the application centers [of] all services that do not fall within mere processing: in this way, only this latter activity will remain the domain of processors while everything else will be subject to simplification or revision. To this end, Bancomat will set rules for the scheme that it will distribute to all operators who wish to carry out processing activities and who will, therefore, competitively offer their services to banks. Furthermore, Bancomat has decided to establish a NewCo that will be at least 51% owned by Bancomat and for the remaining part by SIA, which won the tender. This company will carry out processing activities in competition with other operators." The new model, therefore, will be of an open-source type, characterized by wide interoperability and common standards to those currently used by international Circuits, so that "the new model will operate as Visa and Mastercard do today"65.</w:t>
      </w:r>
    </w:p>
    <w:p>
      <w:r>
        <w:t>61 See doc. 110.</w:t>
      </w:r>
    </w:p>
    <w:p>
      <w:r>
        <w:t>62 See doc. 24.</w:t>
      </w:r>
    </w:p>
    <w:p>
      <w:r>
        <w:t>63 See doc. 24 and 55.</w:t>
      </w:r>
    </w:p>
    <w:p>
      <w:r>
        <w:t>64 See doc. 110.</w:t>
      </w:r>
    </w:p>
    <w:p>
      <w:r>
        <w:t>65 See doc. 110.</w:t>
      </w:r>
    </w:p>
    <w:p>
      <w:r>
        <w:t>BULLETIN NO. 41 OF OCTOBER 18, 2021 29</w:t>
      </w:r>
    </w:p>
    <w:p>
      <w:r>
        <w:t>75. Regarding the timing, it is expected that there will be a development phase of the platform, which will run from January 1, 2022, until mid-2023; at this point, the new platform can begin to operate, and the migration phase will start, for which banks and processors wishing to join must settle on the new Scheme infrastructure in order to operate according to the new rules. Bancomat expects this phase to last about 18 months, depending on how quickly banks adapt. In this context, SIA – and in the event of a merger between Nexi/SIA – will operate as an outsourcer for Bancomat for the Scheme infrastructure, while continuing to carry out processing activities for the domestic circuit exclusively through the NewCo, in competition with other processors.</w:t>
      </w:r>
    </w:p>
    <w:p>
      <w:r>
        <w:t>76. Based on the specificities that have emerged, such as the presence of specific regulation, an ad hoc authorization regime for the exercise of the activity, and differences also in the type of service offered, broader and more articulated for Bancomat Circuit cards, it is believed that, from a commodity perspective, the processing service for these cards still constitutes, at present, a distinct market compared to the processing services for cards from international Circuits, although it should be noted that once the new model that Bancomat is implementing becomes operational, the specific elements mentioned above will cease to exist; thus, the processing offered for Bancomat Circuit cards will align with that offered for cards from international Circuits.</w:t>
      </w:r>
    </w:p>
    <w:p>
      <w:r>
        <w:t>77. From a geographical perspective, it is observed that the market for processing services of Bancomat Circuit cards, due to all the specificities highlighted above, continues to have a dimension limited to national borders. When the new model is adopted, however, it is believed that the geographical dimension will be extended to European borders, given that the future processing activity will be carried out based on rules and technical standards common to other international Circuits, which do not appear to have technical or regulatory obstacles to the exercise of such activity by foreign operators and that, given the purely technological nature of the service, a physical presence in Italian territory does not seem necessary.</w:t>
      </w:r>
    </w:p>
    <w:p>
      <w:r>
        <w:t>b.3) Market for processing services of international Circuit cards</w:t>
      </w:r>
    </w:p>
    <w:p>
      <w:r>
        <w:t>78. As for the processing services of international Circuit cards, the investigation has confirmed the presence of a single market due to the identity of the service offered, the identity of the standards required by the two Circuits, and the identity of the operators providing the service.</w:t>
      </w:r>
    </w:p>
    <w:p>
      <w:r>
        <w:t>79. Regarding the segmentation proposed by the Parties between issuing processing and acquiring processing, the investigation conducted did not provide unequivocal elements. On the one hand, some operators have highlighted that these are distinct and separable services, which respond to different needs and are also separated from a contractual and pricing perspective; however, there are operators who have stated that they purchase such services from the same provider, through the same contract that provides for a single price66.</w:t>
      </w:r>
    </w:p>
    <w:p>
      <w:r>
        <w:t>80. In any case, it should be emphasized that this distinction would only apply to the processing of international Circuit cards, as for domestic processing, acquirers turn to the Application Center based on a single service contract.</w:t>
      </w:r>
    </w:p>
    <w:p>
      <w:r>
        <w:t>66 See docs. 114 to 121 and 150.</w:t>
      </w:r>
    </w:p>
    <w:p>
      <w:r>
        <w:rPr>
          <w:b/>
        </w:rPr>
        <w:t>[Pages 28–30]</w:t>
      </w:r>
    </w:p>
    <w:p>
      <w:r>
        <w:t>30 BULLETIN NO. 41 OF OCTOBER 18, 2021</w:t>
      </w:r>
    </w:p>
    <w:p>
      <w:r>
        <w:t>81. Based on this and considering that, as will be seen in the evaluative part, the operation does not raise competitive concerns in the provision of processing services for international circuit cards, it is believed that the market should be defined as the market for processing services for international circuit cards and that the distinct or joint definition of issuing processing and acquiring processing can be left open.</w:t>
      </w:r>
    </w:p>
    <w:p>
      <w:r>
        <w:t>82. From a geographical perspective, the market for processing services for international circuit cards appears to have a European dimension.</w:t>
      </w:r>
    </w:p>
    <w:p>
      <w:r>
        <w:t>83. In this regard, the investigation revealed that, from the demand side, the interviewed banks did not identify any technical or regulatory obstacles related to changing providers and the entry of foreign operators, to whom they stated they would have no difficulty turning to67. At the same time, the banks emphasized that changing processors can be a costly activity in terms of costs, time, and resources involved in migration, especially considering that other payment services are integrated with processing. Therefore, in the event of a price increase of 5% - 10%, they stated that they would certainly initiate evaluations for adopting a different provider, not necessarily based in Italy, but such evaluations would be guided not only by price but also by other factors, such as service quality, organizational impacts, and timing. One bank stated that it had changed providers in recent years for some of its services68.</w:t>
      </w:r>
    </w:p>
    <w:p>
      <w:r>
        <w:t>84. From the supply side, the same banks highlighted that regarding processing for international circuits, the number of operators potentially able to offer the service is much higher (compared to processing for domestic debit cards) and that there are several foreign operators capable of providing this service even to Italian operators69. In this sense, the Bank of Italy also indicated that the reforms that have occurred in recent years in European regulation have reduced significant barriers to entry, related both to the tariff structure and the market (Interchange Fee Regulation, EBA RTS on the separation between schemes and processing), as well as to the operation of new types of operators (payment service providers under PSD2), increasing the interest of large groups in cross-border acquisition operations70.</w:t>
      </w:r>
    </w:p>
    <w:p>
      <w:r>
        <w:t>85. Based on these elements, and considering that international circuits, due to the obligations imposed by the aforementioned EU regulations, dictate common rules and standards for all European countries, allowing processors to operate throughout Europe in the same way without needing to modify their activities depending on the member state concerned, it is believed that the market for processing international circuit cards has a European dimension.</w:t>
      </w:r>
    </w:p>
    <w:p>
      <w:r>
        <w:t>67 See docs. from 43 to 52.</w:t>
        <w:br/>
        <w:t>68 See docs. from 43 to 52.</w:t>
        <w:br/>
        <w:t>69 See docs. from 43 to 52.</w:t>
        <w:br/>
        <w:t>70 See doc. 147.</w:t>
      </w:r>
    </w:p>
    <w:p>
      <w:r>
        <w:t>BULLETIN NO. 41 OF OCTOBER 18, 2021</w:t>
      </w:r>
    </w:p>
    <w:p>
      <w:r>
        <w:t>c) Payment Card Issuing Services</w:t>
      </w:r>
    </w:p>
    <w:p>
      <w:r>
        <w:t>86. The activity of issuing payment cards (so-called card issuing) consists of a set of services aimed at providing payment cards (debit, credit, or prepaid) to end customers, who are typically represented by consumers.</w:t>
      </w:r>
    </w:p>
    <w:p>
      <w:r>
        <w:t>87. In particular, the activity of issuing cards mainly includes offering the card to the end customer (who becomes the cardholder), defining the characteristics of the card and the related economic conditions (annual fee amount, cash advance service fees, statement sending fees, and other fees), credit assessment of the customer (i.e., whether the individual is creditworthy), contracting with the customer, managing relationships with the circuits, customer service and marketing activities, and managing credit risk and fraud71.</w:t>
      </w:r>
    </w:p>
    <w:p>
      <w:r>
        <w:t>88. In the past, the Authority's practice72 has noted that the set of these activities falls within the card issuing sector, which in turn was distinguished based on whether it involved credit cards or debit cards; therefore, in the Authority's precedents, two distinct product markets were identified: one related to credit card issuing services and the other related to debit card issuing services.</w:t>
      </w:r>
    </w:p>
    <w:p>
      <w:r>
        <w:t>89. From a geographical perspective, however, the market size was previously identified within national borders as the issuing conditions appeared sufficiently uniform within the same country; conversely, differences in the conduct of activities were noted among various European countries, at the level of active operators, the use of national licenses, and economic conditions, such as to exclude that the relevant product markets had a geographical scope broader than national.</w:t>
      </w:r>
    </w:p>
    <w:p>
      <w:r>
        <w:t>90. In the Form, the Parties suggested a different definition of the market, both in terms of product dimension and geographical dimension. From the product perspective, the Parties believe there is a single market that encompasses all types of cards. To this end, the Parties highlighted that there would be a high degree of substitutability among payment cards from the supply side, since: i) most issuers would have licenses to issue multiple types of payment cards active on different payment circuits, both at the national level and at the EU level; ii) most operators would provide issuing services for both credit and debit cards, as well as for most major card brands, with limited differences in price and contractual conditions; iii) there would be significant fungibility from the demand side as cardholders generally hold multiple payment cards, which can be used interchangeably for making payments since most cards have similar functionalities; and finally, iv) payment cards are widely accepted and can generally be used at any POS terminal or for any online payment.</w:t>
      </w:r>
    </w:p>
    <w:p>
      <w:r>
        <w:t>91. From a geographical perspective, the Parties assume that the market has a dimension corresponding to the European Economic Area.</w:t>
      </w:r>
    </w:p>
    <w:p>
      <w:r>
        <w:t>71 More specifically, it should be noted that, regarding the economic and commercial policies related to such services, they are defined by the bank if the integrated model is adopted; conversely, if the bank limits itself to distributing the services and relies on third parties for the issuing activity, the policies and criteria for product distribution, as well as pricing towards the end customer, can be defined by the third parties or by the banks, depending on the agreement.</w:t>
      </w:r>
    </w:p>
    <w:p>
      <w:r>
        <w:t>72 See AGCM decision of March 26, 2009 in case C9817 – Central Institute of Italian Popular Banks/SI Holding.</w:t>
      </w:r>
    </w:p>
    <w:p>
      <w:r>
        <w:t>32 BULLETIN NO. 41 OF OCTOBER 18, 2021</w:t>
      </w:r>
    </w:p>
    <w:p>
      <w:r>
        <w:t>92. That said, in this specific case, it is believed that the correct definition of the relevant market, both from a product perspective and from a geographical perspective, can be left open considering the substantial absence of SIA in the provision of such services.</w:t>
      </w:r>
    </w:p>
    <w:p>
      <w:r>
        <w:t>d) Production and Personalization Services for Smart Payment Cards</w:t>
      </w:r>
    </w:p>
    <w:p>
      <w:r>
        <w:t>93. Smart payment cards are payment instruments with embedded microprocessors that store and protect card data and ensure advanced security standards, not available with traditional magnetic stripe cards due to the chip they incorporate. They are purchased by banks so that they can place them with end consumers.</w:t>
      </w:r>
    </w:p>
    <w:p>
      <w:r>
        <w:t>94. In the production of smart payment cards, two phases can be identified: the first concerns the manufacturing of the card itself, i.e., the plastic and the chip (non-personalized card); the second concerns the personalization of the card, which consists of adding the cardholder's details both on the card (name, card number, expiration date) and within the chip (name, account number, PIN, and account details), as well as shipping the card and PIN directly to the cardholder or the issuing bank. The Parties are active only in the personalization of cards. Furthermore, as highlighted by the Parties themselves, the provision of smart payment cards constitutes an input for card issuing services, in which both companies are active.</w:t>
      </w:r>
    </w:p>
    <w:p>
      <w:r>
        <w:t>95. The production and personalization services for smart payment cards have not yet been the subject of a precise analysis and definition by the Authority; instead, they have been addressed by the European Commission, which first considered that there is a difference between the provision of payment cards and the provision of other types of cards (e.g., SIM cards); regarding other possible segmentations, the Commission left the definition of the product market open73. Only in its most recent practice74 has the Commission emphasized the presence of certain elements in favor of a distinction between the production and provision of non-personalized cards and the provision of personalized cards, specifically highlighting that: a) most buyers purchase the two services from different entities; b) buyers base their choices regarding the card provider on different criteria depending on whether it concerns personalized or non-personalized cards; c) different entities offer only one of the two services, namely the provision of personalized cards, and have reported many difficulties in producing non-personalized cards.</w:t>
      </w:r>
    </w:p>
    <w:p>
      <w:r>
        <w:t>96. Regarding the geographical dimension, the Commission has not reached a precise definition of the market size for card personalization services75.</w:t>
      </w:r>
    </w:p>
    <w:p>
      <w:r>
        <w:t>97. Concerning these services, the Parties believe that there is a single market for the production and personalization of smart cards, which includes both personalized and non-personalized cards, and that, also due to recent developments in the market, it has a supranational geographical dimension.</w:t>
      </w:r>
    </w:p>
    <w:p>
      <w:r>
        <w:t>98. On this point, the investigation did not provide unequivocal elements in favor of one or the other product definition: in the responses to information requests76, in fact, while some</w:t>
      </w:r>
    </w:p>
    <w:p>
      <w:r>
        <w:rPr>
          <w:b/>
        </w:rPr>
        <w:t>[Pages 31–33]</w:t>
      </w:r>
    </w:p>
    <w:p>
      <w:r>
        <w:t>BULLETIN NO. 41 OF OCTOBER 18, 2021 33</w:t>
      </w:r>
    </w:p>
    <w:p>
      <w:r>
        <w:t>buyers have stated that they purchase the two services jointly for reasons of economies of scale, for better oversight of the overall smart card issuance services, as well as for a more efficient management of the end-to-end process. On the other hand, other buyers have claimed to purchase the two services from different providers, primarily for economic reasons, namely to have autonomy in choice and the ability to select the best provider in terms of quality-price ratio, according to specific needs.</w:t>
      </w:r>
    </w:p>
    <w:p>
      <w:r>
        <w:t>99. Conversely, regarding the geographical dimension, almost all interviewed operators stated that they procure such services through tender and are not aware of any constraints preventing procurement from non-resident operators in Italy, some of which are already being utilized by certain operators77.</w:t>
      </w:r>
    </w:p>
    <w:p>
      <w:r>
        <w:t>100. Based on this, concerning the geographical dimension of the market, it is believed that the collected elements indicate a European dimension, since there are no regulatory or technological barriers preventing operators from procuring from non-resident suppliers in Italy, and the main suppliers of such services, who do not reside in Italy, operate on a European scale and currently offer their services to Italian buyers.</w:t>
      </w:r>
    </w:p>
    <w:p>
      <w:r>
        <w:t>101. From a commodity perspective, however, there are no unequivocal elements supporting a single market definition for the two services or a distinct one; in any case, it is noted that, due to the marginal position of the Parties in the European context, the commodity definition of the market can be left open.</w:t>
      </w:r>
    </w:p>
    <w:p>
      <w:r>
        <w:t>e) Retail payment clearing services (so-called clearing)</w:t>
      </w:r>
    </w:p>
    <w:p>
      <w:r>
        <w:t>e.1) Introduction</w:t>
      </w:r>
    </w:p>
    <w:p>
      <w:r>
        <w:t>102. Retail payment clearing services (so-called clearing) consist of managing the exchange of accounting and financial information between credit institutions aimed at the accounting settlement of individual transactions, and include the transmission, reconciliation, and confirmation of fund transfer orders between bank accounts prior to settlement (so-called settlement). In other words, these are the services through which banks exchange accounting data related to their customers (for example, debit and credit data) in order to settle their mutual positions.</w:t>
      </w:r>
    </w:p>
    <w:p>
      <w:r>
        <w:t>103. Clearing services have been partially influenced by some regulatory changes at the European level. In particular, following the introduction of the Single Euro Payments Area - SEPA78, which, as mentioned in the introduction, established a harmonized legal framework for transfers and direct debits throughout the EU, some purely national instruments have been replaced by European instruments such as SEPA SCT transfers, SEPA SDD direct debits, and SEPA SCT Instant transfers, which has also influenced the related clearing services. Some so-called non-SEPA payments remain at the national level, for which specific clearing services remain in force, namely: Payments by Notice - MAV, Collection by Notice - RAV, Bank Receipt - Ri.Ba., and electronic checks.</w:t>
      </w:r>
    </w:p>
    <w:p>
      <w:r>
        <w:t>104. Clearing services, where they are not subject to bilateral clearing agreements, which are however rarely used, are offered centrally through clearing houses, i.e., multilateral platforms that operate in compliance with standards set by the European Payments Council and are subject to the supervision of the central banking authority of the country in which they are based. Both Nexi and SIA operate as clearing houses.</w:t>
      </w:r>
    </w:p>
    <w:p>
      <w:r>
        <w:t>105. In its latest precedents79, the Authority, while highlighting that there has been a substantial change in competitive arrangements following the entry into force of SEPA regulations and that non-SEPA products now represent a minority part - progressively decreasing - of the total retail payments among Italian banks, nonetheless distinguished between the market for clearing services for SEPA products and that for clearing services for non-SEPA products. Regarding the geographical dimension, the Authority considered that while the clearing market for SEPA products has a European dimension, the clearing market for non-SEPA products has a national dimension, due to some peculiarities in the offering of such services.</w:t>
      </w:r>
    </w:p>
    <w:p>
      <w:r>
        <w:t>106. The Parties agree that, given the lack of full substitutability from the demand side, the distinction between the clearing of SEPA and non-SEPA payments could theoretically be relevant but, from a geographical perspective, they believe that both markets have a European dimension, given the absence of barriers to entry.</w:t>
      </w:r>
    </w:p>
    <w:p>
      <w:r>
        <w:t>107. The investigation confirmed the presence of specificities related to the clearing of non-SEPA products, which therefore differs from the clearing of SEPA products.</w:t>
      </w:r>
    </w:p>
    <w:p>
      <w:r>
        <w:t>e.2) The market for clearing services of non-SEPA products</w:t>
      </w:r>
    </w:p>
    <w:p>
      <w:r>
        <w:t>108. The clearing of non-SEPA products concerns MAV (Payment by Notice), RAV (Collection by Notice), Ri.Ba. (Bank Receipt), and electronic checks, as well as the clearing of ATM payments; based on the data provided in the Form and subsequent submissions80, it appears that such operations are progressively decreasing, currently representing about 27% of the total payment operations in Italy and that this figure is expected to decrease further, also considering that by the end of 2021 MAVs will be replaced by PagoPA and further changes are expected with the introduction of the new SEPA Request to Pay (“SRTP”) instrument and the likely replacement of F24 models with PagoPA.</w:t>
      </w:r>
    </w:p>
    <w:p>
      <w:r>
        <w:t>109. As highlighted by Banca d’Italia81, the clearing for national procedures (which, in addition to non-SEPA products, also includes debit card transactions from the domestic Circuit) occurs within the retail payment system of Banca d’Italia, BI-COMP, and is carried out in accordance with the standards established by SITRAD. Currently, the service is offered solely by three domestic clearing houses, namely, SIA, Nexi, and ICCREA. As with the processing of debit cards from the Bancomat Circuit, in fact, only these entities are currently authorized to operate within the framework of the SITRAD Convention and the BI-COMP system.</w:t>
      </w:r>
    </w:p>
    <w:p>
      <w:r>
        <w:t>110. According to what emerged in the investigation, in January 2022, equensWorldline will also join the entities currently operating in Italy for the provision of clearing services for national procedures. Furthermore, another major international company has recently expressed interest in entering this market segment, seeing an opportunity precisely in the possibility of offering Italian banks a concrete alternative to the large player that will emerge from the Nexi-SIA merger82.</w:t>
      </w:r>
    </w:p>
    <w:p>
      <w:r>
        <w:t>111. What has been represented confirms that, from a commodity perspective, the clearing of non-SEPA products constitutes a market distinct from that of SEPA products.</w:t>
      </w:r>
    </w:p>
    <w:p>
      <w:r>
        <w:t>112. From a geographical perspective, considering what has emerged, and thus the national regulatory, regulatory, and technological peculiarities related to the provision of non-SEPA clearing services, the necessity for the supplier to be authorized by Banca d’Italia to carry out the service, and the entirely national nature of the payments involved and the entities involved from the demand side, it is believed that the arguments of the Parties cannot be shared and that therefore the market for clearing non-SEPA products has a national dimension.</w:t>
      </w:r>
    </w:p>
    <w:p>
      <w:r>
        <w:t>e.3) The market for clearing services of SEPA products</w:t>
      </w:r>
    </w:p>
    <w:p>
      <w:r>
        <w:t>113. Unlike the clearing services for non-SEPA products, those for SEPA products occur only partially within the BI-COMP system while predominantly ([omissis]) take place in the pan-European systems managed by EBA Clearing: STEP2-T and RT183.</w:t>
      </w:r>
    </w:p>
    <w:p>
      <w:r>
        <w:t>114. The dynamics related to the offering of such services have indeed significantly changed with the introduction of SEPA, which has led to the development of clearing houses active on a European scale, to the detriment of domestic clearing houses. More specifically, the process of standardization and the consequent interoperability between the payment systems of the different countries that adhere to SEPA have allowed the clearing houses active at the European level to provide their services for SEPA payments to all banks in the SEPA area, even in the case of 'national' payments, that is, between credit institutions of the same State. Numerous European clearing houses are also present in Italy.</w:t>
      </w:r>
    </w:p>
    <w:p>
      <w:r>
        <w:t>115. Therefore, it is believed that, regarding the market for clearing services of SEPA products, the Authority's previous positions are confirmed, whereby the geographical definition of the market extends to European borders.</w:t>
      </w:r>
    </w:p>
    <w:p>
      <w:r>
        <w:t>f) Interbank data transmission services</w:t>
      </w:r>
    </w:p>
    <w:p>
      <w:r>
        <w:t>116. Network services allow the transmission of interbank data for various purposes, including payment clearing, debit card payment authorizations, and statement processing, and can be distinguished into physical network services (so-called connectivity services, typically provided by telecommunications companies) and logical network services; the latter, offered by industry operators such as SIA itself, consist of the activities of transporting payment instructions through hardware and software solutions aimed at ensuring the transmission of data between banks, processors, Application Centers, and payment circuits, ensuring that they circulate on the network without the risk of being lost, duplicated, intercepted, or manipulated.</w:t>
      </w:r>
    </w:p>
    <w:p>
      <w:r>
        <w:t>117. For the purposes of this operation, logical network services are necessary for banks and payment service providers to transmit payment instructions between themselves or to clearing houses (these are, for example, the hardware and software services necessary to ensure that data circulates between operators - banks, clearing houses, and payment schemes - without the risk of being lost, intercepted, or manipulated). Furthermore, logical network services are used for the</w:t>
      </w:r>
    </w:p>
    <w:p>
      <w:r>
        <w:rPr>
          <w:b/>
        </w:rPr>
        <w:t>[Pages 34–36]</w:t>
      </w:r>
    </w:p>
    <w:p>
      <w:r>
        <w:t>36 BULLETIN NO. 41 OF OCTOBER 18, 2021</w:t>
      </w:r>
    </w:p>
    <w:p>
      <w:r>
        <w:t>processing of cards, and in particular for the processing of national debit cards (for example, the transmission of the information necessary for the authorization request of a transaction).</w:t>
      </w:r>
    </w:p>
    <w:p>
      <w:r>
        <w:t>118. In its practice, the Authority has analyzed the provision of network services and, from a commodity perspective, has distinguished the market for physical network services from that of logical network services84. From a geographical perspective, the Authority has defined these markets as having a national dimension85, although in light of regulatory changes mainly related to the introduction of SEPA, it has recently recognized that for the service related to SEPA payments, a supranational market dimension can be considered, while in the transmission of data functional to the clearing of non-SEPA products and to the processing of national debit cards, the market has a dimension coinciding with the Italian territory86. The Parties have represented in the Form that for such services the geographical dimension should be equal to the EEA on the sole assumption that banks can turn to both national and international providers.</w:t>
      </w:r>
    </w:p>
    <w:p>
      <w:r>
        <w:t>119. Based on the information acquired during the investigation, SIA is directly active in offering logical network services (for SEPA and non-SEPA payments, and for domestic debit cards) and physical network services (but mainly in the trading &amp; post-trading area); Nexi, on the other hand, is not active in such services, sometimes limiting itself to offering SIA's logical network services or those of other operators as part of its clearing service offering to banks that request it.</w:t>
      </w:r>
    </w:p>
    <w:p>
      <w:r>
        <w:t>120. At the EEA level, in addition to SIA, there are essentially two active operators: i) SWIFT, considered the largest messaging network used by banks to transfer messages such as payment instructions quickly, accurately, and securely, which also offers a set of syntax standards for financial messages and a set of software and connection services that allow PSPs to transmit messages over SWIFTNet, the SWIFT network. SWIFT is the most widely used transmission method for SEPA in Italy and throughout the EEA; ii) EBICS, an open TCP/IP communication protocol, standardized and neutral for banks, used for SEPA products. Developed in Germany and used in several EEA countries, it is the second most widely used transmission method for SEPA in the EEA, after SWIFT, and the most widely used transmission method for instant payments.</w:t>
      </w:r>
    </w:p>
    <w:p>
      <w:r>
        <w:t>121. That said, contrary to what the Parties have claimed, the investigation did not provide sufficient elements to deviate from the Authority's practice. In fact, as already highlighted in relation to the markets for the processing of cards in the Bancomat Circuit and the clearing of non-SEPA products, in the national context there are still peculiar regulatory characteristics related to the operation of SITRAD that also reflect on the transmission of the related data; it follows that, within SITRAD, the Application Centers effectively communicate through SIA or SWIFT. What the Parties have stated is only confirmed regarding the data transmission services for SEPA products, as noted by the Authority itself in its previous decisions. It follows that the geographical dimension of the market is national, at least with regard to the network services used for the processing of cards in the Bancomat Circuit and for the clearing of non-SEPA products.</w:t>
      </w:r>
    </w:p>
    <w:p>
      <w:r>
        <w:t>g) ATM services</w:t>
      </w:r>
    </w:p>
    <w:p>
      <w:r>
        <w:t>122. The provision of so-called Automated Teller Machine (ATM) services includes mainly three areas of activity: (i) production and supply of hardware (i.e., the "physical" terminal); (ii) provision of services and software for the remote management/monitoring of terminals; and (iii) provision of on-site maintenance services.</w:t>
      </w:r>
    </w:p>
    <w:p>
      <w:r>
        <w:t>123. The Parties have represented that the software for ATMs and related services, as well as the hardware, are usually provided by ATM manufacturers, but can also be provided by specialized providers. Nexi and SIA are both active [omitted] in providing services and software for the management and monitoring of ATMs (area (ii))87. ATM terminals are generally owned by banks, which purchase them directly from manufacturers or from alternative providers, including the Parties themselves, the so-called Service Centers, and other specialized operators also active internationally88.</w:t>
      </w:r>
    </w:p>
    <w:p>
      <w:r>
        <w:t>124. In its previous practice, the Authority has defined the market as encompassing electronic systems for automation, namely the activities of design, production, installation, and sale – as well as post-sale assistance and maintenance services – of electronic and electromagnetic devices and systems intended to meet the automation needs of the banking sector and mobility89. With reference to the banking sector, this particularly concerns the provision, management, and maintenance services of ATM terminals, queue management devices, self-service machines for transactions, and currency exchange.</w:t>
      </w:r>
    </w:p>
    <w:p>
      <w:r>
        <w:t>125. In this regard, the Parties highlight how the Commission90 has similarly defined such markets, distinguishing, from the more general provision of workstations for retail, the production and supply of automated cash handling products, namely the workstations intended for the banking sector; moreover, this is the area in which SIA and Nexi are active, particularly in the provision of software and related services for the management of terminals and for advanced monitoring.</w:t>
      </w:r>
    </w:p>
    <w:p>
      <w:r>
        <w:t>126. From a geographical perspective, the Authority, while considering the possibility that it may transcend the national dimension due to the presence of numerous manufacturers active worldwide, has not specifically defined the market dimension in its previous decisions91.</w:t>
      </w:r>
    </w:p>
    <w:p>
      <w:r>
        <w:t>127. On this point, the Parties, who also refer to some community precedents, believe that the market should have a dimension equal to the EU or at least supranational: in fact, on the one hand, the main suppliers, whether specialized in software services or vertically integrated manufacturers, would consist of multinational companies active at the European or international level, applying similar conditions and terms in each country; on the other hand, customers would indiscriminately use both national and foreign suppliers, and, on the other hand, there would be common regulatory standards.</w:t>
      </w:r>
    </w:p>
    <w:p>
      <w:r>
        <w:t>128. In any case, according to the Parties, the exact definition of the market from both a commodity and geographical perspective can be left open, since the operation is not likely to raise competitive concerns.</w:t>
      </w:r>
    </w:p>
    <w:p>
      <w:r>
        <w:t>129. From the perspective of market definition, on the one hand, no unequivocal elements have emerged to support a commodity definition different from the Authority's practice; on the other hand, the investigative insights have highlighted how the geographical dimension should be considered supranational. In this regard, they particularly note the responses provided by the primary banking operators active in Italy, according to which there are no constraints on sourcing the supply of ATMs and related services from non-resident operators in Italy92; more specifically, several operators already source from foreign operators for all or some of the areas of activity under examination, others are willing to do so, and in general, no particular obstacles have been identified. Some operators have specified that for on-site maintenance services, the presence of a local network is clearly necessary.</w:t>
      </w:r>
    </w:p>
    <w:p>
      <w:r>
        <w:t>130. In light of the elements that emerged during the investigative activity, it can be concluded that the services for the supply, management, and maintenance of ATM terminals have a supranational dimension, equal to the European Economic Area.</w:t>
      </w:r>
    </w:p>
    <w:p>
      <w:r>
        <w:t>h) Digital corporate banking services</w:t>
      </w:r>
    </w:p>
    <w:p>
      <w:r>
        <w:t>131. Digital Corporate Banking ('DCB') services are part of the relevant market for IT services applied to the banking sector and allow companies to centrally manage their bank accounts through a single front-end. Within DCB services, two segments can be distinguished: (i) the development and management of the Interbank Corporate Banking infrastructure (“CBI”); and (ii) the services for accessing the CBI network93, which include a service for connecting banks to the CBI network through nodes and the provision of actual e-banking platform services. The first activity is designed to be managed by a single service provider, periodically selected through a tender procedure; the latter two (i.e., provision of node services and platform services), although distinct, are closely linked as the platform must be</w:t>
      </w:r>
    </w:p>
    <w:p>
      <w:r>
        <w:rPr>
          <w:b/>
        </w:rPr>
        <w:t>[Pages 37–39]</w:t>
      </w:r>
    </w:p>
    <w:p>
      <w:r>
        <w:t>BULLETIN NO. 41 OF OCTOBER 18, 2021 39</w:t>
      </w:r>
    </w:p>
    <w:p>
      <w:r>
        <w:t xml:space="preserve">interconnected to the chosen node, and banks tend to purchase node and e-banking platform services from a single provider.  </w:t>
        <w:br/>
        <w:t xml:space="preserve">132. In Italy, access to multi-banking services is offered through the CBI, a network that includes almost all Italian financial institutions, whose task is to standardize interactions between banks and between them and corporate clients regarding all types of payments. The CBI connectivity infrastructure consists of central components managed by the CBI Consortium and peripheral access nodes directly managed by banks and their IT service providers (e.g., Cedacri, SIA, Nexi), based on standards defined by the consortium itself. The CBI Consortium controls the central infrastructure and entrusts the development and management of the network to third parties through a five-year tender; since 2009, Nexi and SIA have submitted bids for the joint management of the infrastructure. With the last tender concluded in March 2021, some operational and management aspects of the network will change, so that, essentially, banks and businesses will be able to connect directly to the network, which will be based on an open Internet protocol structure, and no longer on nodes. The new arrangement, which according to the information provided by the Parties will be operational by the end of 2022, will allow any value-added IT service provider to connect to the CBI via Open Banking protocols, and therefore will allow various providers, including foreign ones, to enter the offering of such services.  </w:t>
        <w:br/>
        <w:t xml:space="preserve">133. In its decision-making practice, the Authority has defined a broader market for the provision of value-added IT services applied to the banking sector, which includes IT services that enable banks to access the CBI network infrastructure94; this market has been considered national in size, while recognizing the possibility of a broader opening due to regulatory and technological developments95. According to the Parties, the geographical dimension could be of a supranational nature.  </w:t>
        <w:br/>
        <w:t xml:space="preserve">134. In this regard, both Cedacri and Worldline have emphasized that, from a commodity perspective, the market should be limited to the provision of access services to the CBI network. From a demand perspective, such services would not be substitutable with other value-added IT services offered to the banking sector because they would guarantee functionality and respond to specific needs, namely treasury activities in a telematic mode integrating the operations of all banks that the client chooses to use, due to the specificity of the service96. From a supply perspective, providers of other IT services would not also provide access to the CBI network and would not be able to modify their production process to offer the services in a short time without incurring significant costs.  </w:t>
        <w:br/>
        <w:t xml:space="preserve">135. CBI, for its part, has highlighted that currently in the Italian market there are 17 operators that have access nodes and offer banks the necessary applications for the provision of Digital Corporate Banking services, offered by banks to their clients often together with other services offered by CBI (e.g., CBILL)97.  </w:t>
        <w:br/>
        <w:t xml:space="preserve">94 See, for example, AGCM decision of March 14, 2017 in case C12088 - ISTITUTO CENTRALE DELLE BANCHE POPOLARI ITALIANE/BASSILICHI and AGCM decision of August 8, 2006 in case C7863 - Istituto Centrale delle Banche Popolari Italiane/CIM Italia.  </w:t>
        <w:br/>
        <w:t xml:space="preserve">95 See AGCM decision of April 26, 2007 in case C8440 - Roma servizi informatici/Ramo d’azienda di ABN Ambro Bank.  </w:t>
        <w:br/>
        <w:t xml:space="preserve">96 See docs. 158 and 159.  </w:t>
        <w:br/>
        <w:t>97 See doc. 148.</w:t>
      </w:r>
    </w:p>
    <w:p>
      <w:r>
        <w:t>BULLETIN NO. 41 OF OCTOBER 18, 2021 40</w:t>
      </w:r>
    </w:p>
    <w:p>
      <w:r>
        <w:t xml:space="preserve">136. During the investigation, no unequivocal elements emerged in favor of a different definition of the relevant commodity market compared to that usually adopted by the Authority. To this end, the statements of CBI are relevant, which on the one hand stated that access services to the CBI network are sold together with other services and, on the other hand, represented that numerous entities of different nature, PSPs, telecommunications operators, IT operators, etc., participated in the procedures organized by it for the selection of the network management service provider, demonstrating the ability of operators from different sectors to provide such services98. In any case, it is represented that the definition of the product market can be left open as, regardless of it, the operation does not raise competitive concerns in the offering of such services.  </w:t>
        <w:br/>
        <w:t xml:space="preserve">VI. FURTHER ARGUMENTS OF THE PARTIES  </w:t>
        <w:br/>
        <w:t xml:space="preserve">a.1) The Position of the Parties  </w:t>
        <w:br/>
        <w:t xml:space="preserve">137. From a general perspective, the Parties have represented that “the Operation would unite two players with strongly complementary skills from the value chain perspective. Nexi is a strong ‘commercial’ player nationally in merchant acquiring (downstream in the value chain); while SIA is a technological and infrastructural player mainly active in processing (upstream in the value chain). (…) this union will allow [the Parties] to develop a portfolio of innovative solutions, undertaking the necessary investments to comply with community regulations, and lowering the average service cost by aggregating volumes, with a view to expanding in the European market. These developments will also be important to support the banking system and digital payment systems at the country level, with a competitive offer compared to large international players (such as Worldline/Ingenico). In particular, thanks to the increased scale, the Parties will be able to better respond to the needs of the banking channel to reduce costs, offer integrated ‘best-in-class’ services, and ensure flexibility, efficiency, and compliance with regulations. These savings are of primary importance in a context of strong price pressure at all levels of the value chain.”99.  </w:t>
        <w:br/>
        <w:t xml:space="preserve">138. More specifically, the Parties represent that, firstly, “the operation will lead to commercial synergies, which can be divided into three areas: - Optimization of technological platforms: consolidation of common IT platforms that will result in savings in management costs (maintenance and software costs) and greater efficiency due to economies of scale (...); - Insourcing of processing and other services: currently, Nexi is the largest processor acquirer in Italy (partly also from SIA). After the operation, processing can be internalized (performed ‘in-house’), with an estimated recurring saving of €35 million; and - Procurement synergies and other costs: by aggregating volumes, the Parties will be able to increase their negotiating power (‘buyer power’) in procurement and obtain higher discounts from their suppliers. For example, inter alia, in relation to the purchase of POS and non-personalized cards”100.  </w:t>
        <w:br/>
        <w:t xml:space="preserve">98 See doc. 148.  </w:t>
        <w:br/>
        <w:t xml:space="preserve">99 See doc. 55.  </w:t>
        <w:br/>
        <w:t>100 See doc. 55.</w:t>
      </w:r>
    </w:p>
    <w:p>
      <w:r>
        <w:t>BULLETIN NO. 41 OF OCTOBER 18, 2021 41</w:t>
      </w:r>
    </w:p>
    <w:p>
      <w:r>
        <w:t xml:space="preserve">139. Secondly, the Parties have represented that “the synergies described above will have a direct impact on the clients of the Parties, both national and international - and thus indirectly also on the efficiency and competitiveness of the payment sector in Italy. Firstly, the reduction in costs will allow the Parties to formulate more advantageous offers in the market, both in terms of product/service portfolio and prices – and thus make the Parties' offer competitive vis-à-vis large international players that already operate at the pan-European level (such as Worldline/Ingenico or FIS/Worldpay) and benefit from the synergies created by the vertical union of processing (upstream) and acquiring (downstream). In addition to the savings, the Parties argue that their clients will benefit from ‘best-in-class’ products, combining the best products of the Parties in a ‘one-stop-shop’ that neither SIA nor Nexi could have offered individually without the benefits resulting from the merger (due to the investments and skills required for the development of these services)”101.  </w:t>
        <w:br/>
        <w:t xml:space="preserve">a.2) The Position of Worldline  </w:t>
        <w:br/>
        <w:t xml:space="preserve">140. During the investigation, equensWorldline expressed numerous concerns regarding the present operation, both from a general perspective and more specifically in relation to the relevant markets102.  </w:t>
        <w:br/>
        <w:t xml:space="preserve">141. From a general perspective, equensWorldline emphasized how “the combination of Nexi and SIA would significantly and durably consolidate the position of the post-merger entity and create even more significant barriers to entry than those already existing. This is because Nexi and SIA already today, each in different markets, have unique and non-replicable control over key infrastructures, networks, and clientele. Following the Operation, they will be able to create a unique ecosystem of acquiring and processing services and propose a commercial and technical offer that no competitor will be able to replicate, either independently or by associating with each other”103. In this sense, “the post-merger entity would also have the opportunity to offer clients non-replicable offers due to the economies of scale it could benefit from and this also in relation to the fact that the so-called on-us transactions would increase for which no fees are due to the schemes (scheme fee), with further benefit for the Parties from the concentration in question”104.  </w:t>
        <w:br/>
        <w:t xml:space="preserve">142. Furthermore, Worldline emphasizes how Nexi is already a primary operator in the sector, as indicated by the company itself following the acquisition of the Danish company Nets, without needing to merge with SIA to achieve the scale deemed necessary (by Nexi itself) to operate internationally105.  </w:t>
        <w:br/>
        <w:t xml:space="preserve">143. Moreover, the operation would lead to the elimination of a particularly dynamic competitor (SIA), as well as the internalization of services that, without the operation, the Parties would have purchased from third parties, resulting in the post-merger entity becoming the only player in Italy capable of offering a complete range of services and avoiding the double marginalization resulting from purchasing from third parties.  </w:t>
        <w:br/>
        <w:t xml:space="preserve">101 See doc. 55.  </w:t>
        <w:br/>
        <w:t xml:space="preserve">102 See docs. 16, 20, 36, and 182.  </w:t>
        <w:br/>
        <w:t xml:space="preserve">103 See doc. 151.  </w:t>
        <w:br/>
        <w:t xml:space="preserve">104 See doc. 143.  </w:t>
        <w:br/>
        <w:t>105 See doc. 198.</w:t>
      </w:r>
    </w:p>
    <w:p>
      <w:r>
        <w:rPr>
          <w:b/>
        </w:rPr>
        <w:t>[Pages 40–42]</w:t>
      </w:r>
    </w:p>
    <w:p>
      <w:r>
        <w:t>42 BULLETIN NO. 41 OF OCTOBER 18, 2021</w:t>
      </w:r>
    </w:p>
    <w:p>
      <w:r>
        <w:t>144. Regarding the individual markets concerned, with particular reference to the wholesale merchant acquiring market, Worldline states that it is not possible to consider captive operators offering in-house services, such as Banca Sella, ICCREA, Axepta, and Unicredit, as actual or potential competitors of Nexi and SIA. This is because banks without acquiring licenses that need wholesale services would never turn to banks with which they compete at the retail level, nor would these banks offer them their services106. Therefore, according to the company, the operation would reduce the number of operators from 3 to 2, leaving Worldline as the only competitor in a post-merger scenario.</w:t>
      </w:r>
    </w:p>
    <w:p>
      <w:r>
        <w:t>145. Further in relation to this market, Worldline emphasizes that banks cannot easily switch to another wholesale provider, as they are: unlicensed for acquiring; bound by long-term contracts; subject to penalties in case of early termination; as well as needing customized services that are difficult to replicate with a new provider and facing technical and financial risks.</w:t>
      </w:r>
    </w:p>
    <w:p>
      <w:r>
        <w:t>146. Finally, Worldline reports that Nexi is also active with a Network Service Provider (NSP) service, offered bundled with wholesale merchant acquiring, through which it provides POS terminals and routes transactions for acquirers. In order to acquire a client and manage its acquiring volumes, Worldline would need to connect to Nexi's NSP or another NSP: using Nexi's would be the technically simplest solution, especially for the bank, but the company reports that Nexi would have systematically refused such a connection; using another NSP would be a costly and risky solution for the bank, as it would involve a series of cascading technical migrations, execution risks, costs, and organizational-management difficulties, which would discourage banks from considering Worldline's offer.</w:t>
      </w:r>
    </w:p>
    <w:p>
      <w:r>
        <w:t>147. Regarding processing services, the company, after noting the presence of a non-compete clause in the supply contract with Nexi, raised concerns about Nexi's incentive and ability to transfer the volumes currently processed by equensWorldline to SIA without the latter having tools to prevent Nexi from changing providers107. In particular, the company argues that the new operating model of the Bancomat Circuit "will lock the market in favor of Nexi and SIA," as only services that do not fall under mere processing will be competitive108. Furthermore, according to Worldline, even with respect to clearing services, equensWorldline stated that "neither ICCREA nor Worldline could easily penetrate these markets (at least) until the implementation of the new Bancomat model," essentially because: no bank would switch to ICCREA; equensWorldline has no direct relationships with banks due to the non-compete/exclusivity clause and would need a lot of time and significant investments to reorganize; it would be particularly burdensome for banks to change processors109.</w:t>
      </w:r>
    </w:p>
    <w:p>
      <w:r>
        <w:t>148. Similar concerns have also been raised regarding clearing services, where the company provides Nexi under the same contract described for processing.</w:t>
      </w:r>
    </w:p>
    <w:p>
      <w:r>
        <w:t>149. In relation to ATM services, according to Worldline, the market would be defined as European based on a misinterpretation of a previous Commission ruling.</w:t>
      </w:r>
    </w:p>
    <w:p>
      <w:r>
        <w:t>150. Finally, equensWorldline raised concerns regarding the presence of vertical and conglomerate effects. In the first case, the concerns are between: i) wholesale merchant acquiring services (upstream) and retail merchant acquiring services (downstream), as the post-merger entity could raise upstream prices and make downstream offers non-replicable; ii) processing services and merchant acquiring services, to the extent that the former are an input for the latter; iii) interbank data transmission services (upstream) and processing markets (downstream), as the former are an input for the latter; iv) processing markets (upstream) and card issuance services on one side and the manufacturing and personalization of smart payment cards on the other (downstream); v) ATM services and processing services. In the second case, the concerns relate to the joint sale of: i) ATM services and processing services; and ii) processing services and merchant acquiring services110.</w:t>
      </w:r>
    </w:p>
    <w:p>
      <w:r>
        <w:t>151. For all these reasons, Worldline believes that the operation cannot be authorized without the provision of structural and behavioral remedies that can be summarized as follows.</w:t>
      </w:r>
    </w:p>
    <w:p>
      <w:r>
        <w:t>152. On one hand, there would be "behavioral/commercial remedies, such as (i) allowing Nexi/SIA clients to unilaterally terminate merchant acquiring contracts before their natural expiration without incurring penalties; (ii) preventing Nexi/SIA from offering bundled services, to allow competitors to offer services separately and on competitive terms; (iii) prohibiting Nexi/SIA from engaging in price discrimination between customers who purchase all services from them and those who purchase only a part; (iv) removing from Nexi/SIA contracts any exclusivity clause or any clause that forces customers to source a substantial part of their needs from the Parties"111.</w:t>
      </w:r>
    </w:p>
    <w:p>
      <w:r>
        <w:t>153. On the other hand, there would be "infrastructural/technical remedies, such as ensuring access to Nexi's NSP for both merchant acquiring and ATM services"112.</w:t>
      </w:r>
    </w:p>
    <w:p>
      <w:r>
        <w:t>154. Finally, there would be "structural remedies: regarding clearing services, where the Operation would result in a joint market share of the Parties of 90-95% in the non-SEPA segment, the Parties would need to divest assets, possibly those of Nexi, i.e., a market share of 40-45%, transferring customer contracts, granting temporary access to the infrastructure, and, if necessary, transferring the infrastructure itself"113.</w:t>
      </w:r>
    </w:p>
    <w:p>
      <w:r>
        <w:t>155. As "general measures to ensure the effectiveness of the remedies mentioned above: (i) the Parties should be subject to monitoring (by the Authority or an independent trustee) to ensure the strict implementation of the corrective measures; and (ii) the Parties should provide timely all necessary technical support to customers in the process of migrating to competing platforms or infrastructures, thus safeguarding business continuity"114.</w:t>
      </w:r>
    </w:p>
    <w:p>
      <w:r>
        <w:t>a.3) The position of Cedacri</w:t>
      </w:r>
    </w:p>
    <w:p>
      <w:r>
        <w:t>156. During the investigation, Cedacri brought to the Authority's attention concerns mainly related to Digital Corporate Banking services and the CBI network.</w:t>
      </w:r>
    </w:p>
    <w:p>
      <w:r>
        <w:t>157. In particular, according to Cedacri, the post-merger entity will be the only one managing the CBI network. This would give them, on one hand, the advantage of knowing in advance the standards and protocols for accessing the network, as they are also the providers of the DCB service that takes place through the CBI network; on the other hand, as managers of the network, they would have access to sensitive information of competitors in providing DCB services. Furthermore, given the close correlation between the CBI network and acquiring services, "the offer under conditions of substantial monopoly of access services to the CBI network could be used as leverage to strengthen dominance in acquiring"115.</w:t>
      </w:r>
    </w:p>
    <w:p>
      <w:r>
        <w:t>158. Cedacri also emphasized that the operation could only be authorized subject to the adoption of measures that can be summarized as follows: "1) separation of upstream infrastructure management activities from downstream access service provision to the CBI network; 2) realization within a certain and close date of the transition from the current architecture, which provides access nodes to the CBI network, to the CBI Globe system; 3) clear behavioral rules to prevent the post-merger entity from using information it becomes aware of in its role as network manager, e.g., tactical or discriminatory use of information regarding new protocols, including obligations for timely communication of new protocols, even during their design phase; 4) access rules on reasonable, fair, and non-discriminatory terms for all operators to all protocols/technical standards that may be necessary to develop new functionalities/services; 5) prohibition of offering access services to the CBI network in combination with other services; 6) opening the CBI Globe architecture also to functionalities and data from the acquiring sector"116.</w:t>
      </w:r>
    </w:p>
    <w:p>
      <w:r>
        <w:t>a.4) The position of other third parties</w:t>
      </w:r>
    </w:p>
    <w:p>
      <w:r>
        <w:t>159. Regarding the impact of the operation on the market, two different positions emerged among the interviewed operators during the investigation.</w:t>
      </w:r>
    </w:p>
    <w:p>
      <w:r>
        <w:t>160. Preliminary, it should be noted that all interviewed banks reported that some services are offered or purchased jointly. In this sense, i) in the acquiring sector, merchant acquiring services, POS provision, and processing are usually purchased jointly; ii) in the issuing sector, the most frequent pairing is between card issuing, card provision, processing, and clearing.</w:t>
      </w:r>
    </w:p>
    <w:p>
      <w:r>
        <w:t>161. That said, on one hand, some operators highlighted that following the operation, a reality of significant size and certainly a reference point (not only national) for all those wishing to operate in this scenario will emerge; in this perspective, having a single entity capable of managing an entire process independently would represent "a great added value compared to other potential competitors that present only partial skills and capabilities"117. The new entity "should benefit from further economies of scale that should/could be partially</w:t>
      </w:r>
    </w:p>
    <w:p>
      <w:r>
        <w:rPr>
          <w:b/>
        </w:rPr>
        <w:t>[Pages 43–45]</w:t>
      </w:r>
    </w:p>
    <w:p>
      <w:r>
        <w:t>BULLETIN NO. 41 OF OCTOBER 18, 2021 45</w:t>
      </w:r>
    </w:p>
    <w:p>
      <w:r>
        <w:t>shared also at the level of the ‘retail merchant acquiring’ segment”118. The concentration could, therefore, “produce efficiencies for customers, without causing, from a vertical perspective, particular foreclosure effects, as the post-merger entity does not seem to have the capacity and incentive to block access to production factors”119.</w:t>
      </w:r>
    </w:p>
    <w:p>
      <w:r>
        <w:t>162. In this sense, Bancomat120 has also expressed that “the operation in question does not raise competitive risks because the joint shares of the Parties in acquiring and issuing are not significant and because in processing there is a significant change in the operational model of the Networks by Bancomat, resulting from competitive confrontation among primary market players, which will lead the market to acquire a much broader and competitive dimension.”</w:t>
      </w:r>
    </w:p>
    <w:p>
      <w:r>
        <w:t>163. On the other hand, some operators have indicated that the operation will result in the removal of a player from the market, which has a significant weight121. Furthermore, some banks have raised concerns regarding specific markets. One operator122 highlighted some critical issues related to the vertical integration between the processing, wholesale merchant acquiring, and retail merchant acquiring markets, emphasizing the risk that the new entity may adopt strategies aimed at foreclosing competition in these markets. In particular, the post-merger entity would have both the capacity and the incentive to adopt exclusionary behavior due to its dual role: upstream provider of wholesale merchant acquiring and processing markets and competitor in the downstream retail merchant acquiring market. In this context, the post-merger entity could use levers such as price, quality of services offered, and management of timing in offering innovative technological solutions to hinder the activities of its competitors in the downstream market. For example, it could act by increasing prices for processing and wholesale merchant acquiring or could exploit knowledge of the acquisition costs of such services in defining bids for participation in tenders for retail merchant acquiring.</w:t>
      </w:r>
    </w:p>
    <w:p>
      <w:r>
        <w:t>164. Another operator123 expressed concerns related to cross-subsidization policies by Nexi/SIA to obtain or maintain new wholesale merchant acquiring mandates, which would make it very complex if not impossible for alternative operators to enter this market. Furthermore, there would be a potential distorting effect also in the processing of PagoBancomat transactions, with an absolute concentration of the operators present and the impossibility of entry by alternative operators also due to scale, or the circumstance that there are services bound to certain subjects as provided for by the Sitrad Convention and the relevant sector regulations, as well as domestic know-how.</w:t>
      </w:r>
    </w:p>
    <w:p>
      <w:r>
        <w:t>165. In the same direction, an operator124 highlighted that “the high market shares on both the issuing and acquiring sides can enable the development of ‘closed loop’ processing solutions, that is, with the completion of processing activities managed internally, without resorting to external networks for all transactions involving payment and acceptance instruments that both belong to the portfolio managed by the incumbent. This situation could ensure competitive advantages to the detriment of counterparts operating in the market as issuers and/or acquirers.”</w:t>
      </w:r>
    </w:p>
    <w:p>
      <w:r>
        <w:t>166. Finally, regarding acquiring, issuing, and particularly processing activities, Banca d’Italia highlights that: “The intention of the two groups is to leverage the merger project to reduce fixed costs and optimize synergies in this sector of activity, in which the provision of services to banks is already based on partnership agreements between the two entities. Furthermore, the establishment of a new entity dedicated to the processing activities of the domestic card circuit (see above) may reduce the current market shares of the Nexi-SIA operator [omitted]”125.</w:t>
      </w:r>
    </w:p>
    <w:p>
      <w:r>
        <w:t>167. Again, with particular reference to processing, Banca d’Italia emphasizes that the presence of economies of scale or the physiologically centralized nature of infrastructural services makes the offer of these services concentrated in a single large operator in many countries. However, “while there is a historical concentration in individual national markets, there is also a structural increase in their degree of contestability, essentially for two factors: i) the emergence of payment methods and business models that, driven by technological innovation, increasingly accompany traditional forms of payment, including monetary, generating new forms of competition among products and among their suppliers; ii) the reforms that have taken place in recent years in European regulation, which have reduced significant barriers to entry, related both to the tariff structure and the market (Interchange Fee Regulation, EBA RTS on the separation between schemes and processing), and to the operation of new types of operators (payment service providers under PSD2), increasing the interest of large groups in cross-border acquisition operations (an example is the recent purchase by the French Worldline of the processor Axepta based in Italy).”</w:t>
      </w:r>
    </w:p>
    <w:p>
      <w:r>
        <w:t>168. In relation to clearing, given the two different approaches thus far adopted by the two Parties, with Nexi focused on a model of direct offering to Italian banks (in the BI-COMP area) and SIA more oriented towards the role of technological outsourcer for the pan-European STEP2-T and RT1 systems, Banca d’Italia “expects that the merger will lead to a comprehensive review of the operational model for the treatment of SEPA payments, with the likely choice between one of the two models and with possible gains in terms of rationalization and exploitation of economies of scale.” Regarding future scenarios, Banca d’Italia emphasizes [omitted].</w:t>
      </w:r>
    </w:p>
    <w:p>
      <w:r>
        <w:t>VII. EVALUATIONS</w:t>
      </w:r>
    </w:p>
    <w:p>
      <w:r>
        <w:t>VII.1. Premise</w:t>
      </w:r>
    </w:p>
    <w:p>
      <w:r>
        <w:t>169. From the overall investigative activity carried out, it emerges that the operation – in the words of Banca d’Italia – “constitutes a significant step for the Italian and European payment industry, with the birth of an entity capable of covering different segments of the payment industry across multiple countries (…) determining a configuration of the Italian market similar to that existing in several European countries, where the national financial community often finds support in the services of a single large operator”126.</w:t>
      </w:r>
    </w:p>
    <w:p>
      <w:r>
        <w:t>170. From a more strictly antitrust perspective, the prospective effects expected from the concentration largely depend – but not exclusively – on the competitive scope that is considered affected, regarding the commodity aspect, but especially in relation to its geographical dimension. In this sense, the investigative activity has been able to ascertain that the recent developments in the payment industry have led to the realization of competitive areas different from those previously recorded by the Authority. The phenomenon, moreover, has already been noted by the European Commission which, in evaluating recent cases of concentration, has often arrived at the definition of relevant markets that are more disaggregated from a commodity perspective compared to those previously defined by the Authority, while from a geographical perspective they are broader than those once recorded. The evidentiary elements in the file – except for important exceptions that will be discussed later – tend to confirm what has already been noted at the community level. This implies that the competitive scope in which the prospective effect of the operation must be evaluated often includes significant supranational operators, who often appear to be in a position to offer valid alternatives to the national customers of the post-merger entity. As will be seen later, this does not apply to the situation of markets undergoing imminent change, for which it is currently believed that international competition is not such as to induce changes to the geographical definition of the markets previously adopted by the Authority.</w:t>
      </w:r>
    </w:p>
    <w:p>
      <w:r>
        <w:t>171. Having established this from a general perspective, in detail the investigation has highlighted that the operation is likely to significantly alter competitive dynamics in certain markets, highlighted below, in which the establishment or strengthening of a dominant position by the Parties will occur, although in some areas the presence of elements of specificity or temporariness has emerged, which will be accounted for.</w:t>
      </w:r>
    </w:p>
    <w:p>
      <w:r>
        <w:t>VII.2. Evaluations on the markets</w:t>
      </w:r>
    </w:p>
    <w:p>
      <w:r>
        <w:t>Analysis of horizontal effects</w:t>
      </w:r>
    </w:p>
    <w:p>
      <w:r>
        <w:t>a) Merchant acquiring services</w:t>
      </w:r>
    </w:p>
    <w:p>
      <w:r>
        <w:t>172. With reference to merchant acquiring services, it should be preliminarily noted that the investigative activity has provided elements supporting a modification of the previous definition of the relevant market adopted by the Authority. Therefore, as represented during the investigative findings, the current situation of the sector entails that merchant acquiring services are articulated in the wholesale merchant acquiring market and the provision of POS and related services, having a supranational geographical dimension, equal to the EEA, and in the retail merchant acquiring market and the provision of POS and related services, having a national geographical dimension.</w:t>
      </w:r>
    </w:p>
    <w:p>
      <w:r>
        <w:t>a.1) wholesale merchant acquiring market and the provision of POS and related services</w:t>
      </w:r>
    </w:p>
    <w:p>
      <w:r>
        <w:t>173. In the market under examination, the operation will lead the post-merger entity to hold a share at the EEA level equal, in 2020, to [1-5%]127, against the presence of numerous and qualified competitors, active</w:t>
      </w:r>
    </w:p>
    <w:p>
      <w:r>
        <w:rPr>
          <w:b/>
        </w:rPr>
        <w:t>[Pages 46–48]</w:t>
      </w:r>
    </w:p>
    <w:p>
      <w:r>
        <w:t>48 BULLETIN NO. 41 OF OCTOBER 18, 2021</w:t>
      </w:r>
    </w:p>
    <w:p>
      <w:r>
        <w:t>at the supranational level, such as Credit Mutuel ([20-25%]), BPCE ([5-10%]), Global Payments/TSYS ([5-10%]), and Elavon ([1-5%]) (estimates provided by the Parties128).</w:t>
      </w:r>
    </w:p>
    <w:p>
      <w:r>
        <w:t>174. With reference to Worldline's observations regarding the fact that qualified operators such as captive and those offering in-house merchant acquiring services, such as Banca Sella or ICCREA, cannot be considered actual competitors of the Parties at the wholesale level, the following considerations are noted: on one hand, as elements supporting the supranational nature of the wholesale merchant acquiring market have emerged during the investigation, it is believed that the argument is overcome to the extent that the main competitors consist of different operators, and especially of a different nature than those considered by Worldline (they are not only banking operators, but also other PSP operators). Therefore, the operation will not reduce the operators from 3 to 2 (i.e., from SIA, Nexi, and Worldline to the post-merger entity and Worldline), as there are numerous and valid competitors present. On the other hand, it is emphasized that the investigative insights conducted by the Commission in the M9759 procedure have in any case led to the qualification of Banca Sella and ICCREA (as well as SIA) as competitors of Nexi at the wholesale level129 and that, therefore, even where the issue were relevant, it would be difficult to accept Worldline's position, which would be in contrast with the findings made by the European Commission.</w:t>
      </w:r>
    </w:p>
    <w:p>
      <w:r>
        <w:t>175. In relation to what was represented by Worldline regarding the difficulty of changing wholesale providers, the evidence that emerged during the procedure and previously mentioned has demonstrated that the majority of operators interviewed, while recognizing the possible complexity and costliness of such a process, would change or consider changing wholesale providers in the face of an economic or qualitative convenience, also turning to foreign operators130, thereby demonstrating that the obstacles to change are not such as to preclude the contestability of the market.</w:t>
      </w:r>
    </w:p>
    <w:p>
      <w:r>
        <w:t>176. Based on the contained positioning of the Parties downstream of the merger, considering the presence of numerous and qualified competitors and the actual and potential mobility in terms of changing providers as emerged from the investigative insights, it appears that in the wholesale merchant acquiring market the operation does not raise antitrust concerns.</w:t>
      </w:r>
    </w:p>
    <w:p>
      <w:r>
        <w:t>a.2) retail merchant acquiring market and the provision of POS and related services</w:t>
      </w:r>
    </w:p>
    <w:p>
      <w:r>
        <w:t>177. In the retail merchant acquiring market and the provision of POS and related services, the joint market share of the Parties in the Italian market is approximately [35-40%], with Nexi holding a share of about [35-40%] and SIA a share of approximately [less than 1%]. Even considering the market share of Nets (which is being integrated into Nexi), amounting in Italy to approximately [less than 1%], the post-merger positioning would remain substantially unchanged (data provided by the Parties). In fact, without making distinctions between the provision of POS and merchant acquiring. In this regard, the Parties specify that there may be minimal deviations, of a residual nature and therefore not significant. See doc. 136.</w:t>
      </w:r>
    </w:p>
    <w:p>
      <w:r>
        <w:t>128 On this point, the Parties represent that to estimate market shares, given the absence of official sources, the proportion of wholesale merchant acquiring in the major EEA countries (Italy, France, Germany, Spain, Poland, and Nordic countries) was used, attributing the resulting weighted average for the volume of the remaining countries. In the event that a more conservative hypothesis regarding the total market used were adopted, that is, if the proportion of the wholesale segment compared to the total retail at the EEA level were only half of what was estimated, the joint share of the parties would still be below [5-10%], see doc 140.</w:t>
      </w:r>
    </w:p>
    <w:p>
      <w:r>
        <w:t>129 See Commission decision of June 26, 2021, in case M9759 – Nexi/Intesa Sanpaolo (Merchant acquiring business).</w:t>
      </w:r>
    </w:p>
    <w:p>
      <w:r>
        <w:t>130 See docs. from 43 to 52.</w:t>
      </w:r>
    </w:p>
    <w:p>
      <w:r>
        <w:t>BULLETIN NO. 41 OF OCTOBER 18, 2021 49</w:t>
      </w:r>
    </w:p>
    <w:p>
      <w:r>
        <w:t>it is noteworthy that the increase to Nexi's pre-merger share resulting from the contributions of SIA and Nets is overall [less than 1%] and therefore largely marginal.</w:t>
      </w:r>
    </w:p>
    <w:p>
      <w:r>
        <w:t>178. Furthermore, at the retail level, there are numerous and qualified competitors present in Italy, including, in particular, Unicredit ([5-10%]), ICCREA ([5-10%]), JP Morgan Chase ([1-5%]), Banca Sella ([1-5%]), Global Payments/TSYS ([1-5%]), and FIS/Worldpay ([1-5%]). In this regard, it should be noted that the investigation highlighted that a potential change of provider for retail merchant acquiring services, despite the complexity and extraordinary nature of the operation from an organizational and managerial perspective, is a fundamentally sustainable choice for customers131, thereby emphasizing a degree of demand mobility and market contestability.</w:t>
      </w:r>
    </w:p>
    <w:p>
      <w:r>
        <w:t>179. Regarding the issues raised by Worldline concerning Nexi's NSP service, the following considerations are relevant. This service appears to be a peculiarity of the German market, in which the payment system formally includes an NSP service. The Commission itself notes that “NSP services are a service that is specific to the German card payment system, and relates to the unique set-up of the German domestic Girocard scheme, which represents the majority of payment transactions in Germany”132. Furthermore, Worldline itself acknowledges that the Italian market does not operate in the same manner as the German market, where NSPs constitute a distinct market133, leading to the conclusion that NSP should be considered within the scope of merchant acquiring services. Moreover, it should be emphasized that the positioning of the post-merger entity in the wholesale and retail merchant acquiring markets and the provision of POS and related services, along with the evidence that emerged in terms of actual and potential mobility regarding the possibility of changing providers of merchant acquiring services both at the wholesale and retail levels, allows us to conclude that the issues reported by Worldline regarding NSP services do not currently pose competitive concerns, and in any case do not relate to the effects of the operation. In this context, the refusal of access to NSP – which, according to Worldline, would have been imposed by Nexi – could potentially constitute conduct that, as such, cannot be relevant in defining the relevant market.</w:t>
      </w:r>
    </w:p>
    <w:p>
      <w:r>
        <w:t>180. These considerations are also relevant in relation to ATM services which, according to Worldline, would in turn require an NSP to manage the ATM infrastructure of banks.</w:t>
      </w:r>
    </w:p>
    <w:p>
      <w:r>
        <w:t>181. Therefore, the significant market share that will be held by the post-merger entity will not be due to the operation given the substantial absence of SIA from this market and, therefore, the concentration is not suitable to produce appreciable changes in the structure of the retail merchant acquiring market.</w:t>
      </w:r>
    </w:p>
    <w:p>
      <w:r>
        <w:t>b) Processing services</w:t>
      </w:r>
    </w:p>
    <w:p>
      <w:r>
        <w:t>b.1) The market for processing cards of the Bancomat Circuit</w:t>
      </w:r>
    </w:p>
    <w:p>
      <w:r>
        <w:t>182. The market for processing cards of the Bancomat Circuit is in a phase of significant evolution. The investigation, in fact, has reported radical changes that are underway and whose effects will be appreciable starting from 2023, when the new processing model of Bancomat will begin to operate. For completeness, therefore, the following assessment will take into account both the current scenario and the future scenario.</w:t>
      </w:r>
    </w:p>
    <w:p>
      <w:r>
        <w:t>The market for processing services of Bancomat cards in the current scenario</w:t>
      </w:r>
    </w:p>
    <w:p>
      <w:r>
        <w:t>183. Regarding the current scenario, it is observed that, also for historical reasons related to the genesis of the system, processing services for Bancomat cards are offered by both Parties, with significant market shares. In particular, in 2020 Nexi recorded a share of approximately [35-40%] and SIA recorded a share of approximately [30-35%], for a total post-merger value of approximately [70-75%] (estimates provided by the Parties).</w:t>
      </w:r>
    </w:p>
    <w:p>
      <w:r>
        <w:t>184. During the investigation, the Parties stated that these shares would overestimate their actual position in the market since: i) part of their supply should be qualified as 'captive' and, therefore, should not be included in the calculation of market share; ii) Nexi would not be an actual competitor in the provision of services as it would not have its own platform and would rely on services provided by equensWorldline. In any case, according to the Parties, iii) the high market share would not constitute “a structural indicator capable of reliably capturing the market power attributable to the Combined Entity and the associated competitive implications” since there are “already established, credible, and absolutely qualified alternative operators (ICCREA and equensWorldline)”; “there would be no particular barriers to entry and the accreditation process with the Bank of Italy would be swift and transparent (…)”; the clientele would already be contestable [omitted]”134.</w:t>
      </w:r>
    </w:p>
    <w:p>
      <w:r>
        <w:t>185. However, these arguments cannot be shared except for the subsequent considerations regarding the contestability of the market share attributable to the Parties due to the peculiar situation.</w:t>
      </w:r>
    </w:p>
    <w:p>
      <w:r>
        <w:t>186. As for point i), it should be noted that the Parties qualify as 'captive'135 the volumes attributable to the processing carried out by SIA for Unicredit S.p.A. due to the long-term duration of the contract and the exclusivity constraint provided therein, so that “this relationship … can be de facto assimilated to a 'captive' supply and excluded from the analysis”136. Such an approach, however, does not find support in national and community practice based on which, considering the prospective assessment of concentration operations, even these contracts reflect the market position of the interested Parties137.</w:t>
      </w:r>
    </w:p>
    <w:p>
      <w:r>
        <w:t>187. Regarding point ii), from the reading of the documentation on file, it has emerged that, although the service is technologically provided by equensWorldline, from a commercial point of view it is Nexi that offers the service to customers, determines the price and other commercial conditions, and signs the contracts138. Therefore, contrary to what the Parties have stated, it is believed that Nexi can be considered an actual competitor in the market.</w:t>
      </w:r>
    </w:p>
    <w:p>
      <w:r>
        <w:rPr>
          <w:b/>
        </w:rPr>
        <w:t>[Pages 49–51]</w:t>
      </w:r>
    </w:p>
    <w:p>
      <w:r>
        <w:t>BULLETIN NO. 41 OF OCTOBER 18, 2021 51</w:t>
      </w:r>
    </w:p>
    <w:p>
      <w:r>
        <w:t>examination, while being aware that the technological aspects of the service are determined and provided by the Worldline group and not by Nexi. According to Worldline, Nexi should be considered a competitor in this market.</w:t>
      </w:r>
    </w:p>
    <w:p>
      <w:r>
        <w:t>188. As for point iii), the following elements emerged during the investigation.</w:t>
      </w:r>
    </w:p>
    <w:p>
      <w:r>
        <w:t>189. As described in the section on Investigative Findings, from the supply side, the processing of cards in the Bancomat Circuit is currently carried out by only three entities, which operate as Application Centers: SIA, Nexi, and Iccrea. Contrary to what the Parties claim, equensWorldline will be active starting from January 1, 2022, when it will begin operating as an Application Center based on the authorization requested and obtained from Banca d’Italia.</w:t>
      </w:r>
    </w:p>
    <w:p>
      <w:r>
        <w:t>190. In this regard, concerning Iccrea, it is noted that, although this company is currently active only for the banks belonging to the Cooperative Banking Group of which it is the holding company, there are no technical or regulatory impediments to its ability to also provide services to banks not belonging to the Group.</w:t>
      </w:r>
    </w:p>
    <w:p>
      <w:r>
        <w:t>191. Regarding equensWorldline, it is worth noting that the company currently provides this service as a technical provider for Nexi. In other words, the service is operationally provided by equensWorldline, but the contracts with the banks are negotiated and signed by Nexi. This circumstance, on one hand, should reduce, if not eliminate, the actual costs and times of entry from a technical-operational perspective; on the other hand, as stated by the company itself during the hearing, it should facilitate the migration of clients already technically served, [omissis].</w:t>
      </w:r>
    </w:p>
    <w:p>
      <w:r>
        <w:t>192. For these reasons, it is not possible to accept equensWorldline's objection regarding the circumstance that no bank would switch to Iccrea and the necessity for banks to incur significant costs and anticipate long transfer times to switch to equensWorldline, as further argued later. To confirm the actual possibility of changing providers, equensWorldline itself states that "two operators have declared that they have actually changed providers." However, in this regard, the non-competition clause - and thus the exclusivity obligation - provided in the supply contract between equensWorldline and Nexi is relevant, according to which, until [omissis], the former is prohibited from approaching the client banks of the latter. In other words, the entry of equensWorldline would be subjectively precluded with respect to the banks to which it already provides the service.</w:t>
      </w:r>
    </w:p>
    <w:p>
      <w:r>
        <w:t>193. In this regard, the Parties have represented that, on one hand, the clause is not extended to all companies of the Worldline group (for example, Six could take over the contracts held by Nexi); on the other hand, it is subjectively limited to only those clients actually served by Nexi and therefore would not apply to clients who, at the expiration of the contract - which normally has a duration of [omissis] - decide not to renew.</w:t>
      </w:r>
    </w:p>
    <w:p>
      <w:r>
        <w:t>194. In any case, the Parties have expressed their willingness to unilaterally waive the protection arising from the non-competition clause - and thus from the exclusivity obligation - contained in the existing contracts with equensWorldline, specifically regarding domestic processing and non-SEPA clearing, on the assumption that it guarantees Nexi the regular and complete internalization of the platforms or migration of the services and platforms provided by it. This last condition, in the opinion of the Parties, would be "necessary precisely to ensure a balanced and linear evolution of competitive dynamics and relationships with clients."</w:t>
      </w:r>
    </w:p>
    <w:p>
      <w:r>
        <w:t>195. On this point, it is observed that, regardless of the more or less extensive effects that the clause may determine, in principle, given the significant market share of the Parties post-merger, any constraint on the entry of a third operator appears likely to affect assessments regarding the actual ability of the third party to enter the market and to represent a real competitive constraint for the Parties, and therefore, it cannot be maintained, even within the framework of a temporary market situation.</w:t>
      </w:r>
    </w:p>
    <w:p>
      <w:r>
        <w:t>196. Regarding the question, the investigation revealed that in the face of a price increase of 5% - 10%, banks would be willing to initiate evaluations for the adoption of a different processing service provider, although noting the presence of migration costs and times. As previously described, in principle, costs and times may take on different significance in the case of equensWorldline when it comes to a bank to which this operator already provides the service, through Nexi, [omissis] as stated by Worldline itself. These last considerations, in any case, would only apply starting from January 1, 2022, and only to the extent that there are no other operational constraints on the entry of this operator.</w:t>
      </w:r>
    </w:p>
    <w:p>
      <w:r>
        <w:t>197. From all of the above, it follows that in the immediate term, the operation will result in the establishment of a post-merger entity with a very high market share, such as to constitute a dominant position in the market for processing Bancomat Circuit cards. The market position of the Parties and, therefore, their market power, appears destined to diminish both due to the entry of a new, significant operator into the market and in consideration of the significant changes expected in the provision of this service, as illustrated below.</w:t>
      </w:r>
    </w:p>
    <w:p>
      <w:r>
        <w:t>The market for processing services for Bancomat Circuit cards in the future scenario</w:t>
      </w:r>
    </w:p>
    <w:p>
      <w:r>
        <w:t>198. Based on the elements that emerged during the investigation, starting from 2023, there will be a radical change in the provision of processing services for Bancomat Circuit cards which, according to Bancomat itself and [omissis], will align the service offering with the methods already adopted by international circuits. In particular, the role and peculiarities of the Application Centers will cease, and the activities carried out by them will be reduced to mere processing in the strict sense (without additional services). This activity, contrary to what Worldline claims, can be performed by any processor and it will no longer be necessary to have a specific authorization to operate as an Application Center. In the words of the Circuit: "Bancomat has decided to adopt a new settlement system for operations aimed at simplifying the current operations of the application centers and to adopt new Schema functionalities to ensure the security of transactions, thus separating from the activities currently performed by the application centers all services that do not fall within mere processing: in this way, only this latter activity [i.e., mere processing] will remain the prerogative of processors while everything else will be subject to simplification or revision."</w:t>
      </w:r>
    </w:p>
    <w:p>
      <w:r>
        <w:t>199. It follows that, given the substantial absence of particular regulatory or technological barriers, banks will be able to turn to a wider range of processors, both national and international, similarly to what occurs for processing services for international circuit cards.</w:t>
      </w:r>
    </w:p>
    <w:p>
      <w:r>
        <w:t>200. In this sense, it should be noted that, in light of what Bancomat has stated, all operators, including banks, will have to adapt to the new rules and migrate to the new model; therefore, banks will find themselves facing the same migration costs whether they maintain the same provider (and, in particular, Nexi or SIA) or choose a new provider, thus favoring broader competition among processors.</w:t>
      </w:r>
    </w:p>
    <w:p>
      <w:r>
        <w:t>201. Based on the above, it is believed that the introduction of Bancomat's new model could significantly reduce the market power of the post-merger entity, and that the latter will be subject to competitive pressures from numerous operators, both national and international, similar to what occurs today in the market for processing services for international circuit cards.</w:t>
      </w:r>
    </w:p>
    <w:p>
      <w:r>
        <w:t>b.2) The market for processing services for international circuit cards</w:t>
      </w:r>
    </w:p>
    <w:p>
      <w:r>
        <w:t>202. In the European market for processing services for international circuit cards (debit and credit), both Nexi and SIA are active with a market share that post-merger will be below 10%.</w:t>
      </w:r>
    </w:p>
    <w:p>
      <w:r>
        <w:t>203. In this market, there are numerous qualified competitors such as equensWorldline, Global Payments/TSYS, FIS/Worldpay, Fiserv/First Data, Elavon. These are pan-European operators that are active in multiple countries, sometimes globally, and manage processing services at a centralized level.</w:t>
      </w:r>
    </w:p>
    <w:p>
      <w:r>
        <w:t>204. Based on these considerations, it is believed that, given the market share that the post-merger entity will hold and considering the competitive pressure exerted by competitors, the operation is not suitable to create or strengthen a dominant position in the market for processing services for international circuit cards.</w:t>
      </w:r>
    </w:p>
    <w:p>
      <w:r>
        <w:t>c) Payment card issuance services</w:t>
      </w:r>
    </w:p>
    <w:p>
      <w:r>
        <w:t>205. The Parties are both active in the field of payment card issuance services. In particular, Nexi primarily issues credit cards for international circuits, while it is not active in the issuance of debit cards for the domestic payment circuit PagoBancomat. SIA, for its part, was only recently authorized by Banca d’Italia to provide this service (since November 2018) and to date has issued cards only for its own employees.</w:t>
      </w:r>
    </w:p>
    <w:p>
      <w:r>
        <w:t>206. This is reflected in the market shares of the Parties. Within the unique framework of payment card issuance services, in 2020, the market shares were, respectively, below 1% for Nexi and [below 1%] for SIA, considering the European Economic Area; while,</w:t>
      </w:r>
    </w:p>
    <w:p>
      <w:r>
        <w:rPr>
          <w:b/>
        </w:rPr>
        <w:t>[Pages 52–54]</w:t>
      </w:r>
    </w:p>
    <w:p>
      <w:r>
        <w:t>54 BULLETIN NO. 41 OF OCTOBER 18, 2021</w:t>
      </w:r>
    </w:p>
    <w:p>
      <w:r>
        <w:t>considering a national market dimension, the shares were [1-5%] for Nexi and [less than 1%] for SIA (estimates provided by the Parties).</w:t>
      </w:r>
    </w:p>
    <w:p>
      <w:r>
        <w:t>207. If we were to consider a distinct market definition by card type – and thus credit versus debit – there would only be overlap in the issuance of credit cards, the only service provided by SIA, in which, in 2020, SIA's market share was [less than 1%], both at the national and European levels, while Nexi holds a market share of [20-25%] at the national level in the area of credit cards only.</w:t>
      </w:r>
    </w:p>
    <w:p>
      <w:r>
        <w:t>208. Furthermore, it is noted that the Parties will continue to face significant competition both in Italy and in the European Economic Area; among the competitors are banks, which, based on data provided by the Parties, issue about 90% of all payment cards in Italy, such as Intesa Sanpaolo, Unicredit, Iccrea, ING, Deutsche Bank, BNP Paribas, Banca Sella, as well as Poste Italiane, the Payment Networks, including American Express and Diners Club, as well as Alternative Players such as Revolut and N26.</w:t>
      </w:r>
    </w:p>
    <w:p>
      <w:r>
        <w:t>209. Based on the preceding considerations, given the absolutely marginal increase determined by SIA, and considering the presence of numerous and qualified competitors, it is believed that, regardless of the commodity and geographical dimension, the operation is not suitable to create or strengthen a dominant position.</w:t>
      </w:r>
    </w:p>
    <w:p>
      <w:r>
        <w:t>d) Services for the production and personalization of smart payment cards</w:t>
      </w:r>
    </w:p>
    <w:p>
      <w:r>
        <w:t>210. Regarding the market for the production and personalization of smart payment cards, the investigation revealed that the Parties are only active in personalization while they do not produce cards. In other words, they purchase non-personalized cards from third parties, including through tender procedures, personalize them through their centers, and then provide the issuers with the finished product, namely the personalized card.</w:t>
      </w:r>
    </w:p>
    <w:p>
      <w:r>
        <w:t>211. That said, whether considering a single market definition for the two services in question or considering the two services separately, the operation does not raise competitive concerns. In particular, in 2020 in the European market for the production and supply of smart payment cards, both Nexi and SIA each hold a market share of [1-5%], and thus the post-merger combined market share would be [1-5%]; similarly, if we consider only the market for the supply of smart payment cards, in which the Parties are active, in 2020, at the European level, Nexi holds a market share of [1-5%] while SIA holds a market share of [1-5%], resulting in an aggregated share of [5-10%] (estimates provided by the Parties).</w:t>
      </w:r>
    </w:p>
    <w:p>
      <w:r>
        <w:t>212. The market includes international operators, active on at least a European scale, such as IDEMIA, with a share of [35-40%], Thales, with a share of [30-35%], Giesecke &amp; Devrient, with a share of [15-20%], Publicenter, ST Incard, Exceet, and Metalplex, all with shares below 10% (estimates provided by the Parties).</w:t>
      </w:r>
    </w:p>
    <w:p>
      <w:r>
        <w:t>213. Given the market position of the Parties and the presence of numerous and qualified competitors, it is believed that the operation does not create or strengthen a dominant position for the post-merger entity, whether considering a single market definition for the two services of production and personalization of smart payment cards or considering the two services separately.</w:t>
      </w:r>
    </w:p>
    <w:p>
      <w:r>
        <w:t>BULLETIN NO. 41 OF OCTOBER 18, 2021</w:t>
      </w:r>
    </w:p>
    <w:p>
      <w:r>
        <w:t>e) Retail payment clearing services (so-called clearing)</w:t>
      </w:r>
    </w:p>
    <w:p>
      <w:r>
        <w:t>e.1) The market for clearing services for non-SEPA products</w:t>
      </w:r>
    </w:p>
    <w:p>
      <w:r>
        <w:t>214. As mentioned in the section of the Investigative Findings, the market for clearing services for non-SEPA products is still characterized by certain peculiarities that distinguish it from the market for SEPA product services and give it a national dimension.</w:t>
      </w:r>
    </w:p>
    <w:p>
      <w:r>
        <w:t>215. As a preliminary matter, it is necessary to highlight that in the context of payments, non-SEPA transactions represent a smaller share compared to SEPA transactions, and are progressively decreasing. It should be noted that, according to estimates from the ECB, while in 2014 non-SEPA payments accounted for 43% of total payment transactions, in 2020 the percentage fell to 27% (estimate from the Parties).</w:t>
      </w:r>
    </w:p>
    <w:p>
      <w:r>
        <w:t>216. That said, similarly to what was described for the market of processing cards of the Bancomat Circuit, it is noteworthy that clearing services for non-SEPA products can only be provided by Application Centers authorized by Banca d’Italia, which operate as an Automated Clearing House – ACH. Currently, Nexi, SIA, and Iccrea are active in the market. During the investigation, it emerged that starting from January 1, 2022, equensWorldline will also begin to offer this service, based on the authorization requested and obtained from Banca d’Italia.</w:t>
      </w:r>
    </w:p>
    <w:p>
      <w:r>
        <w:t>217. In this context, the position of the Parties is significant with a market share of [40-45%] for Nexi and [45-50%] for SIA, thus resulting in a post-merger share of [90-95%]. The remaining part of the market, amounting to [5-10%], is served by Iccrea (estimates provided by the Parties). Similar to processing services, regarding this market, the Parties stated that “the combined share would not constitute a structural indicator capable of accurately representing the market power attributable to the Combined Entity” since “there would already be two other established, credible, and qualified operators”; “the market would not present particular barriers to entry”; “the clientele of non-SEPA payment clearing services would present a high degree of contestability as the contracts have the same characteristics as processing contracts.”</w:t>
      </w:r>
    </w:p>
    <w:p>
      <w:r>
        <w:t>218. To this end, the following observations are made. Regarding the operators present in the market, as already illustrated, currently the only alternative to the Parties is Iccrea: at present, it only offers services to the banks of the BCC Group of which it is the holding company, but there do not appear to be technical or regulatory impediments to its ability to also serve banks not belonging to the Group.</w:t>
      </w:r>
    </w:p>
    <w:p>
      <w:r>
        <w:t>219. As for the entry of equensWorldline into the market, the same considerations made in the context of processing cards of the Bancomat Circuit apply here. Therefore, equensWorldline will only begin to operate in the clearing of non-SEPA products from January 1, 2022, as per the authorization requested and obtained from Banca d’Italia. Furthermore, the two services (processing and clearing) are subject to the same technological supply contract signed by equensWorldline with Nexi, which therefore provides, as already extensively described, that for clearing services, the latter also uses the platform of the former. This circumstance, as already represented, on one hand, reduces, if not eliminates, the actual costs and times of entry from a technical-operational point of view; on the other hand, as stated by the company itself during the hearing, it facilitates the migration of clients already technically served.</w:t>
      </w:r>
    </w:p>
    <w:p>
      <w:r>
        <w:t>220. Similarly, the considerations already made regarding the non-competition clause, and thus the exclusivity obligation, provided in the contract between equensWorldline and Nexi, which prevents the former from offering the clearing service for non-SEPA products to clients contracted by Nexi, apply here.</w:t>
      </w:r>
    </w:p>
    <w:p>
      <w:r>
        <w:t>221. Regardless of the more or less extensive effects that the clause may determine, as described above in point b.1), it is noted that, given the market share that the post-merger entity will hold, any restriction on the entry of a third operator appears likely to affect the assessments regarding the actual ability of the third party to enter the market and to represent a real competitive constraint for the Parties, and therefore, it cannot be maintained.</w:t>
      </w:r>
    </w:p>
    <w:p>
      <w:r>
        <w:t>222. As mentioned, the Parties have already expressed their willingness to unilaterally waive the protection arising from the non-competition clause - and thus from the exclusivity obligation - contained in the existing contracts with equensWorldline. With particular regard to this point, the Parties have reiterated that for the clearing of non-SEPA services, the necessary conditionality of the dissolution of the obligation of collaboration by equensWorldline “to ensure a balanced and linear evolution of competitive dynamics and relationships with clients” is required.</w:t>
      </w:r>
    </w:p>
    <w:p>
      <w:r>
        <w:t>223. Based on the above, while recognizing the progressive decrease of non-SEPA payments, which is expected to continue, it is believed that, given the very high market share of the post-merger entity, and considering all the other elements described above, the operation will result in the establishment of a dominant position in the market for clearing services for non-SEPA payments as long as payments are not all attracted into the SEPA framework or, in any case, adopt the common clearing standard currently in force for SEPA payments.</w:t>
      </w:r>
    </w:p>
    <w:p>
      <w:r>
        <w:t>e.2) The market for clearing services for SEPA products</w:t>
      </w:r>
    </w:p>
    <w:p>
      <w:r>
        <w:t>224. The Parties are also active in the European market for clearing services for SEPA products. However, the position of the Parties in this market is entirely marginal as both hold a market share of less than 1% (estimates provided by the Parties).</w:t>
      </w:r>
    </w:p>
    <w:p>
      <w:r>
        <w:t>225. Furthermore, numerous and qualified operators are active in the market, including EBA Clearing, which represents the Clearing House used by most Italian banks as it offers a one-stop shop for clearing services for both cross-border and national SEPA transactions, with a market share of approximately [55-60%].</w:t>
      </w:r>
    </w:p>
    <w:p>
      <w:r>
        <w:t>226. Therefore, given the entirely marginal position of the Parties in the market in question and the presence of significant pan-European operators, it is believed that the operation is not suitable to create or strengthen a dominant position in the market for clearing services for SEPA products.</w:t>
      </w:r>
    </w:p>
    <w:p>
      <w:r>
        <w:rPr>
          <w:b/>
        </w:rPr>
        <w:t>[Pages 55–57]</w:t>
      </w:r>
    </w:p>
    <w:p>
      <w:r>
        <w:t>BULLETIN NO. 41 OF OCTOBER 18, 2021 57</w:t>
      </w:r>
    </w:p>
    <w:p>
      <w:r>
        <w:t>f) Interbank Data Transmission Services</w:t>
      </w:r>
    </w:p>
    <w:p>
      <w:r>
        <w:t>227. In the context of interbank data transmission services, as previously mentioned, the operation concerns only logical network services, in which SIA is the sole active provider. More specifically, in defining the relevant market, the Authority distinguished between logical network services functional to SEPA payments, which have a supranational dimension, and those functional to both the clearing of non-SEPA products and the processing of national debit cards, which have a national dimension.</w:t>
      </w:r>
    </w:p>
    <w:p>
      <w:r>
        <w:t>228. In the outlined context, there are essentially two providers of logical network services active in the European Economic Area, SIA and SWIFT; a third option is represented by EBICS151. Nexi, on the other hand, is characterized by a mere placement activity of services, not being directly active in these markets.</w:t>
      </w:r>
    </w:p>
    <w:p>
      <w:r>
        <w:t>229. That said, with regard to logical network services functional to SEPA payments, the Parties estimate that SIA held a market share in the EEA of approximately [1-5%] in 2019, compared to SWIFT's and EBICS's shares of [85-90%] and [10-15%] respectively (estimates provided by the Parties).</w:t>
      </w:r>
    </w:p>
    <w:p>
      <w:r>
        <w:t>230. As for logical network services functional to non-SEPA payments, the Parties estimate that SIA holds a market share in the Italian market of [55-60%], while SWIFT holds a share of [40-45%] (data estimated by the Parties).</w:t>
      </w:r>
    </w:p>
    <w:p>
      <w:r>
        <w:t>231. In light of the above, since Nexi is not directly active in offering such services, given also the regulatory role of SWIFT, as well as the dynamics concerning non-SEPA products, it is believed that the operation is not likely to raise horizontal competitive concerns in the provision of logical network services.</w:t>
      </w:r>
    </w:p>
    <w:p>
      <w:r>
        <w:t>g) ATM Services</w:t>
      </w:r>
    </w:p>
    <w:p>
      <w:r>
        <w:t>232. As highlighted in section V.2 regarding the description of the markets affected by the operation, according to the Authority's practice, and in analogy to the European Commission, with reference to the banking sector, ATM services fall within the market for the supply, management, and maintenance of ATM terminals, queue management devices, self-service machines for transactions, and currency exchange. More specifically, the provision of ATMs and related services includes three main areas of activity: (i) production and supply of hardware (i.e., the "physical" terminal); (ii) provision of services and software for remote management/monitoring of terminals; and (iii) provision of on-site maintenance services.</w:t>
      </w:r>
    </w:p>
    <w:p>
      <w:r>
        <w:t>233. The investigation has provided various solid elements supporting a geographical dimension equal to the EU or otherwise supranational. In this regard, it should be noted that in its previous decisions, the Authority, while leaving the definition open, had already observed that the relevant market transcended the national dimension due to the presence of numerous producers active at the global level152.</w:t>
      </w:r>
    </w:p>
    <w:p>
      <w:r>
        <w:t>234. For these reasons, the objection raised by Worldline that the ATM services market is European based on a misinterpretation of a previous decision by the Commission cannot be accepted. In fact, the geographical dimension of the market has been defined based on the evidence that emerged during the investigation, particularly on the responses provided on this point by the interviewed banks153.</w:t>
      </w:r>
    </w:p>
    <w:p>
      <w:r>
        <w:t>235. Following the operation, the Parties, active in providing software and related services for the management of terminals and for advanced monitoring, will hold a joint market share at the EEA level of [5-10%], with respective shares of [1-5%]; including the share of Nets, which is approximately [less than 1%], the post-merger share would be approximately [5-10%] (data estimated by the Parties).</w:t>
      </w:r>
    </w:p>
    <w:p>
      <w:r>
        <w:t>236. Furthermore, it should be considered that, based on the investigation findings, the provision of such services is often awarded through competitive procedures154 and that, at the EEA level, several competitors are active, some of which are global, including NCR, Diebold Nixdorf, Auriga, TAS, and KAL.</w:t>
      </w:r>
    </w:p>
    <w:p>
      <w:r>
        <w:t>237. Due to the market position of the Parties and the presence of numerous qualified competitors, it is believed that the operation does not lead to the creation or strengthening of a dominant position for the post-merger entity.</w:t>
      </w:r>
    </w:p>
    <w:p>
      <w:r>
        <w:t>h) Digital Corporate Banking Services</w:t>
      </w:r>
    </w:p>
    <w:p>
      <w:r>
        <w:t>238. Both Parties are active in providing digital corporate banking services. In particular, Nexi provides e-banking platform services directly to banks, which in turn offer these services to their clients; SIA, for its part, provides e-banking platform services almost exclusively to large enterprises.</w:t>
      </w:r>
    </w:p>
    <w:p>
      <w:r>
        <w:t>239. Specifically regarding the services provided within CBI, both Nexi and SIA manage their own node. In this regard, CBI has emphasized that, currently, 17 nodes are active155.</w:t>
      </w:r>
    </w:p>
    <w:p>
      <w:r>
        <w:t>240. Furthermore, Nexi is the outsourcer for CBI for the development of the CBI Globe platform used by banks for compliance with PSD2 provisions related to open banking. Nexi was selected following a competitive procedure, based on objective and pre-established technical and economic criteria. Other national and international operators such as SIA, Cedacri, TAS, and Fabrick were also invited to the tender. As specified by CBI, "the agreement with Nexi provides that this operator is merely an outsourcer while, from a commercial point of view, the service is offered to banks by CBI, which thus remains the only interface with the buyers"156. Other operators have developed platforms such as Unicredit, Cedacri, and SIA. Additionally, the ATI formed by Nexi and SIA was selected through a tender for the provision by CBI of a technological Cloud Hub consisting of a peer-to-peer interbank network; national and international operators such as SIA, Nexi, IBM, Equens, EUSTEMA, IQC Team, Engineering, and Almaviva were invited to the procedure. On this point, CBI has clarified that it "holds the governance of its services and network infrastructure and is the center for defining and updating technical standards (so-called standard setter)"157.</w:t>
      </w:r>
    </w:p>
    <w:p>
      <w:r>
        <w:t>241. In the market under examination, configured as a single IT services market, the Parties hold a market share of less than 1% (estimate by the Parties). Even if one were to consider only the segment of services provided to CBI, in any case, the Parties represent only 2 of the 17 nodes that can provide the service to banks, in a setup where the governance of the network is managed by CBI, which operates in a cooperative logic, in favor of its members, with the mission of reducing costs for member banks and clients. In this regard, CBI – which is an interbank entity whose interest is the maximum dissemination of its services under the best conditions – has confirmed that it does not expect competitive concerns to arise as a result of the operation158.</w:t>
      </w:r>
    </w:p>
    <w:p>
      <w:r>
        <w:t>242. Therefore, based on all that has been stated above, it is believed that the operation is not likely to raise competitive concerns in the provision of digital corporate banking services.</w:t>
      </w:r>
    </w:p>
    <w:p>
      <w:r>
        <w:t>Analysis of Vertical and Conglomerate Effects</w:t>
      </w:r>
    </w:p>
    <w:p>
      <w:r>
        <w:t>243. Regarding the main vertical and conglomerate aspects that emerged during the investigation, the following observations are made.</w:t>
      </w:r>
    </w:p>
    <w:p>
      <w:r>
        <w:t>244. First, concerning the relationship between wholesale merchant acquiring services (upstream) and retail merchant acquiring services (downstream), and specifically regarding the circumstance that the post-merger entity could increase upstream prices and make downstream offers non-replicable, in light of what has been stated above, it is believed that there are no concerns. In fact, at the wholesale level, there are numerous qualified operators active at the community and international levels, capable of exerting a disciplining effect on the post-merger entity, limiting any incentives to raise prices; moreover, they appear to be able to offer a valid alternative to retailers, who, for their part, in the responses obtained during the investigation, reported a certain degree of mobility. Therefore, should there be an increase in prices in the upstream wholesale merchant acquiring market, there would be sufficient alternatives for retailers to turn to.</w:t>
      </w:r>
    </w:p>
    <w:p>
      <w:r>
        <w:t>245. Secondly, regarding the possible vertical effects between processing services and merchant acquiring services, as the former are an input for the latter, it has been emphasized that the Parties could implement a strategy of increasing the processing costs of Bancomat cards borne by competing acquirers and thereby limit access to acquiring services, at least concerning the retail acquiring of Bancomat cards and thus in the broader acquiring market. Such concerns appear to be valid. In fact, as already highlighted, in the market for processing Bancomat Circuit cards (in its current configuration), the post-merger entity will hold a very high market share; moreover, the investigation has indicated the existence of a functional link between processing services and merchant acquiring services. Therefore, it follows that the concerns related to the market for processing Bancomat cards (upstream) may extend to the retail merchant acquiring market (downstream).</w:t>
      </w:r>
    </w:p>
    <w:p>
      <w:r>
        <w:t>246. Finally, regarding the relationship between interbank data transmission services (upstream) and the markets for processing Bancomat Circuit cards and clearing non-SEPA products (downstream), determined by the fact that data transmission represents the network through which the aforementioned processing and clearing services can be offered, the following is stated. The investigation has reported the presence, in the upstream market, of a significant and qualified</w:t>
      </w:r>
    </w:p>
    <w:p>
      <w:r>
        <w:rPr>
          <w:b/>
        </w:rPr>
        <w:t>[Pages 58–60]</w:t>
      </w:r>
    </w:p>
    <w:p>
      <w:r>
        <w:t>60 BULLETIN NO. 41 OF OCTOBER 18, 2021</w:t>
      </w:r>
    </w:p>
    <w:p>
      <w:r>
        <w:t>an international competitor, SWIFT, capable of regulating SIA's behavior; downstream, it should be noted that, while it is true that the Parties have a very high market share, it is equally true that both markets are characterized by elements of peculiarity and by a configuration that, as illustrated, will change. Therefore, on one hand, as highlighted by some interveners in the investigation, this relationship could translate into an increase in prices for competitors in the aforementioned processing and clearing services; on the other hand, this relationship must necessarily be evaluated in light of the peculiarities described above, which significantly circumscribe its scope.</w:t>
      </w:r>
    </w:p>
    <w:p>
      <w:r>
        <w:t>VII.3. Conclusions</w:t>
      </w:r>
    </w:p>
    <w:p>
      <w:r>
        <w:t>247. Based on all the above, the operation is likely to produce the establishment or strengthening of the dominant position of the post-merger entity in the markets for card processing of the Bancomat Circuit and for clearing services of non-SEPA products, substantially and durably reducing competition.</w:t>
      </w:r>
    </w:p>
    <w:p>
      <w:r>
        <w:t>VIII. EFFICIENCIES DERIVING FROM THE OPERATION</w:t>
      </w:r>
    </w:p>
    <w:p>
      <w:r>
        <w:t>248. Finally, it is important to evaluate the context of general efficiency improvement in the sector and the specific efficiencies resulting from the operation in question, as well as the expected effects from the development of such phenomena.</w:t>
      </w:r>
    </w:p>
    <w:p>
      <w:r>
        <w:t>249. As recognized by the Parties, by the intervening parties, and by industry operators, and as noted by the Bank of Italy, “the high technological profile of these activities and the strong interrelation between operators, also due to corporate and contractual constraints, make the production chain of the sector complex and at the same time create favorable conditions for consolidation operations. The technological depth indeed entails high fixed costs, rewards the specialization of operators, and requires investments in research and development. The expansion of the operational perimeter and the number of transactions processed allows for the exploitation of economies of scale and diversification and increases profit margins, generating useful resources for financing innovation. The consolidation of the digital payments industry is a global phenomenon. In particular, the last two years in the United States and Europe have been characterized by intense M&amp;A activity that has led to the formation of large groups.”159</w:t>
      </w:r>
    </w:p>
    <w:p>
      <w:r>
        <w:t>250. The sector, therefore, sees a general trend towards consolidation and integration aimed at seeking greater efficiency. This phenomenon is certainly linked to technological innovations, but it is necessarily also connected to the strong openness that the evolution of community regulations has brought to payment systems. Regulations and initiatives such as SEPA, PSD2, the MIF Regulation, and the SEPA Instant Credit Transfer have, on one hand, internationalized the markets, and, on the other hand, increased competition within the same payment instrument and among different payment instruments, inducing a necessary efficiency improvement in the industry.</w:t>
      </w:r>
    </w:p>
    <w:p>
      <w:r>
        <w:t>251. In this context, the Parties estimate that solely from the use of a single processing platform, instead of two, cost savings of 35 million euros per year will be realized. Additionally, according to the Parties, further significant savings related to the merger should be added. In this regard, it is noteworthy that the Bank of Italy, in its supervisory activity, authorized the operation with “assessments (...) that took into account the expected efficiency improvements following the integration,” stating, among other things, that “it is expected that the merger will lead to (...) possible gains in terms of rationalization and exploitation of economies of scale.”160</w:t>
      </w:r>
    </w:p>
    <w:p>
      <w:r>
        <w:t>252. The specific efficiency effects related to the merger are also recognized by Worldline, which – while using them to contest the alleged restrictive effects of the operation (see the specific section of this document) – admits that the post-merger entity could benefit from economies of scale in general and “also in relation to the fact that the so-called on-us transactions would increase for which no fees are due to the networks (scheme fee), with further benefits for the Parties from the concentration under examination.”161</w:t>
      </w:r>
    </w:p>
    <w:p>
      <w:r>
        <w:t>253. Regarding the existence of such specific efficiency gains, some important national banking operators (such as Unicredit, Intesa, and BPM, all clients of the parties) have also expressed that they expect these gains to be, at least in part, passed downstream in terms of lower prices.</w:t>
      </w:r>
    </w:p>
    <w:p>
      <w:r>
        <w:t>254. In conclusion, on one hand, it has emerged from the investigative activity that it is a commonly shared notion that the operation can lead, even in the short term, to significant efficiency gains, which are necessary in a sector where increased concentration and efficiency are a global phenomenon. On the other hand, the evidentiary elements indicating the possibility of passing at least part of these gains to customers are deemed plausible. This is due to both the statements of the customers themselves and the expectation that the competitive pressure from other global players – and from new payment systems – will be such as to necessarily induce a pass-through, without which the post-merger entity risks succumbing to international competition.</w:t>
      </w:r>
    </w:p>
    <w:p>
      <w:r>
        <w:t>IX. CORRECTIVE MEASURES</w:t>
      </w:r>
    </w:p>
    <w:p>
      <w:r>
        <w:t>a) The measures proposed by the Parties</w:t>
      </w:r>
    </w:p>
    <w:p>
      <w:r>
        <w:t>255. During the investigation, as well as in the memorandum of October 4, 2021, and during the final hearing, based on the concerns raised by the Authority in the initiation order, which emerged from the reading of the documentation acquired during the investigation and lastly expressed in the Communication of Investigative Findings, the Parties proposed some measures that, in their opinion, would be suitable to resolve these critical issues in the provision of domestic card transaction processing services and clearing of non-SEPA payments.</w:t>
      </w:r>
    </w:p>
    <w:p>
      <w:r>
        <w:t>256. To this end, first of all, the Parties proposed “to unilaterally waive the protection deriving from the exclusivity contained in the existing contracts with equensWorldline with specific reference to domestic processing and non-SEPA clearing, on the assumption that equensWorldline guarantees Nexi the regular and complete internalization of the platforms or migration of the services and platforms provided by equensWorldline.” In this regard, the Parties noted that “the waiver of exclusivity must necessarily go hand in hand with the obligation of cooperation that equensWorldline must provide to Nexi in the context of insourcing the services provided by equensWorldline. [Omitted]. A remedy that solely results in the waiver of exclusivity by Nexi would therefore not allow either Nexi or any third-party providers to effectively compete for customers on the Equens platform, and would effectively give equensWorldline the ability to render such customers non-contestable, thus “distorting” competition in this sense in the market.”</w:t>
      </w:r>
    </w:p>
    <w:p>
      <w:r>
        <w:t>257. Secondly, with specific regard to the processing activity of Bancomat Circuit cards, the Parties proposed to “prepare (and maintain until the date when the new Bancomat platform becomes operational) a clear and transparent offer related to the acquiring processing activity of domestic cards to banks that carry out merchant acquiring activities. Should there be concerns regarding potential discrimination in favor of the downstream activities of the entity resulting from the merger (Combined Entity), the conditions of such offer would be structured on non-discriminatory bases, allowing a competitor in retail merchant acquiring to compete with the retail merchant acquiring offer of the Combined Entity. To maintain a competitive benchmark anchored to pre-merger levels (and easily verifiable during compliance), the Parties would commit to ensuring that such conditions are not less favorable than those in the existing contracts between the Parties and the client banks.” In this regard, the Parties note that “the issue of the risk of discrimination does not arise from the issuing processing side, which is linked to the issuing market: in any case, a commitment could also be outlined on this front to guarantee a clear and transparent offer related to the issuing processing activity of domestic cards, and conditions not worse than those in the existing contracts between the Parties and the client issuing banks.”</w:t>
      </w:r>
    </w:p>
    <w:p>
      <w:r>
        <w:t>258. Thirdly, regarding non-SEPA clearing services, the Parties proposed the following.</w:t>
      </w:r>
    </w:p>
    <w:p>
      <w:r>
        <w:t>259. On one hand, “considering that it is a market in the process of exhaustion, (…) to evaluate a solution limited to a short period, [omitted], in which they would commit to preparing and maintaining a clear and transparent offer related to the clearing activity of non-SEPA payments to client banks. This could be supplemented by a commitment not to apply, in the event of possible renegotiation or renewal of contracts, conditions less favorable than those contained in the existing contracts between the Parties and the client banks. Given the nature of the commitment and the predictable reduction of volumes in the coming years, the commitment should allow for upward adjustments of the economic conditions linked to increases in costs resulting from regulatory changes, and provided that, in the event of a reduction in the non-SEPA clearing volumes of the Combined Entity exceeding a certain percentage compared to the 2021 volumes, the Combined Entity should be allowed to review prices upward within a limit to be determined compared to the existing price.”</w:t>
      </w:r>
    </w:p>
    <w:p>
      <w:r>
        <w:t>260. On the other hand, in the final memorandum162, the Parties expressed their willingness “to adopt, as far as possible, a structural remedy for the transfer of non-SEPA clearing contracts with client banks, through a competitive procedure. If the latter does not yield the desired results, the behavioral measure outlined above could still apply as a residual measure.”162</w:t>
      </w:r>
    </w:p>
    <w:p>
      <w:r>
        <w:rPr>
          <w:b/>
        </w:rPr>
        <w:t>[Pages 61–63]</w:t>
      </w:r>
    </w:p>
    <w:p>
      <w:r>
        <w:t>BULLETIN NO. 41 OF OCTOBER 18, 2021 63</w:t>
      </w:r>
    </w:p>
    <w:p>
      <w:r>
        <w:t>b) Observations of the interveners</w:t>
      </w:r>
    </w:p>
    <w:p>
      <w:r>
        <w:t>261. In the memorandum submitted on October 4, 2021, and during the final hearing163, while maintaining the considerations already expressed and summarized in the preceding section, equensWorldline raised some concerns regarding the corrective measures proposed by the Parties, as articulated in the Communication of Investigative Findings, arguing that they "would not fully remedy the distortive effects caused by the operation."</w:t>
      </w:r>
    </w:p>
    <w:p>
      <w:r>
        <w:t>262. In particular, regarding the dissolution of the exclusivity/non-competition obligation, equensWorldline argues that this measure should also be extended to the processing of cards from international Networks, "to interbank data transmission services (i.e., the processing of SEPA and non-SEPA payments) and to ATM software and related services (i.e., ATM processing)." To this end, in the company's view, "any provision that, directly or indirectly, could foresee an obligation of collaboration from Worldline towards Nexi would be inadmissible."</w:t>
      </w:r>
    </w:p>
    <w:p>
      <w:r>
        <w:t>263. As for the structural measure, equensWorldline believes that the transfer of the business unit should also extend to the processing of cards from the Bancomat Network and should include "the contracts and any other assets necessary to ensure that the transferee can provide the service seamlessly, including, if requested by the purchaser, the application center." Regarding the business unit related to clearing contracts, it should also include "the clearing of SEPA transactions."</w:t>
      </w:r>
    </w:p>
    <w:p>
      <w:r>
        <w:t>264. Finally, these measures should be accompanied by: i) the removal of any exclusivity, penalties, or financial disincentives for banks in the event of withdrawal or migration; ii) the prohibition of bundling services or discrimination between clients based on prices; iii) the obligation for the Parties to disaggregate the services currently offered to banks; iv) the obligation of unconditional access on FRAND terms to NSPs in wholesale merchant acquiring.</w:t>
      </w:r>
    </w:p>
    <w:p>
      <w:r>
        <w:t>c) Assessments</w:t>
      </w:r>
    </w:p>
    <w:p>
      <w:r>
        <w:t>265. Based on all the above, it is believed that the operation in question is likely to lead to the establishment or strengthening of the dominant position of the post-merger entity in the markets for processing cards from the Bancomat Network and clearing services for non-SEPA products, substantially and durably reducing competition. Therefore, based on the findings made, the operation can only be authorized conditionally upon the imposition of corrective measures in these markets.</w:t>
      </w:r>
    </w:p>
    <w:p>
      <w:r>
        <w:t>266. From a general perspective, it is believed that the measures proposed by the Parties, as recently integrated in the final memorandum, are suitable to address the issues arising from the operation.</w:t>
      </w:r>
    </w:p>
    <w:p>
      <w:r>
        <w:t>267. In particular, regarding the dissolution of the exclusivity obligation and thus the non-competition agreement, it is considered that the measure is necessary so that the entity that currently appears most capable of altering the competitive structure of the market (as it is already operating with its own platform) can operate effectively at the commercial level, offering its services to banks, while maintaining the obligations of good faith and civil law duties of collaboration in the execution of the contract.</w:t>
      </w:r>
    </w:p>
    <w:p>
      <w:r>
        <w:t>268. Similarly, it appears necessary to prepare a clear and transparent offer regarding the processing activities of cards from the Bancomat Network, both for merchant acquiring activities163 and for issuing processing activities, as it is suitable to highlight any potential presence of discrimination, even in the presence of vertical issues. In particular, given the temporary nature of the current structure of the market for processing cards from the Bancomat Network, which is expected to change in the medium term according to a defined timeline, as confirmed by Bancomat S.p.A. and Banca d’Italia, it is believed that the removal of the exclusivity obligation and the imposition of the aforementioned behavioral measures are suitable to overcome the identified issues in this market and proportionate to the transient nature of the aforementioned issues that have emerged.</w:t>
      </w:r>
    </w:p>
    <w:p>
      <w:r>
        <w:t>269. For these reasons, the measures consisting of the dissolution of the exclusivity obligation and the preparation of a clear and transparent offer appear proportionate and suitable to overcome the issues arising from the operation in the market for processing cards from the Bancomat Network.</w:t>
      </w:r>
    </w:p>
    <w:p>
      <w:r>
        <w:t>270. Conversely, regarding clearing services for non-SEPA products, it is also necessary to adopt a structural measure consisting of the transfer of the non-SEPA clearing contracts currently signed by Nexi S.p.A. with client banks, subject to the necessary consent of the banks to change their provider.</w:t>
      </w:r>
    </w:p>
    <w:p>
      <w:r>
        <w:t>271. In fact, although the use of products falling under non-SEPA clearing services such as Mav, Rav, and F24 models is gradually decreasing, there is currently no certain and defined timeline for their eventual discontinuation or definitive replacement linked to the use of other payment methods such as, for example, PagoPA.</w:t>
      </w:r>
    </w:p>
    <w:p>
      <w:r>
        <w:t>272. Finally, it is stated that the requests from Worldline and Cedacri regarding the measures cannot be accepted. In both cases, the proposals from the interveners appear primarily aimed at specifically benefiting the proposers themselves and not rather oriented towards resolving, from a general perspective, the issues that emerged from the investigation, safeguarding the market dynamics as a whole. Furthermore, the requests appear disproportionate as they are not necessary to overcome the issues that emerged during the investigation and concern markets where no competitive issues have been identified. This remains without prejudice to the fact that any other conduct undertaken by the Parties may be subject to evaluation under competition law.</w:t>
      </w:r>
    </w:p>
    <w:p>
      <w:r>
        <w:t>273. In conclusion, therefore, the operation can only be carried out on the condition that the described measures are implemented cumulatively. On the other hand, the effects of the measures as configured are sufficient to prevent the operation from producing harmful effects on competition in both markets where competitive issues have been identified, as they circumscribe the market power of the Parties and reduce the possibility of engaging in exploitative or tying practices. This is also in light of the fact that for both markets, significant changes are expected in a relatively short period that will determine a different competitive structure.</w:t>
      </w:r>
    </w:p>
    <w:p>
      <w:r>
        <w:t>X. CONCLUSIONS</w:t>
      </w:r>
    </w:p>
    <w:p>
      <w:r>
        <w:t>274. In conclusion, the investigation in question has established that the concentration under examination leads to the establishment or strengthening of the dominant position of the new entity in the markets identified above to such an extent as to eliminate or substantially and durably reduce competition therein.</w:t>
      </w:r>
    </w:p>
    <w:p>
      <w:r>
        <w:t>Considering all of this, based on the elements that emerged during the investigation, it is believed that the measures identified above are suitable to address the competitive issues analyzed in this decision. The concentration operation in question is therefore susceptible to being authorized conditionally upon the prescription of the measures referred to in Article 6, paragraph 2, of Law 287/90, as described in section IX.</w:t>
      </w:r>
    </w:p>
    <w:p>
      <w:r>
        <w:t>275. Furthermore, it should be noted that the assessment carried out by the Authority took into account all the elements that emerged during the investigation, as well as community practice. This process necessarily led to the identification of relevant markets mostly of a supranational dimension, with the consequent evaluations in terms of the structure of the offer and the effects of the concentration. Nevertheless, it has also emerged, in line with what was represented by Banca d’Italia, that the post-merger entity will primarily target national clients, who, at least for the first phase following the concentration, may choose not to change providers. In this context, any behavior that could hinder a smooth transition from one provider to another, or that could leverage any objective temporary difficulties in the transition of a new operator by exploiting this situation to impose unjustifiably burdensome conditions, could lead the Authority to reassess the competitive situation also in light of the application of its powers.</w:t>
      </w:r>
    </w:p>
    <w:p>
      <w:r>
        <w:t>THEREFORE CONSIDERED, based on the elements that emerged during the investigation, that the operation in question is likely to determine, pursuant to Article 6, paragraphs 1 and 2, of Law No. 287/90, the creation or strengthening of a dominant position in the relevant markets identified above such as to eliminate or substantially and durably reduce competition therein;</w:t>
      </w:r>
    </w:p>
    <w:p>
      <w:r>
        <w:t>CONSIDERED necessary to prescribe to Nexi S.p.A. and SIA S.p.A., pursuant to Article 6, paragraph 2, of Law No. 287/90, measures aimed at preventing such consequences;</w:t>
      </w:r>
    </w:p>
    <w:p>
      <w:r>
        <w:t>CONSIDERED, therefore, that the communicated concentration operation is authorized subject to the full and effective implementation of all the measures prescribed in this decision;</w:t>
      </w:r>
    </w:p>
    <w:p>
      <w:r>
        <w:t>CONSIDERED that any failure to implement the aforementioned measures results in the realization of a concentration operation in violation of the prohibition set forth in Article 6, paragraph 1, of Law No. 287/90;</w:t>
      </w:r>
    </w:p>
    <w:p>
      <w:r>
        <w:t>RESOLVES</w:t>
      </w:r>
    </w:p>
    <w:p>
      <w:r>
        <w:t>to authorize the communicated concentration operation, provided that Nexi S.p.A. and SIA S.p.A. fully and effectively implement the following measures, adopted pursuant to Article 6, paragraph 2, of Law No. 287/90:</w:t>
      </w:r>
    </w:p>
    <w:p>
      <w:r>
        <w:t>1) unilateral waiver by Nexi S.p.A. of the protection deriving from the exclusivity contained in the existing contracts with equensWorldline with specific reference to the processing services of cards from the Bancomat Network and non-SEPA clearing, while maintaining the obligations of good faith and civil law duties of collaboration in the execution of the contract;</w:t>
      </w:r>
    </w:p>
    <w:p>
      <w:r>
        <w:t>2) preparation, until the date when the new Bancomat platform becomes operational, of a non-discriminatory, clear, and transparent offer related to the acquiring processing and issuing processing activities of cards from the Bancomat Network to banks that carry out, respectively, merchant acquiring and issuing activities under conditions not worse than those of the market contained in the existing contracts between the Parties and the client banks;</w:t>
      </w:r>
    </w:p>
    <w:p>
      <w:r>
        <w:rPr>
          <w:b/>
        </w:rPr>
        <w:t>[Pages 64–66]</w:t>
      </w:r>
    </w:p>
    <w:p>
      <w:r>
        <w:t>66 BULLETIN NO. 41 OF OCTOBER 18, 2021</w:t>
      </w:r>
    </w:p>
    <w:p>
      <w:r>
        <w:t>3) preparation, for a period of three years, of a clear and transparent offer related to the clearing activity of non-SEPA products to client banks under conditions not worse than those contained in the existing contracts between the Parties and the client banks;</w:t>
      </w:r>
    </w:p>
    <w:p>
      <w:r>
        <w:t>4) transfer of the clearing contracts of non-SEPA products currently signed by Nexi S.p.A. with client banks, subject to the necessary consent of the client banks to change their provider and the possibility, therefore, for them to continue using the commercial offer of the post-merger entity. The transfer of contracts must include all assets that contribute to their current management;</w:t>
      </w:r>
    </w:p>
    <w:p>
      <w:r>
        <w:t>5) the purchaser must satisfy the following requirements:</w:t>
        <w:br/>
        <w:t>i. be an independent entity, also commercially, from the Parties and from companies connected to them, as well as from individuals at the top of the control chain of the Parties;</w:t>
        <w:br/>
        <w:t>ii. possess the financial means, proven relevant expertise, as well as the incentive and ability to maintain and develop, on an efficiently scaled basis, the clearing activity of the non-SEPA products subject to transfer as a profitable competitive force;</w:t>
        <w:br/>
        <w:t>iii. the acquisition of the transferred activity by a proposed purchaser must not create new problems for competition, nor entail the risk that the implementation of the measures will be delayed;</w:t>
      </w:r>
    </w:p>
    <w:p>
      <w:r>
        <w:t>6) the transfer must occur with the following modalities and timelines:</w:t>
        <w:br/>
        <w:t>i. the agreements related to the transfer of the contracts must be concluded, subject to submission to the Authority for approval, of the identity of the transferee and the agreements themselves, and unless the client bank has expressed its dissent, within no later than 6 months from the date of notification of this provision;</w:t>
        <w:br/>
        <w:t>ii. if within 3 months from the date of notification of this provision (first transfer period) the purchasers of the contracts subject to transfer have not been identified, the Parties must, within the following 3 months, identify the purchasers for the transfer of the remaining contracts [omissis], granting an irrevocable mandate to an independent and qualified entity (trustee transfer period);</w:t>
        <w:br/>
        <w:t>iii. the full validity and effectiveness of the agreements for the transfer of the contracts must, in any case, be realized within, and no later than 6 months from the notification of this provision;</w:t>
      </w:r>
    </w:p>
    <w:p>
      <w:r>
        <w:t>7) Nexi S.p.A. and SIA S.p.A. (or the independent entity appointed for the transfer) must provide sufficient information on the contracts subject to transfer, to allow potential purchasers to assess their value and presumed commercial capacity;</w:t>
      </w:r>
    </w:p>
    <w:p>
      <w:r>
        <w:t>8) in the period between the date of notification of this provision and the full validity and effectiveness of the agreements for the transfer of the contracts, Nexi S.p.A. and SIA S.p.A. must preserve the economic operability, marketability, and competitiveness of the contracts subject to transfer in accordance with good commercial practice;</w:t>
      </w:r>
    </w:p>
    <w:p>
      <w:r>
        <w:t>9) Nexi S.p.A. and SIA S.p.A. may not reacquire, directly or indirectly, control over the assets subject to transfer for a period of 3 years;</w:t>
      </w:r>
    </w:p>
    <w:p>
      <w:r>
        <w:t>10) after 6 months from the notification of this provision, and subsequently on an annual basis, the Parties must send a report to the Authority on the implementation of the prescribed measures. The prescribed corrective measures will take effect from the notification of the authorization provision for the concentration.</w:t>
      </w:r>
    </w:p>
    <w:p>
      <w:r>
        <w:t>This provision will be notified to the interested parties and published in the Bulletin of the Competition and Market Authority. An appeal against this provision may be submitted to the TAR of Lazio, pursuant to Article 135, paragraph 1, letter b), of the Code of Administrative Procedure (Legislative Decree July 2, 2010, n.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 1199, within one hundred and twenty days from the date of notification of the provision itself.</w:t>
      </w:r>
    </w:p>
    <w:p>
      <w:r>
        <w:t>THE SECRETARY GENERAL THE PRESIDENT</w:t>
        <w:br/>
        <w:t>Filippo Arena Roberto Rustichelli</w:t>
      </w:r>
    </w:p>
    <w:p>
      <w:r>
        <w:t>68 BULLETIN NO. 41 OF OCTOBER 18, 2021</w:t>
      </w:r>
    </w:p>
    <w:p>
      <w:r>
        <w:t>ACTIVITY OF REPORTING AND CONSULTATION</w:t>
        <w:br/>
        <w:t>AS1794 – MUNICIPALITY OF PROCIDA (NA) - EXTENSION OF MARITIME PUBLIC CONCESSIONS FOR TOURIST-RECREATIONAL PURPOSES</w:t>
        <w:br/>
        <w:t>Rome, July 13, 2021</w:t>
        <w:br/>
        <w:t>Municipality of Procida</w:t>
        <w:br/>
        <w:t xml:space="preserve">The Competition and Market Authority, in its meeting of July 1, 2021, decided to express its opinion, pursuant to Article 21-bis of Law October 10, 1990, n. 287, regarding the Resolution of the Municipal Council of February 15, 2021, n. 37, concerning "Temporal extension of the duration of public concessions under art. 1 paragraphs 682, 683, 684 Law n. 145/2018, under art. 182 paragraph 2 D.L. n. 34/2020 and under art. 100 paragraph 1 D.L. n. 104/2020", and any other act presupposed and consequent to it. </w:t>
        <w:br/>
        <w:t xml:space="preserve">In particular, through the aforementioned administrative act, transmitted by this Municipality to the Authority on June 15, 2021, the Municipality of Procida extended the duration of the concessions of maritime public assets in favor of existing concessionaires, based on what is provided for in Article 1, paragraphs 682, 683, and 684, of Law n. 145/2018 (which established a new expiration date for maritime public concessions for tourist-recreational purposes as of December 31, 2033), as well as Article 182, paragraph 2, of Decree Law May 19, 2020, n. 34, as converted by Law July 17, 2020, n. 77, and Article 100, paragraph 1, of Decree Law August 14, 2020, n. 104, as converted by Law October 13, 2020, n. 126 (insofar as these provisions refer, confirming it, to the mechanism of ex lege extension of maritime public concessions). </w:t>
        <w:br/>
        <w:t xml:space="preserve">In general terms, the Authority reminds that, in matters concerning the assignment of the use of public assets (falling within the public domain or the unavailable assets of the State or local authorities), the identification of the private contractor must occur through the conduct, by the Public Administration, of public evidence procedures1. </w:t>
        <w:br/>
        <w:t xml:space="preserve">In this regard, it is highlighted that Articles 49 and 56 of the TFEU impose on Member States the abolition of unjustified restrictions on the freedoms of establishment and the free provision of services, that is to say </w:t>
        <w:br/>
        <w:t xml:space="preserve">1 See, among others, Council of State, ruling September 25, 2009, n. 5765, and Council of State, Section VI, ruling November 18, 2019, n. 7874; as well as, lastly, Council of State, Section IV, ruling February 16, 2021, n. 1416 and Council of State, Section VI, ruling March 9, 2021, n. 2002. </w:t>
        <w:br/>
        <w:t>In this sense, ANAC also expressed itself with the resolution of January 17, 2019, n. 25.</w:t>
      </w:r>
    </w:p>
    <w:p>
      <w:r>
        <w:rPr>
          <w:b/>
        </w:rPr>
        <w:t>[Pages 67–69]</w:t>
      </w:r>
    </w:p>
    <w:p>
      <w:r>
        <w:t>BULLETIN NO. 41 OF OCTOBER 18, 2021</w:t>
      </w:r>
    </w:p>
    <w:p>
      <w:r>
        <w:t>69 of all measures that prohibit, hinder, or are otherwise capable of compressing the exercise of such freedoms. According to the European Court of Justice, a national regulation that allows for the automatic extension of existing public domain concessions for tourism and recreational activities must be considered in violation of these provisions2. Furthermore, Directive 2006/123/EC (the so-called Services Directive) provides, in Article 12, that “where the number of authorizations available for a given activity is limited due to the scarcity of natural resources or usable technical capacities, Member States shall apply a selection procedure among potential candidates that presents guarantees of impartiality and transparency and provides, in particular, adequate publicity for the initiation of the procedure and its conduct and completion” (par. 1), and that, in such cases, “the authorization is granted for a limited duration and may not provide for automatic renewal nor grant other advantages to the outgoing provider or to persons who have particular ties with that provider” (par. 2).</w:t>
      </w:r>
    </w:p>
    <w:p>
      <w:r>
        <w:t>As is known, Member States are required to comply with the aforementioned EU principles and, where domestic legislation does not respect the provisions of the cited Directive, conflicting with the principles of free movement and freedom of establishment, its relative disapplication is imposed3. In this regard, the Authority, in previous advocacy interventions, has repeatedly expressed the need to proceed with the awarding of concessions – including those concerning public maritime assets for tourism and recreational purposes4 – through public evidence procedures. In particular, it has been noted that in markets where, due to the specific objective characteristics of technical, economic, and financial activities, there is an exclusivity, or a limited number of subjects are allowed to operate, the awarding of concessions must still occur through transparent and competitive tendering procedures, in order to mitigate the distorting effects of competition associated with the privileged position attributed to the concessionaire5.</w:t>
      </w:r>
    </w:p>
    <w:p>
      <w:r>
        <w:t>2 See judgment of the Court of Justice of July 14, 2016, joined cases C-458/14 and C-67/15, Promoimpresa srl et al. v. Consortium of the municipalities of the Brescia Shore of Lake Garda and Lake Idro et al.</w:t>
      </w:r>
    </w:p>
    <w:p>
      <w:r>
        <w:t>3 It is recalled, in fact, that according to established European jurisprudence, all national administrations, in the exercise of their functions, are required to apply the provisions of European law, disapplying national rules that are not compliant; see, among others, the judgments issued by the European Court of Justice in case 103/88, Fratelli Costanzo v. Municipality of Milan, as well as in case C-224/97, Ciola, and in case C-198/01, Consortium of Matchstick Industries (CIF) v. Competition Authority.</w:t>
      </w:r>
    </w:p>
    <w:p>
      <w:r>
        <w:t>In this regard, the European Court of Justice has recently reiterated, in the judgment of December 4, 2018, case C-378/17, that “the principle of the primacy of Union law imposes not only on judicial bodies but also on all institutions of the Member State to give full effect to Union rules” (par. 39), and has recalled that the disapplication of the internal rule conflicting with European legislation constitutes an obligation of the Member State “in all its articulations,” meaning that the obligation to disapply also concerns “all bodies of the State, including administrative authorities, tasked with applying, within their respective competences, Union law” (par. 38). In this regard, see also, among others, the judgments issued by the European Court of Justice in case 106/77, State Finance Administration v. Simmenthal SpA, in case C-119/05, Lucchini, in case C-614/14, Ognyanov, and in joined cases C-52/16 and C-113/16, “SEGRO” Kft.</w:t>
      </w:r>
    </w:p>
    <w:p>
      <w:r>
        <w:t>4 See the report made by the Authority on December 12, 2018, pursuant to Articles 21 and 22 of Law No. 287/1990 (AS1550 – Concessions and competitive issues, in Bulletin No. 48/2018).</w:t>
      </w:r>
    </w:p>
    <w:p>
      <w:r>
        <w:t>5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occurs while safeguarding competition, respecting the principles of free movement of services, equal treatment, impartiality, proportionality, non-discrimination, and transparency.</w:t>
      </w:r>
    </w:p>
    <w:p>
      <w:r>
        <w:t>In this regard, see, among others, TAR Veneto, judgment No. 218/2020, TAR Puglia, judgment No. 36/2020, and Council of State, Section VI, judgment No. 7874/2019, cited; as well as, lastly, on the subject of the automatic extension of public domain concessions, TAR Toscana, judgment No. 363/2021, Council of State, Section IV, judgment of February 16, 2021, No. 1416, cited, and Council of State, Section VI, judgment of March 9, 2021, No. 2002, cited.</w:t>
      </w:r>
    </w:p>
    <w:p>
      <w:r>
        <w:t>70</w:t>
      </w:r>
    </w:p>
    <w:p>
      <w:r>
        <w:t>With specific reference to the procedures and measures for the extension of existing concessions6, the Authority has repeatedly emphasized7 that it is in the interest of the market to carefully balance the short-term benefits and the possible costs that may manifest over a longer time horizon.</w:t>
      </w:r>
    </w:p>
    <w:p>
      <w:r>
        <w:t>The granting of extensions in favor of existing concessionaires, in fact, further postpones competitive confrontation for the market, thus preventing the benefits that would arise from periodic competition for the awarding through public evidence procedures. Therefore, any extensions of the awards should not exceed the actual needs of the Administrations, in order to allow for the efficient allocation of public resources through competitive procedures as soon as possible.</w:t>
      </w:r>
    </w:p>
    <w:p>
      <w:r>
        <w:t>Lastly, in the recent report pursuant to Articles 21 and 22 of Law No. 287/90 regarding “Proposals for competitive reform for the Annual Law for the Market and Competition for the year 2021” dated March 22, 2021, sent to the President of the Council of Ministers, the Authority observed that the awarding of concessions through competitive procedures allows for the full enhancement of the public domain of the Italian coasts which, as recognized also in Article 1, paragraph 675, of the same Law No. 145/2018, represents a strategic element for the economic system of the Country.</w:t>
      </w:r>
    </w:p>
    <w:p>
      <w:r>
        <w:t>In particular, in the last two cited judgments, the Council of State ruled, in the first case, that “any national or regional regulation must in this matter be inspired by the rules of the European Union regarding the calling of tenders (see Cons. Stato, Section VI, April 13, 2017, No. 1763), given the direct effectiveness in the internal legal order of the Member States of the Court's rulings,” and, in the second case, that “the new context is characterized by the consideration of the effectiveness of the Union legal framework, which can be inferred, in support of the Municipality's thesis, from the well-known judgment of the EU Court in Promoimpresa of July 14, 2016, as a legal framework that imposes the selective procedure, where the Municipality decides to outsource the management of beaches for tourism and recreational purposes due to the scarcity of the aforementioned resource.”</w:t>
      </w:r>
    </w:p>
    <w:p>
      <w:r>
        <w:t>In particular, regarding the disapplication of national legislation conflicting with Union law, reference is also made to, lastly, TAR Sicilia, judgment No. 504 of February 15,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still be added that the observations of the Court of Justice regarding the obligation to disapply national legislation in conflict with community law do not constitute an “obiter dictum,” but consist of statements made in the context of a preliminary ruling and related to the correct interpretation of the Treaties in relation to the decided case, that is, on the occasion of the precise fulfillment of the institutional tasks of that body, with the consequence that the related ruling is binding”) and TAR Campania, judgment No. 265 of January 29, 2021 (where the Judge noted that “The plaintiff's assumption of the automatic fifteen-year extension of the relationship established with the previous public domain concessions collides, therefore, against the disapplicative jurisprudential direction of the dilatory legislative norms issued in this subject matter, advocated also by this Section in judgments No. 1697 of October 2, 2019, and No. 221 of February 10, 2020, and inspired by the ruling established in this matter by the EU Court, Section V, in the cited judgment of July 14, 2016, C-458/14 and C-67/15”).</w:t>
      </w:r>
    </w:p>
    <w:p>
      <w:r>
        <w:t>6 It is also recalled that the Court of Justice of the European Union, in establishing that the awarding of public domain concessions for tourism and recreational use, which concern scarce natural resources, must necessarily take place through a selection procedure among potential candidates in compliance with all guarantees of impartiality and transparency, as well as adequate publicity, has highlighted that a national regulation that provides for an automatic extension by law of the expiration date of such concessions amounts to an automatic renewal in contrast with the provisions of Article 12, par. 2, of Directive 2006/123/EC (see CJEU, Section V, judgment of July 14, 2016, joined cases C-458/14 and C-67/15, cited).</w:t>
      </w:r>
    </w:p>
    <w:p>
      <w:r>
        <w:t>7 See the report made by the Authority on July 1, 2020, pursuant to Article 21 of Law No. 287/1990, AS 1684 – Observations regarding the provisions contained in the Relaunch Decree, in Bulletin No. 28/2020. See also the reports AS 135 – Extensions of highway concessions, in Bulletin No. 19/98; AS491 – Provisions on the granting of public domain concessions and on the direct exercise of administrative functions in the field of maritime domain, in Bulletin No. 46/2008; AS1114 – Concession regime present in the port of Livorno, in Bulletin No. 12/2014; AS1137 – Proposals for competitive reform for the annual law for the market and competition year 2014, in Bulletin No. 27/2014.</w:t>
      </w:r>
    </w:p>
    <w:p>
      <w:r>
        <w:t>71</w:t>
      </w:r>
    </w:p>
    <w:p>
      <w:r>
        <w:t>These principles have been recently confirmed by TAR Toscana8, which fully accepted the appeal under Article 21-bis of Law No. 287/90 with which the undersigned Authority challenged a measure (issued by another municipal Administration) similar to the one under examination, thus recognizing the full legitimacy of the Authority's intervention, in the exercise of the powers conferred upon it by the aforementioned provision, regarding the automatic extension, without tender, of public maritime concessions for tourism and recreational purposes9.</w:t>
      </w:r>
    </w:p>
    <w:p>
      <w:r>
        <w:t>In light of all that precedes, the Authority believes that, for the reasons outlined above, this Municipality should have disapplied the national legislation underlying the cited administrative act (Municipal Council Resolution No. 37/2021) due to its contradiction with the above-mentioned EU principles and regulations. The provisions regarding the automatic extension, without public tender, of the public maritime concessions contained in the administrative measure in question indeed constitute specific violations of competitive principles, insofar as they prevent the competitive confrontation that should be guaranteed in the awarding of services affecting scarce public resources, in a market context where competitive dynamics are already particularly weakened due to the long duration of the currently existing concessions.</w:t>
      </w:r>
    </w:p>
    <w:p>
      <w:r>
        <w:t>In conclusion, therefore, the municipal administrative act in question (Municipal Council Resolution of February 15, 2021, No. 37) is in contrast with Articles 49 and 56 of the TFEU, as it is likely to unjustifiably limit the freedom of establishment and the free movement of services in the internal market, as well as with the EU regulatory provisions regarding public awards, with particular reference to Article 12 of the so-called Services Directive.</w:t>
      </w:r>
    </w:p>
    <w:p>
      <w:r>
        <w:t>Pursuant to Article 21-bis, paragraph 2, of Law No. 287/1990, the Municipality of Procida must therefore communicate to the Authority, within sixty days from the receipt of this opinion, the initiatives taken to remove the aforementioned competition violations. If within the aforementioned term such initiatives do not prove to be compliant with the competitive principles expressed above, the Authority may file an appeal within the following thirty days.</w:t>
      </w:r>
    </w:p>
    <w:p>
      <w:r>
        <w:t xml:space="preserve">THE PRESIDENT </w:t>
        <w:br/>
        <w:t>Roberto Rustichelli</w:t>
      </w:r>
    </w:p>
    <w:p>
      <w:r>
        <w:t>_______________________________________________________________________________</w:t>
      </w:r>
    </w:p>
    <w:p>
      <w:r>
        <w:t>8 See judgment No. 363 of March 8, 2021, cited.</w:t>
      </w:r>
    </w:p>
    <w:p>
      <w:r>
        <w:t>9 In particular, TAR Toscana annulled the Executive Determination No. 408 of May 21, 2020, of the Municipality of Piombino, subject of a reasoned opinion of the Authority pursuant to Article 21-bis of Law No. 287/90 (see AS1701 – Municipality of Piombino (LI): public maritime concessions for tourism and recreational purposes, in Bulletin No. 41/2020), with which the local authority in question had initiated the procedure for the extension of the temporal validity of the public maritime concessions existing in the municipal territory without proceeding with the comparative procedure provided for in Article 12 of Directive 2006/123/EC. In this ruling, the administrative judge expressly stated that the Municipality should have disapplied the national normative provisions that provide for automatic extension without tender of the concessions, due to their conflict with the EU legislation referred to in Article 12 of Directive 2006/123/EC, and carry out public evidence procedures for the identification of new concessionaires once the existing concessions expire.</w:t>
      </w:r>
    </w:p>
    <w:p>
      <w:r>
        <w:rPr>
          <w:b/>
        </w:rPr>
        <w:t>[Pages 70–72]</w:t>
      </w:r>
    </w:p>
    <w:p>
      <w:r>
        <w:t>72 BULLETIN NO. 41 OF OCTOBER 18, 2021</w:t>
      </w:r>
    </w:p>
    <w:p>
      <w:r>
        <w:t>Communication regarding the failure of the Municipality of Procida to comply with the reasoned opinion expressed by the Authority, pursuant to Article 21-bis of Law No. 287/1990, against the Municipal Council Resolution of February 15, 2021, No. 37, concerning the automatic extension, without public tender, of the temporal validity of the maritime state concessions for tourism and recreational purposes in force, particularly in execution of the legislative provisions for the extension of the deadline to December 31, 2033 (Law No. 145/2018, Article 1, paragraphs 682, 683, and 684, and the so-called Relaunch and August Decrees).</w:t>
      </w:r>
    </w:p>
    <w:p>
      <w:r>
        <w:t>In its meeting of July 1, 2021, the Antitrust Authority resolved to send a reasoned opinion pursuant to Article 21-bis of Law No. 287 of October 10, 1990, regarding the content of the Municipal Council Resolution of February 15, 2021, No. 37, adopted by the Municipality of Procida and concerning the automatic extension to December 31, 2033, of the temporal validity of the maritime state concessions for tourism and recreational purposes located in the municipal territory.</w:t>
      </w:r>
    </w:p>
    <w:p>
      <w:r>
        <w:t>In particular, with the aforementioned Municipal Council Resolution, the Municipality of Procida ordered the automatic extension, without public tender, of the temporal deadline of the maritime state concessions for tourism and recreational purposes, applying the aforementioned national legislation which, however—being in contrast with EU law, and in particular with Articles 49 and 56 of the TFEU and with the principles of competition and public evidence in assignments—should have been disapplied.</w:t>
      </w:r>
    </w:p>
    <w:p>
      <w:r>
        <w:t>Following the receipt of said reasoned opinion, the Municipality of Procida did not provide the Authority, within the legal deadlines, with any feedback.</w:t>
      </w:r>
    </w:p>
    <w:p>
      <w:r>
        <w:t>Having noted the failure of the municipal administration to comply with the reasoned opinion, the Antitrust Authority, in its meeting of September 21, 2021, decided to challenge before the Regional Administrative Court for Campania the Municipal Council Resolution of February 15, 2021, No. 37, adopted by the Municipality of Procida and concerning the automatic extension without tender of the municipal maritime concessions for tourism and recreational use.</w:t>
      </w:r>
    </w:p>
    <w:p>
      <w:r>
        <w:t>BULLETIN NO. 41 OF OCTOBER 18, 2021</w:t>
      </w:r>
    </w:p>
    <w:p>
      <w:r>
        <w:t>AS1795 – MUNICIPALITY OF GROSSETO - EXTENSION OF MARITIME STATE CONCESSIONS FOR TOURISM AND RECREATIONAL PURPOSES</w:t>
      </w:r>
    </w:p>
    <w:p>
      <w:r>
        <w:t>Rome, October 6, 2021</w:t>
      </w:r>
    </w:p>
    <w:p>
      <w:r>
        <w:t>Municipality of Grosseto</w:t>
      </w:r>
    </w:p>
    <w:p>
      <w:r>
        <w:t>The Antitrust Authority, in its meeting of September 30, 2021, intended to formulate some observations, pursuant to Article 21 of Law No. 287 of October 10, 1990, regarding the competitive criticalities, not justified by general interest needs, arising from the administrative acts of this Municipality (Municipal Council Resolution No. 98 of April 22, 2020, concerning "Law No. 145 of December 30, 2018, Article 1, paragraphs 682, 683, 684; maritime state concessions for tourism and recreational purposes falling within the Municipality of Grosseto. Determinations in execution of the legislative provisions for the deadline of December 31, 2033, including and for the signing of a supplementary licensing act recognizing the concessions," and consequent Executive Determination No. 691 of April 22, 2020, concerning "Municipal Council Resolution No. 98/2020 - Approval of public notice and standard type of supplementary licensing act for maritime state concessions for tourism and recreational purposes") related to the extension of the temporal validity of the maritime state concessions for tourism and recreational purposes in force.</w:t>
      </w:r>
    </w:p>
    <w:p>
      <w:r>
        <w:t>In particular, through the aforementioned administrative acts, the Municipality of Grosseto extended the duration of the concessions of maritime state assets for tourism and recreational purposes in favor of existing concessionaires, based in particular on the provisions of Article 1, paragraphs 682, 683, and 684, of Law No. 145/2018 (which established a new expiration date for maritime state concessions for tourism and recreational purposes to December 31, 2033).</w:t>
      </w:r>
    </w:p>
    <w:p>
      <w:r>
        <w:t>In this regard, in general terms, the Authority recalls that, in matters concerning the use of public assets (falling within the state or local authorities' unavailable assets), the identification of the private concessionaire must occur through the Public Administration conducting public evidence procedures.</w:t>
      </w:r>
    </w:p>
    <w:p>
      <w: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European Court of Justice, national legislation that allows the automatic extension of existing public maritime concessions for tourism and recreational activities must be considered in violation of these provisions.</w:t>
      </w:r>
    </w:p>
    <w:p>
      <w:r>
        <w:t>Furthermore, Directive 2006/123/EC (the so-called Services Directive) provides, in Article 12, that "where the number of authorizations available for a given activity is limited due to the scarcity of natural resources or usable technical capacities, Member States apply a selection procedure among potential candidates that presents guarantees of impartiality and transparency and provides, in particular, adequate publicity for the start of the procedure and its conduct and completion" (par. 1), and that, in such cases, "the authorization is granted for a limited duration and may not provide for an automatic renewal procedure nor grant other advantages to the outgoing provider or to persons who have particular ties with that provider" (par. 2).</w:t>
      </w:r>
    </w:p>
    <w:p>
      <w:r>
        <w:t>As is known, Member States are required to comply with the aforementioned EU principles and, where domestic legislation does not respect the provisions of the cited Directive, conflicting in turn with the principles of free movement and freedom of establishment, its disapplication is imposed.</w:t>
      </w:r>
    </w:p>
    <w:p>
      <w:r>
        <w:t>In this sense, the Authority, in previous advocacy interventions, has repeatedly expressed the need to proceed with the assignments of concessions—including those concerning maritime state assets for tourism/recreational purposes—through the conduct of public evidence procedures.</w:t>
      </w:r>
    </w:p>
    <w:p>
      <w:r>
        <w:t>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tender procedures, in order to mitigate the distorting effects of competition associated with the privileged position attributed to the concessionaire.</w:t>
      </w:r>
    </w:p>
    <w:p>
      <w:r>
        <w:t>Also, the administrative jurisprudence has noted a misalignment between national legislation that provides for the extension of concessions and EU legislation,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w:t>
      </w:r>
    </w:p>
    <w:p>
      <w:r>
        <w:t>In this regard, see, among others, TAR Veneto, judgment No. 218/2020, TAR Puglia, judgment No. 36/2020, and Council of State, Section VI, judgment No. 7874/2019, cited; as well as, lastly, precisely on the issue of the automatic extension of existing maritime state concessions, TAR Toscana, judgment No. 363/2021, Council of State, Section IV, judgment of February 16, 2021, No. 1416, cited, and Council of State, Section VI, judgment of March 9, 2021, No. 2002, cited. In particular, in the last two cited judgments, the Council of State ruled, in the first case, that "any national or regional legislation must in this matter be inspired by...</w:t>
      </w:r>
    </w:p>
    <w:p>
      <w:r>
        <w:rPr>
          <w:b/>
        </w:rPr>
        <w:t>[Pages 73–75]</w:t>
      </w:r>
    </w:p>
    <w:p>
      <w:r>
        <w:t>BULLETIN NO. 41 OF OCTOBER 18, 2021 75</w:t>
      </w:r>
    </w:p>
    <w:p>
      <w:r>
        <w:t>With specific reference to the procedures and measures for the extension of existing concessions6, the Authority has repeatedly emphasized7 that it is in the interest of the market to carry out a careful balance between short-term benefits and the possible costs that may arise over a longer time horizon.</w:t>
      </w:r>
    </w:p>
    <w:p>
      <w:r>
        <w:t>The granting of extensions in favor of existing concessionaires, in fact, further postpones competitive comparison for the market, thus preventing the benefits that would arise from periodic competition for the award through public procurement procedures. Therefore, any extensions of the awards should not exceed the actual needs of the Administrations, in order to allow for the efficient allocation of public resources through competitive procedures as soon as possible.</w:t>
      </w:r>
    </w:p>
    <w:p>
      <w:r>
        <w:t>Lastly, in the recent report pursuant to Articles 21 and 22 of Law No. 287/90 regarding "Proposals for competitive reform for the Annual Law for the Market and Competition for the year 2021" dated March 22, 2021, sent to the President of the Council of Ministers, the Authority observed how the awarding of concessions through competitive procedures allows for the full enhancement of the public asset of the Italian coasts which, as recognized also in Article 1, paragraph 675, of the same Law No. 145/2018, represents a strategic element for the economic system of the Country.</w:t>
      </w:r>
    </w:p>
    <w:p>
      <w:r>
        <w:t>to the rules of the European Union on the calling of tenders (see Cons. Stato, Section VI, April 13, 2017, No. 1763), given the direct effectiveness in the internal legal order of the Member States of the rulings of the Court”, and, in the second case, that “the new context is characterized by the consideration of the effectiveness of the Union legal framework, which can be inferred, in support of the Municipality's thesis, from the noted ruling of the EU Court in Promoimpresa of July 14, 2016, as a legal framework that imposes the selective procedure, where the Municipality decides to outsource the management of the beaches for tourism and recreational purposes due to the scarcity of the aforementioned resource”.</w:t>
      </w:r>
    </w:p>
    <w:p>
      <w:r>
        <w:t>In particular, regarding the disapplication of national legislation conflicting with Union law, reference is also made, lastly, to TAR Sicily, ruling No. 504 of February 15,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however, be added that the observations of the Court of Justice regarding the obligation to disapply national legislation in conflict with community law do not constitute an &lt;&lt;obiter dictum&gt;&gt;, but consist of statements made in the context of a preliminary ruling and related to the correct interpretation of the Treaties in relation to the case decided, that is, on the occasion of the precise fulfillment of the institutional tasks of that body, with the consequence that the related ruling is binding”) and TAR Campania, ruling No. 265 of January 29, 2021 (where the Judge noted that “The plaintiff's assumption of the occurrence of an automatic fifteen-year extension of the relationship established with the previous maritime state concessions collides, therefore, with the disapplicative jurisprudential direction of the dilatory legislative norms issued in this subject matter, advocated also by this Section in rulings No. 1697 of October 2, 2019 and No. 221 of February 10, 2020, and inspired by the ruling established in this matter by the EU Court of Justice, Section V, in the cited ruling of July 14, 2016, C-458/14 and C-67/15”).</w:t>
      </w:r>
    </w:p>
    <w:p>
      <w:r>
        <w:t>6 It is also recalled that the Court of Justice of the European Union, in establishing that the awarding of maritime state concessions for tourism and recreational use, which concern scarce natural resources, must necessarily take place through a selection procedure among potential candidates in compliance with all guarantees of impartiality and transparency, as well as adequate publicity, has highlighted that national legislation providing for an automatic extension by law of the expiration date of such concessions amounts to an automatic renewal in contrast with the provisions of Article 12, paragraph 2, of Directive 2006/123/EC (see CJEU, Section V, ruling of July 14, 2016, joined cases C-458/14 and C-67/15, cited).</w:t>
      </w:r>
    </w:p>
    <w:p>
      <w:r>
        <w:t>7 See the report made by the Authority on July 1, 2020, pursuant to Article 21 of Law No. 287/1990, AS 1684 – Observations regarding the provisions contained in the Relaunch Decree, in Bulletin No. 28/2020. See also reports AS 135 – Extensions of highway concessions, in Bulletin No. 19/98; AS491 – Provisions on the granting of state assets concessions and on the direct exercise of administrative functions in the field of maritime state property, in Bulletin No. 46/2008; AS1114 – Concession regime present in the port of Livorno, in Bulletin No. 12/2014; AS1137 – Proposals for competitive reform for the annual law for the market and competition for the year 2014, in Bulletin No. 27/2014.</w:t>
      </w:r>
    </w:p>
    <w:p>
      <w:r>
        <w:t>76 BULLETIN NO. 41 OF OCTOBER 18, 2021</w:t>
      </w:r>
    </w:p>
    <w:p>
      <w:r>
        <w:t>These principles have recently been confirmed by TAR Tuscany8, which fully accepted the appeal under Article 21-bis of Law No. 287/90 with which the undersigned Authority challenged a measure (issued by another municipal Administration) similar to those under examination here, thus recognizing the full legitimacy of the Authority's intervention, in the exercise of the powers conferred upon it by the aforementioned provision, regarding automatic extensions, without tender, of maritime state concessions for tourism and recreational purposes9.</w:t>
      </w:r>
    </w:p>
    <w:p>
      <w:r>
        <w:t>In light of all that precedes, the Authority believes that, for the reasons outlined above, this Municipality should have disapplied the national legislation underlying the aforementioned administrative acts due to its contradiction with the Euro-unitary regulations and principles mentioned above.</w:t>
      </w:r>
    </w:p>
    <w:p>
      <w:r>
        <w:t>The provisions regarding the extension of maritime state concessions for tourism and recreational purposes contained in the aforementioned administrative measures indeed constitute specific violations of competitive principles, insofar as they prevent the competitive comparison that should be guaranteed in the awarding of services affecting scarce state resources (the potential future awarding of new concessions on coastal stretches not yet awarded cannot be relevant in this regard, as it does not change the intrinsic characteristic of scarcity that characterizes the beach asset), in a market context where competitive dynamics are already particularly weakened due to the long duration of the currently existing concessions.</w:t>
      </w:r>
    </w:p>
    <w:p>
      <w:r>
        <w:t>In conclusion, therefore, the municipal administrative acts in question are in contrast with Articles 49 and 56 of the TFEU, as they are likely to unjustifiably limit the freedom of establishment and the free movement of services in the internal market, as well as with the Euro-unitary regulatory provisions regarding public procurement, with particular reference to Article 12 of the so-called Services Directive.</w:t>
      </w:r>
    </w:p>
    <w:p>
      <w:r>
        <w:t>The Authority therefore hopes that this Municipality will amend the indicated provisions by eliminating the highlighted competitive distortions, as specified above.</w:t>
      </w:r>
    </w:p>
    <w:p>
      <w:r>
        <w:t>The Authority also invites this Municipality to communicate, within thirty days from the receipt of this report, the decisions taken regarding the competitive issues highlighted above.</w:t>
      </w:r>
    </w:p>
    <w:p>
      <w:r>
        <w:t>This report will be published in the Bulletin referred to in Article 26 of Law No. 287/90.</w:t>
      </w:r>
    </w:p>
    <w:p>
      <w:r>
        <w:t>THE PRESIDENT</w:t>
      </w:r>
    </w:p>
    <w:p>
      <w:r>
        <w:t>Roberto Rustichelli</w:t>
      </w:r>
    </w:p>
    <w:p>
      <w:r>
        <w:t>8 See ruling No. 363 of March 8, 2021, cited.</w:t>
      </w:r>
    </w:p>
    <w:p>
      <w:r>
        <w:t>9 In particular, TAR Tuscany annulled the Executive Determination No. 408 of May 21, 2020 of the Municipality of Piombino, subject of a reasoned opinion of the Authority pursuant to Article 21-bis of Law No. 287/90 (see AS1701 – Municipality of Piombino (LI): maritime state concessions for tourism and recreational purposes, in Bulletin No. 41/2020), with which the local authority in question had initiated the procedure for the extension of the temporal validity of the maritime state concessions located in the municipal territory without proceeding with the comparative procedure provided for by Article 12 of Directive 2006/123/EC. In this ruling, the administrative judge expressly stated that the Municipality should have disapplied the national legislative provisions that provide for automatic extensions without tender of the concessions, due to their contradiction with the Euro-unitary legislation referred to in Article 12 of Directive 2006/123/EC, and carry out public procurement procedures for the identification of new concessionaires, once the existing concessions have expired.</w:t>
      </w:r>
    </w:p>
    <w:p>
      <w:r>
        <w:t>BULLETIN NO. 41 OF OCTOBER 18, 2021 77</w:t>
      </w:r>
    </w:p>
    <w:p>
      <w:r>
        <w:t>AS1796 – METHODS FOR THE FORMATION OF LISTS OF PROFESSIONALS AUTHORIZED TO CONDUCT REAL ESTATE SALES</w:t>
      </w:r>
    </w:p>
    <w:p>
      <w:r>
        <w:t>Rome, October 6, 2021</w:t>
      </w:r>
    </w:p>
    <w:p>
      <w:r>
        <w:t>Minister of Justice</w:t>
      </w:r>
    </w:p>
    <w:p>
      <w:r>
        <w:t>The Antitrust Authority, in its meeting of September 30, 2021, intended to make, pursuant to Article 22 of Law October 10, 1990, No. 287, the following considerations regarding the competitive issues arising from the failure to adopt the Ministerial Decree provided for by Article 179-ter of the transitional provisions of the Code of Civil Procedure, as amended by Article 5-bis of Decree-Law No. 59/2016, converted by Law No. 119/2016, concerning enforcement and bankruptcy procedures and aimed also at regulating the methods of registration in the lists of professionals available to carry out the sale of real estate and registered movable property.</w:t>
      </w:r>
    </w:p>
    <w:p>
      <w:r>
        <w:t>Before the aforementioned legislative intervention, Article 179-ter of the transitional provisions of the Code of Civil Procedure provided that the District Bar Councils would communicate, every three years, to the Presidents of the Courts the lists, distinguished for each district, respectively of notaries, lawyers, and accountants available to carry out the sale of real estate. In the current version, however, the aforementioned Article 179-ter provides that a list of professionals who carry out sales operations shall be established at each Court and that: “professionals referred to in Articles 534-bis and 591-bis, first paragraph, of the Code, who demonstrate that they have fulfilled the initial training obligations, established by a decree of a non-regulatory nature of the Minister of Justice, may obtain registration in the list. The same decree establishes the periodic training obligations to be fulfilled for the confirmation of registration, sets the methods for verifying the actual fulfillment of the training obligations, and identifies the content and methods for submitting applications.”</w:t>
      </w:r>
    </w:p>
    <w:p>
      <w:r>
        <w:t>Article 5-bis, paragraph 5, of Decree-Law No. 59/2016 then introduced a transitional regime, providing that: “Until the expiration of the twelfth month following the issuance of the decree of the Minister of Justice referred to in the first paragraph of the aforementioned Article 179-ter, as replaced by paragraph 1 of this article, to be adopted within sixty days from the date of entry into force of the conversion law of this decree, the sales operations continue to be delegated to one of the professionals registered in the list referred to in the aforementioned Article 179-ter, in the text in force prior to the date of entry into force of the conversion law of this decree.”</w:t>
      </w:r>
    </w:p>
    <w:p>
      <w:r>
        <w:t>Having said that, it is believed that the failure to adopt the Minister of Justice's Decree is giving rise to application and interpretative uncertainties regarding: i) the training requirements of professionals, among which, in application of the previous version of Article 179-ter, at this time</w:t>
      </w:r>
    </w:p>
    <w:p>
      <w:r>
        <w:rPr>
          <w:b/>
        </w:rPr>
        <w:t>[Pages 76–78]</w:t>
      </w:r>
    </w:p>
    <w:p>
      <w:r>
        <w:t>78 BULLETIN NO. 41 OF OCTOBER 18, 2021</w:t>
      </w:r>
    </w:p>
    <w:p>
      <w:r>
        <w:t>it could also be considered relevant the experience in the territory related to the individual district; ii) the competent authority for the preparation of the lists, also in light of the amended version of Article 179-ter, which seems to eliminate the role of the Bar Councils; iii) the content and the methods of submission of the related registration applications, to be submitted directly to the Court, as could be inferred from the new version of Article 179-ter, or to the Bar Councils.</w:t>
      </w:r>
    </w:p>
    <w:p>
      <w:r>
        <w:t>This uncertainty results in an unjustified contraction of the offer, as the updating of the lists occurs based on the previous regulations and could lead to the exclusion of suitable professionals who are active in territories different from the reference district, inappropriately excluded based on a restrictive interpretation of the norm.</w:t>
      </w:r>
    </w:p>
    <w:p>
      <w:r>
        <w:t>The Authority therefore hopes that the implementing decree provided for by the new regulations will be issued as soon as possible, which should not establish criteria that imply restrictions on the exercise of the considered professional activity, unless such restrictions are necessary and proportionate to achieving objectives of general interest. It is recalled, in this regard, that the Authority has repeatedly pointed out the competitive criticalities underlying provisions that limit the exercise of economic activity based on unjustified territorial requirements1.</w:t>
      </w:r>
    </w:p>
    <w:p>
      <w:r>
        <w:t>This opinion will be published in the Bulletin referred to in Article 26 of Law No. 287/90.</w:t>
      </w:r>
    </w:p>
    <w:p>
      <w:r>
        <w:t xml:space="preserve">THE PRESIDENT </w:t>
        <w:br/>
        <w:t>Roberto Rustichelli</w:t>
      </w:r>
    </w:p>
    <w:p>
      <w:r>
        <w:t>1 See, among others, the reports: AS1732 Municipality of Genoa – Regulation on the exercise of funeral activities, March 23, 2021, in Bull. 15/2021; AS1673 Municipality of Mantova – Benefits for tourist guides of June 5, 2020, in Bull. 24/2020; AS1635 Municipalities of Pisa, Lucca, and Carrara – Limits on the exercise of the professional activity of tourist guides, January 14, 2020, in Bull. No. 5/2020; AS1213 Marche Region – Lists of professionals for seismic micro-zoning assignments and analysis of the limit condition for emergencies, September 30, 2015, in Bull. 36/2015.</w:t>
      </w:r>
    </w:p>
    <w:p>
      <w:r>
        <w:t>BULLETIN NO. 41 OF OCTOBER 18, 2021</w:t>
      </w:r>
    </w:p>
    <w:p>
      <w:r>
        <w:t>79 UNFAIR COMMERCIAL PRACTICES</w:t>
      </w:r>
    </w:p>
    <w:p>
      <w:r>
        <w:t>PS12009 - BAT- HIDDEN ADVERTISING GLO ON SOCIAL NETWORKS</w:t>
      </w:r>
    </w:p>
    <w:p>
      <w:r>
        <w:t>Provision No. 29837</w:t>
      </w:r>
    </w:p>
    <w:p>
      <w:r>
        <w:t>THE ANTITRUST AUTHORITY</w:t>
      </w:r>
    </w:p>
    <w:p>
      <w:r>
        <w:t>IN ITS MEETING of September 30, 2021;</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communications received on June 25, 2021, through which the Parties submitted commitments pursuant to Article 27, paragraph 7, of the Consumer Code and Article 9 of the Regulation;</w:t>
      </w:r>
    </w:p>
    <w:p>
      <w:r>
        <w:t>VIEWED the documents of the proceeding;</w:t>
      </w:r>
    </w:p>
    <w:p>
      <w:r>
        <w:t>I. THE PARTIES</w:t>
      </w:r>
    </w:p>
    <w:p>
      <w:r>
        <w:t>1. British American Tobacco Italia S.p.A. (hereinafter also "BAT"), as a professional, pursuant to Article 18, paragraph 1, letter b), of the Consumer Code. The company is a global leader in the tobacco and nicotine industry and is the owner of the "Glo_Hyper" brand, a device for heating tobacco.</w:t>
      </w:r>
    </w:p>
    <w:p>
      <w:r>
        <w:t>2. Mr. Stefano De Martino, as a professional, pursuant to Article 18, paragraph 1, letter b), of the Consumer Code, owner of the eponymous sole proprietorship. The business Stefano De Martino is associated with the Instagram profile "stefanodemartino," with 4.4 million followers.</w:t>
      </w:r>
    </w:p>
    <w:p>
      <w:r>
        <w:t>3. Mr. Stefano Sala, as a professional, pursuant to Article 18, paragraph 1, letter b), of the Consumer Code, owner of the eponymous sole proprietorship. The business Stefano Sala is associated with the Instagram profile "stevenlivingroom," with 327 thousand followers.</w:t>
      </w:r>
    </w:p>
    <w:p>
      <w:r>
        <w:t>4. Ms. Cecilia Rodriguez, as a professional, pursuant to Article 18, paragraph 1, letter b), of the Consumer Code. She is associated with the Instagram profile "chechurodriguez_real," with 4.3 million followers.</w:t>
      </w:r>
    </w:p>
    <w:p>
      <w:r>
        <w:t>5. National Consumers' Union, as a consumer association reporting the issue.</w:t>
      </w:r>
    </w:p>
    <w:p>
      <w:r>
        <w:t>80 BULLETIN NO. 41 OF OCTOBER 18, 2021</w:t>
      </w:r>
    </w:p>
    <w:p>
      <w:r>
        <w:t>II. THE COMMERCIAL PRACTICE SUBJECT TO THE PROCEEDING</w:t>
      </w:r>
    </w:p>
    <w:p>
      <w:r>
        <w:t>6. The proceeding in question concerns a case of hidden advertising, consisting of the publication, by the aforementioned professionals (so-called influencers), of posts on Instagram regarding the Glo_Hyper tobacco heating device, produced and marketed by BAT. In particular, in these posts, the influencers invited their respective followers to publish, in turn, content on Instagram, mentioning ("tagging") Glo and the influencer, and inserting hashtags related to the brand. The influencers also committed to reposting the best content posted by the followers on their profile and on that of Glo Hyper. The posts published by the followers in response to the invitation were therefore devoid of warnings regarding the promotional purpose of the content disseminated online.</w:t>
      </w:r>
    </w:p>
    <w:p>
      <w:r>
        <w:t>7. This practice is attributable to the phenomenon of influencer marketing, a consolidated communication method consisting of the dissemination on blogs and social networks (such as Facebook, Instagram, Twitter, Youtube, Snapchat, Myspace) of photos, videos, and comments by bloggers and influencers who show support or endorsement for certain brands, generating an advertising effect.</w:t>
      </w:r>
    </w:p>
    <w:p>
      <w:r>
        <w:t>8. In this specific case, the influencers employed a promotional strategy defined as "call to action," aimed at creating interaction with the followers who, in the expectation of receiving greater visibility for their profile in return, were induced to respond to the invitation by disseminating content related to the Glo_Hyper brand on Instagram, thus generating an advertising effect in favor of the brand.</w:t>
      </w:r>
    </w:p>
    <w:p>
      <w:r>
        <w:t>III. THE OUTCOMES OF THE PROCEEDING</w:t>
      </w:r>
    </w:p>
    <w:p>
      <w:r>
        <w:t>III.1 The procedure's course</w:t>
      </w:r>
    </w:p>
    <w:p>
      <w:r>
        <w:t>9. By act of May 27, 2021, the company BAT and the influencers parties to the proceeding were notified of the initiation of the investigative proceeding PS/12009 for alleged violations of Articles 20, paragraph 2, 22, paragraph 2, and 23, paragraph 1, letter m), of the Consumer Code. In particular, the Parties were accused of having engaged in a case of hidden advertising in favor of the Glo_Hyper brand, through the publication of posts by the influencers – linked by a declared contractual relationship with the brand – in which they invited followers to further disseminate new posts on Instagram, containing tags and hashtags related to the Glo device, without urging them to include warnings aimed at clarifying the promotional effectiveness of the responses to the call (such as #adv, #sponsoredby…).</w:t>
      </w:r>
    </w:p>
    <w:p>
      <w:r>
        <w:t>10. On the same date, inspection activities were carried out at the registered office of the company BAT party to the proceeding, as well as at the registered offices of the advertising agency Gruppo Roncaglia S.r.l., which does not hold the status of a party to the proceeding.</w:t>
      </w:r>
    </w:p>
    <w:p>
      <w:r>
        <w:t>11. On June 3, 2021, the company BAT accessed the documents of the proceeding.</w:t>
      </w:r>
    </w:p>
    <w:p>
      <w:r>
        <w:t>12. On June 25, 2021, the company BAT and the influencers parties to the proceeding submitted their defensive memoranda.</w:t>
      </w:r>
    </w:p>
    <w:p>
      <w:r>
        <w:t>13. On the same date, the company BAT and the influencers parties to the proceeding submitted commitments.</w:t>
      </w:r>
    </w:p>
    <w:p>
      <w:r>
        <w:t>14. On July 8, 2021, the company BAT submitted an integration to the commitments already presented.</w:t>
      </w:r>
    </w:p>
    <w:p>
      <w:r>
        <w:t>15. On August 3, 2021, the Parties were notified of the conclusion date of the investigative phase pursuant to Article 16, paragraph 1, of the Regulation.</w:t>
      </w:r>
    </w:p>
    <w:p>
      <w:r>
        <w:rPr>
          <w:b/>
        </w:rPr>
        <w:t>[Pages 79–81]</w:t>
      </w:r>
    </w:p>
    <w:p>
      <w:r>
        <w:t>BULLETIN NO. 41 OF OCTOBER 18, 2021 81</w:t>
      </w:r>
    </w:p>
    <w:p>
      <w:r>
        <w:t>16. On August 17, 2021, the opinion was requested from the Authority for Communications Guarantees, which provided it on September 20.</w:t>
      </w:r>
    </w:p>
    <w:p>
      <w:r>
        <w:t>III.2 The elements acquired and the commitments of the professionals</w:t>
      </w:r>
    </w:p>
    <w:p>
      <w:r>
        <w:t>17. With reference to the contested profile in the initiation communication against BAT and the influencers – namely, the realization of a case of hidden advertising for the Glo_Hyper product through the dissemination on Instagram of a call to action directed at followers – the documentary elements on file confirmed that the commercial strategy adopted by BAT aimed at utilizing user-generated content (UGC) in response to the invitation, in order to promote the launch of the Glo_Hyper device.</w:t>
      </w:r>
    </w:p>
    <w:p>
      <w:r>
        <w:t>18. In its defense submissions, BAT argued the correctness of its actions and contested the existence of the prerequisites to classify the disseminated messages as hidden advertising, given the presence, in the influencers' posts containing the invitation, of hashtags such as #adv, as well as the absence of a contractual relationship between the company and the followers. Furthermore, the company emphasized its collaborative conduct, having removed the posts after the notification of the initiation communication. Finally, the professional noted that the procedure concerns a case that is unprecedented in the Italian landscape, nor are there precedents in this matter at the EU level.</w:t>
      </w:r>
    </w:p>
    <w:p>
      <w:r>
        <w:t>19. The involved influencers, in turn, confirmed that they had contractually committed to publish certain stories and posts containing the call to action, while including the necessary disclaimers through reference hashtags (#sponsored by, #adv, etc.). As mentioned above, in June 2021, each professional submitted a proposal for commitments.</w:t>
      </w:r>
    </w:p>
    <w:p>
      <w:r>
        <w:t>III.2.1 The commitments presented by BAT</w:t>
      </w:r>
    </w:p>
    <w:p>
      <w:r>
        <w:t>20. The commitments presented by BAT, which in their final version are attached to this provision and constitute an integral part thereof, concern the following measures:</w:t>
      </w:r>
    </w:p>
    <w:p>
      <w:r>
        <w:t>i. Commitment related to the adoption of Guidelines on influencer marketing</w:t>
        <w:br/>
        <w:t>The professional, in order to adopt appropriate measures to prevent future forms of hidden advertising on social media, commits to involve the top functions of the areas responsible for marketing management through the dissemination of internal Guidelines related to influencer marketing (Guidelines). Specifically, the Guidelines will contain explicit indications, briefly described here:</w:t>
        <w:br/>
        <w:t>- the obligation for influencers to include hashtags such as #adv, or an acronym of equivalent meaning, before the name of the advertised product, or #prodottofornitoda in the case of goods supplied by the brand free of charge.</w:t>
        <w:br/>
        <w:t>- with specific reference to the call to action technique, the obligation for influencers to urge followers to include hashtags such as #adv before the brand related to the product, under penalty of exclusion from any prize/reward (such as the publication of their photo on the influencer's IG profile and/or Glo Italia).</w:t>
        <w:br/>
        <w:t>- an excerpt of the Guidelines with binding prescriptions for influencers in the form of bullet points will constitute an integral part of the contracts between BAT and the influencers or their agencies.</w:t>
      </w:r>
    </w:p>
    <w:p>
      <w:r>
        <w:t>82 BULLETIN NO. 41 OF OCTOBER 18, 2021</w:t>
        <w:br/>
        <w:t>- the Guidelines will also include: (i) references to the key principles regarding advertising transparency obligations, also in light of the decision-making practice of the Authority; (ii) prescriptions directed at influencers regarding the obligation to include hashtags such as #adv and the indications to be observed in the case of a call to action, in order to ensure transparency of communication to the final consumer; (iii) indications regarding the contractual models approved by the Legal Function to be applied in relations with influencers and the agencies that engage them on behalf of BAT; such models will be characterized by the presence, among other things, of clauses aimed at ensuring the obligation of transparency in communication, also through deterrent mechanisms and sanctions in the event of violation of the aforementioned clauses, such as penalties or the right to withdraw from the contract for the Company.</w:t>
        <w:br/>
        <w:t>- BAT reserves the right to impose sanctions on employees who are unfaithful to the Guidelines, including demotion and, in more serious cases, dismissal for just cause. All employees will be informed of this during company training on the Guidelines.</w:t>
        <w:br/>
        <w:t>- assignment by the Board of Directors to the internal Antitrust Compliance Officer (ACO), a figure already operational in BAT, of the task of monitoring the correct implementation of the Guidelines. The commitment will be implemented within thirty days from the communication of acceptance of the commitments. A Board of Directors meeting and a training seminar in the company will also be scheduled by September 30, 2021.</w:t>
      </w:r>
    </w:p>
    <w:p>
      <w:r>
        <w:t>ii. Commitment related to the use of influencers directly engaged by BAT</w:t>
        <w:br/>
        <w:t>If the professional contracts directly with influencers, without using the intermediation of agencies, the relevant contract (previously approved by the Legal Function in compliance with the Guidelines), in addition to providing for the obligation to adhere to the aforementioned Guidelines, will contain standard clauses with deterrent mechanisms (reduction of fees and/or penalties and/or suspension of payments/withdrawal from the contract) in the event of violation of the aforementioned obligation. This commitment will be implemented within thirty days from the communication of acceptance of the commitments with the definition of appropriate contractual clauses to be automatically included in the BAT/influencer contract template.</w:t>
      </w:r>
    </w:p>
    <w:p>
      <w:r>
        <w:t>iii. Commitment related to the use of influencers indirectly engaged by BAT</w:t>
        <w:br/>
        <w:t>If the professional does not contract directly with influencers but uses the intermediation of an agency, the contract between the professional and the agency will contain clauses aimed at obliging the latter to monitor the activities of the influencers. In order to ensure compliance with the Guidelines, deterrent mechanisms and sanctions will be included in the contract (for example, reduction of fees and/or penalties and/or suspension of payments in case of partial monitoring; termination of the contract in case of absence of monitoring). A contractual obligation will also be provided for the agency – understood as a resolutory condition of the contract – to replicate, in the independent contracts concluded by it with the influencers or with other intermediary agencies, similar deterrent mechanisms and sanctions. This commitment will be implemented within thirty days from the communication of acceptance of the commitments with the definition of appropriate contractual clauses to be automatically included in the BAT/agency contract template.</w:t>
      </w:r>
    </w:p>
    <w:p>
      <w:r>
        <w:t>BULLETIN NO. 41 OF OCTOBER 18, 2021 83</w:t>
      </w:r>
    </w:p>
    <w:p>
      <w:r>
        <w:t>iv. Commitment related to the implementation of future calls to action</w:t>
        <w:br/>
        <w:t>If the professional promotes a call to action on their channels directed at their followers, they commit to ask them to indicate “adv” and “sponsored by” before the name of the product branded by BAT. Followers who, despite the above recommendations, do not adopt the #adv disclaimer before the brand will be excluded from any prize/reward (such as the publication of their photo on the IG profile of Glo Italia or other profiles) where provided by the call to action. This commitment will be implemented within ten days from the communication of acceptance of the commitments with a directive from the General Counsel to the internal divisions of the Company involved in the issue.</w:t>
      </w:r>
    </w:p>
    <w:p>
      <w:r>
        <w:t>v. Commitment not to incentivize influencers to use their social channels for the promotion of its products</w:t>
        <w:br/>
        <w:t>This commitment will be implemented within ten days from the communication of acceptance of the commitments with a directive from the General Counsel to the internal divisions of the Company involved in the issue.</w:t>
      </w:r>
    </w:p>
    <w:p>
      <w:r>
        <w:t>vi. Commitment to remove all photos/pages similar to those contested and published on the Instagram site of Glo and on those of the influencers contracted by BAT, intervening with appropriate communication to Zenith Italy s.r.l. so that they are removed from the Instagram profiles of the same influencers. This commitment has already been fulfilled.</w:t>
      </w:r>
    </w:p>
    <w:p>
      <w:r>
        <w:t>vii. Commitment to produce a compliance report within ninety days from the communication of acceptance of the proposed commitments or within a shorter term indicated by the Authority.</w:t>
      </w:r>
    </w:p>
    <w:p>
      <w:r>
        <w:t>III.2.2 The commitments presented by the influencers</w:t>
      </w:r>
    </w:p>
    <w:p>
      <w:r>
        <w:t>21. The proposals for commitments from influencers Stefano De Martino, Stefano Sala, and Cecilia Rodriguez, which in their final version are attached to this provision and constitute an integral part thereof, although formally distinct, concern the same measures illustrated below:</w:t>
      </w:r>
    </w:p>
    <w:p>
      <w:r>
        <w:t>22. These measures provide for:</w:t>
        <w:br/>
        <w:t>1) to remove from their Instagram profile any publication related to the facts subject to contestation in the procedure;</w:t>
        <w:br/>
        <w:t>2) to use, for any form of future advertising and marketing activity – including the case where the promotional message is mediated by any followers of the influencer through the call to action – the following acronyms prominently before the name of the brand or company or product to be promoted: “#adv” “#advertising”, “#sponsorizzato/sponsored da/by”, “#pubblicità”, “#promosso da/promoted by” and/or “#in collaborazione/partnership”;</w:t>
        <w:br/>
        <w:t>3) that, for any form of future advertising and marketing activity – including the case where the promotional message is mediated by any followers of the influencer, through the call to action – that involves the final publication of the best posts on the social page and/or website related to the influencer and/or the company owning the brand/product/brand, such invitation must contain the express notice that posts sent by followers lacking the aforementioned acronyms will not be considered.</w:t>
      </w:r>
    </w:p>
    <w:p>
      <w:r>
        <w:rPr>
          <w:b/>
        </w:rPr>
        <w:t>[Pages 82–84]</w:t>
      </w:r>
    </w:p>
    <w:p>
      <w:r>
        <w:t>84 BULLETIN NO. 41 OF OCTOBER 18, 2021</w:t>
      </w:r>
    </w:p>
    <w:p>
      <w:r>
        <w:t>IV. OPINION OF THE AUTHORITY FOR GUARANTEES IN COMMUNICATIONS</w:t>
      </w:r>
    </w:p>
    <w:p>
      <w:r>
        <w:t>23. Since the commercial practice subject to this provision was carried out via the internet, on August 17, 2021, an opinion was requested from the Authority for Guarantees in Communications, pursuant to Article 27, paragraph 6, of the Consumer Code. In the opinion received on September 20, 2021, the aforementioned Authority deemed that in this case, the Internet is a suitable tool to significantly influence the realization of the commercial practice subject to the procedure.</w:t>
      </w:r>
    </w:p>
    <w:p>
      <w:r>
        <w:t>V. EVALUATION OF COMMITMENTS</w:t>
      </w:r>
    </w:p>
    <w:p>
      <w:r>
        <w:t>V.1 Premise</w:t>
      </w:r>
    </w:p>
    <w:p>
      <w:r>
        <w:t>24. It must be preliminarily observed that in the "digital world" – which is increasingly expanding – posts, tweets, photos, and videos published on social media constitute the usual tools for users to communicate externally and create emotional engagement with the recipients of their narrative.</w:t>
      </w:r>
    </w:p>
    <w:p>
      <w:r>
        <w:t>25. Hence arises the necessity – in cases where the content disseminated online derives from a commissioning relationship between the influencer and the highlighted brand – to make consumers aware that they are facing a true advertising message, and not a spontaneous and disinterested account of the daily life of the character.</w:t>
      </w:r>
    </w:p>
    <w:p>
      <w:r>
        <w:t>26. In this sector, therefore, it is of fundamental importance to ensure maximum transparency and clarity to consumers regarding any advertising content of communications disseminated on social media, considering that hidden marketing is particularly insidious as it can deprive recipients of the natural defenses activated in the presence of a declared advertising intent.</w:t>
      </w:r>
    </w:p>
    <w:p>
      <w:r>
        <w:t>27. The aforementioned needs for transparency and clarity also require an adequate response concerning the new technique of social media marketing that has involved downstream activities of followers, such as that subject to the procedure.</w:t>
      </w:r>
    </w:p>
    <w:p>
      <w:r>
        <w:t>28. In this way, the methods of identifying a commercial communication on the Internet, for example through the use of hashtags such as #adv or #sponsored by, represent a useful means of recognizing the advertising message, whether it is promoted (upstream) by characters with a more or less significant number of followers – influencers and micro-influencers – or when the message comes (downstream) from a common user, encouraged to post such content in exchange for a benefit, even if not directly economic, such as obtaining greater visibility online.</w:t>
      </w:r>
    </w:p>
    <w:p>
      <w:r>
        <w:t>V.2 Evaluations of Commitments</w:t>
      </w:r>
    </w:p>
    <w:p>
      <w:r>
        <w:t>29. Framed within the context in which the evaluation of the Parties' proposals in this procedure is situated, the Authority believes that the commitments undertaken by the professionals fully respond to the general principles of recognizability outlined above and are suitable to remedy the possible profiles of illegitimacy of the contested commercial practice.</w:t>
      </w:r>
    </w:p>
    <w:p>
      <w:r>
        <w:t>V.2.1 BAT's Commitments</w:t>
      </w:r>
    </w:p>
    <w:p>
      <w:r>
        <w:t>30. It must be preliminarily noted that BAT's commitments articulate the principles underlying the regulations on transparent advertising in relation to a novel technique of social marketing that has involved downstream activities of followers, and whose criticisms have not recorded precedents in Italian and foreign law until today.</w:t>
      </w:r>
    </w:p>
    <w:p>
      <w:r>
        <w:t>31. On the merits, the commitments presented by BAT include complementary measures. In particular, the issuance by the top figures of BAT of comprehensive and structured Guidelines aimed at maximizing the awareness of the business functions involved in communication and digital marketing finds concrete implementation in the contractual relationships that the same professional establishes directly or indirectly with influencers and agencies. In fact, these Guidelines will constitute an integral part of every contract between BAT and the influencers, as well as those concluded between the agencies to which BAT will turn and the influencers themselves.</w:t>
      </w:r>
    </w:p>
    <w:p>
      <w:r>
        <w:t>32. In the perspective of ensuring effective compliance with transparency rules, it is significant that the contractual obligation to adhere to the Guidelines will be accompanied by the provision of deterrent and sanctioning mechanisms against influencers who violate the directives received, leaving to the discretion of BAT or the agencies the sole quantitative definition of the sanction based on the severity of the violation and the value of the contract. Furthermore, particular importance is given to the inclusion of contractual clauses aimed at holding the agencies accountable for monitoring the actions of influencers, also providing for the application of deterrent and sanctioning mechanisms in the event of a violation by the agency of this obligation.</w:t>
      </w:r>
    </w:p>
    <w:p>
      <w:r>
        <w:t>33. Given the peculiarity of the marketing tool used by the Professional, who, through the call to action, employs two different registers of actors – influencers and followers – the commitments presented constitute a significant element of discipline for the promotional action thus carried out. In fact, followers will be bound in future similar initiatives by BAT's request to indicate "adv," "sponsored," under penalty of exclusion from any prize/reward. This warning measure – which also recurs in the commitments of the influencers – appears suitable to regulate, in compliance with advertising transparency obligations, the interactions resulting from the call to action.</w:t>
      </w:r>
    </w:p>
    <w:p>
      <w:r>
        <w:t>34. In conclusion, these are comprehensive measures that structurally and permanently strengthen a business practice already sensitive to the issue, extending it also to the techniques of engaging user-generated content, thus overcoming the criticized profiles.</w:t>
      </w:r>
    </w:p>
    <w:p>
      <w:r>
        <w:t>V.2.2 Influencers' Commitments</w:t>
      </w:r>
    </w:p>
    <w:p>
      <w:r>
        <w:t>35. Preliminary, it should be noted that a joint evaluation was conducted of the commitments proposed by the three influencers who submitted the same measures to the Authority, as they present substantially similar and uniform aspects.</w:t>
      </w:r>
    </w:p>
    <w:p>
      <w:r>
        <w:t>36. The influencers have presented commitments that are overall suitable to resolve the profiles of possible unfairness contested, removing the pages containing the contested posts, as well as committing to transparently communicate the promotional purpose, where applicable, of the content disseminated via social media. The proposed measures can also produce a useful effect of broad scope, since the professionals involved have committed not only to include "in any future advertising and marketing activity" – including the case where the promotional message is mediated by followers through a call to action – appropriate warnings regarding the promotional nature of the message, but also to inform followers that only posts containing such hashtags may be "reposted" by the influencer or the brand/product owner. In this way, the influencers commit to guiding their followers to publish posts whose advertising purpose is transparent.</w:t>
      </w:r>
    </w:p>
    <w:p>
      <w:r>
        <w:t>37. The synergy between the commitments of the professional and those of the influencers linked to it by a commissioning relationship effectively integrates the disciplinary framework already outlined in the previous interventions of the Authority in the context of social media marketing.</w:t>
      </w:r>
    </w:p>
    <w:p>
      <w:r>
        <w:t>38. From this perspective, the commitments in question respond to the general interests of consumer protection underlying the regulatory obligation to make advertising clearly recognizable, as the commercial purpose of the communication will be made evident regardless of the subject from whom the communication originates, whether it is an influencer, a micro-influencer, or a common user of online platforms.</w:t>
      </w:r>
    </w:p>
    <w:p>
      <w:r>
        <w:t>V.2.3 Conclusions</w:t>
      </w:r>
    </w:p>
    <w:p>
      <w:r>
        <w:t>39. With regard to the contested conduct, the measures proposed by BAT and the involved influencers are suitable to provide consumers with a complete and accurate informational framework regarding the nature of their communications, explicitly stating, where applicable, the commercial character and advertising purposes of their initiatives on social media, as well as permanently conforming their behavior to the aforementioned general principles. In this case, the commitments of the brand owner and the influencers create a shared effort effective in ensuring compliance with transparency rules, fundamental for a correct dynamic of influencer marketing and its rapid changes.</w:t>
      </w:r>
    </w:p>
    <w:p>
      <w:r>
        <w:t>40. In light of the above considerations, it is believed that the commitments presented meet the requirements set forth in Article 27, paragraph 7, of the Consumer Code.</w:t>
      </w:r>
    </w:p>
    <w:p>
      <w:r>
        <w:t>THEREFORE, it is deemed that the commitments presented by British American Tobacco Italia S.p.A., as well as by Mr. Stefano De Martino, Mr. Stefano Sala, and Ms. Cecilia Rodriguez, in the terms outlined above, are suitable to eliminate the possible profiles of unfairness of the commercial practice subject to investigation;</w:t>
      </w:r>
    </w:p>
    <w:p>
      <w:r>
        <w:t>IT IS DEEMED necessary to impose the aforementioned commitments on British American Tobacco Italia S.p.A., as well as on Mr. Stefano De Martino, Mr. Stefano Sala, and Ms. Cecilia Rodriguez;</w:t>
      </w:r>
    </w:p>
    <w:p>
      <w:r>
        <w:t>IT IS DEEMED, therefore, that the procedure can be closed without establishing the infringement;</w:t>
      </w:r>
    </w:p>
    <w:p>
      <w:r>
        <w:t>RESOLVES</w:t>
      </w:r>
    </w:p>
    <w:p>
      <w:r>
        <w:t>a) to make mandatory, against British American Tobacco Italia S.p.A., as well as against Mr. Stefano De Martino, Mr. Stefano Sala, and Ms. Cecilia Rodriguez, pursuant to Article 27, paragraph 7, of the Consumer Code and Article 9, paragraph 2, letter a), of the Regulation, the commitments proposed by the aforementioned professionals, as described in the forms attached to this provision;</w:t>
      </w:r>
    </w:p>
    <w:p>
      <w:r>
        <w:t>b) to close the procedure without establishing the infringement, pursuant to Article 27, paragraph 7, of the Consumer Code and Article 9, paragraph 2, letter a), of the Regulation;</w:t>
      </w:r>
    </w:p>
    <w:p>
      <w:r>
        <w:rPr>
          <w:b/>
        </w:rPr>
        <w:t>[Pages 85–87]</w:t>
      </w:r>
    </w:p>
    <w:p>
      <w:r>
        <w:t>BULLETIN NO. 41 OF OCTOBER 18, 2021 87</w:t>
      </w:r>
    </w:p>
    <w:p>
      <w:r>
        <w:t>c) that the companies British American Tobacco Italia S.p.A., as well as Mr. Stefano De Martino, Mr. Stefano Sala, and Ms. Cecilia Rodriguez, within ninety days from the date of notification of this resolution, inform the Authority of the implementation of the commitments.</w:t>
      </w:r>
    </w:p>
    <w:p>
      <w:r>
        <w:t xml:space="preserve">Pursuant to Article 9, paragraph 3, of the Regulation, the procedure may be reopened ex officio, where: </w:t>
        <w:br/>
        <w:t xml:space="preserve">a) the professionals do not implement the commitments; </w:t>
        <w:br/>
        <w:t xml:space="preserve">b) the factual situation changes concerning one or more elements on which the decision is based; </w:t>
        <w:br/>
        <w:t>c) the decision to accept commitments is based on information provided by the Parties that is incomplete, inaccurate, or misleading.</w:t>
      </w:r>
    </w:p>
    <w:p>
      <w:r>
        <w:t>Pursuant to Article 27, paragraph 12, of the Consumer Code, in the event of non-compliance with this resolution, the Authority applies an administrative pecuniary sanction from €10,000 to €5,000,000. In cases of repeated non-compliance, the Authority may order the suspension of business activities for a period not exceeding thirty days.</w:t>
      </w:r>
    </w:p>
    <w:p>
      <w:r>
        <w:t>This provision will be notified to the interested parties and published in the Bulletin of the Competition and Market Authority.</w:t>
      </w:r>
    </w:p>
    <w:p>
      <w:r>
        <w:t xml:space="preserve">THE SECRETARY GENERAL THE PRESIDENT </w:t>
        <w:br/>
        <w:t>Filippo Arena Roberto Rustichelli</w:t>
      </w:r>
    </w:p>
    <w:p>
      <w:r>
        <w:t>88 BULLETIN NO. 41 OF OCTOBER 18, 2021</w:t>
      </w:r>
    </w:p>
    <w:p>
      <w:r>
        <w:t xml:space="preserve">PS11856 - FACILE.IT-PERSONAL LOANS </w:t>
        <w:br/>
        <w:t xml:space="preserve">Provision No. 29838 </w:t>
        <w:br/>
        <w:t>THE COMPETITION AND MARKET AUTHORITY</w:t>
      </w:r>
    </w:p>
    <w:p>
      <w:r>
        <w:t xml:space="preserve">IN ITS MEETING of October 5, 2021; </w:t>
        <w:br/>
        <w:t xml:space="preserve">HEARD the Rapporteur Professor Michele Ainis; </w:t>
        <w:br/>
        <w:t xml:space="preserve">HAVING REGARD to Part 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its resolution of June 15, 2021, with which, pursuant to Article 7, paragraph 3 of the Regulation, the deadline for concluding the procedure was extended in consideration of the need to examine the findings in the records for the purpose of evaluating the cases subject to the procedure; </w:t>
        <w:br/>
        <w:t xml:space="preserve">HAVING REGARD to its resolution of July 27, 2021, with which, pursuant to Article 7, paragraph 3 of the Regulation, a further extension of the deadline for concluding the procedure was ordered in consideration of the need to examine the findings in the records for the purpose of evaluating the cases subject to the procedure; </w:t>
        <w:br/>
        <w:t>HAVING REGARD to the documents of the procedure;</w:t>
      </w:r>
    </w:p>
    <w:p>
      <w:r>
        <w:t xml:space="preserve">I. THE PARTIES </w:t>
        <w:br/>
        <w:t xml:space="preserve">1. Facile.it S.p.A. as a professional, pursuant to Article 18, paragraph 1, letter b), of the Consumer Code (hereinafter, also "Facile.it" and, together with Facile.it Broker di Assicurazioni S.p.A. and Facile.it Mediazione Creditizia S.p.A., "Facile"). Facile.it, through the comparison site www.facile.it, carries out comparison and quotation activities related to electricity and gas services, broadband, telephone tariffs, current and deposit accounts, pay TV. The company, during the financial year ending December 31, 2020, achieved a turnover of €36,310,062. </w:t>
        <w:br/>
        <w:t xml:space="preserve">2. Facile.it Broker di Assicurazioni S.p.A. (hereinafter, also "Facile.it Broker di Assicurazioni" and, together with Facile.it S.p.A. and Facile.it Mediazione Creditizia S.p.A., "Facile"), as a professional, pursuant to Article 18, paragraph 1, letter b) of the Consumer Code, is the holding company of the group, which fully controls both Facile.it S.p.A. and Facile.it Mediazione Creditizia S.p.A. The company, registered in the Single Register of Intermediaries kept by IVASS, carries out insurance brokerage activities managing the insurance section of the site www.facile.it. The company, during the financial year ending December 31, 2020, achieved a turnover of €77,562,000. </w:t>
        <w:br/>
        <w:t xml:space="preserve">3. Facile.it Mediazione Creditizia S.p.A. (hereinafter, also "Facile.it Mediazione Creditizia" and, together with Facile.it S.p.A. and Facile.it Broker di Assicurazioni S.p.A., "Facile"), as a professional, pursuant to Article 18, paragraph 1, letter b), of the Consumer Code, is a company registered in the register of Credit Intermediaries kept by the Agents and Brokers Organization, and manages the credit mediation service for mortgages and consumer credit. The company during the financial year ending December 31, 2020, achieved a turnover of €13,477,000. </w:t>
        <w:br/>
        <w:t>4. Konsumer Italia, the National Association of Professional Insurance Agents-ANAPA, as reporting associations, the National Union of Insurance Agents-SNA, the Association CODICI-Center for Citizen Rights, the Association "Consumerismo" No Profit APS, Prima Assicurazioni S.p.A. as interveners.</w:t>
      </w:r>
    </w:p>
    <w:p>
      <w:r>
        <w:t xml:space="preserve">II. THE CONDUCTS SUBJECT TO THE PROCEDURE </w:t>
        <w:br/>
        <w:t xml:space="preserve">5. On February 9, 2021, a procedure was initiated against Facile.it, Facile.it Broker di Assicurazioni, and Facile.it Mediazione Creditizia concerning the conduct related to activities connected to personal loans and insurance services, described below: </w:t>
        <w:br/>
        <w:t xml:space="preserve">- Conduct related to personal loans: a) the website facile.it would report untrue information or omit relevant information about the economic conditions of the advertised financing. In particular, if the proposed offer is of a standard type, Facile would not specify that what is proposed is a base offer that may vary at the time of signing the financing contract and would not indicate the possible reasons for such variation; b) although during the comparison process the optional nature of the insurance products linked to the loans is presented to the consumer, in the subsequent phase of verifying the feasibility of the selected offer, the policy would be persistently proposed in conjunction with the loan; </w:t>
        <w:br/>
        <w:t xml:space="preserve">- Conduct related to personal loans and RC Auto insurance policies: c) Facile would contact consumers who had not requested assistance through the call center, in order to induce them to make a purchase choice; </w:t>
        <w:br/>
        <w:t>- Conduct related to RC Auto insurance policies: d) regarding the RC Auto policies of Prima Assicurazioni S.p.A., the characteristics of such subject would not be indicated and, in particular, it would not be clarified to consumers that it is an agency for the brokerage of insurance products and not a company, and that it places some policies based on the system of indirect compensation.</w:t>
      </w:r>
    </w:p>
    <w:p>
      <w:r>
        <w:t xml:space="preserve">III. THE FINDINGS OF THE PROCEDURE </w:t>
        <w:br/>
        <w:t xml:space="preserve">1) The course of the procedure </w:t>
        <w:br/>
        <w:t xml:space="preserve">9. In relation to the conduct described above, on February 2, 2021, the investigative procedure PS11856 was initiated against the companies Facile.it S.p.A., Facile.it Broker di Assicurazioni S.p.A., and Facile.it Mediazione Creditizia S.p.A., for alleged violation of Articles 20, 21, 22, 24, and 25 of the Consumer Code. </w:t>
        <w:br/>
        <w:t>10. On February 9, 2021, inspections were carried out at the premises of Facile.it S.p.A., Facile.it Broker di Assicurazioni S.p.A., and Prima Assicurazioni S.p.A.</w:t>
      </w:r>
    </w:p>
    <w:p>
      <w:r>
        <w:rPr>
          <w:b/>
        </w:rPr>
        <w:t>[Pages 88–90]</w:t>
      </w:r>
    </w:p>
    <w:p>
      <w:r>
        <w:t>90 BULLETIN NO. 41 OF OCTOBER 18, 2021</w:t>
      </w:r>
    </w:p>
    <w:p>
      <w:r>
        <w:t>11. On February 9, 2021, the association Codici-Centro per i Diritti del Cittadino submitted a request to participate in the proceeding1, which was accepted on February 15, 20212.</w:t>
      </w:r>
    </w:p>
    <w:p>
      <w:r>
        <w:t>12. On February 23, 2021, the National Insurance Agents Union submitted a request to participate in the proceeding3, which was accepted on February 25, 20214.</w:t>
      </w:r>
    </w:p>
    <w:p>
      <w:r>
        <w:t>13. On March 3, 2021, the association Consumerismo submitted a request to participate in the proceeding5, which was accepted on March 4, 20216.</w:t>
      </w:r>
    </w:p>
    <w:p>
      <w:r>
        <w:t>14. On March 12, 2021, the company Prima Assicurazioni S.p.A. submitted a request to participate in the proceeding7, which was accepted on March 17, 20218.</w:t>
      </w:r>
    </w:p>
    <w:p>
      <w:r>
        <w:t>15. On February 15, 2021, a request for access to documents was received from Facile. Access took place electronically on February 19 and March 8, 20219. New requests for access to documents were resubmitted on April 6 and April 29, 202110. Access occurred on April 12, 2021, and May 3, 202111.</w:t>
      </w:r>
    </w:p>
    <w:p>
      <w:r>
        <w:t>16. On March 12, 202112, Facile provided a response to the request for information made at the start of the proceeding and presented its defense arguments.</w:t>
      </w:r>
    </w:p>
    <w:p>
      <w:r>
        <w:t>17. On March 29, 2021, pursuant to Article 27, paragraph 7 of the Consumer Code, Facile submitted commitments aimed at removing the profiles of unfairness of the contested conduct13 and requested a hearing, which took place on April 15, 202114. The commitments were subsequently supplemented on May 25, 202115. In the Authority's meeting on June 15, 2021, the submitted commitments were rejected16.</w:t>
      </w:r>
    </w:p>
    <w:p>
      <w:r>
        <w:t>19. On July 1, 2021, a communication regarding the conclusion of the investigative phase was sent to the parties17. On July 22, 2021, the final submissions from Facile were received18.</w:t>
      </w:r>
    </w:p>
    <w:p>
      <w:r>
        <w:t>1 Ref. Doc. n. 18.</w:t>
        <w:br/>
        <w:t>2 Ref. Doc. n. 24.</w:t>
        <w:br/>
        <w:t>3 Ref. Cf. Doc. n. 31.</w:t>
        <w:br/>
        <w:t>4 Ref. Cf. Doc. n. 32.</w:t>
        <w:br/>
        <w:t>5 Ref. Cf. Doc. n. 36.</w:t>
        <w:br/>
        <w:t>6 Ref. Cf. Doc. n. 38.</w:t>
        <w:br/>
        <w:t>7 Ref. Cf. Doc. n. 42.</w:t>
        <w:br/>
        <w:t>8 Ref. Cf. Doc. n. 47.</w:t>
        <w:br/>
        <w:t>9 Cf. Doc. n. 29 and 40.</w:t>
        <w:br/>
        <w:t>10 Cf. Doc. nn. 57 and 69.</w:t>
        <w:br/>
        <w:t>11 Cf. Doc. nn. 59 and 70.</w:t>
        <w:br/>
        <w:t>12 Cf. Doc. n. 42.</w:t>
        <w:br/>
        <w:t>13 Cf. Doc. n. 55.</w:t>
        <w:br/>
        <w:t>14 Cf. doc n. 64.</w:t>
        <w:br/>
        <w:t>15 Cf. Doc. n. 74.</w:t>
        <w:br/>
        <w:t>16 Cf. Doc. n. 76.</w:t>
        <w:br/>
        <w:t>17 Cf. Doc. nn. 87.</w:t>
        <w:br/>
        <w:t>18 Cf. Doc. n. 96.</w:t>
      </w:r>
    </w:p>
    <w:p>
      <w:r>
        <w:t>BULLETIN NO. 41 OF OCTOBER 18, 2021 91</w:t>
      </w:r>
    </w:p>
    <w:p>
      <w:r>
        <w:t>21. On August 25, 2021, requests for opinions were sent to IVASS pursuant to Article 27, paragraph 1-bis of the Consumer Code19 and to the Authority for Communications Guarantees, pursuant to Article 27, paragraph 6, of the Consumer Code20. On September 1, 2021, an opinion was requested from the Bank of Italy pursuant to Article 27, paragraph 1-bis of the Consumer Code21. The opinions were received on September 22, September 24, and September 21, 2021.</w:t>
      </w:r>
    </w:p>
    <w:p>
      <w:r>
        <w:t>2) The evidence acquired</w:t>
      </w:r>
    </w:p>
    <w:p>
      <w:r>
        <w:t>22. From the information and documentation acquired during the investigative activity, the following emerged.</w:t>
      </w:r>
    </w:p>
    <w:p>
      <w:r>
        <w:t>23. Conduct a): the user from the homepage of the site, by clicking on the "Loans" box, can choose from the various types of offers proposed (personal loans, salary-backed loans). In the case of personal loans, from the "Loan Comparison" box, they can access a first phase of quotation, in which they must fill out a form entering the necessary data for the preparation of the estimate. The user then, by clicking on "Loan Comparison," will access the results page where the offers are ordered according to the APR, provided by each credit institution, from lowest to highest. The user then receives an email summarizing the estimates that appeared on the web page. However, at no point in the quotation procedure is it indicated, with messages of immediate and necessary reading, that the results of the comparison are provisional and that the economic conditions of the individual offer may be revised by the financial institution once the loan request is made. Such a modification, in a negative sense for the consumer, occurred, for example, in 6% of the estimates for Younited loans provided in 2020.</w:t>
      </w:r>
    </w:p>
    <w:p>
      <w:r>
        <w:t>24. Conduct b): during the loan comparison procedure, the possibility of associating an insurance policy with the requested loan is offered in an opt-in mode on the results page. In fact, the default option is "No, I'm not interested." If the user opts for insurance by selecting the button "Yes, I want to protect myself from unforeseen events," the search results are updated to show (i) only the offers from those financial institutions that also offer the policy; (ii) a price that will take into account the additional insurance coverage requested. In the event that the user selects the button "No, I'm not interested," they will, however, be offered the opportunity to add insurance coverage to their financing at a later stage, through a pop-up that appears when viewing a specific offer. The pop-up includes the following wording: "Insurance not selected! Insure your loan and protect yourself in case of death, permanent disability, job loss/temporary total incapacity." It is followed by the two buttons "Add insurance" and "I don't want insurance," which do not have the same graphic prominence, as the option "Add insurance" is highlighted with a green background. Investigative findings revealed that the pop-up to join the insurance policy was also sent to those who had denied interest in the policy in the previous phase of the process. Data provided by the party shows that from 2018 to 2020, over 65,000 estimates were proposed with the pop-up and over 1,000 contracts were concluded after the consumer added the policy following the pop-up. These latter are therefore subjects who, at first, had chosen not to include the policy and who, after the solicitation received from the professional with the pop-up, added it.</w:t>
      </w:r>
    </w:p>
    <w:p>
      <w:r>
        <w:t>25. Conduct c): regarding financing, the Call Center provides assistance to users who request it both in the phase of support for entering the required data for the preparation of an estimate and in the subsequent phase of verifying the correctness of the data entered by users, for the purpose of confirming the estimate and verifying the feasibility of the loan, or reminds them of the existence of an estimate already previously prepared and saved in the user's position. The Call Center recontacts the user who has expressly requested it, for a maximum of [1-6]* times, until they respond. After that, the user will no longer be contacted unless upon new and/or different express request. Also regarding insurance, the Call Center activates following an express request from the consumer in two distinct ways: (i) "Call Me Back": when the consumer selects the buttons "We call you for free" or "Do you need help," and is contacted immediately. If the user does not respond, the Call Center tries to call them back for a maximum of [1-9] times, with a minimum time interval of [2-5 hours]; ii) "Saved Estimate": when the user clicks "Go" at the outcome of the comparison request, the estimate is saved and the Call Center contacts them close to the start date of the policy subject to the estimate (the first attempt is made 12 days before that date).</w:t>
      </w:r>
    </w:p>
    <w:p>
      <w:r>
        <w:t>However, it should be noted that the Call Center recontacts all users who have saved their estimate, as stated by the party, "the saving of the estimate represents indeed the final step of the comparison process and, through it, the user clearly and unequivocally expresses their interest in a specific offer"22. In this case, the Call Center activates to provide the user with assistance regarding the chosen offer or any other additional offers that may be of interest to the consumer. Investigative evidence revealed that in the three-year period 2018-2020, the number of users who explicitly and effectively requested assistance by clicking on the "Call me Back" option, and who were consequently recontacted, in the financial sector, was [500,000-1,000,000], equal to [10-30%] of the total estimates, while in the insurance sector, the number of users was [5,000,000-8,000,000], equal to [20-40%] of the total estimates. For [20-70%] of the estimates in the financial sector and [20-70%] of those in the insurance sector, however, there was an initiative from the Call Center not explicitly requested by the user23. In the three-year period 2018-2020, only [10-30%] of the subjects who saved the estimate for a loan also explicitly requested contact; the similar percentage for car insurance estimates is [10-20%]; consequently, for [70-90%] of the estimates saved in the financial sector and [80-90%] of those saved in the insurance sector, the Call Center intervened without the user's request, based on the fact that saving the estimate would equate to a manifestation of interest in the specific offer. The data confirms</w:t>
      </w:r>
    </w:p>
    <w:p>
      <w:r>
        <w:t xml:space="preserve">* In this version, some data are omitted, as elements of confidentiality or secrecy of the information were deemed to exist. </w:t>
        <w:br/>
        <w:t>22 Cf. Doc. n. 74.</w:t>
        <w:br/>
        <w:t>23 For [10-30%] of the estimates in the financial sector and [10-30%] of the estimates in the insurance sector, there was no activity from the Call Center.</w:t>
      </w:r>
    </w:p>
    <w:p>
      <w:r>
        <w:rPr>
          <w:b/>
        </w:rPr>
        <w:t>[Pages 91–93]</w:t>
      </w:r>
    </w:p>
    <w:p>
      <w:r>
        <w:t>BULLETIN NO. 41 OF OCTOBER 18, 2021 93</w:t>
      </w:r>
    </w:p>
    <w:p>
      <w:r>
        <w:t>therefore a pervasive intervention of the Call Center regarding users to reach the conclusion of a contract.</w:t>
      </w:r>
    </w:p>
    <w:p>
      <w:r>
        <w:t>26. Conduct d): Prima Assicurazioni is included on the Facile.it website in the category of insurance partners that includes both insurance companies and intermediaries, but the different operations of those belonging to the two categories are not clarified. This occurs: (i) on the homepage of the Site and in the section dedicated to insurance, (ii) on the Site page "Discover how the service works and how we calculate savings" and in the table on the same web page that illustrates in detail the reference brand, the fact that the partner has been contracted by Facile, the possibility or not of having access to direct compensation (Card/No Card) and the share of the insurance partner. Furthermore, the nature of the two compensation mechanisms – direct or indirect – their application prerequisites, and the types of compensable damage are included only on a page that opens from the "Info here" link, located in the title "Card Companies" contained in the aforementioned summary table of insurance companies and intermediaries and their market shares.</w:t>
      </w:r>
    </w:p>
    <w:p>
      <w:r>
        <w:t>3) The defensive arguments of Facile</w:t>
      </w:r>
    </w:p>
    <w:p>
      <w:r>
        <w:t>27. In a note received on July 22, 2021, regarding conduct a), the professional emphasized that he is a credit broker who does not play any role in determining the offer, limiting himself to connecting credit institutions with customers interested in subscribing to the offer. To this end, he collects the necessary data to make a quotation, compares the different offers of his partners, and provides his users with the assistance and advice necessary to identify the best offer for their needs. The conclusion of the contract always occurs directly with the chosen credit institution after feasibility verification. Facile would inform its users that the loan conditions could change in the "General loan terms of use," which the customer accepts before starting the comparison; on the summary page of the selected offer, which opens after the customer has saved the quote; in the email that the user receives after saving the quote. Additionally, in the two emails that the customer receives after calculating the quotes and saving one of the offers, there is a link to the Facile web page containing the pre-contractual documentation of the individual Financing where the information in question is indicated again. The worsening offer mostly depends on a change in the reference parameters on which the quote was calculated and only in a reduced percentage of cases, from a negative finding on the customer's reliability. In any case, Facile has included a more extensive description of how the loan comparison service works on the page "Online loans compare loans" and on the page "How it works-Loans," specifying in the latter that, under certain conditions, the quotes could undergo changes. It has also increased the links to the page "How it works-Loans" to make it even more accessible to users, and on the page where the comparison results are reported, it has included the following information: "Institutions may change the economic conditions of the loan. This generally happens in case of changes to the data entered during the preparation of the quote and during the evaluation of the financing (in case the lending institution collects, also through databases, additional information)."</w:t>
      </w:r>
    </w:p>
    <w:p>
      <w:r>
        <w:t>28. Regarding conduct b), Facile states that it offers the possibility of associating an insurance policy with the loan on an opt-in basis, and the insurance coverage is added only if the user expressly requests it by clicking on the option "Yes, I protect myself from unforeseen events" on the loan comparison results page. Only in [2-4%] of the quotes was this possibility proposed again to those who had initially denied interest in the policy through a pop-up, which appeared in any case only once following a new denial of interest. The pop-up was not suitable for inducing the user to purchase a policy unwillingly as it clarified that the proposed product was optional insurance, and the user could easily close the pop-up by clicking the "I do not want insurance" button. In confirmation of this, in over 80% of the cases where the pop-up appeared, the user refused to add insurance. Additionally, by clicking on the text "Add Insurance," the user did not conclude any contract but only viewed the recalculated quotes as inclusive of insurance covering the loan. Since May 2021, Facile has removed the contested pop-up.</w:t>
      </w:r>
    </w:p>
    <w:p>
      <w:r>
        <w:t>29. Regarding conduct c), Facile.it Insurance Broker, as an insurance broker, plays a consulting role for clients and, in this capacity, does not limit itself to mere product comparison activities but also carries out intermediation and assistance for its clients. In doing so, it uses both the website and the Call Center, with which it does not carry out any solicitation to purchase but provides customer assistance with the aim, for example, of understanding the abandonment of the navigation page, verifying the correctness of the data entered in the quote form, or exploring additional options with the sole aim of helping clients choose the offer that best meets their needs. Facile.it Insurance Broker operates based on an insurance intermediation mandate. This mandate is conferred before the start of the comparison process and subsequently transmitted via email to the client, both following the comparison of offers and after saving a quote. The activity of the Call Center aims, according to the party, to fulfill the mandate received from the client. The above also applies to the activity that the Call Center performs in relation to loans. Here too, Facile.it Credit Mediation operates based on a specific credit mediation mandate that is conferred by each user by placing a specific flag before the start of the quotation process and subsequently transmitted via email, both following the comparison of offers and the saving of the quote.</w:t>
      </w:r>
    </w:p>
    <w:p>
      <w:r>
        <w:t>30. Regarding conduct d), it has been highlighted that, for reasons of brevity related to the need to include all the main information on a single page, the category "insurance partners" is used, which refers to both insurance companies and intermediaries. However, on the section homepage, under the heading "Our partners," there is a section "Insurance companies and intermediaries" where, through the link "Facile.it insurance partners," one can access a page listing the companies with which the intermediary has business relationships, with the clarification that these are insurance companies or intermediaries. The section homepages also refer to the page "How it works," where until July 20, 2021, there was a table containing information on the compared brands, the companies issuing the policies, and the involvement of intermediary companies. Finally, on the card of each offer returned from the comparison, by clicking on the section marked with an exclamation point, a card opens that provides information regarding the company issuing the policy and the intermediary that has a partnership with Facile. Customers would be informed about the differences between direct and indirect compensation throughout the offer comparison process, both when filling out the quote form where the user can decide to include or exclude indirect compensation policies from the comparison, and within the box of each individual offer where the type of compensation provided is reported, with the related tooltip for explanation and support. In a box at the top of the results page, there is also a filter that allows excluding indirect compensation products from the page itself. If the customer saves a quote that includes indirect compensation, in the emails with the summary of the saved offer, it is reiterated that this is a solution that does not provide for direct compensation.</w:t>
      </w:r>
    </w:p>
    <w:p>
      <w:r>
        <w:t>In any case, a more extensive description of how the comparison service works has recently been added to the pages "RC Auto: compare more companies and save" and "Motor insurance: compare more companies and save"; the title of the page "How it works" has been changed to "How it works-Car and motorcycle insurance"; the table included on that page containing the list of insurance partners has been modified to distinguish which of them are companies and which are insurance intermediaries through a column describing the type of partner and the modification of the wording "C.A.R.D. Company (info here)" to "C.A.R.D. Company allows access to direct compensation (info here)"; the links to the page "How it works-Car and Motorcycle Insurance" have been increased to make it even more accessible to users who will thus be better informed about which partners allow access to direct compensation.</w:t>
      </w:r>
    </w:p>
    <w:p>
      <w:r>
        <w:t>IV. OPINION OF THE BANK OF ITALY</w:t>
      </w:r>
    </w:p>
    <w:p>
      <w:r>
        <w:t>31. Since some of the conducts subject to this proceeding concern the credit sector, on September 1, 2021, an opinion was requested from the Bank of Italy pursuant to and for the purposes of Article 27, paragraph 1-bis of the Consumer Code.</w:t>
      </w:r>
    </w:p>
    <w:p>
      <w:r>
        <w:t>32. In an opinion received on September 21, 2021, the Bank of Italy specified that "there are no reasons preventing the evaluations reserved for the Authority based on the powers provided by the Consumer Code, considering that the contested conducts refer to subjects not subject to the control powers of this Institute and do not assume relevance for the purposes of the current legal and regulatory provisions regarding the transparency of banking and financial operations and services and the correctness of relations between intermediaries and clients."</w:t>
      </w:r>
    </w:p>
    <w:p>
      <w:r>
        <w:t>V. OPINION OF THE INSURANCE SUPERVISION INSTITUTE</w:t>
      </w:r>
    </w:p>
    <w:p>
      <w:r>
        <w:t>33. Since some of the practices subject to this proceeding concern the insurance sector, on August 25, 2021, an opinion was requested from the Insurance Supervision Institute, pursuant to and for the purposes of Article 27, paragraph 1-bis of the Consumer Code.</w:t>
      </w:r>
    </w:p>
    <w:p>
      <w:r>
        <w:t>34. In an opinion received on September 22, 2021, IVASS considered that "regarding the insurance profiles under examination, there are no observations to be made, noting also that the Authority rejected the commitments presented by the operators because it deemed its interest in ascertaining any violation to be present, considering that the described conducts could constitute a manifestly unfair and serious commercial practice under Article 27, paragraph 7, of Legislative Decree No. 206/2005."</w:t>
      </w:r>
    </w:p>
    <w:p>
      <w:r>
        <w:rPr>
          <w:b/>
        </w:rPr>
        <w:t>[Pages 94–96]</w:t>
      </w:r>
    </w:p>
    <w:p>
      <w:r>
        <w:t>96 BULLETIN NO. 41 OF OCTOBER 18, 2021</w:t>
      </w:r>
    </w:p>
    <w:p>
      <w:r>
        <w:t>VI. OPINION OF THE AUTHORITY FOR GUARANTEES IN COMMUNICATIONS</w:t>
      </w:r>
    </w:p>
    <w:p>
      <w:r>
        <w:t>35. Since the commercial practices subject to this provision have been disseminated via the internet, on August 25, 2021, an opinion was requested from the Authority for Guarantees in Communications, pursuant to Article 27, paragraph 6, of the Consumer Code.</w:t>
      </w:r>
    </w:p>
    <w:p>
      <w:r>
        <w:t>36. In an opinion received on September 24, 2021, the aforementioned Authority, after stating that it would limit its evaluations to the ability of the specific means of communication to affect and amplify any misleading and/or unfairness of the commercial practices, specified that "the means of communication used is suitable for developing a significant impact on consumers who, based on the information received through the Professionals' website, may have been induced to make a commercial decision that they otherwise would not have made, thus concretely developing the full promotional potential of online communication."</w:t>
      </w:r>
    </w:p>
    <w:p>
      <w:r>
        <w:t>VII. CONCLUDING EVALUATIONS</w:t>
      </w:r>
    </w:p>
    <w:p>
      <w:r>
        <w:t>37. It should be noted preliminarily that the subject of the proceedings are behaviors carried out in the activity of estimating and comparing loans and car insurance policies on the website www.facile.it, as well as the activity carried out by the Call Center following comparisons related to these services, carried out by Facile.it Insurance Brokerage for insurance services, and by Facile.it Credit Mediation for financial services. Therefore, the practices described below must be attributed to Facile.it Insurance Brokerage for insurance services, and to Facile.it Credit Mediation for financial services.</w:t>
      </w:r>
    </w:p>
    <w:p>
      <w:r>
        <w:t>38. That said, the behaviors described in point II of this communication constitute two distinct violations of the Consumer Code.</w:t>
      </w:r>
    </w:p>
    <w:p>
      <w:r>
        <w:t>39. The first violation consists of a misleading practice, in violation of Articles 21 and 22 of the Consumer Code, concerning the behaviors a) and d) referred to in paragraph II of this provision. In particular, the Parties failed, in the pre-contractual phase, to provide consumers with relevant information to enable them to make an informed choice while viewing the Facile.it website.</w:t>
      </w:r>
    </w:p>
    <w:p>
      <w:r>
        <w:t>40. Specifically, regarding behavior a), carried out by Facile.it Credit Mediation, the investigation revealed the omission of immediate and necessary reading information aimed at clarifying that the results of the loan comparison are provisional, as each credit institution is responsible for any assessment related to creditworthiness once the loan application is made, with a possible worsening of the economic conditions proposed initially, at the hooking phase. This is fundamental information concerning the actual contractual conditions applied, which can influence the consumer's choice.</w:t>
      </w:r>
    </w:p>
    <w:p>
      <w:r>
        <w:t>41. In this regard, the alleged limited number of consumers who experienced a worsening of the proposed economic conditions cannot be considered a justifying factor; moreover, concerning the estimates of Younited loans, such cases cannot be deemed negligible, as they account for 6% of the estimates. The information provided in the "General Terms of Use for Loans," which the user is not necessarily required to read during the comparison request, nor the indication on the comparison results page that "amounts may be subject to rounding at the discretion of the Institution," or the clarification contained in the email sent to the user with the search results that any assessment and/or in-depth analysis related to creditworthiness is the responsibility of the competent bodies of the credit institution, is insufficient, as such warnings must be provided to the consumer clearly before starting the comparison. The service provided by the Facile.it website is precisely that of comparing various offers, and consequently, the omission regarding possible variations in the economic conditions of the offers is central, considering the type of activity that the consumer requests from Facile to choose a product or service.</w:t>
      </w:r>
    </w:p>
    <w:p>
      <w:r>
        <w:t>42. This informational omission regarding the economic conditions of the proposed loans can therefore mislead the consumer into making a commercial decision that they would not have otherwise made.</w:t>
      </w:r>
    </w:p>
    <w:p>
      <w:r>
        <w:t>43. Regarding the initiatives that Facile has undertaken during the proceedings to make the operation of the comparison service more transparent and to reduce the possibility that the estimates may undergo worsening changes, it is noted that the new information cannot be considered adequate to eliminate the conduct under investigation, as they are positioned in such a way that the consumer necessarily becomes aware of them before and during the estimation process.</w:t>
      </w:r>
    </w:p>
    <w:p>
      <w:r>
        <w:t>44. Regarding behavior sub d), carried out by Facile.it Insurance Brokerage, it concerns the lack of informational transparency regarding the characteristics of Prima Assicurazioni and the type of insurance service it offers. In fact, from the documentation on file, it appears that the professional does not adequately clarify that Prima is an insurance product brokerage company that offers policies with compensation made indirectly. The information regarding the companies that allow access to direct or indirect compensation is not immediately provided to the user, being given only in the table present on the page "How it works - Car and Motorcycle Insurance." Including in a single category companies and insurance intermediaries, and companies that offer policies with direct and indirect compensation, creates a confusing effect regarding the actual characteristics of the partner entities of Facile and the products they offer. The information in this regard, if present, is not provided in a manner that the consumer necessarily consults it— for example, starting an estimate from the homepage of the site—since the page of the insurance section, where such information would be included according to the Parties, is not consulted as it should be before proceeding with the comparison, thus allowing the consumer to make the choice most consistent with their expectations. These are indeed pieces of information that affect the type of insurance service provided and therefore can influence the evaluation by the consumer who must make the purchasing choice. Such informational deficiencies can indeed mislead the average consumer who, at the time of choosing the policy, might prefer a service of prompt and efficient management of the service, which direct compensation ensures to a greater extent.</w:t>
      </w:r>
    </w:p>
    <w:p>
      <w:r>
        <w:t>45. Facile, on its own initiative, modified the table on the page "How it works - Car and Motorcycle Insurance" containing the list and description of Facile's insurance partners, in order to distinguish companies from intermediaries, and increased the size of the links redirecting to the same page, but even these changes cannot be considered adequate to eliminate the contested conduct as they did not lead to the inclusion of the missing information in such a way that it is necessarily consulted by the consumer before the request for an estimate.</w:t>
      </w:r>
    </w:p>
    <w:p>
      <w:r>
        <w:t>46. Based on the above, behaviors a) and d) constitute a misleading commercial practice, in violation of Articles 21 and 22 of the Consumer Code.</w:t>
      </w:r>
    </w:p>
    <w:p>
      <w:r>
        <w:t>47. The second violation subject to the proceedings consists of an aggressive commercial practice, in violation of Articles 24 and 25 of the Consumer Code, concerning behaviors b) and c) described in paragraph II of this provision.</w:t>
      </w:r>
    </w:p>
    <w:p>
      <w:r>
        <w:t>48. Regarding behavior b), carried out by Facile.it Credit Mediation, it is noted that, although the insurance associated with personal loans is optional, it is persistently proposed to the consumer in such a way as to condition them and induce them to make a purchasing choice that they otherwise would not have made. In fact, even to individuals who initially expressed the desire not to add the insurance policy, it is persistently proposed, even against the choice already made by users, through a pop-up that automatically opens once a specific financing is selected, emphasizing the advantage of the insurance proposal ("protected") and the button for adherence is presented with heightened visibility compared to the refusal button. The effect of this conduct—as emerged during the investigation—has manifested in the fact that about a thousand consumers, initially not interested in the policy, proceeded to purchase it after the solicitation received from the professional. This conduct, through the repeated proposal of the insurance policy to those who were not interested, using methods that graphically highlighted the adherence choice over the contrary one, has thus proven capable of determining an undue conditioning of the consumer's freedom of choice regarding the purchase of the policy itself24.</w:t>
      </w:r>
    </w:p>
    <w:p>
      <w:r>
        <w:t>49. Regarding behavior c), carried out by both Facile.it Credit Mediation and Facile.it Insurance Brokerage, it should be noted that the Call Center, in the case of estimates saved by customers, carries out a true solicitation activity for choosing one of the proposed offers, as it also calls those who, despite having saved the estimate, did not expressly request to be contacted. In particular, the phone contact occurs with individuals who have saved the car insurance estimate but have not requested assistance, close to the expected start date for the policy. For both loans and policies, the call is made to consumers who may never have had a concrete interest, or if they initially had one, they may not be at all interested in proceeding with the purchase of the product for which they saved the estimate, not following up on the search originally conducted. As evidence of the pervasiveness of the Call Center calls, in the three-year period 2018-2020, only [10-30%] of individuals who saved a loan estimate also explicitly requested contact; the similar percentage for car insurance estimates is [10-20%]. Consequently, [70-90%] of those who saved a loan estimate, and [80-90%] of those who did so for a car insurance policy, were re-contacted without having requested it.</w:t>
      </w:r>
    </w:p>
    <w:p>
      <w:r>
        <w:t>50. The Call Center's unsolicited intervention cannot be justified in these cases, as claimed by Facile, on the assumption that saving an estimate constitutes an express manifestation of the user's interest in a specific offer and an implicit request by them to be re-contacted, as saving an estimate may, for example, as previously highlighted, not follow due to the consumer's loss of interest in an offer previously viewed but then decided to abandon.</w:t>
      </w:r>
    </w:p>
    <w:p>
      <w:r>
        <w:t>24 See provision no. 26834, PS10791, Bnl/Compound Interest, in bulletin 22/2017, confirmed by Tar Lazio, section I, ruling no. 4062/19.</w:t>
      </w:r>
    </w:p>
    <w:p>
      <w:r>
        <w:rPr>
          <w:b/>
        </w:rPr>
        <w:t>[Pages 97–99]</w:t>
      </w:r>
    </w:p>
    <w:p>
      <w:r>
        <w:t>BULLETIN NO. 41 OF OCTOBER 18, 2021 99</w:t>
      </w:r>
    </w:p>
    <w:p>
      <w:r>
        <w:t>51. The Parties have also highlighted that the service provided is not limited to mere product comparison, but extends to the provision of assistance and consultancy services in order to support their users in identifying the product that best meets their needs. This activity would be based on a mandate for insurance/credit intermediation, which the user would approve at the time of the comparison request, based on which the client entrusts Facile with the task of collecting and managing the information provided by them, selecting and possibly comparing, in the interest of the client, the best offers related to insurance/financial products, and providing objective information about the products. It is emphasized, in this regard, that even considering that Facile may assist the consumer in choosing the most suitable offer, this does not justify in any case its initiative towards those who have not expressly requested and, therefore, do not wish to be contacted by phone, considering themselves satisfied with what has been offered to them through the comparison on the site.</w:t>
      </w:r>
    </w:p>
    <w:p>
      <w:r>
        <w:t>52. The conduct in question is therefore capable of limiting the consumer's freedom of choice, inducing them to make a commercial decision that they would not otherwise have made, as it constitutes an unsolicited commercial solicitation regarding a saved quote, for which the consumer may not have had a specific interest at the time of the search and comparison on facile.it, and for which such interest may never materialize, or for which the interest may have diminished over time, constituting a form of undue pressure, capable of conditioning their commercial choices.</w:t>
      </w:r>
    </w:p>
    <w:p>
      <w:r>
        <w:t>53. Based on the above, conducts b) and c) constitute an aggressive practice, in violation of Articles 24 and 25 of the Consumer Code.</w:t>
      </w:r>
    </w:p>
    <w:p>
      <w:r>
        <w:t>VIII. QUANTIFICATION OF THE SANCTION</w:t>
      </w:r>
    </w:p>
    <w:p>
      <w:r>
        <w:t>54.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55. In the case of proceedings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209 of January 19, 2012).</w:t>
      </w:r>
    </w:p>
    <w:p>
      <w:r>
        <w:t>56.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57. With regard to the severity of the misleading practice, account is taken, in the case at hand, of the misleading aspects that characterized the conduct of the Parties, as Facile.it Mediazione Creditizia failed to provide clarifications regarding a possible deterioration of the financing offer and the possible reasons for such deterioration during the quote phase, and Facile.it Broker di Assicurazioni did not immediately provide the user with information regarding the characteristics of Prima Assicurazioni S.p.A. and the different types of compensation offered by insurance companies and intermediaries. Furthermore, account is taken of the economic size of the two professionals (as of December 31, 2020, the turnover of Facile.it Mediazione Creditizia was €13,477,000 with an EBITDA of 44.9% amounting to approximately €6 million, while at the same date, the turnover of Facile.it Broker di Assicurazioni was €77,562,000 with an EBITDA of 41.1% amounting to approximately €31 million) and the widespread nature of the conducts, carried out through the web, which allowed reaching a large audience of consumers. Finally, regarding conduct a) related to financing, the condition of weakness of consumers who consult the site facile.it in search of a loan is relevant, as they are in need of liquidity.</w:t>
      </w:r>
    </w:p>
    <w:p>
      <w:r>
        <w:t>58. Regarding the duration of the violation, from the available elements in the records, it appears that the commercial practice has been carried out since July 2020 and is still ongoing, as conduct a) has been carried out by Facile.it Mediazione Creditizia since July 202025 and continues to this day, while conduct d) has been carried out by Facile.it Broker di Assicurazioni since December 202026 and continues to this day.</w:t>
      </w:r>
    </w:p>
    <w:p>
      <w:r>
        <w:t>59. Based on these elements, it is deemed appropriate to determine the base amount of the administrative pecuniary sanction applicable to Facile.it Broker di Assicurazioni at €1,800,000 (one million eight hundred thousand euros) and to Facile.it Mediazione Creditizia at €400,000 (four hundred thousand euros).</w:t>
      </w:r>
    </w:p>
    <w:p>
      <w:r>
        <w:t>60. Considering that there is, in this case, a mitigating circumstance consisting of the fact that the professional has improved the information to consumers about the possible worsening of the financing conditions and about the nature of the insurance partners, it is deemed appropriate to determine the amount of the administrative pecuniary sanction applicable to Facile.it Broker di Assicurazioni at €1,700,000 (one million seven hundred thousand euros) and to Facile.it Mediazione Creditizia at €300,000 (three hundred thousand euros).</w:t>
      </w:r>
    </w:p>
    <w:p>
      <w:r>
        <w:t>61. Regarding the severity of the aggressive practice, account is taken of the nature of the conduct carried out by Facile.it Mediazione Creditizia consisting of persistently proposing to the consumer, who had already expressed their lack of interest, the insurance linked to the personal loan. The action carried out by Facile.it Broker di Assicurazioni and Facile.it Mediazione Creditizia through the Call Center, which contacts consumers to urge them to choose one of the proposed offers, and also recontacts those who have not expressly requested assistance, must also be considered. Furthermore, account is taken of the economic size of the two professionals (as of December 31, 2020, the turnover of Facile.it Mediazione Creditizia was €13,477,000 with an EBITDA of 44.9% amounting to approximately €6 million, while at the same date, the turnover of Facile.it Broker di Assicurazioni was €77,562,000 with an EBITDA of 41.1% amounting to approximately €31 million) and the widespread nature of conduct c), which involved millions of consumers who requested quotes, both for loans and for RC Auto policies. Finally, regarding both aggressive conducts related to financing, the condition of weakness of consumers who consult the site facile.it in search of a loan is relevant, as they are in need of liquidity.</w:t>
      </w:r>
    </w:p>
    <w:p>
      <w:r>
        <w:t>62. Regarding the duration of the violation, from the available elements in the records, it appears that the practice has been carried out since 2018 and is still ongoing, as conduct b) has been carried out by Facile.it Mediazione Creditizia since 2018 and ceased in May 202127, while conduct c) has been carried out by Facile.it Broker di Assicurazioni and Facile.it Mediazione Creditizia since 201828 and continues to this day.</w:t>
      </w:r>
    </w:p>
    <w:p>
      <w:r>
        <w:t>63. Based on these elements, it is deemed appropriate to determine the amount of the administrative pecuniary sanction applicable to Facile.it Broker di Assicurazioni at €4,250,000 (four million two hundred fifty thousand euros) and to Facile.it Mediazione Creditizia at €750,000 (seven hundred fifty thousand euros).</w:t>
      </w:r>
    </w:p>
    <w:p>
      <w:r>
        <w:t>CONSIDERING, therefore, in accordance with the opinions of the Bank of Italy, the Institute for the Supervision of Insurance, the Authority for Communications Guarantees, based on the considerations set forth above, that the commercial practice carried out with the conducts described in points a) and d) of paragraph II of this provision is unfair pursuant to Articles 21 and 22 of the Consumer Code as it is capable of appreciably distorting the economic behavior of the average consumer in relation to the possibility of a potential worsening of the economic conditions of a financing compared to the initial proposal, and the characteristics and operations of the various parties with whom to conclude the insurance contract;</w:t>
      </w:r>
    </w:p>
    <w:p>
      <w:r>
        <w:t>CONSIDERING, therefore, in accordance with the opinions of the Bank of Italy, the Institute for the Supervision of Insurance, the Authority for Communications Guarantees, based on the considerations set forth above, that the commercial practice carried out with the conducts described in points b) and c) of paragraph II of this provision is unfair pursuant to Articles 24 and 25 of the Consumer Code, as it is capable of causing undue conditioning of the consumer in the purchase of a financing/insurance product as a result of the activity carried out by the Call Center and the pop-up related to insurance contracts linked to a financing;</w:t>
      </w:r>
    </w:p>
    <w:p>
      <w:r>
        <w:t>RESOLVES</w:t>
      </w:r>
    </w:p>
    <w:p>
      <w:r>
        <w:t>a) that the commercial practice described in paragraph II at points a) and d) of this provision, carried out by Facile.it Broker di Assicurazioni S.p.A. (conduct d) and by Facile.it Mediazione Creditizia S.p.A. (conduct a) constitutes, for the reasons and within the limits set forth in the motivation, an unfair commercial practice pursuant to Articles 21 and 22 of the Consumer Code, and prohibits its dissemination or continuation;</w:t>
      </w:r>
    </w:p>
    <w:p>
      <w:r>
        <w:t>b) that the commercial practice described in paragraph II at points b) and c) of this provision, carried out by Facile.it Broker di Assicurazioni S.p.A. (conduct c) and Facile.it Mediazione Creditizia S.p.A. (conducts b) and c)) constitutes, for the reasons and within the limits set forth in the motivation, an unfair commercial practice pursuant to Articles 24 and 25 of the Consumer Code, and prohibits its dissemination or continuation;</w:t>
      </w:r>
    </w:p>
    <w:p>
      <w:r>
        <w:t>c) to impose on Facile.it Broker di Assicurazioni S.p.A. an administrative pecuniary sanction of €1,700,000 (one million seven hundred thousand euros) and on Facile.it Mediazione Creditizia S.p.A. an administrative pecuniary sanction of €300,000 (three hundred thousand euros), for the practice sub a);</w:t>
      </w:r>
    </w:p>
    <w:p>
      <w:r>
        <w:rPr>
          <w:b/>
        </w:rPr>
        <w:t>[Pages 100–102]</w:t>
      </w:r>
    </w:p>
    <w:p>
      <w:r>
        <w:t>102 BULLETIN NO. 41 OF OCTOBER 18, 2021</w:t>
      </w:r>
    </w:p>
    <w:p>
      <w:r>
        <w:t>d) to impose an administrative pecuniary sanction of €4,250,000 (four million two hundred fifty thousand euros) on Facile.it Broker di Assicurazioni S.p.A. and an administrative pecuniary sanction of €750,000 (seven hundred fifty thousand euros) on Facile.it Mediazione Creditizia S.p.A., for the practice referred to in sub b);</w:t>
      </w:r>
    </w:p>
    <w:p>
      <w:r>
        <w:t>e) that Facile.it Broker di Assicurazioni S.p.A. and Facile.it Mediazione Creditizia S.p.A. communicate to the Authority, within ninety days from the notification of this provision, the initiatives taken in compliance with the injunction referred to in points a) and b).</w:t>
      </w:r>
    </w:p>
    <w:p>
      <w:r>
        <w:t>The imposed administrative sanctions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online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sanctions is increased by one-tenth for each semester starting from the day after the payment deadline until the date on which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activities for a period not exceeding thirty days.</w:t>
      </w:r>
    </w:p>
    <w:p>
      <w:r>
        <w:t>BULLETIN NO. 41 OF OCTOBER 18, 2021</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SECRETARY GENERAL THE PRESIDENT</w:t>
      </w:r>
    </w:p>
    <w:p>
      <w:r>
        <w:t>Filippo Arena Roberto Rustichelli</w:t>
      </w:r>
    </w:p>
    <w:p>
      <w:r>
        <w:t>CONFLICT OF INTERESTS</w:t>
      </w:r>
    </w:p>
    <w:p>
      <w:r>
        <w:t>SI1155B - SALVATORE MARGIOTTA - UNDERSECRETARY OF STATE FOR INFRASTRUCTURE AND TRANSPORT – POST OFFICE OPINION</w:t>
      </w:r>
    </w:p>
    <w:p>
      <w:r>
        <w:t>Rome, July 28, 2021</w:t>
      </w:r>
    </w:p>
    <w:p>
      <w:r>
        <w:t>Subject: request for an opinion regarding the regime of post-office incompatibilities pursuant to Article 2, paragraph 4, of Law No. 215 of July 20, 2004, containing "Rules on the resolution of conflicts of interest," received on July 8, 2021.</w:t>
      </w:r>
    </w:p>
    <w:p>
      <w:r>
        <w:t>Esteemed Senator,</w:t>
      </w:r>
    </w:p>
    <w:p>
      <w:r>
        <w:t>on July 8, 2021, a note was received by the Authority in which Your Excellency requests an opinion regarding the compatibility between the position of Undersecretary of State for Infrastructure and Transport, held by you until February 13, 2021, and the assumption of the role of member of the Technical Advisory Board pursuant to Article 6, Decree Law of July 16, 2020, converted with amendments by Law No. 120 of September 11, 2020, in the context of the works for the realization of the projects related to the tender CUP G11E17000070005 – CIG 80750237C7, announced on October 23, 2019, by the Consortium for the Reclamation of Piacenza.</w:t>
      </w:r>
    </w:p>
    <w:p>
      <w:r>
        <w:t>In relation to this request, the Authority, in its meeting on July 27, 2021, resolved the following opinion.</w:t>
      </w:r>
    </w:p>
    <w:p>
      <w:r>
        <w:t>The position in question falls under the provisions of Article 2, paragraph 1, letter d) of Law No. 215 of July 20, 2004, which is in turn referenced by Article 2, paragraph 4, of the same law, according to which "the incompatibility provided for by the provisions of letters b), c), and d) of paragraph 1 lasts for twelve months from the end of the government position with respect to public law entities, including economic ones, as well as to profit-making companies that operate predominantly in sectors related to the position held."</w:t>
      </w:r>
    </w:p>
    <w:p>
      <w:r>
        <w:t>In this regard, the Authority has consistently held that the provision in question is essentially intended to exclude even the mere possibility that the exercise of the powers related to the government position may be influenced or distorted by the interest of the holder to pre-establish future benefits, for example in terms of positions following the termination of the government position.</w:t>
      </w:r>
    </w:p>
    <w:p>
      <w:r>
        <w:t>In this sense, the element of discontinuity introduced by the legislator in the relationships between former office holders and the entities or companies that operate predominantly in the sectors affected by the specific functions exercised during the government mandate is aimed at safeguarding the impartiality of public action, which represents the cornerstone principle of the regulation on conflicts of interest.</w:t>
      </w:r>
    </w:p>
    <w:p>
      <w:r>
        <w:t>The investigation into the elements of connection and prevalence, referred to in Article 2, paragraph 4, second sentence, of Law No. 215 of July 20, 2004, is aimed at verifying what the predominant sectors of activity of the companies or entities in favor of which or at which the activities must be carried out are.</w:t>
      </w:r>
    </w:p>
    <w:p>
      <w:r>
        <w:rPr>
          <w:b/>
        </w:rPr>
        <w:t>[Pages 103–105]</w:t>
      </w:r>
    </w:p>
    <w:p>
      <w:r>
        <w:t>BULLETIN NO. 41 OF OCTOBER 18, 2021 105</w:t>
      </w:r>
    </w:p>
    <w:p>
      <w:r>
        <w:t>the assignment, investigating whether there are, for such activities, profiles of connection with the functions and institutional competencies of the office holder. The assessment focuses on the abstract analysis of the attributions of the governmental office, verifying its suitability to involve those same sectors in which the companies or entities operate predominantly, also checking whether there may exist, in fact, a link between the attributions of the office holder and the entities or companies concerned (for example, through the power to appoint executives or as a result of previous contractual relationships of the companies or entities with the relevant ministry).</w:t>
      </w:r>
    </w:p>
    <w:p>
      <w:r>
        <w:t>In the numerous precedents conducted by the Authority regarding post-office prohibitions, the requirements of connection and prevalence have been extensively examined. With reference to connection, it has been deemed that the analysis cannot be limited to the mere coincidence of subjects but must also consider the possible exercise of public powers and functions exercised over the companies or in the sectors in which they operate, as well as the legal and economic relationships between the parties. Regarding prevalence, the analysis must instead be carried out considering the weight of the connected activities in relation to the overall activities of the company or the entity concerned.</w:t>
      </w:r>
    </w:p>
    <w:p>
      <w:r>
        <w:t>In this specific case, taking into account the attributions delegated to you as Undersecretary of State by the Decree of August 5, 2020, of the Minister of Infrastructure and Transport, the application of the above-mentioned criteria leads to the conclusion that there are no impediments to the assumption of the aforementioned assignment.</w:t>
      </w:r>
    </w:p>
    <w:p>
      <w:r>
        <w:t>The assignment as a member of the Technical Advisory Board in question, in fact, pertains to the execution of works under the competence of the Piacenza Land Reclamation Consortium which, as such, falls outside the scope of the competencies of the Ministry at which you held the office of Undersecretary of State. It is particularly worth noting in this regard that matters related to land reclamation fall within the competencies transferred to the regions and that the Ministry of Infrastructure and Transport (now the Ministry of Infrastructure and Sustainable Mobility) has no supervisory powers or any other kind over the Land Reclamation Consortia.</w:t>
      </w:r>
    </w:p>
    <w:p>
      <w:r>
        <w:t>It is also noted that by virtue of the delegations conferred upon you by the aforementioned ministerial decree (essentially concerning matters of large dams and works of national strategic importance), it emerges that you have not been called to address issues concerning the sectors in which the awarded companies predominantly operate. Likewise, it does not appear that, by virtue of your governmental office, you have been attributed authoritative, administrative, or regulatory powers in such sectors.</w:t>
      </w:r>
    </w:p>
    <w:p>
      <w:r>
        <w:t>In consideration of the above, it is believed that the assumption, within twelve months following the termination of the governmental office, of the assignment referred to in the request for opinion in question, is not suitable to constitute a violation of the provisions of Article 2, paragraph 4, Law No. 215/2004.</w:t>
      </w:r>
    </w:p>
    <w:p>
      <w:r>
        <w:t>It is hereby noted that this opinion, pursuant to Article 23, second paragraph of the Regulation on conflicts of interest, is subject to publication in the Authority's bulletin, except for "any confidentiality needs duly represented."</w:t>
      </w:r>
    </w:p>
    <w:p>
      <w:r>
        <w:t>106 BULLETIN NO. 41 OF OCTOBER 18, 2021</w:t>
      </w:r>
    </w:p>
    <w:p>
      <w:r>
        <w:t>Therefore, you are requested to communicate to this Authority, within 15 days of receipt of the opinion, the existence of any confidentiality needs, providing specific reasons for them.</w:t>
      </w:r>
    </w:p>
    <w:p>
      <w:r>
        <w:t>Best regards.</w:t>
      </w:r>
    </w:p>
    <w:p>
      <w:r>
        <w:t xml:space="preserve">THE SECRETARY GENERAL </w:t>
        <w:br/>
        <w:t>Filippo Arena</w:t>
      </w:r>
    </w:p>
    <w:p>
      <w:r>
        <w:t xml:space="preserve">Antitrust Authority Weekly Bulletin </w:t>
        <w:br/>
        <w:t xml:space="preserve">of Competition and Market Year XXXI - No. 41 - 2021 </w:t>
        <w:br/>
        <w:t xml:space="preserve">Editorial Coordination Giulia Antenucci </w:t>
        <w:br/>
        <w:t xml:space="preserve">Editorial Staff Valerio Ruocco, Simonetta Schettini, 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