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https://www.agcm.it/dotcmsdoc/bollettini/2023/41-23.pdf</w:t>
      </w:r>
    </w:p>
    <w:p>
      <w:r>
        <w:t>Pages translated : 39</w:t>
      </w:r>
    </w:p>
    <w:p/>
    <w:p>
      <w:r>
        <w:rPr>
          <w:b/>
        </w:rPr>
        <w:t>[Pages 1–3]</w:t>
      </w:r>
    </w:p>
    <w:p>
      <w:r>
        <w:t>Bulletin</w:t>
        <w:br/>
        <w:t>Weekly</w:t>
        <w:br/>
        <w:t>Year XXXIII - No. 41</w:t>
        <w:br/>
        <w:t>Published on the website www.agcm.it</w:t>
        <w:br/>
        <w:t>30 October 2023</w:t>
      </w:r>
    </w:p>
    <w:p>
      <w:r>
        <w:t>SUMMARY</w:t>
        <w:br/>
        <w:t>CONCENTRATION OPERATIONS 5</w:t>
        <w:br/>
        <w:t>C3818 - EDIZIONE HOLDING/AUTOSTRADE-CONCESSIONS AND HIGHWAY CONSTRUCTION</w:t>
        <w:br/>
        <w:t>Decision No. 30811 5</w:t>
        <w:br/>
        <w:t>C12567 - ITALGAS/SICILIACQUE-ACQUALATINA</w:t>
        <w:br/>
        <w:t>Decision No. 30812 7</w:t>
        <w:br/>
        <w:t>C12569 - ITALIAN INVESTMENT FUND SGR-ITALIAN NAVAL REGISTER/RINA</w:t>
        <w:br/>
        <w:t>Decision No. 30813 12</w:t>
        <w:br/>
        <w:t>ACTIVITIES OF REPORTING AND CONSULTATION 16</w:t>
        <w:br/>
        <w:t>AS1920 - MUNICIPALITY OF RIETI - ASSIGNMENT OF VARIOUS LOCAL PUBLIC SERVICES TO THE IN-HOUSE COMPANY A.S.M. RIETI 16</w:t>
        <w:br/>
        <w:t>UNFAIR COMMERCIAL PRACTICES 25</w:t>
        <w:br/>
        <w:t>PS12198 - VIASAT-RETURN OF DEVICES</w:t>
        <w:br/>
        <w:t>Decision No. 30814 25</w:t>
        <w:br/>
        <w:t>PS12540 - WIND-DUPLICATE SMS ON OFFER MODIFICATION</w:t>
        <w:br/>
        <w:t>Decision No. 30815 35</w:t>
      </w:r>
    </w:p>
    <w:p>
      <w:r>
        <w:t>BULLETIN NO. 41 OF 30 OCTOBER 2023 5</w:t>
        <w:br/>
        <w:t>CONCENTRATION OPERATIONS</w:t>
        <w:br/>
        <w:t>C3818 - EDIZIONE HOLDING/AUTOSTRADE-CONCESSIONS AND HIGHWAY CONSTRUCTION</w:t>
        <w:br/>
        <w:t>Decision No. 30811</w:t>
        <w:br/>
        <w:t>THE ANTITRUST AUTHORITY</w:t>
        <w:br/>
        <w:t>IN ITS MEETING of 10 October 2023;</w:t>
        <w:br/>
        <w:t>HEARD the Rapporteur Saverio Valentino;</w:t>
        <w:br/>
        <w:t>HAVING REGARD TO Law No. 287 of 10 October 1990;</w:t>
        <w:br/>
        <w:t>HAVING REGARD TO Presidential Decree No. 217 of 30 April 1998;</w:t>
        <w:br/>
        <w:t>HAVING REGARD TO its resolution No. 8090 of 2 March 2000, which authorized the concentration operation between Edizione Holding S.p.A. (“Edizione”) and Autostrade Concessioni e Costruzioni Autostrade S.p.A. (“Autostrade”), prescribing specific measures, pursuant to Article 6, paragraph 2, of Law No. 287/1990;</w:t>
        <w:br/>
        <w:t>HAVING REGARD TO the request for revocation of measure sub b) of the decision of resolution No. 8090 of 2 March 2000, received from Autostrade per l’Italia S.p.A. on 13 September 2023, due to the loss of the factual prerequisites of the measure itself, as Edizione's control over Autostrade has ceased, following the European Commission's decision of 12 November 2021, case M.10382 - CDPE/MACQUARIE/BLACKSTONE/ASPI, as well as over Autogrill S.p.A. (“Autogrill”), following the European Commission's decision of 20 December 2022, case M.10880 - DUFRY/AUTOGRILL;</w:t>
        <w:br/>
        <w:t>HAVING REGARD TO the documents of the proceeding;</w:t>
        <w:br/>
        <w:t>CONSIDERING that measure sub b), subject of the revocation request, prescribes that “Autostrade and the companies it controls shall entrust one or more third parties, independent and highly qualified, with the management of the procedures referred to in the previous point a) [i.e., the tenders concerning the provision of highway catering services], including the definition of participation requirements and award parameters, as well as the adequate publicity of all relevant information, which must include data regarding traffic flows, revenue targets, and any other information concerning the area on which the service subject to concession is located.” As noted in paragraphs 60 and 67 of resolution No. 8090/2000, the aforementioned measure is motivated by the fact that the concentration would create a competitive advantage for Autogrill (at the time of the resolution, controlled by Edizione), consisting of benefiting from informational privileges and tenders structured in a manner favorable to it, during the assignment phase of new concessions or the renewal of existing ones that will gradually expire, thus strengthening Autogrill's dominant position in the market for highway catering services. More specifically:</w:t>
        <w:br/>
        <w:t>(i) Autostrade, at the directive of Edizione, would have the ability to define selection methods for participants in the tenders (minimum revenue size, consolidated experience in the sector, etc.) and to</w:t>
      </w:r>
    </w:p>
    <w:p>
      <w:r>
        <w:rPr>
          <w:b/>
        </w:rPr>
        <w:t>[Pages 4–6]</w:t>
      </w:r>
    </w:p>
    <w:p>
      <w:r>
        <w:t>BULLETIN NO. 41 OF 30 OCTOBER 2023</w:t>
      </w:r>
    </w:p>
    <w:p>
      <w:r>
        <w:t>6. organization of the same (by lots, by individual areas, by groups of services, etc.), as well as to identify award parameters for the sub-concessions, in such a way as to favor Autogrill;</w:t>
      </w:r>
    </w:p>
    <w:p>
      <w:r>
        <w:t>(ii) Autogrill could benefit from informational privileges (timing and methods of organizing the tenders, development programs for the motorway network, location of the most profitable service areas, development prospects for individual areas, opening of new toll booths, etc.) that inevitably arise between companies belonging to the same control center;</w:t>
      </w:r>
    </w:p>
    <w:p>
      <w:r>
        <w:t>CONSIDERING that the cessation of Edizione's control over both Autostrade and Autogrill as a result of the subsequent decisions of the European Commission – respectively, the decision of 12 November 2021, case M.10382 - CDPE/MACQUARIE/BLACKSTONE/ASPI and the decision of 20 December 2022, case M.10880 - DUFRY/AUTOGRILL – determining the loss of the factual prerequisites of the described measure sub b), renders its maintenance in force unfounded;</w:t>
      </w:r>
    </w:p>
    <w:p>
      <w:r>
        <w:t>CONSIDERING, therefore, that the conditions for the revocation of measure sub b) of the resolution no. 8090 of 2 March 2000 exist;</w:t>
      </w:r>
    </w:p>
    <w:p>
      <w:r>
        <w:t>CONSIDERING, finally, that all other measures established by the Authority with resolution no. 8090 of 2 March 2000 remain valid;</w:t>
      </w:r>
    </w:p>
    <w:p>
      <w:r>
        <w:t>All of the above having been stated and considered:</w:t>
      </w:r>
    </w:p>
    <w:p>
      <w:r>
        <w:t>RESOLVES</w:t>
      </w:r>
    </w:p>
    <w:p>
      <w:r>
        <w:t>a) to accept the request for revocation submitted by the company Autostrade per l’Italia S.p.A. on 13 September 2023;</w:t>
      </w:r>
    </w:p>
    <w:p>
      <w:r>
        <w:t>b) to revoke measure sub b) of the resolution no. 8090 of 2 March 2000;</w:t>
      </w:r>
    </w:p>
    <w:p>
      <w:r>
        <w:t>This provision will be notified to the interested parties and published in the Bulletin of the Italian Competition Authority.</w:t>
      </w:r>
    </w:p>
    <w:p>
      <w:r>
        <w:t>Against this provision, an appeal may be submitted to the TAR of Lazio, pursuant to Article 135, paragraph 1, letter b), of the Code of Administrative Procedure (Legislative Decree 2 July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24 November 1971, no. 1199, within the term of one hundred and twenty days from the date of notification of the provision itself.</w:t>
      </w:r>
    </w:p>
    <w:p>
      <w:r>
        <w:t>THE SECRETARY GENERAL THE PRESIDENT</w:t>
      </w:r>
    </w:p>
    <w:p>
      <w:r>
        <w:t>Guido Stazi Roberto Rustichelli</w:t>
      </w:r>
    </w:p>
    <w:p>
      <w:r>
        <w:t>BULLETIN NO. 41 OF 30 OCTOBER 2023</w:t>
      </w:r>
    </w:p>
    <w:p>
      <w:r>
        <w:t>C12567 - ITALGAS/SICILIACQUE-ACQUALATINA</w:t>
      </w:r>
    </w:p>
    <w:p>
      <w:r>
        <w:t>Provision no. 30812</w:t>
      </w:r>
    </w:p>
    <w:p>
      <w:r>
        <w:t>THE ITALIAN COMPETITION AUTHORITY</w:t>
      </w:r>
    </w:p>
    <w:p>
      <w:r>
        <w:t>IN ITS MEETING of 10 October 2023;</w:t>
      </w:r>
    </w:p>
    <w:p>
      <w:r>
        <w:t>HEARD the Rapporteur, Professor Elisabetta Iossa;</w:t>
      </w:r>
    </w:p>
    <w:p>
      <w:r>
        <w:t>HAVING REGARD TO Regulation (EC) No. 139/2004;</w:t>
      </w:r>
    </w:p>
    <w:p>
      <w:r>
        <w:t>HAVING REGARD TO Law 10 October 1990, no. 287;</w:t>
      </w:r>
    </w:p>
    <w:p>
      <w:r>
        <w:t>HAVING REGARD TO the D.P.R. 30 April 1998, no. 217;</w:t>
      </w:r>
    </w:p>
    <w:p>
      <w:r>
        <w:t>HAVING REGARD TO the communication from Italgas S.p.A., received on 14 September 2023;</w:t>
      </w:r>
    </w:p>
    <w:p>
      <w:r>
        <w:t>HAVING REGARD TO the documentation on file;</w:t>
      </w:r>
    </w:p>
    <w:p>
      <w:r>
        <w:t>CONSIDERING the following:</w:t>
      </w:r>
    </w:p>
    <w:p>
      <w:r>
        <w:t>I. THE PARTIES</w:t>
      </w:r>
    </w:p>
    <w:p>
      <w:r>
        <w:t>1. Italgas S.p.A. (hereinafter, “Italgas” or “Buyer”), is the company at the head of a group active, primarily, in the gas distribution sector.</w:t>
      </w:r>
    </w:p>
    <w:p>
      <w:r>
        <w:t>Italgas is a company listed on the Italian electronic stock market and is jointly controlled by Cassa Depositi e Prestiti S.p.A. (“CDP”) and Snam S.p.A. The group is also active in the water sector, as the operator of the integrated water service (“SII”) in five municipalities in Campania (Caserta, Baia e Latina, Casaluce, Galluccio, and Roccaromana), through the company Italgas Acqua.</w:t>
      </w:r>
    </w:p>
    <w:p>
      <w:r>
        <w:t>During 2022, the CDP group, of which Italgas is a part, achieved a worldwide turnover of approximately [30-40]* billion euros, of which approximately [20-30] billion euros in Italy.</w:t>
      </w:r>
    </w:p>
    <w:p>
      <w:r>
        <w:t>2. Siciliacque S.p.A. (“Siciliacque”) is a mixed concession company, within the territory of the Region of Sicily, for the service of capturing, accumulating, purifying, and supplying water according to the methods of managing the water service on a supra-local scale.</w:t>
      </w:r>
    </w:p>
    <w:p>
      <w:r>
        <w:t>Siciliacque is owned 25% by the Region of Sicily and 75% by Idrosicilia S.p.A. (“Idrosicilia”). Idrosicilia is indirectly controlled by the French group Veolia (“Veolia Group”) through the company SIRAM, which holds a 100% stake in Acqua S.r.l. (“Acqua”), which in turn holds 98.5% of the share capital of Idrosicilia.</w:t>
      </w:r>
    </w:p>
    <w:p>
      <w:r>
        <w:t>1 In particular, this activity is carried out through the companies Italgas Reti, Medea, Metano S. Angelo Lodigiano, Toscana Energia, Umbria Distribuzione Gas.</w:t>
      </w:r>
    </w:p>
    <w:p>
      <w:r>
        <w:t>* In this version, some data are omitted, as elements of confidentiality or secrecy of the information were deemed to exist.</w:t>
      </w:r>
    </w:p>
    <w:p>
      <w:r>
        <w:t>2 Essentially, Siciliacque is therefore active “wholesale” as it channels the captured and purified water into large reservoirs (one or more for each municipality) through the supply network. The management of the service within the individual municipalities is instead handled by the management company assigned to each area.</w:t>
      </w:r>
    </w:p>
    <w:p>
      <w:r>
        <w:t>In addition to the supply and delivery service to municipal reservoirs, Siciliacque provides drinking water for more than 2000 commercial, industrial, domestic, and service users located along the aqueduct routes.</w:t>
      </w:r>
    </w:p>
    <w:p>
      <w:r>
        <w:t>3 Idrosicilia is also owned by two other companies of the Veolia group, Veolia EAU Compagnie Generale des Eaux S.c.A. (“Veolia Eau”) and Veolia Water Technologies Italia S.p.A. (“VWT”), both with a stake of 0.1% each.</w:t>
      </w:r>
    </w:p>
    <w:p>
      <w:r>
        <w:t>During 2022, Siciliacque achieved – entirely in Italy – a turnover of approximately 51 million euros.</w:t>
      </w:r>
    </w:p>
    <w:p>
      <w:r>
        <w:t>3. Acqualatina S.p.A. (“Acqualatina”), a mixed company with predominant public capital, is the operator of the SII in the Optimal Territorial Area (“ATO”) no. 4 – Southern Lazio.</w:t>
      </w:r>
    </w:p>
    <w:p>
      <w:r>
        <w:t>Acqualatina is owned 51% by the municipalities of ATO 4 – Southern Lazio, in proportion to the resident population. The remaining 49% is held by Idrolatina S.r.l. (“Idrolatina”), which is in turn 99.8% owned by Veolia Eau.</w:t>
      </w:r>
    </w:p>
    <w:p>
      <w:r>
        <w:t>During 2022, Acqualatina achieved – entirely in Italy – a turnover of approximately 132 million euros.</w:t>
      </w:r>
    </w:p>
    <w:p>
      <w:r>
        <w:t>II. DESCRIPTION OF THE TRANSACTION</w:t>
      </w:r>
    </w:p>
    <w:p>
      <w:r>
        <w:t>4. On 27 July 2023, Italgas on one side and SIRAM, VWT, Veolia Eau, and Acqua on the other, entered into a Business Transfer Agreement (the “Agreement”), whereby, in a first phase, the shares held by the Veolia Group through Veolia Eau and VWT in Idrosicilia and Idrolatina will be transferred to Acqua, which will thus hold 98.7% of Idrosicilia and 100% of Idrolatina. Subsequently, SIRAM will transfer to Italgas the entire business branch of water concessions in Italy, consisting of the entirety of the Veolia Group's holdings and, in particular, its 100% stake in Acqua (“Transaction”).</w:t>
      </w:r>
    </w:p>
    <w:p>
      <w:r>
        <w:t>5. As a result of the Transaction, Italgas will take over the position of joint control of Siciliacque and Acqualatina, a position previously attributable to the Veolia Group. In particular, Italgas will acquire indirect joint control of Siciliacque, for a share of approximately 74.02%, and of Acqualatina, for a share of 49%.</w:t>
      </w:r>
    </w:p>
    <w:p>
      <w:r>
        <w:t>6. With regard to Siciliacque, the public partner that will exercise joint control together with Italgas is the Region of Sicily, which will continue to hold a 25% stake in the share capital of the company. In particular, the Board of Directors of Siciliacque is composed of five members, two of whom are appointed by the Region of Sicily and three by Idrosicilia. By virtue of certain statutory provisions, the Board of Directors resolves with a two-thirds majority of its members on certain matters (including the approval of each business plan, budget, and operational program, as well as related amendments; the appointment and revocation of the Chief Executive Officer and the definition, modification, or revocation of his powers; the determination of strategic guidelines related to business management). Siciliacque is therefore subject to the joint control of Idrosicilia and the Region of Sicily.</w:t>
      </w:r>
    </w:p>
    <w:p>
      <w:r>
        <w:t>4 In ATO 4 – Southern Lazio, there are 38 municipalities: 32 municipalities belong to the Province of Latina (all municipalities except Campodimele); 2 municipalities belong to the Province of Rome (municipalities of Anzio and Nettuno); 4 municipalities belong to the Province of Frosinone (municipalities of Amaseno, Vallecorsa, Villa S. Stefano, and Giuliano di Roma).</w:t>
      </w:r>
    </w:p>
    <w:p>
      <w:r>
        <w:t>5 Acqua, Idrosicilia, and Idrolatina are financial holding companies that did not generate turnover in 2022.</w:t>
      </w:r>
    </w:p>
    <w:p>
      <w:r>
        <w:t>6 For the remaining part, Idrolatina is owned by Acqua and by VWT, each with a stake of 0.1%.</w:t>
      </w:r>
    </w:p>
    <w:p>
      <w:r>
        <w:t>7 The business branch subject to the transaction also includes the transfer to Italgas – through SIRAM – of the 47.9% stake in Acqua Campania S.p.A., a stake currently held by the Veolia Group through VWT. However, this acquisition does not result in a change of control of Acqua Campania (whose governance structure is attributable to so-called shifting majorities) and, therefore, does not constitute a concentration.</w:t>
      </w:r>
    </w:p>
    <w:p>
      <w:r>
        <w:t>8 See Siciliacque Statute, Article 20.</w:t>
      </w:r>
    </w:p>
    <w:p>
      <w:r>
        <w:rPr>
          <w:b/>
        </w:rPr>
        <w:t>[Pages 7–9]</w:t>
      </w:r>
    </w:p>
    <w:p>
      <w:r>
        <w:t>BULLETIN NO. 41 OF OCTOBER 30, 2023 9</w:t>
      </w:r>
    </w:p>
    <w:p>
      <w:r>
        <w:t>7. In the case of Acqualatina, the public partner that will exercise joint control together with Italgas is the municipalities of Southern Lazio belonging to ATO 4, which will continue to hold 51% of the share capital. In particular, in this case, the Board of Directors of Acqualatina is composed of five members, of which three are elected from the list presented by the public shareholders (among whom the President is elected) and two are appointed by Idrolatina (among whom the Vice President is chosen)9. The Chief Executive Officer, to whom the broadest powers for the ordinary and extraordinary management of the company may be conferred, is a representative of the private partner10. For the validity of the resolutions, the presence of the majority of the serving directors is required and, in any case, at least one director elected from the private partner's list. By virtue of these statutory provisions, Acqualatina is therefore subject to the joint control of the municipalities of ATO 4 – Southern Lazio and Idrolatina11.</w:t>
      </w:r>
    </w:p>
    <w:p>
      <w:r>
        <w:t>III. QUALIFICATION OF THE TRANSACTION</w:t>
      </w:r>
    </w:p>
    <w:p>
      <w:r>
        <w:t>8. The communicated transaction, as it involves the acquisition of joint control of one or more companies, constitutes a concentration pursuant to Article 5, paragraph 1, letter b), of Law No. 287/1990. It falls within the scope of application of Law No. 287/1990, as the conditions set out in Article 1 of Regulation (EC) No. 139/2004 do not apply, and is subject to the obligation of prior notification provided for by Article 16, paragraph 1, of the same law, as the total turnover achieved in the last financial year at the national level by the group of companies involved was over 532 million euros and the total turnover achieved, in the last financial year at the national level, individually by at least two of the companies involved was over 32 million euros12.</w:t>
      </w:r>
    </w:p>
    <w:p>
      <w:r>
        <w:t>IV. EVALUATION OF THE CONCENTRATION</w:t>
      </w:r>
    </w:p>
    <w:p>
      <w:r>
        <w:t>Product and geographical markets</w:t>
      </w:r>
    </w:p>
    <w:p>
      <w:r>
        <w:t>9. The transaction in question involves the market for the management of the Integrated Water Service (SII), which includes activities such as water capture, conveyance, purification, and distribution (so-called aqueduct services), the collection of wastewater (so-called sewer service), and their treatment (so-called treatment service). The management of the SII is entrusted to a single operator through public tender procedures or in-house by the Area Government Entities (“EGA”) with reference to the individual ATOs identified by the regions pursuant to Article 147 of Legislative Decree No. 152/2006 (consolidated text on environmental matters or “TUA”)13. This market thus represents a natural monopoly and has a local geographical dimension, coinciding with the extent of the ATO for which the service has been entrusted.</w:t>
      </w:r>
    </w:p>
    <w:p>
      <w:r>
        <w:t>10. The transaction could also involve the broader market for tenders for the management of the SII14, which could have a national dimension, given the possibility for all operators to participate in tenders throughout the national territory. However, it is not necessary at this stage to make a more precise definition of the geographical scope of this market, as the outcome of the assessment would not change.</w:t>
      </w:r>
    </w:p>
    <w:p>
      <w:r>
        <w:t>11. Regarding the first market, considering that the management of the integrated water cycle is carried out in each area by a single operator, it cannot be conducted in a competitive regime in the market and thus represents a natural monopoly. Specifically concerning ATO 4 – Southern Lazio, the transaction, in this market, would result in the mere replacement of one operator (the Veolia Group) with another (the Italgas Group) in the control of Acqualatina, which manages the SII under a concession that is set to expire in 2033. The same considerations apply to Siciliacque, which is the concessionaire, until 2044, of the service of capture, storage, purification, and conveyance at a supra-area scale.</w:t>
      </w:r>
    </w:p>
    <w:p>
      <w:r>
        <w:t>12. With reference to the broader market for tenders for the management of the SII, the transaction does not seem to generate any effect on the landscape of potential candidates to participate in the tenders, considering as such all operators currently engaged in the management of the SII, given that the shares of Acqualatina and Siciliacque are valued respectively at [1-5%] and [less than 1%] as well as in volume respectively at [1-5%] and [1-5%] of the total activity of water service management at the national level and that, with respect to the same total, Italgas currently holds a share of less than 1% both in value and in volume15. The situation could be different if specific conditions, particularly in terms of incentives, related to the characteristics of the territory concerned or prior experience in managing the service put out to tender16 were to be relevant for participation in the tenders. In that case, the transaction would need to be analyzed primarily with reference to the tender for the area in which Acqualatina and Siciliacque are active. However, from the information provided by the Buyer, it appears that the tenders in question, given the remaining duration of the current concessions, are situated in a time horizon that is too distant for the effects of the current transaction to be assessed17.</w:t>
      </w:r>
    </w:p>
    <w:p>
      <w:r>
        <w:t>13. In light of the considerations above, therefore, the concentration in question does not appear to be capable of significantly hindering effective competition in the relevant markets or of creating or strengthening a dominant position.</w:t>
      </w:r>
    </w:p>
    <w:p>
      <w:r>
        <w:t>THEREFORE, it is deemed that the transaction in question does not significantly hinder effective competition in the relevant markets pursuant to Article 6, paragraph 1, of Law No. 287/1990 and does not involve the creation or strengthening of a dominant position;</w:t>
      </w:r>
    </w:p>
    <w:p>
      <w:r>
        <w:t>14 As occurs, for example, in the distribution of natural gas, see among others the decision No. 24320 of April 17, 2013, C11878, ITALGAS - ACEGAS-APS/ISONTINA GAS NETWORKS; the decision No. 26314 of December 21, 2016, C12076 - ACEA/IDROLATINA; the decision No. 27041 of February 14, 2018, C12149 - IREN/ACAM.</w:t>
      </w:r>
    </w:p>
    <w:p>
      <w:r>
        <w:t>15 The Parties also point out the presence of other qualified operators in the water sector at the national level, such as ACEA S.p.A., Acquedotto Pugliese S.p.A., Hera S.p.A., Iren S.p.A., and SMAT S.p.A.</w:t>
      </w:r>
    </w:p>
    <w:p>
      <w:r>
        <w:t>16 As occurs, for example, in the distribution of natural gas, see among others the case C11878 - ITALGAS - ACEGAS-APS/ISONTINA GAS NETWORKS, decision number 24320 of April 17, 2013, Bulletin 17/2013.</w:t>
      </w:r>
    </w:p>
    <w:p>
      <w:r>
        <w:t>17 In light of the duration of the current concessions, the tenders for the areas in which Acqualatina and Siciliacque are active should take place respectively in 2033-2034 and in 2044-2045.</w:t>
      </w:r>
    </w:p>
    <w:p>
      <w:r>
        <w:t>BULLETIN NO. 41 OF OCTOBER 30, 2023 11</w:t>
      </w:r>
    </w:p>
    <w:p>
      <w:r>
        <w:t>IT IS FURTHER DEEMED that any evaluation and action of the Authority regarding any further aspects related to the legality and feasibility of the notified transaction remains unaffected;</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The decision will be published in the Bulletin of the Antitrust Authority.</w:t>
      </w:r>
    </w:p>
    <w:p>
      <w:r>
        <w:t>THE SECRETARY GENERAL THE PRESIDENT</w:t>
      </w:r>
    </w:p>
    <w:p>
      <w:r>
        <w:t>Guido Stazi Roberto Rustichelli</w:t>
      </w:r>
    </w:p>
    <w:p>
      <w:r>
        <w:rPr>
          <w:b/>
        </w:rPr>
        <w:t>[Pages 10–12]</w:t>
      </w:r>
    </w:p>
    <w:p>
      <w:r>
        <w:t>BULLETIN NO. 41 OF OCTOBER 30, 2023</w:t>
      </w:r>
    </w:p>
    <w:p>
      <w:r>
        <w:t>C12569 - ITALIAN INVESTMENT FUND SGR - ITALIAN NAVAL REGISTER / RINA</w:t>
      </w:r>
    </w:p>
    <w:p>
      <w:r>
        <w:t>Provision No. 30813</w:t>
      </w:r>
    </w:p>
    <w:p>
      <w:r>
        <w:t>THE ANTITRUST AUTHORITY</w:t>
      </w:r>
    </w:p>
    <w:p>
      <w:r>
        <w:t>IN ITS MEETING of 10 October 2023;</w:t>
      </w:r>
    </w:p>
    <w:p>
      <w:r>
        <w:t>HEARD the Rapporteur, Professor Elisabetta Iossa;</w:t>
      </w:r>
    </w:p>
    <w:p>
      <w:r>
        <w:t>HAVING REGARD TO Regulation (EC) No. 139/2004;</w:t>
      </w:r>
    </w:p>
    <w:p>
      <w:r>
        <w:t>HAVING REGARD TO Law No. 287 of 10 October 1990;</w:t>
      </w:r>
    </w:p>
    <w:p>
      <w:r>
        <w:t>HAVING REGARD TO the D.P.R. No. 217 of 30 April 1998;</w:t>
      </w:r>
    </w:p>
    <w:p>
      <w:r>
        <w:t>HAVING REGARD TO the communication from the company Fondo Italiano d’Investimento SGR S.p.A., received on 19 September 2023;</w:t>
      </w:r>
    </w:p>
    <w:p>
      <w:r>
        <w:t>CONSIDERED the following:</w:t>
      </w:r>
    </w:p>
    <w:p>
      <w:r>
        <w:t>I. THE PARTIES</w:t>
      </w:r>
    </w:p>
    <w:p>
      <w:r>
        <w:t>1. Fondo Italiano d’Investimento SGR S.p.A. (hereinafter FII) is an investment company of the Cassa Depositi e Prestiti group (hereinafter CDP) whose purpose is to support the growth of the national private capital market, particularly through direct investments in small and medium-sized Italian enterprises and/or indirect investments in investment funds (including Fondo Italiano Consolidamento e Crescita – FICC and Fondo Italiano Consolidamento e Crescita II – FICC II, involved in this operation). The main shareholder of FII is CDP Equity S.p.A. with 55% (which is entirely owned by Cassa Depositi e Prestiti S.p.A., the company at the head of the eponymous group), with the main additional shareholders represented by the banks Intesa San Paolo and Unicredit, both holding 12.5% of the share capital. In 2022, the CDP group achieved a total turnover of [30-40] billion euros, of which [20-30] and [20-30] billion euros were sales made respectively in the European Union and in Italy.</w:t>
      </w:r>
    </w:p>
    <w:p>
      <w:r>
        <w:t>2. Registro Italiano Navale (hereinafter RIN) is a non-profit private law entity with the mission of contributing to the interest of the community and the safeguarding of human life and the environment, promoting and carrying out activities and initiatives in this regard. As a private non-profit entity, RIN is not controlled by any entity. The turnover achieved by RIN in 2022, mainly derived from the rental to third parties of properties owned in Italian territory, was [less than 1 million] euros. * In this version, some data are omitted, as elements of confidentiality or secrecy of the information were deemed to exist.</w:t>
      </w:r>
    </w:p>
    <w:p>
      <w:r>
        <w:t>BULLETIN NO. 41 OF OCTOBER 30, 2023</w:t>
      </w:r>
    </w:p>
    <w:p>
      <w:r>
        <w:t>3. Rina S.p.A. (hereinafter Rina) is an Italian law company at the head of the Rina group, particularly active in the fields of engineering consulting, naval classification and certification, system, product and personnel certification, inspection, and testing. Rina is currently subject to the exclusive control of RIN, due to a shareholding of approximately 70% (with the remaining share mainly consisting of treasury shares). In 2022, the Rina group achieved a total turnover of [532-700] million euros, of which [100-532] and [100-532] million euros were sales made, respectively, in the European Union and in Italy.</w:t>
      </w:r>
    </w:p>
    <w:p>
      <w:r>
        <w:t>II. DESCRIPTION OF THE TRANSACTION</w:t>
      </w:r>
    </w:p>
    <w:p>
      <w:r>
        <w:t>4. The communication in question concerns the acquisition, by FII on behalf of and in the interest of the aforementioned funds FICC and FICC II, of joint control of Rina, together with the entity that currently exclusively controls the latter, namely RIN.</w:t>
      </w:r>
    </w:p>
    <w:p>
      <w:r>
        <w:t>5. In particular, a newco exclusively controlled by FII (as the manager of the aforementioned funds) will make a minority investment (up to a maximum of approximately 33%) in Rina through the subscription of one or more capital increases. According to the new statute of Rina, this newco will enjoy (both in the assembly and in the board, through the Directors designated by it, equal to three out of a total of eight or nine) veto rights on matters of strategic importance (such as the approval of the annual budget and business plan, changes to the powers of the Chief Executive Officer as well as the management of senior executives).</w:t>
      </w:r>
    </w:p>
    <w:p>
      <w:r>
        <w:t>III. QUALIFICATION OF THE TRANSACTION</w:t>
      </w:r>
    </w:p>
    <w:p>
      <w:r>
        <w:t>6. The communicated transaction, as it involves the acquisition of joint control of a company, constitutes a concentration pursuant to Article 5, paragraph 1 letter b), of Law No. 287/90. It falls within the scope of application of Law No. 287/1990, as the conditions of Article 1 of Regulation EC 139/2004 are not met, and is subject to the obligation of prior notification provided for by Article 16, paragraph 1, of the same law, as the total turnover achieved, in the last financial year at the national level, by the group of interested companies exceeded 532 million euros and the total turnover achieved, in the last financial year at the national level, individually by at least two of the interested companies exceeded 32 million euros.</w:t>
      </w:r>
    </w:p>
    <w:p>
      <w:r>
        <w:t>IV. ASSESSMENT OF THE CONCENTRATION</w:t>
      </w:r>
    </w:p>
    <w:p>
      <w:r>
        <w:t>Product and geographical markets</w:t>
      </w:r>
    </w:p>
    <w:p>
      <w:r>
        <w:t>7. From a product perspective, the sectors involved in the transaction are those in which the Rina group operates, namely the five areas of engineering consulting, certification, naval classification and certification, inspection, and testing.</w:t>
      </w:r>
    </w:p>
    <w:p>
      <w:r>
        <w:t>8. Specifically, engineering consulting includes the provision of services ranging from the development and planning phase of projects to the design, construction, delivery, operation, and demolition of an asset. In particular, the services provided by Rina are aimed at a wide range of industrial sectors and categories of clients such as private companies, architects, engineers, contractors, research institutes, national and international organizations.</w:t>
      </w:r>
    </w:p>
    <w:p>
      <w:r>
        <w:t>9. Certification consists of providing consulting aimed at certifying that the products, services, and management systems subject to evaluation comply with the requirements defined by the relevant regulatory standards. In particular, Rina offers certification services in various areas (oil &amp; gas, renewable energies, infrastructure, transport, food industry) and of different types (organizational system certification, product certification, personnel certification).</w:t>
      </w:r>
    </w:p>
    <w:p>
      <w:r>
        <w:t>10. Naval classification and certification consists of various activities aimed at verifying the structural resistance, stability, and integrity of a ship's hull, as well as the reliability and proper functioning of machinery and electrical systems, including those for propulsion and steering. According to the Parties, classification societies typically also provide (naval) certification, on behalf of flag administrations, of the compliance of ships and vessels with the regulatory requirements defined for national and international navigation (so-called statutory certifications). In particular, Rina offers the services in question to a wide range of maritime operators including shipyards constructing ships and yachts, shipowners, and ship management companies.</w:t>
      </w:r>
    </w:p>
    <w:p>
      <w:r>
        <w:t>11. Inspections involve the provision of checks and audits (on various aspects such as suppliers, plants, personnel, facilities, products, and services), which may also include site supervision, activities generally carried out by many small/medium-sized operators and a few large players. Among the necessary requirements are the availability of specialized technical personnel, reputation (in terms of integrity and independence), and a network of geographically distributed offices. In particular, Rina provides the services in question to a wide range of industrial sectors.</w:t>
      </w:r>
    </w:p>
    <w:p>
      <w:r>
        <w:t>12. Finally, testing consists of carrying out checks related to the quality, reliability, and safety of food, metallurgical, mechanical, or other products intended for mass consumption; in particular, Rina conducts tests on materials, chemical-physical and microbiological analyses, fire resistance tests, and mechanical tests.</w:t>
      </w:r>
    </w:p>
    <w:p>
      <w:r>
        <w:t>13. Regarding geographical relevance, the dimension of all five aforementioned product areas is considered by the Parties to be at least national (certification, inspection, testing), if not global (engineering consulting and naval classification/certification, as these latter services are also provided by the Rina group on an international scale).</w:t>
      </w:r>
    </w:p>
    <w:p>
      <w:r>
        <w:t>14. In any case, in this specific case, it is not necessary to arrive at a more precise product (whether five distinct areas or a single comprehensive area) and geographical (whether national dimension or broader) delimitation of the relevant market, as whatever definition is adopted, the assessment of the competitive impact of the transaction would not change.</w:t>
      </w:r>
    </w:p>
    <w:p>
      <w:r>
        <w:t>Effects of the transaction</w:t>
      </w:r>
    </w:p>
    <w:p>
      <w:r>
        <w:t>15. Regarding horizontal overlaps, these occur in the activities of: engineering consulting, with aggregate shares not exceeding [1-5%] or being significantly below 1% considering, respectively, a national or global geographical scope; certification, with aggregate shares, almost entirely attributable to Rina's contribution, of [10-15%]</w:t>
      </w:r>
    </w:p>
    <w:p>
      <w:r>
        <w:rPr>
          <w:b/>
        </w:rPr>
        <w:t>[Pages 13–15]</w:t>
      </w:r>
    </w:p>
    <w:p>
      <w:r>
        <w:t>BULLETIN NO. 41 OF OCTOBER 30, 2023 15</w:t>
      </w:r>
    </w:p>
    <w:p>
      <w:r>
        <w:t>approximately or below 1% also here considering, respectively, a national or global geographical scope; testing, with aggregate shares below 1% both nationally and globally. Instead, there are no horizontal overlaps in the case of classification and naval certification and inspection activities.</w:t>
      </w:r>
    </w:p>
    <w:p>
      <w:r>
        <w:t>16. From a horizontal perspective, even if one were to consider a single product market that includes the five specific services analyzed above (engineering consultancy, certification, classification/naval certification, inspection, and testing), the aggregate shares of the Parties remain at negligible values, approximately [1-5%] at the national level and significantly below 1% at the global level.</w:t>
      </w:r>
    </w:p>
    <w:p>
      <w:r>
        <w:t>17. Any vertical relationships could be identified where it is considered that some companies of the CDP group are among the numerous and heterogeneous clients purchasing the services provided by Rina; in any case, such relationships do not appear to produce significant competitive effects, particularly in terms of limiting access to production factors and/or clientele, given the limited market shares of the Parties as well as the negligible share of purchases by the CDP group for the procurement of such services (estimated for each market to be below [1-5%] even in the more restricted national scope).</w:t>
      </w:r>
    </w:p>
    <w:p>
      <w:r>
        <w:t>18. In light of the above considerations, therefore, the concentration under examination does not appear to significantly hinder effective competition in the relevant markets or to result in the establishment or strengthening of a dominant position.</w:t>
      </w:r>
    </w:p>
    <w:p>
      <w:r>
        <w:t>CONSIDERING, therefore, that the operation under examination does not significantly hinder, pursuant to Article 6, paragraph 1, of Law No. 287/1990, effective competition in the relevant markets and does not result in the establishment or strengthening of a dominant position;</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The provision will be published in the Bulletin of the Antitrust Authority.</w:t>
      </w:r>
    </w:p>
    <w:p>
      <w:r>
        <w:t>THE SECRETARY GENERAL THE PRESIDENT</w:t>
      </w:r>
    </w:p>
    <w:p>
      <w:r>
        <w:t>Guido Stazi Roberto Rustichelli</w:t>
      </w:r>
    </w:p>
    <w:p>
      <w:r>
        <w:t>16 BULLETIN NO. 41 OF OCTOBER 30, 2023</w:t>
      </w:r>
    </w:p>
    <w:p>
      <w:r>
        <w:t>REPORTING AND CONSULTATIVE ACTIVITIES</w:t>
      </w:r>
    </w:p>
    <w:p>
      <w:r>
        <w:t>AS1920 - MUNICIPALITY OF RIETI - ASSIGNMENT OF VARIOUS LOCAL PUBLIC SERVICES TO THE IN-HOUSE COMPANY A.S.M. RIETI</w:t>
      </w:r>
    </w:p>
    <w:p>
      <w:r>
        <w:t>Rome, October 16, 2023</w:t>
      </w:r>
    </w:p>
    <w:p>
      <w:r>
        <w:t>Municipality of Rieti</w:t>
      </w:r>
    </w:p>
    <w:p>
      <w:r>
        <w:t>The Antitrust Authority, in its meeting of October 10, 2023, resolved to formulate some observations pursuant to Article 21 of Law No. 287/1990, regarding the competition issues arising from the assignment of the urban hygiene service to the in-house company A.S.M. Rieti S.p.A., which took place with resolution No. 23/2023 of this Municipality and, more generally, on the management methods of local public services, including local public transport.</w:t>
      </w:r>
    </w:p>
    <w:p>
      <w:r>
        <w:t>First of all, from a formal perspective, it is noted that Article 4 of the draft Statute of A.S.M. Rieti provides for an extremely heterogeneous corporate purpose, consisting of the "self-production of goods and services instrumental to the public entities that are shareholders" and the "production of services of general interest," within which the company can carry out "by way of example and not exhaustively" the most varied services and activities, such as, for example, the activities of design, implementation, and management of systems, plants powered by renewable and/or assimilated sources "and any intervention in the field of technological innovation related to the introduction of smart cities." These are activities that make it difficult to assess the existence of the purpose constraint and the economy and effectiveness of administrative action, as per Articles 1 and 4 of Legislative Decree No. 175/2016 ("TUSPP")1.</w:t>
      </w:r>
    </w:p>
    <w:p>
      <w:r>
        <w:t>According to the constant community2 and national (administrative and accounting)3 orientation, a corporate purpose that is too broad, vague, and heterogeneous could lead to the exclusion of the existence of an in-house entity, as the strict instrumentality of the corporate entity risks being circumvented.</w:t>
      </w:r>
    </w:p>
    <w:p>
      <w:r>
        <w:t>1 In the same direction, see also the "Vademecum for in-house companies in the new Procurement Code and in the Consolidated Text of Public Companies," drafted by the National Anti-Corruption Authority and the National Council of Notaries (published on June 9, 2022 at https://www.anticorruzione.it/-/vademecum-per-le-societ%C3%A0-in-house-1), where it is stated, on p. 4: "[...] the concrete verification of the existence of the public purpose requires a detailed and comprehensive examination of the corporate purpose of the subsidiary in relation to the institutional objectives of the participating entity, representing, in this sense, the most delicate aspect of Article 4 of Legislative Decree No. 175/2016."</w:t>
      </w:r>
    </w:p>
    <w:p>
      <w:r>
        <w:t>2 Ex multis, Court of Justice, Sec. I, judgment of October 13, 2005, C-458/03 - Parking Brixen.</w:t>
      </w:r>
    </w:p>
    <w:p>
      <w:r>
        <w:t>3 Council of State, Sec. V, judgment No. 655 of January 31, 2018; Council of State, Sec. V, judgment No. 578 of January 23, 2019; Court of Auditors, resolutions Nos. 485/2011/PRSE of September 20, 2011, 524/2011/PRSE, 525/2011/PRSE, and 527/2011/PRSE of October 17, 2011.</w:t>
      </w:r>
    </w:p>
    <w:p>
      <w:r>
        <w:t>BULLETIN NO. 41 OF OCTOBER 30, 2023 17</w:t>
      </w:r>
    </w:p>
    <w:p>
      <w:r>
        <w:t>The same Authority has already had the opportunity to censure extremely broad corporate purposes, which combine under the same entity both public services and numerous other activities typically offered in a free market regime, with inevitably negative effects, in the medium and long term, on the quality of the service, removed from competitive comparison and, consequently, on the efficient allocation of public resources, moreover without adequate and analytical justification4.</w:t>
      </w:r>
    </w:p>
    <w:p>
      <w:r>
        <w:t>Regarding the Report pursuant to Article 14 of Legislative Decree No. 201/2022 and the certified Economic and Financial Plan ("PEF") - concerning, moreover, not only the urban hygiene service, subject to assignment, but also the local public transport service ("LPT"), in extension for over a decade and, currently, until December 31, 2023 - a series of critical issues emerge, relating to the lack of qualified justification regarding the form of assignment chosen and the reasons for not resorting to the market, in violation of Articles 14 and 17 of Legislative Decree No. 201/2022 and Article 5 of the TUSPP.</w:t>
      </w:r>
    </w:p>
    <w:p>
      <w:r>
        <w:t>With reference to the motivations supporting the choice to resort to in-house assignment, the Report provides several arguments in support of the decision not to resort to the market. The first is based on the alleged lower economic burden for the community, due to the consideration that only in in-house providing is it possible not to pay a market profit to the company providing the service5. As already noted in the most recent opinions pursuant to Article 21-bis adopted by the Authority6, this argument proves fallacious on multiple fronts. First of all, the need to ensure the economic-financial balance of the public service contract requires the coverage of all costs, including capital costs, through the recognition of a reasonable profit. This principle is valid regardless of the mode of assignment. The failure to cover capital costs would, in fact, not be without consequences, even for the community. For example, consider that, without providing any remuneration for the capital used, the company would be unable to turn to the capital market to obtain financing useful for making investments, remaining entirely dependent on public non-repayable resources.</w:t>
      </w:r>
    </w:p>
    <w:p>
      <w:r>
        <w:t>Secondly, although the choice not to pay a reasonable rate of profit can be legitimately made by the contracting entity (the tariffs established by the Regulatory Authority for Energy Networks and Environment - ARERA - include this cost element, but constitute maximum thresholds that do not prevent setting lower levels, expressly waiving it), it does not seem that this choice constitutes an intrinsic advantage of in-house, but rather an excluding and discriminatory determination regarding the possibility of resorting to different assignment methods, which should be compared on the common evaluation basis constituted, precisely, by the complete coverage of costs, including the remuneration of the invested capital.</w:t>
      </w:r>
    </w:p>
    <w:p>
      <w:r>
        <w:t>Thirdly, the simple comparison between the cost of the service in the three assignment modes primarily takes into account the cost difference due to the (non) payment of profit, but</w:t>
      </w:r>
    </w:p>
    <w:p>
      <w:r>
        <w:rPr>
          <w:b/>
        </w:rPr>
        <w:t>[Pages 16–18]</w:t>
      </w:r>
    </w:p>
    <w:p>
      <w:r>
        <w:t>BULLETIN NO. 41 OF OCTOBER 30, 2023</w:t>
      </w:r>
    </w:p>
    <w:p>
      <w:r>
        <w:t>18</w:t>
      </w:r>
    </w:p>
    <w:p>
      <w:r>
        <w:t>neglects the savings achievable through the discounts resulting from the tender procedure. Therefore, the values represented, although approximate, do not accurately depict the comparison between the three options, which could instead lean towards the awarding method through tender if the discounts more than compensated for the elimination of the payment of a reasonable profit in the case of in-house providing.</w:t>
      </w:r>
    </w:p>
    <w:p>
      <w:r>
        <w:t>Finally, it is noted that the profit rate assumed in the simulation illustrated in the Report, equal to 10% of the total cost, is disproportionate compared to the fair return rate of capital provided by ARERA for the waste sector7, especially considering that this is not a concession contract, but a procurement contract (in which the operator does not assume market risk).</w:t>
      </w:r>
    </w:p>
    <w:p>
      <w:r>
        <w:t>As for the reasons supporting the choice of the in-house method, namely the Strengths, Weaknesses, Opportunities, and Threats analysis (“S.W.O.T.”), it is highlighted that, given the intrinsic discretion that characterizes it, in order to offer a fair and balanced assessment, it would be appropriate to pay maximum attention in identifying the elements on which to compare the three different management methods, so as to make evident the differentiating factors that justify the scores assigned. In the aforementioned analysis, the formulation of certain judgment elements seems to unjustifiably assign a higher score to in-house. By way of example - and without claiming exhaustiveness regarding the content of each individual analyzed element - the incongruity of the judgment is emphasized:</w:t>
      </w:r>
    </w:p>
    <w:p>
      <w:r>
        <w:t>- on the potential failure of the operator, as while the risk of failure of the private partner, in the case of a mixed company, and of the operator in the case of external assignment, is evaluated with a score of -3 points, the risk of failure of the in-house company is not considered at all;</w:t>
        <w:br/>
        <w:t>- on the obligation to honor the service contract, evaluated as a weakness only in relation to the mixed company and externalization, with the assignment of a negative score of -2 points, which is counterbalanced by the “greater flexibility in adapting to the execution needs of the service” of the in-house for the absence of contractual provisions, with a positive score of 2 (included among the strengths), and “the opportunity not to stop at strict contractual execution but to develop a comparison for the improvement of service quality,” with a score of 3 among the opportunities (points in favor of in-house of which, moreover, the redundancy is emphasized since the second can well be included in the first, which, in turn, more correctly constitutes an opportunity element, describing a potential eventuality). Furthermore, it is noted that, although in-house constitutes an internalized management of the Entity, the presence of a service contract is usually still provided;</w:t>
      </w:r>
    </w:p>
    <w:p>
      <w:r>
        <w:t>- on the double counting of the factor related to the risk of litigation for external assignment, counted with the same value of -2 both among the weaknesses and among the threat factors; while, for the other two types of assignment, it is correctly counted only once (for in-house, its absence is evaluated as a strength, with a value of 2; while, for the assignment to a mixed company, it falls among the threat factors, with a value of -2);</w:t>
      </w:r>
    </w:p>
    <w:p>
      <w:r>
        <w:t>- on the double counting of the factor related to the lack of synergy with other functions of the Entity for external assignment and for the mixed company, included among the weaknesses with scores of -2 and -1, respectively, and also among the threats, with scores of -3 and -1, respectively; while for in-house, the presence of such synergy is evaluated as a strength, with a value of 2.</w:t>
      </w:r>
    </w:p>
    <w:p>
      <w:r>
        <w:t>Moreover, the S.W.O.T analysis - which by itself is not sufficient to meet the qualified motivation obligations set forth in Articles 14, paragraphs 2 and 3, and 17, paragraph 2, of Legislative Decree No. 201/2022, as it describes in a generic and unsubstantiated manner the characteristics of each of the three alternative assignment methods, ultimately justifying a priori the superiority of in-house, without concrete reference to the operation in question - is corroborated by further arguments supporting the choice not to resort to the market. In particular, this Entity presents a benchmark analysis aimed at justifying the in-house assignment, in which it reports the per capita cost for the Region charged through the payment of the TARI (from the “Urban Waste Report,” edition 2020, published by ISPRA) and states that the per capita cost achievable with the assignment to A.S.M. Rieti would be lower than the regional average of Lazio (i.e., approximately € 260 in 2023). Drawing from the data of the PEF, it is calculated that the cost per inhabitant of A.S.M. Rieti would be between € 209 and € 217.</w:t>
      </w:r>
    </w:p>
    <w:p>
      <w:r>
        <w:t>Furthermore, this Municipality believes it can benefit from the economies of scale resulting from the possibility of assigning urban hygiene services and local public transport services to the same company, contrary to what would happen in the case of assignments to private entities with the activation of two different public evidence procedures. In support of this thesis, it is highlighted that the total amount of vehicle kilometers expected for the TPL service is not sufficient to reach levels suitable for exploiting economies of scale8, thus justifying the merger with the urban hygiene service. In fact, in this regard, it is noted that these are very different services, the merger of which could plausibly lead to a sharing of overhead costs, but not to economies of scale in the strict sense of the term. The latter could be achieved by assigning the individual service to an entity that already performs services of the same type, such as, for example, a company already entrusted with the urban hygiene service. Moreover, resolution No. 23/2023 concerns the assignment of only the urban hygiene service until 2027, while information regarding future plans concerning the TPL is only known through the fact that a PEF is attached that covers a time frame from 2024 to 2032. It is emphasized, in any case, that any assignment of the TPL service should follow the procedures provided for by current regulations, which require, first of all, the adoption of a pre-information notice, to be published in the Official Journal of the European Union “at least one year before the start of the tender procedure or the direct award of the contract,” as provided for by Article 7, paragraph 2, of Regulation (EC) No. 1370/2007, followed by the preliminary steps required for the assignment phase by sector regulation (resolution of the Transport Regulatory Authority, No. 154/2019).</w:t>
      </w:r>
    </w:p>
    <w:p>
      <w:r>
        <w:t>The assessment of the economic convenience of the operation in question against the alternative represented by the market should also be weighed considering the significant economic outlay that this Entity must face to transform the A.S.M. Rieti company into an in-house company compliant with current regulations, as also emerges from the opinion of the Board of Auditors9, which emphasizes the significant coverage and re-capitalization obligations on the part of the Municipality of Rieti resulting from the exclusion of the private partner, which has already been a source of an increase in costs for financial charges on A.S.M. Rieti, due to the Municipality's request to “have adequate liquid resources to be used, if necessary, in the re-publicization operation,” or exceeding 5 million euros, as learned from the Management Report attached to the 2022 Financial Statements of the company.</w:t>
      </w:r>
    </w:p>
    <w:p>
      <w:r>
        <w:t>There is also a lack and scarcity of transparency of the information related to the assessment of the quality of the service referred to in Articles 14, paragraph 2, and 17, paragraph 2 of the aforementioned legislative decree. Among these, it is only reported that the separate waste collection rate in the Municipality of Rieti reached a percentage of 54.83% in 2021, higher than the regional average of 52.2%10. There are also completely absent other data on quality, such as those resulting from the verification activities of the service performance and compliance with quality standards as provided in the Service Charter11.</w:t>
      </w:r>
    </w:p>
    <w:p>
      <w:r>
        <w:t>It is emphasized in this regard that the legislatively required obligations of qualified motivation concerning the failure to resort to the market do not represent mere formal compliance, but have a function that is strictly preliminary to the realization of competitive principles as they aim to prevent the special prerogative granted by the legislator from extending beyond the purpose and objectives set by the norm, to include within it multiple public services and those offered in competition in the market, without the prior evaluation of objective economic data on the greater convenience of in-house management of services of general economic interest or public services compared to the involvement of specialized industrial entities present in the free market and identified following selective procedures. The violation of the prescribed obligations of qualified motivation, which presuppose concrete compliance for an effective comparison with the market, thus has a clear impact from a competitive perspective, as it is likely to influence the unfolding of competitive dynamics, determining undue competitive advantages in favor of companies owned by public entities.</w:t>
      </w:r>
    </w:p>
    <w:p>
      <w:r>
        <w:t>The qualified motivation required by law must, in fact, be supported by objective economic data and proven not only in terms of lower burden - through comparison and analysis of industrial plans - but especially in terms of accessibility and quality of service for citizens, according to objective market parameters.</w:t>
      </w:r>
    </w:p>
    <w:p>
      <w:r>
        <w:t>In more general terms, it is also observed a picture of persistent and widespread irregularity in the organization and management models of local public services in the Municipality of Rieti. Despite the</w:t>
      </w:r>
    </w:p>
    <w:p>
      <w:r>
        <w:t>9 In the opinion of the economic-financial auditing body regarding the assignment in question (No. 22 of May 24, 2023), on the point of the exclusion of the private partner from ASM Rieti, it is stated (p. 6): “this exclusion, at the time of liquidation of the share of the outgoing partner, will certainly negatively affect the consistency, composition, and quantification of the net assets of A.S.M Rieti S.p.A., on one hand, and on the other hand, will negatively affect the liquidity of the same public company, generating, in relation to the quantification of the value of the share to be liquidated, the well-known civil obligations of coverage and re-capitalization, under penalty of liquidation of the company and the consequent cessation of public hygiene service,” thus expressly calling on the Entity to provide the necessary financial coverages.</w:t>
      </w:r>
    </w:p>
    <w:p>
      <w:r>
        <w:t>10 Data, among other things, to be corrected since the percentage of separate waste collection in the Lazio Region in 2021 was 53.3% as shown in the report “Production and management of urban waste in Lazio” by ARPA Lazio (https://www.arpalazio.it/documents/20124/52505/Rapporto_Rifiuti_Urbani_Lazio_dati_2021.pdf).</w:t>
      </w:r>
    </w:p>
    <w:p>
      <w:r>
        <w:t>11 In http://www.asmrieti.it/images/pdf/CS-IU.pdf.</w:t>
      </w:r>
    </w:p>
    <w:p>
      <w:r>
        <w:rPr>
          <w:b/>
        </w:rPr>
        <w:t>[Pages 19–21]</w:t>
      </w:r>
    </w:p>
    <w:p>
      <w:r>
        <w:t>BULLETIN NO. 41 OF OCTOBER 30, 2023 21</w:t>
      </w:r>
    </w:p>
    <w:p>
      <w:r>
        <w:t>Following the Authority's report of 201412, the Municipality remained inactive, continuing, also regarding the local public transport service (TPL), to postpone the deadlines for assignments through the widespread and systematic use of extensions, in decidedly pretextual ways, insofar as the "emergency" rationale of the institution lends itself to establishing a dilatory and structured practice, aimed solely at delaying the implementation of reforms in the field of local public services. In this direction, the Administrative Judge has stated that, regarding the renewal or extension of public service contracts, there is no room for the contractual autonomy of the parties, as "the imperative principle, established by the legislator for reasons of public interest, applies, according to which, unless expressly provided by law in accordance with European Union regulations, the administration, once the contract has expired, must, if it still needs to avail itself of the same type of services, carry out a new public tender (Council of State, Section V, No. 4192/2013)"13.</w:t>
      </w:r>
    </w:p>
    <w:p>
      <w:r>
        <w:t>Furthermore, regarding the assignments of local public services to mixed companies – as in the case of A.S.M. Rieti, whose private partner was identified in 2005 following a public evidence procedure not of the so-called double object and without the attribution of specific operational tasks – it is represented that the jurisprudence, on one hand, has clarified that the mixed company model "derives its legitimacy from the circumstance that the public evidence tender for the selection of the private partner simultaneously concerns the attribution of operational tasks and that of the quality of the partner"14 and, on the other hand, in accordance with the European context, has found the rationale for this circumstance in the need to avoid that the recourse to mixed companies may represent a substantial evasion of the competition rules. Since ancient times, in fact, within the context of European law, it has been clarified that the private partner must necessarily be an operational partner and not a mere financier of the activity managed exclusively by the public entity15. These orientations have then been incorporated into Article 17 of the TUSPP, which, in addition to providing that the private partner's shareholding cannot be less than 30% (paragraph 1), has established the rules for the selection of the private partner (paragraph 2) and has also defined the conditions for considering the direct assignment of the service to the mixed company legitimate (paragraph 6). It is to this regulation that Article 16, paragraph 1, of Legislative Decree No. 201/2022 now expressly refers. By virtue of this reference, the assignment of the public service to a mixed company is considered legitimate only if the private partner, possessing the qualifications for the performance of the service, has been selected through a public evidence procedure of double object and if the contracting company is able to directly provide for the realization of the service in an amount exceeding 70% of the related amount.</w:t>
      </w:r>
    </w:p>
    <w:p>
      <w:r>
        <w:t>The Authority has repeatedly pointed out the problematic nature of the administrative activities concerning the management of local public services which, far from interpreting the regulatory obligations imposed by the liberalization norms that have alternated over time in a pro-competitive sense, have manifested in the extension of existing assignments and service contracts16. The extension indeed prolongs the duration of the contract, preventing recourse to more efficient management of local public services, for which it is essential that "the instrument of extension be confined to exceptional and unpredictable situations that cannot otherwise be managed"17, such as those that do not exceed the real needs of the administrations, in a perspective of necessity and proportionality, to allow as soon as possible the recourse to suitable instruments to promote an efficient use of public resources18. Moreover, the system of extensions also constitutes a restriction on the freedom of establishment and the free provision of services under Articles 49 and 56 TFEU, as they are capable of unjustifiably delaying and hindering the assignment of local public services in the territory through a procedure compliant with the current regulations and the competitive principles contained therein.</w:t>
      </w:r>
    </w:p>
    <w:p>
      <w:r>
        <w:t>On the other hand, the Authority has also long stated that, where there are no technical or economic characteristics that make it necessary to limit the number of operators, local public services must be managed in a regime of full competition19, reducing recourse to in-house to a "correct and limited" use, both to avoid "evading the necessary competitive comparison in the assignment of services," and due to the "conflict of interest situation that such a mode of assignment creates for local public entities, which are at the same time the contractors of the service, shareholders and administrators of the service company, as well as members of the bodies called to oversee and regulate the same"20. In this direction - and in light of the absolute prevalence of in-house management in the national landscape of local public services, even after the pro-competitive reforms of the 2000s21 - the National Recovery and Resilience Plan has taken the specific commitment, on the part of Italy, to "limit direct assignments, imposing local administrations to justify any deviations from tender procedures for public service contracts"22. And this regardless of any consideration regarding the abstract compatibility of in-house with European law, due to its neutrality with respect to the public or private management of services. In this framework, the same reform carried out by Legislative Decree No. 201/2022, which, while not configuring in-house as a truly exceptional model, restricts its concrete usability - through the strengthening of procedural and motivational obligations (Article 17) - especially in relation to those managements that, even in the past, have proven not only to be inefficient but also to be poorly able to adequately pursue those objectives of universality, quality, and accessibility of services that are at the basis of the very rationale of public service.</w:t>
      </w:r>
    </w:p>
    <w:p>
      <w:r>
        <w:t>Moreover, the recent regulation introduced by Legislative Decree No. 201/2022 aims, among other things, at the "protection and promotion" of competition (cf. Article 1, paragraph 3).</w:t>
      </w:r>
    </w:p>
    <w:p>
      <w:r>
        <w:t>Therefore, in light of the considerations outlined above, the Authority hopes that this Municipality will promptly work to rationalize the corporate purpose of A.S.M. Rieti S.p.A., as well as to adapt the assignments of local public services - in particular, urban hygiene and local public transport, the latter still under extension - to the current regulations and to the principles of competition.</w:t>
      </w:r>
    </w:p>
    <w:p>
      <w:r>
        <w:t xml:space="preserve">20 Cf. AS468 - Assignment of local public services of economic relevance according to the so-called in-house modalities, of August 4, 2008 (in Bulletin No. 29/2008). </w:t>
        <w:br/>
        <w:t xml:space="preserve">21 As repeatedly highlighted by the Court of Auditors, Report 2019, Resolution No. 29/Section. Aut./2019/FRG, which noted "the clear prevalence of in-house assignments, while tenders with third-party companies are only 878 (out of a total of 14,626 assignments) and assignments to mixed companies, with double object tender, 178." </w:t>
        <w:br/>
        <w:t>22 M1C2-6. In the same direction, see Constitutional Court, ruling No. 325/2010, which recognized the law to provide "broader limitations on direct assignment than those of the community" (cf. point 11.1, cons. dir.) on the premise that the assignment in the context of inter-organic delegation constitutes "an exception to the general rule of assignment to third parties through a public evidence tender" (cf. point 6.1, cons. dir.). Moreover, since 2006, the Community judge has pointed out that the requirements of in-house, constituting an exception to the general rules of Community law, must be interpreted restrictively and obligate those who intend to avail themselves of it to demonstrate the concrete existence of the circumstances that justify the derogation from the selection of the manager through the ordinary system of public evidence procedure (CJEU, Section I, April 6, 2006, C-410/04 - Anav). In the same year, the Authority, with report AS375 of December 28, 2006 (in Bulletin No. 50/2006), stated that in-house assignment "is subject to stringent legitimacy requirements, as determined by Community jurisprudence and incorporated into national legislation, which do not allow local entities to resort to direct assignment in any situation, or as an ordinary method of assigning public services, relegating the competitive instrument of tender to a few and exceptional situations. This is because local public services constitute economic services offered to users in a monopoly regime and it is therefore necessary to ensure, in the broadest possible form, recourse to the market through competitive procedures for the selection of the bidding company, activating competition that ensures the choice of the most suitable operator to make the necessary investments and offer the best service at the lowest cost." On the other hand, the Authority has reiterated that the conditions that allow avoiding recourse to the market and the comparison provided by the tender "must be interpreted and applied restrictively also due to the objective situation of conflict of interest that such a mode of assignment - similarly, moreover, to that towards companies established according to the modalities of the so-called public-private partnership - creates for local public entities, which are at the same time contractors of the service, shareholders and administrators of the service management company, as well as members of the bodies called to oversee and regulate the same (e.g., the authorities of the optimal territorial area in the case of water and environmental services)."</w:t>
      </w:r>
    </w:p>
    <w:p>
      <w:r>
        <w:rPr>
          <w:b/>
        </w:rPr>
        <w:t>[Pages 22–24]</w:t>
      </w:r>
    </w:p>
    <w:p>
      <w:r>
        <w:t>BULLETIN NO. 41 OF OCTOBER 30, 2023</w:t>
      </w:r>
    </w:p>
    <w:p>
      <w:r>
        <w:t>24</w:t>
      </w:r>
    </w:p>
    <w:p>
      <w:r>
        <w:t>competitive principles contained therein, in order to ensure, for the benefit of users, that the service is provided with high levels of quality, safety, and under the best economic conditions.</w:t>
      </w:r>
    </w:p>
    <w:p>
      <w:r>
        <w:t>Therefore, the Administration is invited to communicate, within thirty days from the receipt of this report, the initiatives taken to remove the aforementioned competition violations.</w:t>
      </w:r>
    </w:p>
    <w:p>
      <w:r>
        <w:t>This report will be published in the Bulletin of the Antitrust Authority.</w:t>
      </w:r>
    </w:p>
    <w:p>
      <w:r>
        <w:t>THE PRESIDENT</w:t>
      </w:r>
    </w:p>
    <w:p>
      <w:r>
        <w:t>Roberto Rustichelli</w:t>
      </w:r>
    </w:p>
    <w:p>
      <w:r>
        <w:t>BULLETIN NO. 41 OF OCTOBER 30, 2023</w:t>
      </w:r>
    </w:p>
    <w:p>
      <w:r>
        <w:t>25</w:t>
      </w:r>
    </w:p>
    <w:p>
      <w:r>
        <w:t>UNFAIR COMMERCIAL PRACTICES</w:t>
      </w:r>
    </w:p>
    <w:p>
      <w:r>
        <w:t>PS12198 - VIASAT - RETURN OF DEVICES</w:t>
      </w:r>
    </w:p>
    <w:p>
      <w:r>
        <w:t>Provision No. 30814</w:t>
      </w:r>
    </w:p>
    <w:p>
      <w:r>
        <w:t>THE ANTITRUST AUTHORITY</w:t>
      </w:r>
    </w:p>
    <w:p>
      <w:r>
        <w:t>IN ITS MEETING of October 10, 2023;</w:t>
      </w:r>
    </w:p>
    <w:p>
      <w:r>
        <w:t>HEARD the Rapporteur Professor Elisabetta Iossa;</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communication received on January 31, 2022, subsequently supplemented on July 21, 2023, whereby Viasat S.p.A. submitted commitments pursuant to Article 27, paragraph 7, of the Consumer Code and Article 9 of the Regulation;</w:t>
      </w:r>
    </w:p>
    <w:p>
      <w:r>
        <w:t>HAVING REGARD TO the communication received on November 22, 2022, subsequently supplemented on July 25, 2023, whereby Generali Jeniot S.p.A. submitted commitments pursuant to Article 27, paragraph 7, of the Consumer Code and Article 9 of the Regulation;</w:t>
      </w:r>
    </w:p>
    <w:p>
      <w:r>
        <w:t>HAVING REGARD TO its resolutions of April 27, 2022, June 21, 2022, August 30, 2022, October 25, 2022, December 20, 2022, February 21, 2023, April 18, 2023, June 19, 2023, and August 1, 2023, whereby, pursuant to Article 7, paragraph 3, of the Regulation, the deadline for concluding the proceeding was extended;</w:t>
      </w:r>
    </w:p>
    <w:p>
      <w:r>
        <w:t>HAVING REGARD TO the acts of the proceeding;</w:t>
      </w:r>
    </w:p>
    <w:p>
      <w:r>
        <w:t>I. THE PARTIES</w:t>
      </w:r>
    </w:p>
    <w:p>
      <w:r>
        <w:t>1. Viasat S.p.A. as a professional, pursuant to Article 18, letter b), of the Consumer Code. The company is active in the installation of satellite devices for motor vehicles. The company's financial statements for the year ending December 31, 2021, report revenues of 39,862,806 euros.</w:t>
      </w:r>
    </w:p>
    <w:p>
      <w:r>
        <w:t>2. Generali Jeniot S.p.A. as a professional, pursuant to Article 18, letter b), of the Consumer Code. The company is active, among other things, in the telematics services sector associated with the provision of insurance services within the Generali Group. The company's financial statements for the year ending December 31, 2022, report revenues of 65,248,509 euros.</w:t>
      </w:r>
    </w:p>
    <w:p>
      <w:r>
        <w:t>BULLETIN NO. 41 OF OCTOBER 30, 2023</w:t>
      </w:r>
    </w:p>
    <w:p>
      <w:r>
        <w:t>26</w:t>
      </w:r>
    </w:p>
    <w:p>
      <w:r>
        <w:t>II. THE COMMERCIAL PRACTICE</w:t>
      </w:r>
    </w:p>
    <w:p>
      <w:r>
        <w:t>3. The proceeding concerns the behavior carried out by the professionals, consisting of obstructive conduct of various kinds in relation to the return of the satellite device subject to the services offered by them, connected to an insurance contract for civil liability arising from the road traffic of motor vehicles (hereinafter, Auto Liability Insurance), following the termination of said contract by the consumers.</w:t>
      </w:r>
    </w:p>
    <w:p>
      <w:r>
        <w:t>4. In particular, the conduct subject to the proceeding consists of:</w:t>
      </w:r>
    </w:p>
    <w:p>
      <w:r>
        <w:t>- requesting the payment of a penalty for the non-return of the satellite device even a long time after the termination of the contract, without any prior notice;</w:t>
        <w:br/>
        <w:t>- the omission of adequate and effective information directed to the consumer at all stages of the relationship (pre-contractual and post-contractual at the time of contract termination, as well as after the formal notice to customers) regarding the existence of a penalty, the methods and timing of the return of the satellite device;</w:t>
        <w:br/>
        <w:t>- the absence of checks by the companies regarding the actual receipt by customers of the contractual conditions related to the satellite services offered, delivered by the insurance companies at the time of signing the Auto Liability Insurance policy;</w:t>
        <w:br/>
        <w:t>- the absence of controls on response times and/or the content of information disseminated by call centers regarding the methods and timing of the return of the satellite device.</w:t>
      </w:r>
    </w:p>
    <w:p>
      <w:r>
        <w:t>III. THE OUTCOMES OF THE PROCEEDING: THE PRESENTATION OF COMMITMENTS</w:t>
      </w:r>
    </w:p>
    <w:p>
      <w:r>
        <w:t>1) The procedure process</w:t>
      </w:r>
    </w:p>
    <w:p>
      <w:r>
        <w:t>5. In relation to the aforementioned conduct, on December 3, 2021, Viasat S.p.A. (hereinafter, Viasat) was notified of the initiation of investigative proceeding No. PS121981. In this context, it was hypothesized that the conduct of Viasat could constitute a violation of Articles 20, paragraph 2, 24, and 25, letter d), of the Consumer Code, as it consisted of imposing various non-contractual obstacles to the return of the satellite device by the consumer, resulting in the latter being subjected to a request for payment of the penalty for non-return.</w:t>
      </w:r>
    </w:p>
    <w:p>
      <w:r>
        <w:t>6. On December 14, 2021, inspection checks were carried out at the registered office of Viasat located in Rome.</w:t>
      </w:r>
    </w:p>
    <w:p>
      <w:r>
        <w:t>7. On January 31, 2022, Viasat transmitted its response to the request for information contained in the communication initiating the proceeding and on the same date submitted commitments, pursuant to Article 27, paragraph 7, of the Consumer Code and Article 9 of the Regulation, aimed at removing the unfairness profiles of the contested commercial practice.</w:t>
      </w:r>
    </w:p>
    <w:p>
      <w:r>
        <w:rPr>
          <w:b/>
        </w:rPr>
        <w:t>[Pages 25–27]</w:t>
      </w:r>
    </w:p>
    <w:p>
      <w:r>
        <w:t>BULLETIN NO. 41 OF OCTOBER 30, 2023 27</w:t>
      </w:r>
    </w:p>
    <w:p>
      <w:r>
        <w:t>8. On April 5, 2022, the hearing of Viasat5 took place, following the request made by the same on March 15, 20226, and during this session, a request for information was made, to which Viasat responded on May 30, 20227.</w:t>
      </w:r>
    </w:p>
    <w:p>
      <w:r>
        <w:t>9. On August 2, 2022, a request for information was sent to Viasat pursuant to Article 27, paragraphs 3 and 4, of the Consumer Code8, to which the company responded on August 17, 20229.</w:t>
      </w:r>
    </w:p>
    <w:p>
      <w:r>
        <w:t>10. On September 27, 2022, proceeding PS12198 was extended against Generali Jeniot S.p.A. (hereinafter, Generali Jeniot), in relation to the same conduct contested against Viasat, carried out by Generali Jeniot towards the customers of the company who use the devices and satellite service for which Generali Jeniot, in turn, procures from Viasat10.</w:t>
      </w:r>
    </w:p>
    <w:p>
      <w:r>
        <w:t>11. On October 6, 2022, inspections were conducted at the registered office of Generali Jeniot located in Milan11 and at the operational headquarters located in Rome12.</w:t>
      </w:r>
    </w:p>
    <w:p>
      <w:r>
        <w:t>12. On October 7 and 10, 202213, Generali Jeniot transmitted the requested documentation during the inspection and on October 27, 2022, it transmitted the response to the request for information made in the communication of subjective integration of the proceeding14.</w:t>
      </w:r>
    </w:p>
    <w:p>
      <w:r>
        <w:t>13. On November 22, 2022, Generali Jeniot presented commitments, pursuant to Article 27, paragraph 7, of the Consumer Code and Article 9 of the Regulation, aimed at removing the profiles of unfairness of the contested commercial practice and, at the same time, submitted a request for a hearing15.</w:t>
      </w:r>
    </w:p>
    <w:p>
      <w:r>
        <w:t>14. On February 14, 2023, the hearing of Generali Jeniot16 took place and during this session, a request for information was made to the company, to which Generali Jeniot responded on March 14, 202317.</w:t>
      </w:r>
    </w:p>
    <w:p>
      <w:r>
        <w:t>15. On March 14, 2023, Viasat filed a defense brief18.</w:t>
      </w:r>
    </w:p>
    <w:p>
      <w:r>
        <w:t>16. On July 21, 202319 and on July 25, 202320, respectively, Viasat and Generali Jeniot submitted supplementary measures to the proposed commitments, transmitting a new version of their respective forms.</w:t>
      </w:r>
    </w:p>
    <w:p>
      <w:r>
        <w:t>28 BULLETIN NO. 41 OF OCTOBER 30, 2023</w:t>
      </w:r>
    </w:p>
    <w:p>
      <w:r>
        <w:t>17. On August 2, 2023, the date of conclusion of the investigative phase was communicated to the Parties pursuant to Article 16, paragraph 1, of the Regulation21.</w:t>
      </w:r>
    </w:p>
    <w:p>
      <w:r>
        <w:t>18. On August 23, 2023, Viasat filed a concluding memorandum22.</w:t>
      </w:r>
    </w:p>
    <w:p>
      <w:r>
        <w:t>2) The elements acquired and the commitments of the professionals</w:t>
      </w:r>
    </w:p>
    <w:p>
      <w:r>
        <w:t>19. With reference to the contested conduct at the start, from the inspection documentation and the elements provided by the professionals, the following emerged.</w:t>
      </w:r>
    </w:p>
    <w:p>
      <w:r>
        <w:t>Viasat</w:t>
      </w:r>
    </w:p>
    <w:p>
      <w:r>
        <w:t>20. Viasat offers its satellite telematics services in the automotive sector also through the insurance channel and, in this context, establishes a contractual relationship directly with the end customer regarding the provision of the aforementioned services. The end customer receives the satellite device to be installed on the vehicle on a free loan from Viasat23. In the general terms and conditions of the Viasat service (hereinafter "Viasat General Conditions"), under the article titled "Customer Obligations," information is provided regarding the uninstallation of the satellite device and the application of a penalty for its non-return24.</w:t>
      </w:r>
    </w:p>
    <w:p>
      <w:r>
        <w:t>21. Upon termination of the insurance contract, Viasat followed two procedures:</w:t>
        <w:br/>
        <w:t>(i) until the first half of 2020, it sent the consumer only an SMS reminding them of the expiration of the insurance contract and inviting them to renew the policy or return the satellite device by contacting Customer Service in advance, without specifying any deadline, followed – in the absence of return – by a registered letter requesting payment of a penalty25;</w:t>
        <w:br/>
        <w:t>(ii) in the second half of 2020, Viasat introduced the procedure, currently in effect, which provides for the transmission to the consumer of a letter of formal notice, by registered mail with acknowledgment of receipt, in case of non-return of the device after sending the aforementioned SMS; this registered letter, therefore, precedes the one sent for the request for payment of the penalty, the amount of which, depending on the insurance company with which the customer held the policy, ranges from [50-300]* euros. In this letter of formal notice, Viasat requests the consumer to pay the management costs for issuing the voucher necessary for uninstallation (and consequent return of the device) at an installer in its network26.</w:t>
      </w:r>
    </w:p>
    <w:p>
      <w:r>
        <w:t>22. Viasat represented that the request for payment of the penalty is, on average, sent to the end customer within [3-12] months from the date of termination of the contractual relationship but, during 2021 and 2022, due to the SARS-CoV2 epidemic, this average time frame has expanded to just over [6-24 months]27.</w:t>
      </w:r>
    </w:p>
    <w:p>
      <w:r>
        <w:t>23. Between 2018 and 2021, in the face of approximately [150,000-900,000] terminated contracts, the request for the penalty concerned about [25,000-150,000] customers, and of these, about [5,000-50,000] customers paid the penalty28.</w:t>
      </w:r>
    </w:p>
    <w:p>
      <w:r>
        <w:t>24. It also emerged that - to date - the issue of applying the penalty for the non-return of the satellite device concerns a residual part of the business developed by Viasat in the insurance channel29.</w:t>
      </w:r>
    </w:p>
    <w:p>
      <w:r>
        <w:t>25. Finally, Viasat represented that the return of the used satellite device and the consequent collection and regeneration of the same also produces positive effects for consumers, as it allows for a significant reduction in the procurement cost compared to the purchase of a new satellite device and, considering the current scarcity of chips to be used in the manufacture of new satellite devices, also allows for the provision of telematics service to new customers without incurring delays30.</w:t>
      </w:r>
    </w:p>
    <w:p>
      <w:r>
        <w:t>Generali Jeniot</w:t>
      </w:r>
    </w:p>
    <w:p>
      <w:r>
        <w:t>26. At the time of signing the insurance policy, the customer who intends to join the satellite service of Generali Jeniot receives, in conjunction with the insurance policy, the General Conditions for subscription to the telematics services of Generali Jeniot (hereinafter also "Generali Jeniot General Conditions"), which provide in Article 11 information on the obligation to return the satellite device upon expiration of the policy and on the application of a penalty for non-return amounting to [100-400] euros31.</w:t>
      </w:r>
    </w:p>
    <w:p>
      <w:r>
        <w:t>27. Upon expiration of the insurance policy, Generali Jeniot sends the end user, via SMS, email, and agency, three successive notifications to remind them of the need to return the satellite device before requesting payment of the penalty; of these notifications, only the communications sent by email remind the customer of the application of the penalty provided for in Article 11 of the Generali Jeniot General Conditions for the non-return of the device32.</w:t>
      </w:r>
    </w:p>
    <w:p>
      <w:r>
        <w:t>28. The average times for requests for payment of penalties were found to be approximately [4-20] months from the expiration of the contract for the year 2020 and approximately [3-20] months for the year 2021. The company also represented that, thanks to the gradual improvement of internal processes, the average timing of penalty requests has further reduced to [3-15] months33.</w:t>
      </w:r>
    </w:p>
    <w:p>
      <w:r>
        <w:t>29. For the years 2020, 2021, and 2022 (January-August), the contracts for which Generali Jeniot requested the penalty were, respectively, [15,000–60,000], [7,000–30,000], and [3,000–15,000] (i.e., [8-30%], [7-25%], and [7-25%] of the total contracts terminated in the same period) and the amounts actually collected by the company following the payment of the penalties were</w:t>
      </w:r>
    </w:p>
    <w:p>
      <w:r>
        <w:t>27 Doc. 168 cited, p. 10.</w:t>
        <w:br/>
        <w:t>28 Doc. 168 cited, p. 4.</w:t>
        <w:br/>
        <w:t>29 Doc. 168 cited, p. 12.</w:t>
        <w:br/>
        <w:t>30 Doc. 177 cited, pp. 4-5.</w:t>
        <w:br/>
        <w:t>31 Doc. 322 cited, p. 9.</w:t>
        <w:br/>
        <w:t>32 Doc. 322 cited, p. 9.</w:t>
        <w:br/>
        <w:t>33 Doc. 322 cited, p. 10 and Doc. 340 cited, p. 2.</w:t>
      </w:r>
    </w:p>
    <w:p>
      <w:r>
        <w:rPr>
          <w:b/>
        </w:rPr>
        <w:t>[Pages 28–30]</w:t>
      </w:r>
    </w:p>
    <w:p>
      <w:r>
        <w:t>BULLETIN NO. 41 OF OCTOBER 30, 2023</w:t>
      </w:r>
    </w:p>
    <w:p>
      <w:r>
        <w:t>30. The penalties amount to [5-30%] for 2020 and [5-30%] for 2021 in relation to the total amount of the penalties requested34.</w:t>
      </w:r>
    </w:p>
    <w:p>
      <w:r>
        <w:t>The commitments presented by Viasat</w:t>
      </w:r>
    </w:p>
    <w:p>
      <w:r>
        <w:t>30. By a note received on January 31, 2022, subsequently supplemented on July 21, 2023, Viasat submitted a proposal for commitments, pursuant to Article 27, paragraph 7, of the Consumer Code and Article 9 of the Regulation.</w:t>
      </w:r>
    </w:p>
    <w:p>
      <w:r>
        <w:t>In particular, these commitments – which in their final version are attached to this provision and constitute an integral part thereof – provide for:</w:t>
      </w:r>
    </w:p>
    <w:p>
      <w:r>
        <w:t>a) “measures to be adopted concerning the contractual relationships established with the final customer starting from the deadline for the implementation of the commitments”35, consisting of the reduction of the penalty amount for the non-removal and return of the satellite device (Commitment A); strengthening of pre-contractual and contractual information (through the preparation of a specific welcome letter for the customer and the integration of Viasat's General Conditions and the Subscription Form – Commitment B); implementation of additional informational measures for the benefit of customers and a monitoring activity aimed at verifying that customers have effectively understood the information regarding the penalty (Commitment C); refraining from carrying out collection activities for the penalty where a letter of formal notice has not been sent to the final customer in the form of registered mail with return receipt within a period of 12 months from the termination of the contractual relationship (Commitment D);</w:t>
      </w:r>
    </w:p>
    <w:p>
      <w:r>
        <w:t>b) “measures to be adopted concerning both the contractual relationships established with the final customer starting from the deadline for the implementation of the commitments and the contractual relationships whose establishment with the final customer dates back to a time prior and that are still in force as of that date,” consisting of: the integration of the information/procedure at the time of termination of the contractual relationship (through the creation of a dedicated email address for the removal of the satellite device, the creation of a specific webpage on Viasat's website containing information regarding the return of the satellite device, the integration of the informational content of both the reminder SMS and the letter of formal notice, the provision – under certain conditions – for the free voucher for the removal and return of the satellite device even in cases where the appropriate letter of formal notice has already been sent by registered mail with return receipt – Commitment E); not applying the penalty in cases where the customer promptly reports that they were unable to return the device due to delays attributable to the installer and, in such cases, Viasat will take responsibility for scheduling a new appointment with the installer (Commitment F); refunding the full value of the penalties already paid by consumers who have submitted a report to the Authority (as resulting from the investigation file as of April 6, 2023) and by consumers who have sent a complaint via certified email to Viasat (between January 1, 2019, and December 31, 2022), as well as waiving the collection of the penalty where the aforementioned consumers have not yet made the corresponding payment (Commitment G.1); waiving the application of penalties for contract terminations relating to the entire year 2022 (Commitment G.2); conducting training sessions for staff performing functions related to the penalty issue (Commitment H); implementing a compliance program regarding both unfair commercial practices and antitrust matters (Commitment I).</w:t>
      </w:r>
    </w:p>
    <w:p>
      <w:r>
        <w:t>31. Viasat commits to implement commitments A-H within a period of seven months from the notification of the acceptance provision of the commitments (the so-called “deadline for the implementation of the commitments”) and commitment I within a period of twelve months from the notification of the acceptance provision of the commitments.</w:t>
      </w:r>
    </w:p>
    <w:p>
      <w:r>
        <w:t>The commitments presented by Generali Jeniot</w:t>
      </w:r>
    </w:p>
    <w:p>
      <w:r>
        <w:t>32. By a note received on November 22, 2022, subsequently supplemented on July 25, 2023, Generali Jeniot submitted a proposal for commitments, pursuant to Article 27, paragraph 7, of the Consumer Code and Article 9 of the Regulation.</w:t>
      </w:r>
    </w:p>
    <w:p>
      <w:r>
        <w:t>33. In particular, these commitments – which in their final version are attached to this provision and constitute an integral part thereof – provide for: strengthening the flow of information towards customers (through the preparation of a specific welcome letter for the customer, tracking the sending of the reminder email, using a registered letter with return receipt to request the penalty in cases where it is due, as well as integrating the information provided to the customer in the reminder email and including a webpage on its website containing information on the return of the satellite device and the conditions for applying the penalty – Commitment 1); monitoring the activities of the customer assistance structures (Commitment 2); specific training activities for the sales network (Commitment 3); introducing a reference to the penalty in the section of the General Conditions of Jeniot where the customer declares to have read the aforementioned Conditions (Commitment 4); reducing the penalty amount for customers contracted from the deadline for the implementation of the commitments36 (Commitment 5); waiving the penalty in cases where, within twelve months from the termination of the contractual relationship, Generali Jeniot has not sent a payment reminder to the customer, as well as after seven years from the date of the first installation of the device (Commitment 6); not applying the penalty in cases where the customer has promptly reported that the delay in return is attributable to the uninstaller or due to force majeure (Commitment 7); refunding the full value of the penalties already paid as of the notification date of the acceptance provision of the commitments to all customers who have sent a complaint via certified email to the company during the period from January 1, 2019, to the notification date of the acceptance provision of the commitments and to customers who have submitted a report to the Authority regarding the application of the penalty as resulting from the documents of the investigation file as of the last access made by Generali Jeniot (Commitment 8); providing for periodic quality assurance visits in the context of contractual relationships with satellite device suppliers (Commitment 9); implementing a compliance program regarding unfair commercial practices aimed at the functions of the company whose activities impact consumer relations (Commitment 10).</w:t>
      </w:r>
    </w:p>
    <w:p>
      <w:r>
        <w:t>34. Generali Jeniot commits to implement the measures described above within a period of six months from the notification of the acceptance provision of the commitments, as these measures require an intervention on the internal processes and information systems of the company that is particularly burdensome and complex to implement.</w:t>
      </w:r>
    </w:p>
    <w:p>
      <w:r>
        <w:t>IV. EVALUATION OF THE COMMITMENTS</w:t>
      </w:r>
    </w:p>
    <w:p>
      <w:r>
        <w:t>35. The Authority believes that the commitments proposed by the professionals are suitable to remedy the possible profiles of illegitimacy of the commercial practice contested in the initiation communication of December 3, 2021, and in the subjective integration of the initiation communication of September 27, 2022.</w:t>
      </w:r>
    </w:p>
    <w:p>
      <w:r>
        <w:t>36. In particular, the Parties have strengthened communication channels with their respective customers, adding to the telephone channel of the call center, dedicated email boxes for the issue of returning satellite devices and the use of “traceable” communication systems. In this way, consumers, in addition to benefiting from an additional means of communication with the professionals, capable of resolving any issues encountered when contacting the professionals' call centers by phone, will be able to keep track of the interactions that occurred with them.</w:t>
      </w:r>
    </w:p>
    <w:p>
      <w:r>
        <w:t>37. The Parties have also strengthened the information regarding the return of the satellite device, introducing dedicated webpages on their respective institutional websites, which contain essential information regarding the obligation to uninstall and return the device and the application of a penalty in case of non-return, indicating the relevant amount and the methods and times of return. The link to these pages is included in the reminder communications that both professionals send to customers before proceeding with the request for payment of the penalty. In this way, even at the time of termination of the contract – a moment when, due to the time elapsed since the initial phase of signing the contract, the consumer may have only a partial recollection of the penalty provisions and the necessary actions to prevent its application – full informational continuity is ensured.</w:t>
      </w:r>
    </w:p>
    <w:p>
      <w:r>
        <w:t>38. Both Parties have also provided for a reduction in the penalty amount for the non-return of the satellite device, ensuring that such penalty is of a contained value.</w:t>
      </w:r>
    </w:p>
    <w:p>
      <w:r>
        <w:t>39. Both professionals have also proposed restitution measures for consumers, recognizing the refund of penalties already paid to specific clusters of customers.</w:t>
      </w:r>
    </w:p>
    <w:p>
      <w:r>
        <w:t>40. The Parties have also committed to waiving the penalty in case of failure to send the final customer a formal notice within 12 months from the termination of the contractual relationship. With this measure, it is possible to prevent consumers from receiving payment reminders a long time after the termination of the contract. Additionally, for Viasat, there is a commitment to waive the application of penalties for all contracts terminated during the entire year 2022 and, for Generali Jeniot, a commitment to waive the application of penalties after seven years from the date of the first installation of the device.</w:t>
      </w:r>
    </w:p>
    <w:p>
      <w:r>
        <w:t>41. The measures described above therefore appear suitable to remedy the critical profiles hypothesized at the initiation of the procedure and the subjective integration of the initiation communication, as well as to produce positive effects, in economic terms, for consumers. In fact, based on estimates provided by Viasat, the value of the penalties subject to restitution/waiver is around [150,000-700,000] euros, while according to estimates provided by Generali Jeniot on the economic impact of the</w:t>
      </w:r>
    </w:p>
    <w:p>
      <w:r>
        <w:rPr>
          <w:b/>
        </w:rPr>
        <w:t>[Pages 31–33]</w:t>
      </w:r>
    </w:p>
    <w:p>
      <w:r>
        <w:t>BULLETIN NO. 41 OF OCTOBER 30, 2023 33</w:t>
      </w:r>
    </w:p>
    <w:p>
      <w:r>
        <w:t>proposed measures, the reduction of the penalty and the waiver of credits after seven years from the date of first installation of the device could result in the company's waiver of approximately [500,000-3,000,000] euros per year, to which the value of the penalties returned and the waivers of penalties after twelve months from the termination of the contractual relationship must be added, without the company having sent a payment reminder to the customer.</w:t>
      </w:r>
    </w:p>
    <w:p>
      <w:r>
        <w:t>42. In light of the above considerations, it is believed that the commitments presented meet the requirements set forth in Article 27, paragraph 7, of the Consumer Code.</w:t>
      </w:r>
    </w:p>
    <w:p>
      <w:r>
        <w:t>CONSIDERING, therefore, that the commitments presented by Viasat S.p.A. and Generali Jeniot S.p.A., in the terms outlined above, are suitable to eliminate the possible profiles of unfairness of the commercial practice subject to investigation;</w:t>
      </w:r>
    </w:p>
    <w:p>
      <w:r>
        <w:t>CONSIDERING it appropriate to make the aforementioned commitments mandatory for Viasat S.p.A. and Generali Jeniot S.p.A.;</w:t>
      </w:r>
    </w:p>
    <w:p>
      <w:r>
        <w:t>CONSIDERING, therefore, that the proceeding can be closed without establishing the infringement;</w:t>
      </w:r>
    </w:p>
    <w:p>
      <w:r>
        <w:t>RESOLVES</w:t>
      </w:r>
    </w:p>
    <w:p>
      <w:r>
        <w:t>a) to make mandatory, with respect to Viasat S.p.A., pursuant to Article 27, paragraph 7, of the Consumer Code and Article 9, paragraph 2, letter a), of the Regulation, the commitments proposed by the company on January 31, 2022, subsequently supplemented on July 21, 2023, as described in the Form attached to this provision, which constitutes an integral part thereof;</w:t>
      </w:r>
    </w:p>
    <w:p>
      <w:r>
        <w:t>b) to make mandatory, with respect to Generali Jeniot S.p.A., pursuant to Article 27, paragraph 7, of the Consumer Code and Article 9, paragraph 2, letter a), of the Regulation, the commitments proposed by the company on November 22, 2022, subsequently supplemented on July 25, 2023, as described in the Form attached to this provision, which constitutes an integral part thereof;</w:t>
      </w:r>
    </w:p>
    <w:p>
      <w:r>
        <w:t>c) to close the proceeding without establishing the infringement, pursuant to Article 27, paragraph 7, of the Consumer Code and Article 9, paragraph 2, letter a), of the Regulation;</w:t>
      </w:r>
    </w:p>
    <w:p>
      <w:r>
        <w:t>d) that Viasat S.p.A. informs the Authority of the implementation of commitments A-H within seven months from the date of notification of this resolution and of the implementation of commitment I within twelve months from the date of notification of this resolution;</w:t>
      </w:r>
    </w:p>
    <w:p>
      <w:r>
        <w:t>e) that Generali Jeniot S.p.A., within six months from the date of notification of this resolution, informs the Authority of the implementation of the commitments.</w:t>
      </w:r>
    </w:p>
    <w:p>
      <w:r>
        <w:t>Pursuant to Article 9, paragraph 3, of the Regulation, the proceeding may be reopened ex officio, where:</w:t>
      </w:r>
    </w:p>
    <w:p>
      <w:r>
        <w:t>a) the professionals do not implement the commitments;</w:t>
      </w:r>
    </w:p>
    <w:p>
      <w:r>
        <w:t>b) the factual situation changes regarding one or more elements on which the decision is based;</w:t>
      </w:r>
    </w:p>
    <w:p>
      <w:r>
        <w:t>34 BULLETIN NO. 41 OF OCTOBER 30, 2023</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10,000,000 euros. In cases of repeated non-compliance, the Authority may order the suspension of business activity for a period not exceeding thirty days.</w:t>
      </w:r>
    </w:p>
    <w:p>
      <w:r>
        <w:t>This provision will be notified to the interested parties and published in the Bulletin of the Authority for the Guarantee of Competition and the Market.</w:t>
      </w:r>
    </w:p>
    <w:p>
      <w:r>
        <w:t>THE SECRETARY GENERAL THE PRESIDENT</w:t>
      </w:r>
    </w:p>
    <w:p>
      <w:r>
        <w:t>Guido Stazi Roberto Rustichelli</w:t>
      </w:r>
    </w:p>
    <w:p>
      <w:r>
        <w:t>BULLETIN NO. 41 OF OCTOBER 30, 2023 35</w:t>
      </w:r>
    </w:p>
    <w:p>
      <w:r>
        <w:t>PS12540 – WIND-DUPLICATE SMS ON OFFER MODIFICATION</w:t>
      </w:r>
    </w:p>
    <w:p>
      <w:r>
        <w:t>Provision No. 30815</w:t>
      </w:r>
    </w:p>
    <w:p>
      <w:r>
        <w:t>THE AUTHORITY FOR THE GUARANTEE OF COMPETITION AND THE MARKET</w:t>
      </w:r>
    </w:p>
    <w:p>
      <w:r>
        <w:t>IN ITS MEETING of October 10, 2023;</w:t>
      </w:r>
    </w:p>
    <w:p>
      <w:r>
        <w:t>HEARD the Rapporteur, Professor Elisabetta Iossa;</w:t>
      </w:r>
    </w:p>
    <w:p>
      <w:r>
        <w:t>VIEWED Part II, Title III, of Legislative Decree No. 206 of September 6, 2005, containing the "Consumer Code"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the communication, received on April 3, 2023, and subsequently supplemented on June 6, 2023, whereby Wind Tre S.p.A. submitted commitments pursuant to Article 27, paragraph 7, of the Consumer Code and Article 9 of the Regulation;</w:t>
      </w:r>
    </w:p>
    <w:p>
      <w:r>
        <w:t>VIEWED its provision of June 13, 2023, whereby, pursuant to Article 7, paragraph 3, of the Regulation, the deadline for concluding the proceeding was extended;</w:t>
      </w:r>
    </w:p>
    <w:p>
      <w:r>
        <w:t>VIEWED its provision of August 1, 2023, whereby, pursuant to Article 16, paragraph 5, of the Regulation, for the purpose of requesting an opinion from the Authority for Guarantees in Communications, the deadline for concluding the proceeding was extended;</w:t>
      </w:r>
    </w:p>
    <w:p>
      <w:r>
        <w:t>VIEWED the documents of the proceeding;</w:t>
      </w:r>
    </w:p>
    <w:p>
      <w:r>
        <w:t>I. THE PARTY</w:t>
      </w:r>
    </w:p>
    <w:p>
      <w:r>
        <w:t>1. Wind Tre S.p.A. (hereinafter also "Wind Tre"), as a Professional, pursuant to Article 18, letter b), of the Consumer Code, is a company, with its registered office in Rho (MI), active in the telecommunications sector.</w:t>
      </w:r>
    </w:p>
    <w:p>
      <w:r>
        <w:t>II. THE COMMERCIAL PRACTICE</w:t>
      </w:r>
    </w:p>
    <w:p>
      <w:r>
        <w:t>2. In the communication initiating the proceeding, the Professional was accused of conduct consisting of misleading and confusing communication, through two distinct SMS sent 24 hours apart, concerning a change in the tariff plan of mobile phone users.</w:t>
      </w:r>
    </w:p>
    <w:p>
      <w:r>
        <w:t>3. In particular, the accusation subject to the investigative proceeding concerns the manner in which Wind Tre communicated to its mobile customers, starting from November 2022, the increase in the monthly cost of the tariff plan, sending, 24 hours apart, two messages. The first concerning: i) the increase of 2 euros in the monthly cost of the service (starting from a certain date), with the possibility of withdrawing without costs or changing operator; ii) the possibility of benefiting from a</w:t>
      </w:r>
    </w:p>
    <w:p>
      <w:r>
        <w:rPr>
          <w:b/>
        </w:rPr>
        <w:t>[Pages 34–36]</w:t>
      </w:r>
    </w:p>
    <w:p>
      <w:r>
        <w:t>BULLETIN NO. 41 OF OCTOBER 30, 2023</w:t>
      </w:r>
    </w:p>
    <w:p>
      <w:r>
        <w:t>36</w:t>
      </w:r>
    </w:p>
    <w:p>
      <w:r>
        <w:t>an increase of Giga2 following the sending within 3 days of a specific SMS (with the text “PLUS”). The second message, on the other hand, concerned the possibility for the customer to: i) maintain the current offer unchanged at the time of receiving the first message, by sending a specific SMS by a certain date; ii) temporarily benefit from an increase of Giga3; iii) evaluate new Wind Tre offers.</w:t>
      </w:r>
    </w:p>
    <w:p>
      <w:r>
        <w:t>4. In the communication initiating the proceeding, the lack of clarity of such communications was contested, as they could generate confusion among recipients regarding the available options and the numerous terms of commencement and expiration related to the various proposals. Furthermore, the contradictory content of the two messages was contested, as the second SMS seems to allow the user, after a few hours, to cancel the effects of the first SMS, without clarifying how the effects of the different exercisable options are connected.</w:t>
      </w:r>
    </w:p>
    <w:p>
      <w:r>
        <w:t>III. THE OUTCOMES OF THE PROCEEDING</w:t>
      </w:r>
    </w:p>
    <w:p>
      <w:r>
        <w:t>III.1 The procedure's process</w:t>
      </w:r>
    </w:p>
    <w:p>
      <w:r>
        <w:t>5. In relation to the described conduct, on March 13, 2023, an investigative proceeding PS12540 was initiated against the Professional, pursuant to Articles 20 and 21 of the Consumer Code.</w:t>
      </w:r>
    </w:p>
    <w:p>
      <w:r>
        <w:t>6. Wind Tre accessed the documents of the proceeding on January 31 and August 29, 2023.</w:t>
      </w:r>
    </w:p>
    <w:p>
      <w:r>
        <w:t>7. The Professional submitted, on April 3, 20234, a proposal for commitments, pursuant to Article 27, paragraph 7, of the Consumer Code and Article 9 of the Regulation, subsequently supplemented on June 6, 20235.</w:t>
      </w:r>
    </w:p>
    <w:p>
      <w:r>
        <w:t>8. On July 20, 20236, the date of conclusion of the investigative phase was communicated to Wind Tre, pursuant to Article 16, paragraph 1, of the Regulation.</w:t>
      </w:r>
    </w:p>
    <w:p>
      <w:r>
        <w:t>9. On August 3, 20237, a fifteen-day extension of the conclusion deadline of the proceeding was communicated to the Professional, pursuant to Article 16, paragraph 5, of the Regulation.</w:t>
      </w:r>
    </w:p>
    <w:p>
      <w:r>
        <w:t>10. Finally, on September 18, 20238, the opinion of the Authority for Guarantees in Communications (hereinafter, “AGCom”) was received.</w:t>
      </w:r>
    </w:p>
    <w:p>
      <w:r>
        <w:t>III.2 The acquired elements</w:t>
      </w:r>
    </w:p>
    <w:p>
      <w:r>
        <w:t>11. During the investigation, the Professional represented that the information campaign related to the maneuver described above took place from November 24, 2022, to January 7, 2023, and involved approximately [6-10]* million mobile customers. Wind Tre also stated that the second message was sent to the same recipients as the first, whether they had or had not consented to the increase in Giga or the speed of navigation and also clarified that the customers who accepted the additional Giga or the increase in speed of navigation referred to in the first message were approximately [60,000-100,000].</w:t>
      </w:r>
    </w:p>
    <w:p>
      <w:r>
        <w:t>III.3 The commitments of the Professional</w:t>
      </w:r>
    </w:p>
    <w:p>
      <w:r>
        <w:t>12. The Professional submitted a proposal for commitments on April 3, 2023, supplemented on June 6, 2023.</w:t>
      </w:r>
    </w:p>
    <w:p>
      <w:r>
        <w:t>13. In particular, Wind Tre committed to making any future unilateral changes to the price and/or content of the offer in the following manner: “1) with a single message; 2) without references to the previous offer; 3) providing indications of the additional contents directly in the message (as far as possible, given the limited characters available in the SMS and, in detail, on the information page accessed via the link in the message); 4) giving an opt-in option to adhere to a new offer, similar but different from the previous one; 5) indicating the new offer with the name of the previous one, completed by an adjective such as ‘plus’.”</w:t>
      </w:r>
    </w:p>
    <w:p>
      <w:r>
        <w:t>14. The Company also committed to implementing the described commitment using the following communication to customers, reported as an example in the commitments: “Contract changes. For market needs, your offer varies: from 18/4 the Giga increase to 150GB/month and from 1/6 the cost increases by 2E/month. Alternatively, you can choose a Plus offer with your current costs and contents but with one additional Giga per month starting from 10/6, for the inconvenience at no additional cost. To get Plus, send OPTIN with a free SMS to 40400 by 30/4. For any needs, go to WINDTRE stores or call 159. Cancellation at no cost within 60 days with registered mail, PEC, 159, website, and WINDTRE stores. Info: windtre.it/rtinfo2.”</w:t>
      </w:r>
    </w:p>
    <w:p>
      <w:r>
        <w:t>15. Furthermore, Wind Tre committed to providing, by July 31, 2023, the additional Giga (or the increase in speed of navigation), promised with the first of the two SMS of the November 2022 maneuver, to all users who, despite having undergone the tariff increase provided therein, did not exercise the related opt-in option. Wind Tre estimates that it will proceed to provide the additional contents to [1-5] million users, calculated by subtracting from the number of customers affected by the maneuver subject to initiation ([6-10] million) the number of customers who: a. have already accepted the increase in contents by exercising the opt-in ([60,000-100,000]); b. have exercised the cancellation of the contract or changed operator ([500,000-900,000]); c. have requested to remain under the economic conditions prior to the maneuver ([1-5] million); d. have been satisfactorily managed following a complaint or have chosen another Wind Tre offer ([400,000-800,000]); e. have already enjoyed this benefit following a unilateral initiative as a caring measure by the company after the communication of the cost increase ([2-6] million). These customers have already received a message warning them of the benefit; f. have been subject to different but simultaneous reconfiguration without an opt-in offer of contents ([100,000-500,000]).</w:t>
      </w:r>
    </w:p>
    <w:p>
      <w:r>
        <w:t>16. Wind Tre also committed to sending these users an SMS clarifying that the increase in Giga/navigation speed is provided in execution of the commitments made to the Authority in the context of the proceeding in question, via the message: “Dear Customer, we are pleased to inform you that the Giga of your offer have become unlimited following the commitment made by Wind Tre to AGCM (PS 12540).”</w:t>
      </w:r>
    </w:p>
    <w:p>
      <w:r>
        <w:t>17. The Professional confirmed that this SMS was sent with communication dated September 1, 20239.</w:t>
      </w:r>
    </w:p>
    <w:p>
      <w:r>
        <w:t>18. Regarding the customers ([2-6] million) who have already benefited from the increase in contents following a caring initiative undertaken unilaterally by the company (and who, therefore, are subtracted from the number of customers to whom Wind Tre has committed to provide the additional benefit), the Professional provided, with communications dated June 6 and 7, 2023, respectively, a summary table of the number of caring messages sent (for a total of [2-6] million) and a sample of [omitted] names of the customers affected by these sends.</w:t>
      </w:r>
    </w:p>
    <w:p>
      <w:r>
        <w:t>IV. OPINION OF THE AUTHORITY FOR GUARANTEES IN COMMUNICATIONS</w:t>
      </w:r>
    </w:p>
    <w:p>
      <w:r>
        <w:t>19. Since the conduct subject to the proceeding concerns the telecommunications sector, on August 3, 2023, the opinion was requested from AGCom, pursuant to Article 27, paragraph 1-bis, of the Consumer Code.</w:t>
      </w:r>
    </w:p>
    <w:p>
      <w:r>
        <w:t>20. With communication received on September 18, 2023, AGCom transmitted its opinion, in which, after stating that the conduct subject to initiation pertains to aspects of its interest, regarding the right of withdrawal in the presence of contractual changes and the general principles of transparency of information provided to consumers, it expressed itself regarding the reconducibility of the same to the cases outlined by the sector legislation for the protection of consumers contained in the Electronic Communications Code, specifically recalling Article 98 -septies decies of said Code and its resolution No. 519/15/CONS containing provisions for the protection of users regarding contracts for the provision of electronic communication services.</w:t>
      </w:r>
    </w:p>
    <w:p>
      <w:r>
        <w:t>21. The sector Authority indicated that it had carried out a specific monitoring activity aimed at assessing the legitimacy of the methods of implementing the unilateral modification of the legal and economic conditions of the mobile phone offers communicated to it by Wind10 and also containing the introduction of a price adjustment mechanism to the ISTAT index. As a result of this monitoring activity, said Authority, given the absence of regulation regarding contractual changes and informational transparency in the presence of indexed offers, deemed it appropriate to adopt specific regulations in this area and therefore initiated, with resolution No. 89/23/CONS, a public consultation for the modification of resolution No. 519/15/CONS.</w:t>
      </w:r>
    </w:p>
    <w:p>
      <w:r>
        <w:t>22. The new regulation is contained in Article 8-quater of the draft regulation attached to said resolution 89/23/CONS, in which AGCom provided that the modification of contractual conditions containing a periodic adjustment to the consumer price index in the case of existing contracts must be accepted in writing by the end user and the operator is required not to propose, in the related communication, further alternatives, thus establishing the prohibition of including in the information to users any further communication that may mislead them from making informed contractual choices.</w:t>
      </w:r>
    </w:p>
    <w:p>
      <w:r>
        <w:rPr>
          <w:b/>
        </w:rPr>
        <w:t>[Pages 37–39]</w:t>
      </w:r>
    </w:p>
    <w:p>
      <w:r>
        <w:t>BULLETIN NO. 41 OF OCTOBER 30, 2023 39</w:t>
      </w:r>
    </w:p>
    <w:p>
      <w:r>
        <w:t>V. EVALUATION OF THE COMMITMENTS</w:t>
      </w:r>
    </w:p>
    <w:p>
      <w:r>
        <w:t>23. It is believed that the proposed commitments are suitable to remedy the possible misleading aspects of the commercial practice contested in the communication initiating the proceeding.</w:t>
      </w:r>
    </w:p>
    <w:p>
      <w:r>
        <w:t>24. In particular, the measures that Wind Tre commits to implement bring substantial benefits to the consumer-professional relationship for the reasons indicated below.</w:t>
      </w:r>
    </w:p>
    <w:p>
      <w:r>
        <w:t>V.1 Greater Clarity of Information</w:t>
      </w:r>
    </w:p>
    <w:p>
      <w:r>
        <w:t>25. First of all, the communication to customers - as restructured in the context of the commitments - appears suitable to fully inform about all the options available following the tariff maneuver implemented by the operator, allowing the user to make an informed choice. In fact, in a single message, the contents of the tariff maneuver, the available options, and the methods of adherence are reported. In this way, the uncertainty that was instead generated by sending, to the user who had already exercised the withdrawal (considering it the only available option), the information regarding the alternative possibility of remaining on the previous tariff plan is eliminated. Therefore, the contradiction between the information conveyed about the different options is also removed, as it is made clear that they are alternatives to each other.</w:t>
      </w:r>
    </w:p>
    <w:p>
      <w:r>
        <w:t>26. Furthermore, in the communication subject to commitment, the alternative provided to the user is not to activate to maintain the previous offer unchanged, but rather to adhere to a "new" and "different" offer (with the same costs as the previous one but with greater content) for which a prior and explicit consent is correctly requested.</w:t>
      </w:r>
    </w:p>
    <w:p>
      <w:r>
        <w:t>27. In the current context, where operators increasingly resort to tariff variations connected to market needs, the clarity of information and the correctness of the options presented to users represent a balance point with the legitimate exercise of the ius variandi (as per Article 98 - septies decies, paragraph 5, of the Electronic Communications Code).</w:t>
      </w:r>
    </w:p>
    <w:p>
      <w:r>
        <w:t>28. In light of all this, it is believed that the content of the commitment is suitable to fundamentally resolve the disputes raised at the outset.</w:t>
      </w:r>
    </w:p>
    <w:p>
      <w:r>
        <w:t>V.2 Additional Giga for Customers</w:t>
      </w:r>
    </w:p>
    <w:p>
      <w:r>
        <w:t>29. The confusion of the messages subject to initiation may have led users not to exercise either the option for additional content, nor the option to withdraw from the offer, nor the option to maintain the previous tariff plan. In response to this, the further commitment to provide additional Giga/speed of navigation to all users who have experienced the tariff increase without having benefited from the additional content then offered constitutes a form of "substantial" compensation for them from the harm caused by the conduct subject to initiation.</w:t>
      </w:r>
    </w:p>
    <w:p>
      <w:r>
        <w:t>30. Thanks to this specific measure, all customers affected by the maneuver subject to initiation who have experienced the price increase without enjoying the additional benefits ([1-5] million customers) will be placed in the same situation as those who have already enjoyed it by having exercised the opt-in proposed in the dual message.</w:t>
      </w:r>
    </w:p>
    <w:p>
      <w:r>
        <w:t>31. Finally, the commitment of Wind Tre to inform such customers that the provision of the additional benefit constitutes compliance with the commitments undertaken by the Authority in the context of the proceeding in question is commendable.</w:t>
      </w:r>
    </w:p>
    <w:p>
      <w:r>
        <w:t>40 BULLETIN NO. 41 OF OCTOBER 30, 2023</w:t>
      </w:r>
    </w:p>
    <w:p>
      <w:r>
        <w:t>32. In light of the above considerations, it is believed that the commitments presented - which are attached to this provision and constitute an integral part thereof - meet the requirements set forth in Article 27, paragraph 7, of the Consumer Code.</w:t>
      </w:r>
    </w:p>
    <w:p>
      <w:r>
        <w:t>CONSIDERING that the commitments presented by Wind Tre S.p.A., in the terms outlined above, are suitable to eliminate the possible aspects of unfairness of the commercial practice subject to investigation;</w:t>
      </w:r>
    </w:p>
    <w:p>
      <w:r>
        <w:t>CONSIDERING to impose the obligation of the aforementioned commitments on Wind Tre S.p.A.;</w:t>
      </w:r>
    </w:p>
    <w:p>
      <w:r>
        <w:t>CONSIDERING, therefore, that it is possible to close the proceeding without establishing the infringement;</w:t>
      </w:r>
    </w:p>
    <w:p>
      <w:r>
        <w:t>RESOLVES</w:t>
      </w:r>
    </w:p>
    <w:p>
      <w:r>
        <w:t>a) to make mandatory, towards Wind Tre S.p.A., pursuant to Article 27, paragraph 7, of the Consumer Code and Article 9, paragraph 2, letter a), of the Regulation, the commitments proposed on April 3, 2023, supplemented on June 6, 2023, attached to this provision, of which they constitute an integral part;</w:t>
      </w:r>
    </w:p>
    <w:p>
      <w:r>
        <w:t>b) to close the proceeding without establishing the infringement, pursuant to Article 27, paragraph 7, of the Consumer Code and Article 9, paragraph 2, letter a), of the Regulation;</w:t>
      </w:r>
    </w:p>
    <w:p>
      <w:r>
        <w:t>c) that Wind Tre S.p.A., within sixty days from the date of notification of this resolution, informs the Authority of the implementation of the commitments.</w:t>
      </w:r>
    </w:p>
    <w:p>
      <w:r>
        <w:t>Pursuant to Article 9, paragraph 3, of the Regulation, the proceeding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10,000,000 euros. In cases of repeated non-compliance, the Authority may order the suspension of business activity for a period not exceeding thirty days.</w:t>
      </w:r>
    </w:p>
    <w:p>
      <w:r>
        <w:t>This provision will be notified to the interested parties and published in the Bulletin of the Competition and Market Authority.</w:t>
      </w:r>
    </w:p>
    <w:p>
      <w:r>
        <w:t>THE SECRETARY GENERAL THE PRESIDENT</w:t>
      </w:r>
    </w:p>
    <w:p>
      <w:r>
        <w:t>Guido Stazi Roberto Rustichelli</w:t>
      </w:r>
    </w:p>
    <w:p>
      <w:r>
        <w:t>Competition and Market Authority Weekly Bulletin Year XXXIII - No. 41 - 2023</w:t>
      </w:r>
    </w:p>
    <w:p>
      <w:r>
        <w:t>Editorial Coordination Giulia Antenucci</w:t>
      </w:r>
    </w:p>
    <w:p>
      <w:r>
        <w:t>Editorial Staff Angela D’Auria, Valerio Ruocco, Manuela Villani</w:t>
      </w:r>
    </w:p>
    <w:p>
      <w:r>
        <w:t>Competition and Market Authority Document Management, Protocol, and Statistical Services</w:t>
      </w:r>
    </w:p>
    <w:p>
      <w:r>
        <w:t>Piazza Giuseppe Verdi, 6/a - 00198 Rome</w:t>
      </w:r>
    </w:p>
    <w:p>
      <w:r>
        <w:t>Tel.: 06-858211 Fax: 06-85821256</w:t>
      </w:r>
    </w:p>
    <w:p>
      <w:r>
        <w:t>Web: https://www.agcm.it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