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https://www.agcm.it/dotcmsdoc/bollettini/2024/41-24.pdf</w:t>
      </w:r>
    </w:p>
    <w:p>
      <w:r>
        <w:t>Pages translated : 11</w:t>
      </w:r>
    </w:p>
    <w:p/>
    <w:p>
      <w:r>
        <w:rPr>
          <w:b/>
        </w:rPr>
        <w:t>[Pages 1–3]</w:t>
      </w:r>
    </w:p>
    <w:p>
      <w:r>
        <w:t>Bulletin</w:t>
        <w:br/>
        <w:t>Weekly</w:t>
        <w:br/>
        <w:t>Year XXXIV - No. 41</w:t>
        <w:br/>
        <w:t>Published on the website www.agcm.it</w:t>
        <w:br/>
        <w:t>October 21, 2024</w:t>
      </w:r>
    </w:p>
    <w:p>
      <w:r>
        <w:t>SUMMARY</w:t>
        <w:br/>
        <w:t>CONCENTRATION OPERATIONS 5</w:t>
        <w:br/>
        <w:t>C12669 - DE AGOSTINI/SCHEMA C</w:t>
        <w:br/>
        <w:t>Measure no. 31338 5</w:t>
        <w:br/>
        <w:t>C12670 - GETEC ITALIA/C.E.I.–CALORE ENERGIA IMPIANTI</w:t>
        <w:br/>
        <w:t>Measure no. 31339 9</w:t>
      </w:r>
    </w:p>
    <w:p>
      <w:r>
        <w:t>BULLETIN NO. 41 OF OCTOBER 21, 2024 5</w:t>
        <w:br/>
        <w:t>CONCENTRATION OPERATIONS</w:t>
        <w:br/>
        <w:t>C12669 - DE AGOSTINI/SCHEMA C</w:t>
        <w:br/>
        <w:t>Measure no. 31338</w:t>
        <w:br/>
        <w:t>THE ITALIAN COMPETITION AUTHORITY</w:t>
        <w:br/>
        <w:t>IN ITS MEETING of October 2, 2024;</w:t>
        <w:br/>
        <w:t>HEARD the Rapporteur, Saverio Valentino;</w:t>
        <w:br/>
        <w:t>HAVING REGARD TO Regulation (EC) No. 139/2004;</w:t>
        <w:br/>
        <w:t>HAVING REGARD TO Law No. 287 of October 10, 1990;</w:t>
        <w:br/>
        <w:t>HAVING REGARD TO Presidential Decree No. 217 of April 30, 1998;</w:t>
        <w:br/>
        <w:t>HAVING REGARD TO the communication from De Agostini S.p.A., received on September 9, 2024;</w:t>
        <w:br/>
        <w:t>CONSIDERING the following:</w:t>
        <w:br/>
        <w:t>I. THE PARTIES</w:t>
        <w:br/>
        <w:t>1. De Agostini S.p.A. (hereinafter, "De Agostini"), with its registered office in Novara, is the operational and financial holding company at the head of the De Agostini Group, which, through various controlled companies, is active in the sectors of publishing, media &amp; communication, gaming and services, and financial activities. De Agostini is subject to the control of B&amp;D Holding S.p.A., which does not perform operational functions and is controlled by individuals.</w:t>
        <w:br/>
        <w:t>In 2023, the De Agostini Group achieved a worldwide turnover of [5-6]* billion euros, of which [1-2] billion euros from sales in Italy.</w:t>
        <w:br/>
        <w:t>2. Schema C S.p.A. (hereinafter, "Schema C"), with its registered office in Milan, is the holding company at the head of the Content Group and is exclusively active in the management of corporate participations. The Content Group is engaged in the production on behalf of third parties of pharmaceuticals, including for veterinary use, medical devices, and, to a marginal extent, cosmetics. These activities are carried out through two controlled companies, C.O.C. Farmaceutici S.r.l. (hereinafter, "COC") and Tubilux Pharma S.p.A. (hereinafter, "Tubilux").</w:t>
        <w:br/>
        <w:t>The share capital of Schema C is currently held by:</w:t>
        <w:br/>
        <w:t>- Aksìa Capital IV, to the extent of 64.4%;</w:t>
        <w:br/>
        <w:t>- Coc Farmaceutici S.à.r.l., to the extent of 15.8%;</w:t>
        <w:br/>
        <w:t>- Crown Global Secondaries Iv Plc, to the extent of 5.9%;</w:t>
        <w:br/>
        <w:t>- Crown Premium Private Equity Vii Master S.C.S., Sicav-Fis, to the extent of 3.2%;</w:t>
        <w:br/>
        <w:t>- Ssp 2017 L.P., to the extent of 1.6%;</w:t>
        <w:br/>
        <w:t>- Crown Europe Small Buyouts V S.C.S., to the extent of 0.8%;</w:t>
        <w:br/>
        <w:t>- by various individuals, each holding a share of less than 3%.</w:t>
        <w:br/>
        <w:t>In 2023, the Content Group achieved a total worldwide turnover of [35-100] million euros, of which [35-100] million euros from sales in Italy.</w:t>
        <w:br/>
        <w:t>* In this version, some data are omitted, as there are deemed to be elements of confidentiality or secrecy of the information.</w:t>
      </w:r>
    </w:p>
    <w:p>
      <w:r>
        <w:rPr>
          <w:b/>
        </w:rPr>
        <w:t>[Pages 4–6]</w:t>
      </w:r>
    </w:p>
    <w:p>
      <w:r>
        <w:t>6 BULLETIN NO. 41 OF 21 OCTOBER 2024</w:t>
      </w:r>
    </w:p>
    <w:p>
      <w:r>
        <w:t>II. DESCRIPTION OF THE TRANSACTION</w:t>
      </w:r>
    </w:p>
    <w:p>
      <w:r>
        <w:t>3. The notified transaction (hereinafter, "Transaction") consists of the acquisition by De Agostini of the entire share capital of Schema C, thereby acquiring exclusive control over it. Consequently, following the transaction, De Agostini will also exercise indirect control over COC and Tubilux.</w:t>
      </w:r>
    </w:p>
    <w:p>
      <w:r>
        <w:t>4. The Transaction is part of the diversification strategy pursued by De Agostini, which intends to expand its portfolio by investing in markets where the Group is currently not present.</w:t>
      </w:r>
    </w:p>
    <w:p>
      <w:r>
        <w:t>5. The Transaction is governed by a contract that also includes non-competition and non-solicitation clauses in favor of the purchaser. In particular, as agreed, the sellers commit to refrain - for a period of two years from the closing - from investing in, managing and/or controlling any business that, directly or indirectly, competes with the Target in any country where the latter operates. However, the contract provides [omitted]. Furthermore, for the same period, the sellers must refrain from soliciting and offering employment to anyone working for the Content Group or otherwise encouraging its employees to terminate their employment in order to offer them alternative employment.</w:t>
      </w:r>
    </w:p>
    <w:p>
      <w:r>
        <w:t>6. The Transaction has also been notified to the Presidency of the Council of Ministers on 3 September 2024, in order to obtain golden power authorization.</w:t>
      </w:r>
    </w:p>
    <w:p>
      <w:r>
        <w:t>III. QUALIFICATION OF THE TRANSACTION</w:t>
      </w:r>
    </w:p>
    <w:p>
      <w:r>
        <w:t>7. The Transaction, as it involves the acquisition of exclusive control of a company, constitutes a concentration pursuant to Article 5, paragraph 1, letter b), of Law No. 287/1990. It falls within the scope of application of Law No. 287/1990 as the conditions set out in Article 1 of Regulation (EC) 139/2004 do not apply, and it is subject to the obligation of prior notification, as provided for by Article 16, paragraph 1, of the same law, since the total turnover achieved, in the last financial year at the national level, by the group of interested companies exceeded 567 million euros and the total turnover achieved, in the last financial year at the national level, by at least two of the interested companies exceeded 35 million euros.</w:t>
      </w:r>
    </w:p>
    <w:p>
      <w:r>
        <w:t>8. The described non-competition and non-solicitation agreement can be considered directly connected and necessary for the realization of the Transaction, as it is functional to safeguarding the value of the acquired company, provided that it does not prevent the seller from acquiring or holding shares solely for financial investment purposes, without this resulting, directly or indirectly, in the assignment of management roles or substantial influence in the competing company, including in companies other than those listed on regulated markets and/or for financial holdings exceeding 2% of the share capital.</w:t>
      </w:r>
    </w:p>
    <w:p>
      <w:r>
        <w:t>IV. ASSESSMENT OF THE CONCENTRATION</w:t>
      </w:r>
    </w:p>
    <w:p>
      <w:r>
        <w:t>IV.1 Relevant markets from a product and geographical perspective</w:t>
      </w:r>
    </w:p>
    <w:p>
      <w:r>
        <w:t>9. Due to the activities carried out by the Target, the Transaction concerns the following markets:</w:t>
        <w:br/>
        <w:t>- development, production, and packaging of pharmaceutical products on behalf of third parties;</w:t>
        <w:br/>
        <w:t>- development, production, and packaging of dietary supplements, medical devices, and cosmetic products on behalf of third parties.</w:t>
      </w:r>
    </w:p>
    <w:p>
      <w:r>
        <w:t>10. According to the Authority's precedents, the market for the development, production, and packaging of pharmaceutical products on behalf of other pharmaceutical companies represents a single market, although it is possible, as deemed by the European Commission, to distinguish between the phases of development, production, and packaging of active ingredients and finished products. From a geographical perspective, considering the different regulations that still characterize the regulation of individual Member States of the European Union regarding drug production, the market is to be considered, as per the Authority's practice, of national scope.</w:t>
      </w:r>
    </w:p>
    <w:p>
      <w:r>
        <w:t>11. The market for the development, production, and packaging of dietary supplements, medical devices, and cosmetic products on behalf of third parties (so-called CDMO activities) can be segmented, from a product perspective, in relation to the different product categories and, therefore, to their intended uses. From a geographical perspective, this market assumes at least a national dimension.</w:t>
      </w:r>
    </w:p>
    <w:p>
      <w:r>
        <w:t>12. In any case, for the purposes of this Transaction, it does not appear necessary to arrive at an exact definition of the two markets either from a product perspective or from a geographical perspective, as the competitive assessment of the Transaction would not change.</w:t>
      </w:r>
    </w:p>
    <w:p>
      <w:r>
        <w:t>IV.2 Effects of the transaction</w:t>
      </w:r>
    </w:p>
    <w:p>
      <w:r>
        <w:t>13. The Transaction does not result in horizontal overlaps, as De Agostini is not active in the markets in which Schema C operates, and it does not produce vertical effects either, as De Agostini is not active in the upstream, downstream, or otherwise related markets to those in which the Target operates.</w:t>
      </w:r>
    </w:p>
    <w:p>
      <w:r>
        <w:t>14. In any case, it should be noted that Schema C holds a marginal position in the two markets identified above. In particular, in 2023, the national market share held by the Target in the market for the development, production, and packaging of pharmaceutical products on behalf of third parties is [less than 1%], while the national market share held regarding the activities of development, production, and packaging of dietary supplements, medical devices, and cosmetic products on behalf of third parties is approximately [5-10%]. Both markets are also characterized by the presence of numerous and qualified competitors.</w:t>
      </w:r>
    </w:p>
    <w:p>
      <w:r>
        <w:t>15. In light of the above considerations, the concentration under examination does not appear to significantly hinder effective competition in the relevant markets and does not lead to the establishment or strengthening of a dominant position.</w:t>
      </w:r>
    </w:p>
    <w:p>
      <w:r>
        <w:t>CONSIDERING, therefore, that the Transaction does not significantly hinder effective competition in the relevant markets pursuant to Article 6, paragraph 1, of Law No. 287/1990 and does not result in the establishment or strengthening of a dominant position;</w:t>
      </w:r>
    </w:p>
    <w:p>
      <w:r>
        <w:t>CONSIDERING, furthermore, that the non-competition obligations between the parties are ancillary to this transaction only to the limits described above and that the Authority reserves the right to assess, where the conditions exist, the aforementioned agreements that exceed the limits indicated therein;</w:t>
      </w:r>
    </w:p>
    <w:p>
      <w:r>
        <w:t>RESOLVES</w:t>
      </w:r>
    </w:p>
    <w:p>
      <w:r>
        <w:t>not to initiate the investigation referred to in Article 16, paragraph 4, of Law No. 287/1990.</w:t>
      </w:r>
    </w:p>
    <w:p>
      <w:r>
        <w:t>The conclusions mentioned above will be communicated, pursuant to Article 16, paragraph 4, of Law No. 287/1990, to the interested companies and to the Minister of Enterprises and Made in Italy.</w:t>
      </w:r>
    </w:p>
    <w:p>
      <w:r>
        <w:t>This provision will be published in the Bulletin of the Italian Competition Authority.</w:t>
      </w:r>
    </w:p>
    <w:p>
      <w:r>
        <w:t>THE SECRETARY GENERAL THE PRESIDENT</w:t>
      </w:r>
    </w:p>
    <w:p>
      <w:r>
        <w:t>Guido Stazi Roberto Rustichelli</w:t>
      </w:r>
    </w:p>
    <w:p>
      <w:r>
        <w:rPr>
          <w:b/>
        </w:rPr>
        <w:t>[Pages 7–9]</w:t>
      </w:r>
    </w:p>
    <w:p>
      <w:r>
        <w:t xml:space="preserve">BULLETIN NO. 41 OF 21 OCTOBER 2024 9  </w:t>
        <w:br/>
        <w:t xml:space="preserve">C12670 - GETEC ITALIA/C.E.I.–CALORE ENERGIA IMPIANTI  </w:t>
        <w:br/>
        <w:t xml:space="preserve">Measure no. 31339  </w:t>
        <w:br/>
        <w:t xml:space="preserve">THE ITALIAN COMPETITION AUTHORITY  </w:t>
        <w:br/>
        <w:t xml:space="preserve">IN ITS MEETING of 2 October 2024;  </w:t>
        <w:br/>
        <w:t xml:space="preserve">HEARD the Rapporteur, Saverio Valentino;  </w:t>
        <w:br/>
        <w:t xml:space="preserve">HAVING REGARD TO Regulation (EC) No. 139/2004;  </w:t>
        <w:br/>
        <w:t xml:space="preserve">HAVING REGARD TO Law No. 287 of 10 October 1990;  </w:t>
        <w:br/>
        <w:t xml:space="preserve">HAVING REGARD TO the Presidential Decree No. 217 of 30 April 1998;  </w:t>
        <w:br/>
        <w:t xml:space="preserve">HAVING REGARD TO the communication from Getec Italia S.p.A., received on 12 September 2024;  </w:t>
        <w:br/>
        <w:t xml:space="preserve">CONSIDERING the following  </w:t>
        <w:br/>
        <w:t xml:space="preserve">I. THE PARTIES  </w:t>
        <w:br/>
        <w:t xml:space="preserve">1. Getec Italia S.p.A. (hereinafter, “GETEC”), a portfolio company of the fund IIF Int’l Holding SCSp (hereinafter, “IIF Holding”), is an Italian company active, directly and through subsidiaries, in the development, design, construction, management, monitoring, and maintenance of energy generation and distribution systems as well as technical systems and components for construction, particularly for the industrial and real estate sectors. More specifically, GETEC operates as an Energy Service Company (hereinafter, “ESCo”) in the facility management sector and specializes in providing energy efficiency services. GETEC is wholly owned by G+E Getec Holding GmbH, which, in turn, is wholly owned by GolfBidCo GmbH, a company also wholly controlled, indirectly, by IIF Holding. The latter is part of an open fund specialized in the infrastructure sector, focusing on assets related to the production, supply, and transport of energy.  </w:t>
        <w:br/>
        <w:t xml:space="preserve">In 2023, GETEC achieved a global turnover of [1-2]* billion euros, of which [100-567] million euros in Italy. IIF Holding achieved a global turnover of [5-6] billion euros, of which [700-1,000] million euros in Italy.  </w:t>
        <w:br/>
        <w:t xml:space="preserve">2. C.E.I. S.p.A. Calore Energia Impianti (hereinafter, “CEI” or “Target”) is an Italian company active, as an ESCo, in the energy efficiency sector, through the provision, to public and private clients, of a range of services, including, inter alia, the development, installation, management, and maintenance of thermal systems.  </w:t>
        <w:br/>
        <w:t xml:space="preserve">70% of CEI's share capital is held by two individuals, each with a 35% stake. A third individual holds a 27.5% stake while the remaining 2.5% is held by a legal entity. None of CEI's shareholders exercises control over it.  </w:t>
        <w:br/>
        <w:t xml:space="preserve">In 2023, CEI achieved a turnover of [35-100] million euros, entirely generated in Italy.  </w:t>
        <w:br/>
        <w:t xml:space="preserve">II. DESCRIPTION OF THE TRANSACTION  </w:t>
        <w:br/>
        <w:t xml:space="preserve">3. The notified transaction (hereinafter, “Transaction”) consists of the acquisition by GETEC of exclusive control of CEI. In particular, as a result of the Transaction, GETEC will hold 70% of the share capital of the Target and the remaining 30% will be held by the aforementioned selling individuals.  </w:t>
        <w:br/>
        <w:t xml:space="preserve">According to the shareholders' agreement concluded between GETEC and the minority shareholders, the latter will not enjoy any governance prerogatives that would confer any form of control over CEI.  </w:t>
        <w:br/>
        <w:t xml:space="preserve">4. In order to preserve the goodwill and know-how of the Target (which possesses specific know-how in the energy efficiency sector), a non-competition obligation is imposed on the sellers concerning CEI's activities, limited to the Italian territory and for a period of five years from the completion of the transaction.  </w:t>
        <w:br/>
        <w:t xml:space="preserve">III. QUALIFICATION OF THE TRANSACTION  </w:t>
        <w:br/>
        <w:t xml:space="preserve">5. The Transaction, as it consists of the acquisition of control of a company, constitutes a concentration pursuant to Article 5, paragraph 1, letter b), of Law No. 287/1990. It does not present community dimensions as defined by Article 1 of Regulation (EC) 139/2004.  </w:t>
        <w:br/>
        <w:t xml:space="preserve">It is instead subject to the obligation of prior notification provided for by Article 16, paragraph 1, of Law No. 287/1990, as the total turnover achieved in the last financial year in Italy by the group of interested companies was over 567 million euros and the total turnover achieved in the last financial year at the national level, individually by each of the interested companies, was over 35 million euros1.  </w:t>
        <w:br/>
        <w:t xml:space="preserve">6. The non-competition clauses described above can be qualified as ancillary to the notified concentration, to the extent that they contain restrictions directly related to the realization of the Transaction. However, in order not to exceed the limits of what is reasonably required for this purpose, it is necessary that the temporal scope of the obligations does not exceed a period of three years2 from the completion of the transaction due to the subject matter of the transfer of the Transaction, which, in this case, includes both the goodwill of the business and the transfer of know-how.  </w:t>
        <w:br/>
        <w:t xml:space="preserve">IV. ASSESSMENT OF THE CONCENTRATION  </w:t>
        <w:br/>
        <w:t xml:space="preserve">IV.1 The relevant market  </w:t>
        <w:br/>
        <w:t xml:space="preserve">7. Due to the operations of the Target, the Transaction concerns the market for facility management services.  </w:t>
        <w:br/>
        <w:t xml:space="preserve">8. Facility management services are integrated services, required by both public entities and private parties, and involve activities related to the management of properties and buildings, along with their systems and related services.  </w:t>
        <w:br/>
        <w:t xml:space="preserve">Schematic representation of the services to be provided within facility management can be categorized as: maintenance services for the systems of a property; cleaning and environmental hygiene services for the spaces of a property, as well as other services related to property management (i.e. handling, internal logistics, surveillance).  </w:t>
        <w:br/>
        <w:t xml:space="preserve">1 See measure no. 31088 of 5 March 2024 “Reevaluation of turnover thresholds pursuant to Article 16, paragraph 1, of Law No. 287/90”, in Bulletin No. 10/2024.  </w:t>
        <w:br/>
        <w:t>2 See paragraph 18 of the “Commission Communication on restrictions directly related and necessary to concentrations (2005/C 56/03)”.</w:t>
      </w:r>
    </w:p>
    <w:p>
      <w:r>
        <w:t xml:space="preserve">BULLETIN NO. 41 OF 21 OCTOBER 2024 11  </w:t>
        <w:br/>
        <w:t xml:space="preserve">In particular, among the services related to property management are also those for heat management for buildings and energy and plant services, which consist of the management of thermal systems and the operation of energy and technological systems of buildings3.  </w:t>
        <w:br/>
        <w:t xml:space="preserve">9. Due to the characteristics of demand and supply, as well as the absence of administrative constraints limiting the exercise of activity to a local scope, the market in question can be considered of national geographical size4.  </w:t>
        <w:br/>
        <w:t xml:space="preserve">IV.2 Effects of the Transaction  </w:t>
        <w:br/>
        <w:t xml:space="preserve">10. In the relevant market identified above, both CEI and GETEC5 are present. In this market, GETEC holds a small share, equal to [1-5%], which as a result of the Transaction will increase by less than 1%. Furthermore, this market is characterized by the presence of numerous other qualified players of significant size6.  </w:t>
        <w:br/>
        <w:t xml:space="preserve">11. Neither GETEC nor any of the companies controlled by IIF Holding are active in Italy in markets that are upstream or downstream of the facility management market.  </w:t>
        <w:br/>
        <w:t xml:space="preserve">12. In light of the considerations outlined, the Transaction does not appear to be likely to produce adverse effects on competition, not resulting in any substantial change in the involved market.  </w:t>
        <w:br/>
        <w:t xml:space="preserve">CONSIDERING, therefore, that the Transaction does not significantly impede effective competition in the relevant markets pursuant to Article 6, paragraph 1, of Law No. 287/1990 and does not result in the establishment or strengthening of a dominant position;  </w:t>
        <w:br/>
        <w:t xml:space="preserve">CONSIDERING, furthermore, that the non-competition clauses can be considered ancillary to the Transaction only to the limits indicated and that the Authority reserves the right to assess, where the conditions exist, the aforementioned clauses that extend beyond those limits;  </w:t>
        <w:br/>
        <w:t xml:space="preserve">RESOLVES  </w:t>
        <w:br/>
        <w:t xml:space="preserve">not to initiate the investigation referred to in Article 16, paragraph 4, of Law No. 287/1990.  </w:t>
        <w:br/>
        <w:t xml:space="preserve">The conclusions mentioned above will be communicated, pursuant to Article 16, paragraph 4, of Law No. 287/1990, to the interested companies and to the Minister of Enterprises and Made in Italy.  </w:t>
        <w:br/>
        <w:t xml:space="preserve">This provision will be published in the Bulletin of the Italian Competition Authority.  </w:t>
        <w:br/>
        <w:t xml:space="preserve">THE SECRETARY GENERAL THE PRESIDENT  </w:t>
        <w:br/>
        <w:t xml:space="preserve">Guido Stazi Roberto Rustichelli  </w:t>
        <w:br/>
        <w:t xml:space="preserve">3 See measure no. 28329 of 4 August 2020, C12308 - Snam 4 Efficiency/Mieci-Evolve, in Bulletin No. 34/2020: measure no. 28529 of 26 January 2021, C12350 - Fincantieri Infrastrutture/Rami Di Azienda Di Inso-Sistemi per le infrastrutture sociali, in Bulletin No. 7/2021.  </w:t>
        <w:br/>
        <w:t xml:space="preserve">4 See ibidem.  </w:t>
        <w:br/>
        <w:t xml:space="preserve">5 No other company subject to the control of the IIF Holding fund is, however, active in this market in Italy.  </w:t>
        <w:br/>
        <w:t>6 Source: GETEC elaborations based on data from CESEF report (Center for Studies on the economy and management of energy efficiency, “The future of energy efficiency”, Report 2023). In this sense, see also the cited precedents C12308 and C12350.</w:t>
      </w:r>
    </w:p>
    <w:p>
      <w:r>
        <w:rPr>
          <w:b/>
        </w:rPr>
        <w:t>[Pages 10–11]</w:t>
      </w:r>
    </w:p>
    <w:p>
      <w:r>
        <w:t>12 BULLETIN NO. 41 OF 21 OCTOBER 2024</w:t>
      </w:r>
    </w:p>
    <w:p>
      <w:r>
        <w:t>Competition and Market Authority Weekly Bulletin</w:t>
        <w:br/>
        <w:t>Year XXXIV - No. 41 - 2024</w:t>
        <w:br/>
        <w:t>Editorial Coordination Giulia Antenucci</w:t>
        <w:br/>
        <w:t>Editorial Staff Angela D’Auria, Valerio Ruocco, Manuela Villani</w:t>
        <w:br/>
        <w:t>Italian Competition Authority</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