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https://www.agcm.it/dotcmsdoc/bollettini/2023/43-23.pdf</w:t>
      </w:r>
    </w:p>
    <w:p>
      <w:r>
        <w:t>Pages translated : 28</w:t>
      </w:r>
    </w:p>
    <w:p/>
    <w:p>
      <w:r>
        <w:rPr>
          <w:b/>
        </w:rPr>
        <w:t>[Pages 1–3]</w:t>
      </w:r>
    </w:p>
    <w:p>
      <w:r>
        <w:t>Bulletin</w:t>
        <w:br/>
        <w:t>Weekly</w:t>
        <w:br/>
        <w:t>Year XXXIII - No. 43</w:t>
        <w:br/>
        <w:t>Published on the website www.agcm.it</w:t>
        <w:br/>
        <w:t>November 13, 2023</w:t>
      </w:r>
    </w:p>
    <w:p>
      <w:r>
        <w:t>SUMMARY</w:t>
        <w:br/>
        <w:t>AGREEMENTS AND ABUSE OF DOMINANT POSITION 5</w:t>
        <w:br/>
        <w:t>I867 - INCREASES IN THE PRICES OF HOLLOW GLASS</w:t>
        <w:br/>
        <w:t>Decision No. 30847 5</w:t>
        <w:br/>
        <w:t>CONCENTRATION OPERATIONS 11</w:t>
        <w:br/>
        <w:t>C12563 - SPECIAL GLASSES/GENERALVETRI</w:t>
        <w:br/>
        <w:t>Decision No. 30843 11</w:t>
        <w:br/>
        <w:t>C12571 - RELIFE PAPER PACKAGING/SCATOLIFICIO DELES</w:t>
        <w:br/>
        <w:t>Decision No. 30844 12</w:t>
        <w:br/>
        <w:t>C12573 - PAG ITALY/SARMA NEWCO</w:t>
        <w:br/>
        <w:t>Decision No. 30845 16</w:t>
        <w:br/>
        <w:t>REPORTING AND CONSULTATIVE ACTIVITIES 21</w:t>
        <w:br/>
        <w:t>AS1922 – CONSIP - TENDER PROCEDURE FOR THE AWARD OF HEALTH AND</w:t>
        <w:br/>
        <w:t>21</w:t>
        <w:br/>
        <w:t>SAFETY SERVICES IN THE WORKPLACE FOR PUBLIC ADMINISTRATIONS</w:t>
        <w:br/>
        <w:t>AS1923 – MINISTRY OF CULTURE - RECOGNITION OF VALID ATTENDANCE CREDITS</w:t>
        <w:br/>
        <w:t>22</w:t>
        <w:br/>
        <w:t>FOR CULTURAL HERITAGE RESTORATION TECHNICIAN COURSES</w:t>
        <w:br/>
        <w:t>AS1924 - CITY OF MILAN - ASSIGNMENT TO MILANOSPORT OF THE SERVICE</w:t>
        <w:br/>
        <w:t>23</w:t>
        <w:br/>
        <w:t>FOR THE MANAGEMENT OF SPORTS AND RECREATIONAL FACILITIES</w:t>
        <w:br/>
        <w:t>UNFAIR TRADE PRACTICES 28</w:t>
        <w:br/>
        <w:t>PS12660 - INTESA SANPAOLO/ISYBANK – TRANSFER OF CURRENT ACCOUNTS</w:t>
        <w:br/>
        <w:t>Notice of initiation of investigation procedure 28</w:t>
      </w:r>
    </w:p>
    <w:p>
      <w:r>
        <w:t>BULLETIN NO. 43 OF NOVEMBER 13, 2023 5</w:t>
        <w:br/>
        <w:t>AGREEMENTS AND ABUSE OF DOMINANT POSITION</w:t>
        <w:br/>
        <w:t>I867 - INCREASES IN THE PRICES OF HOLLOW GLASS</w:t>
        <w:br/>
        <w:t>Decision No. 30847</w:t>
        <w:br/>
        <w:t>THE ANTITRUST AUTHORITY</w:t>
        <w:br/>
        <w:t>IN ITS MEETING of October 31, 2023</w:t>
        <w:br/>
        <w:t>HEARD the Rapporteur, Professor Elisabetta Iossa;</w:t>
        <w:br/>
        <w:t>HAVING REGARD to Article 101 of the Treaty on the Functioning of the European Union (TFEU);</w:t>
        <w:br/>
        <w:t>HAVING REGARD to Council Regulation (EC) No. 1/2003 of December 16, 2002;</w:t>
        <w:br/>
        <w:t>HAVING REGARD to Law No. 287 of October 10, 1990;</w:t>
        <w:br/>
        <w:t>HAVING REGARD to Presidential Decree No. 217 of April 30, 1998;</w:t>
        <w:br/>
        <w:t>HAVING REGARD to the report received on April 17, 2023, through the Authority's whistleblowing platform and its subsequent integrations, as well as the reports from Bottega S.p.A. dated July 26, 2023, subsequently supplemented on September 27, 2023, and from the Filiera Italia foundation dated July 26, 2023;</w:t>
        <w:br/>
        <w:t>HAVING REGARD to the documentation on file;</w:t>
        <w:br/>
        <w:t>CONSIDERING the following:</w:t>
        <w:br/>
        <w:t>I. THE PARTIES</w:t>
        <w:br/>
        <w:t>1. Berlin Packaging Italy S.p.A. (hereinafter, “Berlin Packaging”) is a company active in the wholesale trade of glassware and crystalware. Berlin Packaging is controlled by Berlin Packaging Holding Italy S.p.A., which is in turn controlled by Berlin Packaging Europe S.p.A., ultimately controlled by Berlin Packaging L.L.C., an American company, a global leader in packaging services. In 2022, Berlin Packaging's turnover was approximately 255 million euros.</w:t>
        <w:br/>
        <w:t>2. Bormioli Luigi S.p.A. (hereinafter, “Bormioli”) is a company active in the production of glass containers and is almost entirely controlled by Quartz Life S.p.A. In 2022, Bormioli's turnover was approximately 321 million euros.</w:t>
        <w:br/>
        <w:t>3. O-I Italy S.p.A. (hereinafter, “O-I”) is a company active in the production of glass products, particularly hollow glass products. O-I is controlled by OI European Group B.V. and, ultimately, by Owen Illinois Inc., an American company specialized in glass products for containers. In 2022, O-I's turnover was approximately 676 million euros.</w:t>
        <w:br/>
        <w:t>4. Verallia Italia S.p.A. (hereinafter, “Verallia”) is a company active in the production of glass jars and bottles. Verallia is controlled by the French company Verallia Packaging S.A.S., which is in turn controlled by Verallia France S.A.S. In 2022, Verallia's global turnover was approximately 723 million euros.</w:t>
      </w:r>
    </w:p>
    <w:p>
      <w:r>
        <w:rPr>
          <w:b/>
        </w:rPr>
        <w:t>[Pages 4–6]</w:t>
      </w:r>
    </w:p>
    <w:p>
      <w:r>
        <w:t>6 BULLETIN NO. 43 OF NOVEMBER 13, 2023</w:t>
      </w:r>
    </w:p>
    <w:p>
      <w:r>
        <w:t>5. Vetreria Cooperativa Piegarese Società Cooperativa (hereinafter, “Vetreria Piegarese”) is a company active in the production of glass artifacts. In 2022, the global turnover of Vetreria Piegarese was approximately 253 million euros.</w:t>
      </w:r>
    </w:p>
    <w:p>
      <w:r>
        <w:t>6. Vetreria Etrusca S.p.A. (hereinafter, “Vetreria Etrusca”) is a company, wholly controlled by Barfin S.p.A., active in the production and sale of glass items. In 2022, the turnover of Vetreria Etrusca was approximately 116 million euros.</w:t>
      </w:r>
    </w:p>
    <w:p>
      <w:r>
        <w:t>7. Vetri Speciali S.p.A. (hereinafter, “Vetri Speciali”) is a jointly controlled company by O-I and Zignago Vetro S.p.A., and is active in the production of special glass containers. In 2022, the turnover of Vetri Speciali was approximately 325 million euros.</w:t>
      </w:r>
    </w:p>
    <w:p>
      <w:r>
        <w:t>8. Vetropack Italia S.r.l. (hereinafter, “Vetropack”) is a company active in the manufacture of hollow glass and retail trade of items made of its own production. Vetropack is controlled by Vetropack Austria AG and Vetropack Holding AG with shares of 75% and 25%, respectively. In 2022, the turnover of Vetropack was approximately 132 million euros.</w:t>
      </w:r>
    </w:p>
    <w:p>
      <w:r>
        <w:t>9. Zignago Vetro S.p.A. (hereinafter, “Zignago Vetro”) is a company active in the production of glass containers primarily intended for beverages, food, and the cosmetics and perfumery sector. In 2022, the turnover of Zignago Vetro was approximately 356 million euros.</w:t>
      </w:r>
    </w:p>
    <w:p>
      <w:r>
        <w:t>The reporters</w:t>
      </w:r>
    </w:p>
    <w:p>
      <w:r>
        <w:t>10. In addition to an anonymous report sent through the Authority's whistleblowing platform, two further reports were received from Bottega S.p.A. and Fondazione Filiera Italia.</w:t>
      </w:r>
    </w:p>
    <w:p>
      <w:r>
        <w:t>11. Bottega S.p.A. (hereinafter, “Bottega”) is a company active in the production of wine, grappa, and spirits. In 2022, the turnover of Bottega was approximately 67 million euros.</w:t>
      </w:r>
    </w:p>
    <w:p>
      <w:r>
        <w:t>12. Fondazione Filiera Italia (hereinafter, “Filiera Italia”) operates for the distinctiveness of food, the protection of “Made in Italy,” and the fight against climate change. Filiera Italia is non-profit.</w:t>
      </w:r>
    </w:p>
    <w:p>
      <w:r>
        <w:t>II. THE FACT</w:t>
      </w:r>
    </w:p>
    <w:p>
      <w:r>
        <w:t>a. The reported conduct</w:t>
      </w:r>
    </w:p>
    <w:p>
      <w:r>
        <w:t>13. On April 17, 2023, via the whistleblowing platform, an anonymous report was received from a customer company of Berlin Packaging, O-I, Verallia, Vetreria Piegarese, Vetreria Etrusca, Vetri Speciali, and Zignago Vetro, some of the main producers and/or distributors of hollow glass in Italy, concerning allegedly restrictive conduct carried out by these operators in the market for the production of glass wine bottles.</w:t>
      </w:r>
    </w:p>
    <w:p>
      <w:r>
        <w:t>14. The evidence brought to the Authority's attention by the whistleblower concerns some letters and emails that would have been sent by Berlin Packaging, O-I, Verallia, Vetreria Piegarese, Vetreria Etrusca, Vetri Speciali, and Zignago Vetro to their customers in March and September 2022, to communicate generalized increases in the selling prices of bottles, due to the exponential increase in energy and raw material costs, agreed upon, as per practice, at the end of 2021 for the following year. In particular, these communications reportedly show significant similarities both in the amount of the communicated increases and in their literal formulation.</w:t>
      </w:r>
    </w:p>
    <w:p>
      <w:r>
        <w:t>15. The aforementioned increases would have been applied retroactively or with an effective date almost concurrent with the related communication for orders already placed or to be placed.</w:t>
      </w:r>
    </w:p>
    <w:p>
      <w:r>
        <w:t>16. On July 26, 2023, the company Bottega also reported the existence of a potential cartel among glass bottle producers.</w:t>
      </w:r>
    </w:p>
    <w:p>
      <w:r>
        <w:t>17. Specifically, it is alleged that, in the face of supply contracts concluded at the end of 2021 and valid for the entire year 2022, the producers Bormioli, O-I, Verallia, Vetropack, Vetri Speciali, and Zignago Vetro would have simultaneously requested, in March and August-September 2022, similar increases in their price lists, citing as main justifications the war in Ukraine and the consequent increase in energy costs. These increases, although presented by the producers as temporary, would have continued into 2023 despite the decrease in costs to which they would have been allegedly linked.</w:t>
      </w:r>
    </w:p>
    <w:p>
      <w:r>
        <w:t>18. Filiera Italia, in turn, complains of an increase in the cost of bottles greater than that recorded by other production factors and inflationary trends, “highlighting risks of distortions and possible market speculation.”</w:t>
      </w:r>
    </w:p>
    <w:p>
      <w:r>
        <w:t>b. The production of glass bottles in Italy</w:t>
      </w:r>
    </w:p>
    <w:p>
      <w:r>
        <w:t>19. The hollow glass used for packaging (bottles, flasks, and demijohns) is obtained from the melting process, at about 1,500 degrees, followed by blowing at very high temperatures into molds, of a mixture predominantly consisting of silica sand from quarries and soda, to which various stabilizing, refining, and melting carbonates are added. Instead of virgin raw materials, recycled glass scrap from the recovery of end-of-life packaging waste can be used. This scrap, called “ready for the furnace,” is currently used in Italian glassworks in large quantities. The production facilities for hollow glass and derivatives are evenly distributed throughout the national territory: they are furnaces that operate continuously (24 hours a day) and are highly energy-intensive; moreover, the furnaces are predominantly powered by natural gas.</w:t>
      </w:r>
    </w:p>
    <w:p>
      <w:r>
        <w:t>20. Wine bottles are distinguished by size, glass thickness, shoulder, shape, and base and vary depending on the type of wine to be bottled (red, white, sparkling, and frizzante/distilled wines). The most common model on the market is the so-called Bordeaux bottle, but there are also more than a hundred customized varieties. As for the capacity of the bottle, the standard is that which contains 0.75 liters of liquid; there are also the so-called demi-bouteille (0.375 liters), the 1-liter bottle, and magnums with capacities ranging from a minimum of 1.5 liters to 12 liters.</w:t>
      </w:r>
    </w:p>
    <w:p>
      <w:r>
        <w:t>21. In Italy, bottle producers prefer direct sales for larger customers, while for smaller ones, they rely on distributors located in the territory.</w:t>
      </w:r>
    </w:p>
    <w:p>
      <w:r>
        <w:t>22. ISTAT data for the ATECO 23.13 sector related to the production and processing of hollow glass, and in particular to the manufacture of bottles, show that throughout 2022 and also in the first half of 2023, the relevant internal price index at production has undergone a significant increase.</w:t>
      </w:r>
    </w:p>
    <w:p>
      <w:r>
        <w:t>23. Based on data published by the National Association of Glass Industries - Assovetro, to which Bormioli, O-I, Verallia, Vetreria Piegarese, Vetreria Etrusca, Vetri Speciali, Vetropack, and Zignago Vetro are associated, regarding bottles, in 2021, total production in Italy was 4,033,535 tons, with an increase of about 6% compared to 2020; in 2022, production rose to 4,104,343 tons, with an increase of 1.75% compared to 2021. Imports in 2021 amounted to 844,877 tons and in 2022 to 940,429 tons; exports in 2021 reached 337,292 tons and in 2022, the value of 322,300 tons, about 8% of total production.</w:t>
      </w:r>
    </w:p>
    <w:p>
      <w:r>
        <w:t>24. In more general terms, if we analyze the data from the years 2018 to 2022, there is a constant increase in production (except in 2020 due to the Covid-19 pandemic), imports, and apparent consumption of bottles. The volume of exports, however, although it experienced a slight increase in 2019, remains almost constant compared to the values of 2018.</w:t>
      </w:r>
    </w:p>
    <w:p>
      <w:r>
        <w:t>III. EVALUATIONS</w:t>
      </w:r>
    </w:p>
    <w:p>
      <w:r>
        <w:t>a. The affected sector and the relevant market</w:t>
      </w:r>
    </w:p>
    <w:p>
      <w:r>
        <w:t>25. The conduct subject to the proceedings, consisting of the possible coordinated increase in the list prices practiced by the companies involved in the proceedings, concerns the sector of production and marketing of glass wine bottles. On the supply side, this sector includes numerous companies of various sizes: the companies involved in the proceedings are among the main operators in Italy.</w:t>
      </w:r>
    </w:p>
    <w:p>
      <w:r>
        <w:t>26. According to consistent jurisprudential orientation regarding agreements,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can restrict or distort the competitive mechanism and to deciphering its degree of offensiveness.</w:t>
      </w:r>
    </w:p>
    <w:p>
      <w:r>
        <w:t>27. In this case, in a first approximation, the commodity market can be circumscribed to the production and marketing of glass wine bottles. From a geographical point of view, the affected market seems to have a national dimension considering the scope of activity of the companies involved.</w:t>
      </w:r>
    </w:p>
    <w:p>
      <w:r>
        <w:rPr>
          <w:b/>
        </w:rPr>
        <w:t>[Pages 7–9]</w:t>
      </w:r>
    </w:p>
    <w:p>
      <w:r>
        <w:t>BULLETIN NO. 43 OF NOVEMBER 13, 2023 9</w:t>
      </w:r>
    </w:p>
    <w:p>
      <w:r>
        <w:t>b. The conduct</w:t>
      </w:r>
    </w:p>
    <w:p>
      <w:r>
        <w:t>28. From the available information, it is reasonable to infer the existence, at least since the beginning of 2022, of a coordination of commercial strategies among the companies Berlin Packaging, Bormioli, O-I, Verallia, Vetreria Piegarese, Vetreria Etrusca, Vetri Speciali, Vetropack, and Zignago Vetro.</w:t>
      </w:r>
    </w:p>
    <w:p>
      <w:r>
        <w:t>29. The coordination of their respective commercial conduct particularly concerns the increase in the list prices of glass wine bottles to be applied to customers within the same time frame. Some of the communications sent to the informants present a formulation that is entirely similar and contain analogous variations in list prices, seemingly unjustified by the increase in raw material costs.</w:t>
      </w:r>
    </w:p>
    <w:p>
      <w:r>
        <w:t>30. The available documentation also indicates that, at an aggregate level, in the first half of 2023, the prices of hollow glass continued to rise and seems to suggest that some of the producers reported in the first half of 2023 have again raised their prices.</w:t>
      </w:r>
    </w:p>
    <w:p>
      <w:r>
        <w:t>31. Such conduct, if confirmed, would reveal the existence of an alteration of competitive dynamics among the major companies operating in the national market for the production and sale of hollow glass for wine bottles and could be the result of a horizontal agreement, in the form of an agreement and/or coordinated practice, aimed at avoiding a proper competitive confrontation among operators.</w:t>
      </w:r>
    </w:p>
    <w:p>
      <w:r>
        <w:t>c. The harm to intra-European trade</w:t>
      </w:r>
    </w:p>
    <w:p>
      <w:r>
        <w:t>32. The concept of harm to intra-European trade must be interpreted taking into account the direct or indirect, actual or potential influence on trade flows between Member States.</w:t>
      </w:r>
    </w:p>
    <w:p>
      <w:r>
        <w:t>33. Considering that the contested conduct could extend throughout the national territory and the openness of the affected market to foreign trade, the hypothesized agreement appears capable, if established, of harming trade between Member States and is therefore likely to constitute a violation of Article 101 of the TFEU.</w:t>
      </w:r>
    </w:p>
    <w:p>
      <w:r>
        <w:t>34. In conclusion, the set of elements on record allows for the hypothesis of the existence of a possible restrictive agreement among the Parties aimed at coordinating the price of glass wine bottles in violation of Article 101 of the TFEU.</w:t>
      </w:r>
    </w:p>
    <w:p>
      <w:r>
        <w:t>CONSIDERING, therefore, that the conduct described above, carried out by the companies Berlin Packaging Italy S.p.A., Bormioli Luigi S.p.A., O-I Italy S.p.A., Verallia Italia S.p.A., Vetreria Cooperativa Piegarese Società Cooperativa, Vetreria Etrusca S.p.A., Vetri Speciali S.p.A., Vetropack Italia S.r.l., and Zignago Vetro S.p.A. may constitute a restrictive agreement in violation of Article 101, paragraph 1, of the TFEU;</w:t>
      </w:r>
    </w:p>
    <w:p>
      <w:r>
        <w:t>10 BULLETIN NO. 43 OF NOVEMBER 13, 2023</w:t>
      </w:r>
    </w:p>
    <w:p>
      <w:r>
        <w:t>RESOLVES</w:t>
      </w:r>
    </w:p>
    <w:p>
      <w:r>
        <w:t>a) to initiate an investigation, pursuant to Article 14 of Law No. 287/1990, against the companies Berlin Packaging Italy S.p.A., Bormioli Luigi S.p.A., O-I Italy S.p.A., Verallia Italia S.p.A., Vetreria Cooperativa Piegarese Società Cooperativa, Vetreria Etrusca S.p.A., Vetri Speciali S.p.A., Vetropack Italia S.r.l., and Zignago Vetro S.p.A., to ascertain the existence of violations of Article 101, paragraph 1, of the TFEU;</w:t>
      </w:r>
    </w:p>
    <w:p>
      <w:r>
        <w:t>b) to set a deadline of sixty days from the notification of this provision for the exercise by the legal representatives of the Parties, or by persons delegated by them, of the right to be heard, specifying that the request for a hearing must be received by the Cartels, Leniency, and Whistleblowing Directorate of the Competition Department 1 of this Authority at least fifteen days before the expiration of the above-mentioned deadline;</w:t>
      </w:r>
    </w:p>
    <w:p>
      <w:r>
        <w:t>c) that the person responsible for the procedure is Dr. Giulia Cipolla;</w:t>
      </w:r>
    </w:p>
    <w:p>
      <w:r>
        <w:t>d) that the documents of the procedure can be viewed at the Cartels, Leniency, and Whistleblowing Directorate of the Competition Department 1 of this Authority by the legal representatives of the Parties, as well as by persons delegated by them;</w:t>
      </w:r>
    </w:p>
    <w:p>
      <w:r>
        <w:t>e) that the procedure must be concluded by December 31, 2024.</w:t>
      </w:r>
    </w:p>
    <w:p>
      <w:r>
        <w:t>This provision will be notified to the interested parties and published in the Bulletin of the Competition and Market Authority.</w:t>
      </w:r>
    </w:p>
    <w:p>
      <w:r>
        <w:t>THE SECRETARY GENERAL THE PRESIDENT</w:t>
      </w:r>
    </w:p>
    <w:p>
      <w:r>
        <w:t>Guido Stazi Roberto Rustichelli</w:t>
      </w:r>
    </w:p>
    <w:p>
      <w:r>
        <w:t>BULLETIN NO. 43 OF NOVEMBER 13, 2023 11</w:t>
      </w:r>
    </w:p>
    <w:p>
      <w:r>
        <w:t>CONCENTRATION OPERATIONS</w:t>
      </w:r>
    </w:p>
    <w:p>
      <w:r>
        <w:t>C12563 - VETRI SPECIALI/GENERALVETRI</w:t>
      </w:r>
    </w:p>
    <w:p>
      <w:r>
        <w:t>Provision No. 30843</w:t>
      </w:r>
    </w:p>
    <w:p>
      <w:r>
        <w:t>THE COMPETITION AND MARKET AUTHORITY</w:t>
      </w:r>
    </w:p>
    <w:p>
      <w:r>
        <w:t>IN ITS MEETING of October 24, 2023;</w:t>
      </w:r>
    </w:p>
    <w:p>
      <w:r>
        <w:t>HEARD the Rapporteur, Professor Elisabetta Iossa;</w:t>
      </w:r>
    </w:p>
    <w:p>
      <w:r>
        <w:t>HAVING REGARD to Law No. 287 of October 10, 1990;</w:t>
      </w:r>
    </w:p>
    <w:p>
      <w:r>
        <w:t>HAVING REGARD to the Presidential Decree No. 217 of April 30, 1998;</w:t>
      </w:r>
    </w:p>
    <w:p>
      <w:r>
        <w:t>HAVING REGARD to the communication from the company Vetri Speciali S.p.A., received on August 18, 2023;</w:t>
      </w:r>
    </w:p>
    <w:p>
      <w:r>
        <w:t>HAVING REGARD to the request for information, sent on September 7, 2023, with consequent interruption of the deadlines pursuant to Article 5, paragraph 3, of the Presidential Decree No. 217 of April 30, 1998;</w:t>
      </w:r>
    </w:p>
    <w:p>
      <w:r>
        <w:t>HAVING REGARD to the communication received from Vetri Speciali S.p.A. on October 17, 2023, whereby the formal withdrawal of the notification of the operation was communicated;</w:t>
      </w:r>
    </w:p>
    <w:p>
      <w:r>
        <w:t>CONSIDERING that the notification form for the concentration operation, received on August 18, 2023, has been formally withdrawn and that, therefore, there is no need to take action in relation to it;</w:t>
      </w:r>
    </w:p>
    <w:p>
      <w:r>
        <w:t>RESOLVES</w:t>
      </w:r>
    </w:p>
    <w:p>
      <w:r>
        <w:t>that no action is required.</w:t>
      </w:r>
    </w:p>
    <w:p>
      <w:r>
        <w:t>The above conclusions will be communicated, pursuant to Article 16, paragraph 4, of Law No. 287/1990, to the interested companies and to the Minister of Enterprises and Made in Italy.</w:t>
      </w:r>
    </w:p>
    <w:p>
      <w:r>
        <w:t>This provision will be published in the Bulletin of the Competition and Market Authority.</w:t>
      </w:r>
    </w:p>
    <w:p>
      <w:r>
        <w:t>THE SECRETARY GENERAL THE PRESIDENT</w:t>
      </w:r>
    </w:p>
    <w:p>
      <w:r>
        <w:t>Guido Stazi Roberto Rustichelli</w:t>
      </w:r>
    </w:p>
    <w:p>
      <w:r>
        <w:rPr>
          <w:b/>
        </w:rPr>
        <w:t>[Pages 10–12]</w:t>
      </w:r>
    </w:p>
    <w:p>
      <w:r>
        <w:t xml:space="preserve">12 BULLETIN NO. 43 OF NOVEMBER 13, 2023  </w:t>
        <w:br/>
        <w:t xml:space="preserve">C12571 - RELIFE PAPER PACKAGING/SCATOLIFICIO DELES  </w:t>
        <w:br/>
        <w:t xml:space="preserve">Decision No. 30844  </w:t>
        <w:br/>
        <w:t xml:space="preserve">THE ANTITRUST AUTHORITY  </w:t>
        <w:br/>
        <w:t xml:space="preserve">IN ITS MEETING of October 24, 2023;  </w:t>
        <w:br/>
        <w:t xml:space="preserve">HEARD the Rapporteur, Professor Elisabetta Iossa;  </w:t>
        <w:br/>
        <w:t xml:space="preserve">HAVING REGARD to Regulation (EC) No. 139/2004 of the Council of January 20, 2004, concerning the control of concentrations between undertakings;  </w:t>
        <w:br/>
        <w:t xml:space="preserve">HAVING REGARD to Law No. 287 of October 10, 1990;  </w:t>
        <w:br/>
        <w:t xml:space="preserve">HAVING REGARD to the Presidential Decree No. 217 of April 30, 1998;  </w:t>
        <w:br/>
        <w:t xml:space="preserve">HAVING REGARD to the communication from ReLife Paper Packaging S.r.l., received on October 4, 2023;  </w:t>
        <w:br/>
        <w:t xml:space="preserve">HAVING REGARD to the documentation on file;  </w:t>
        <w:br/>
        <w:t xml:space="preserve">CONSIDERING the following:  </w:t>
        <w:br/>
        <w:t xml:space="preserve">I. THE PARTIES  </w:t>
        <w:br/>
        <w:t xml:space="preserve">1. ReLife Paper Packaging S.r.l. (hereinafter, “ReLife Paper”) is a company active in the production of corrugated cardboard sheets and corrugated cardboard packaging.  </w:t>
        <w:br/>
        <w:t xml:space="preserve">ReLife Paper is a division of the ReLife Group, which is engaged in managing the entire process of enhancing separate waste collection, from the collection of industrial waste to the recovery of urban and industrial waste, to the final sale of products derived from selected waste. With its four divisions - Recycling, Paper Mill, ReLife Paper, and Plastic Packaging - the ReLife Group, among other things, produces and markets new packaging, goods, and products through the transformation of waste, in a perspective of circular economy.  </w:t>
        <w:br/>
        <w:t xml:space="preserve">The ReLife Group is controlled by F2i SGR S.p.A., a savings management company that manages a closed-end alternative investment fund (F2i - Fund for Sustainable Infrastructures) and three closed-end reserved alternative investment funds (F2i - Second Italian Fund for Infrastructures, F2i - Third Fund for Infrastructures, and the ANIA F2i Fund).  </w:t>
        <w:br/>
        <w:t xml:space="preserve">The global turnover achieved by F2i SGR S.p.A. in 2022 was approximately [9-10]* billion euros, of which approximately [9-10] billion euros were achieved in the European Union and approximately [8-9] billion euros were achieved in Italy.  </w:t>
        <w:br/>
        <w:t xml:space="preserve">2. Scatolificio DE.LE.S. S.p.A. (hereinafter, “Scatolificio Deles”) is a company active in the production and marketing of corrugated cardboard packaging, through its plant in Origgio (VA).  </w:t>
        <w:br/>
        <w:t xml:space="preserve">Scatolificio Deles also holds the entire share capital of Ondulati Menegazzi S.r.l. (hereinafter, together with Scatolificio Deles, “Deles Group”), a company specialized in the production and marketing of open wave corrugated cardboard sheets, through its plant in Nerviano (MI).  </w:t>
        <w:br/>
        <w:t xml:space="preserve">The turnover achieved by Scatolificio Deles in 2022 was between [32-100] million euros, of which approximately [32-100] million euros were achieved in the European Union and approximately [32-100] million euros were achieved in Italy.  </w:t>
        <w:br/>
        <w:t xml:space="preserve">II. DESCRIPTION OF THE TRANSACTION  </w:t>
        <w:br/>
        <w:t xml:space="preserve">3. The notified transaction consists of the acquisition by ReLife Paper of exclusive control of Scatolificio Deles.  </w:t>
        <w:br/>
        <w:t xml:space="preserve">4. A non-compete agreement is provided for, lasting five years from the closing of the transaction, under which the sellers commit to refrain, within the national territory, (i) from engaging, in any capacity, in activities in competition with the Deles Group, (ii) from acquiring, in any capacity, activities in competition with those currently carried out by the Deles Group, and (iii) from hiring or contacting for the purpose of hiring, collaboration, or consultancy, executives, managers, agents, or clients of the Deles Group who, at the date of closing, are employed by or collaborate with such Group or with ReLife Paper.  </w:t>
        <w:br/>
        <w:t xml:space="preserve">III. QUALIFICATION OF THE TRANSACTION  </w:t>
        <w:br/>
        <w:t xml:space="preserve">5. The notified transaction constitutes a concentration within the meaning of Article 5, paragraph 1, letter b), of Law No. 287/1990, as it involves the acquisition of exclusive control of undertakings.  </w:t>
        <w:br/>
        <w:t xml:space="preserve">6.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undertakings concerned was over 532 million euros and the turnover achieved individually at the national level by at least two of the undertakings concerned was over 32 million euros.  </w:t>
        <w:br/>
        <w:t xml:space="preserve">7. The non-compete agreement and the non-solicitation agreement described above can be qualified as ancillary to the notified concentration, as they are functional to safeguarding the value of the acquired undertaking, provided that they are limited to a duration of two years.  </w:t>
        <w:br/>
        <w:t xml:space="preserve">IV. ASSESSMENT OF THE CONCENTRATION  </w:t>
        <w:br/>
        <w:t xml:space="preserve">a. Relevant markets  </w:t>
        <w:br/>
        <w:t xml:space="preserve">8. From a product perspective, considering the activity of the acquired undertaking, the transaction concerns the market for the production and sale of corrugated cardboard sheets and the market for the production and marketing of corrugated cardboard packaging.  </w:t>
        <w:br/>
        <w:t xml:space="preserve">9. Regarding the market for corrugated cardboard sheets, these are typically made using two smooth layers of paper that contain at least one corrugated paper (the sheets can be single, double, or triple wave, and the waves can be distinguished based on height).  </w:t>
        <w:br/>
        <w:t xml:space="preserve">These sheets are primarily used for the production of packaging intended for the protection of various foodstuffs, consumer goods, and merchandise.  </w:t>
        <w:br/>
        <w:t xml:space="preserve">From a geographical perspective, in line with national and European Union guidelines, the market for corrugated cardboard sheets should be considered of national or sub-national size. In this specific case, however, an exact definition of the geographical size of the market does not appear necessary, as even considering the most restrictive hypothesis, it would not change the competitive assessment of the transaction.  </w:t>
        <w:br/>
        <w:t xml:space="preserve">10. The market for corrugated cardboard packaging involves the conversion of corrugated cardboard sheets into packaging boxes of various sizes for the transport of goods.  </w:t>
        <w:br/>
        <w:t xml:space="preserve">From a geographical perspective, in line with national and European Union guidelines, the identified market has a local dimension, coinciding within a radius of 300 km from the target's plant.  </w:t>
        <w:br/>
        <w:t xml:space="preserve">b. Effects of the transaction  </w:t>
        <w:br/>
        <w:t xml:space="preserve">11. According to the information provided, in 2022 approximately 3.1 billion square meters of corrugated cardboard sheets and approximately 4.9 billion square meters of corrugated cardboard packaging were produced at the national level.  </w:t>
        <w:br/>
        <w:t xml:space="preserve">12. Also according to the information provided, in the national market for the production and sale of corrugated cardboard sheets, following the transaction, the Parties will hold a joint market share, calculated in volumes, of [1-5%] at the national level. Even if a more limited geographical area is considered, within a radius of 200-400 km from the target's plant in Nerviano, the joint market share of the Parties, according to the estimates provided, would be of a similar size and still well below 25%.  </w:t>
        <w:br/>
        <w:t xml:space="preserve">In this market, there are numerous competitors, with much higher shares than those held by the Parties, including DS Smith, Smurfit Kappa, and Pro-Gest Group, capable of exerting significant competitive pressure.  </w:t>
        <w:br/>
        <w:t xml:space="preserve">13. In the downstream market for the production and sale of packaging, the joint market share of the Parties in volumes will be approximately [1-5%], and there are numerous qualified competitors, including multinationals, with significant market shares, including DS Smith Packaging, Smurfit Kappa, Pro-Gest, and others.  </w:t>
        <w:br/>
        <w:t xml:space="preserve">14. Based on the considerations made, it is believed that the transaction will not give rise to significant horizontal effects from a competitive perspective, nor is it likely to produce restrictive vertical effects, considering the limited shares held by the Parties in the relevant markets.  </w:t>
        <w:br/>
        <w:t xml:space="preserve">15. Ultimately, in light of the limited market position of ReLife Paper and Scatolificio Deles, it is believed that the transaction is not likely to raise competitive concerns in the reference markets, nor will it result in substantial structural changes.  </w:t>
        <w:br/>
        <w:t xml:space="preserve">3 See decision of July 17, 2019, No. 27849, I805 - Prices of corrugated cardboard, in Bulletin No. 32/2019; decision of September 7, 2021, No. 29815, C12390 - Smurfit Kappa Italia / Business branches of Burgo Group, in Bulletin No. 38/2021 and decision of the Commission of November 14, 2018, M8915 - DS Smith / Europac.  </w:t>
        <w:br/>
        <w:t xml:space="preserve">4 M.8915 - DS Smith / Europac, cited. See also C12398 - F21 SGR/Relife and I805 - Prices of corrugated cardboard, cited.  </w:t>
        <w:br/>
        <w:t xml:space="preserve">5 Processing by the Parties based on the GIFCO 2022 report.  </w:t>
        <w:br/>
        <w:t>6 I805 - Prices of corrugated cardboard, cited.</w:t>
      </w:r>
    </w:p>
    <w:p>
      <w:r>
        <w:rPr>
          <w:b/>
        </w:rPr>
        <w:t>[Pages 13–15]</w:t>
      </w:r>
    </w:p>
    <w:p>
      <w:r>
        <w:t>BULLETIN NO. 43 OF NOVEMBER 13, 2023 15</w:t>
      </w:r>
    </w:p>
    <w:p>
      <w:r>
        <w:t>CONSIDERED, therefore, that the transaction in question does not significantly impede effective competition in the relevant markets pursuant to Article 6, paragraph 1, of Law No. 287/1990 and does not result in the establishment or strengthening of a dominant position;</w:t>
      </w:r>
    </w:p>
    <w:p>
      <w:r>
        <w:t>CONSIDERED, furthermore, that the non-compete agreement and the non-solicitation agreement described in the previous paragraph 4 are directly connected and necessary to the concentration operation only within the indicated time limits and that the Authority reserves the right to evaluate, where the conditions exist, the aforementioned agreements that are realized beyond the time indicated therein;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Made in Italy.</w:t>
      </w:r>
    </w:p>
    <w:p>
      <w:r>
        <w:t>This provision will be published in the Bulletin of the Competition and Market Authority.</w:t>
      </w:r>
    </w:p>
    <w:p>
      <w:r>
        <w:t>THE SECRETARY GENERAL THE PRESIDENT</w:t>
      </w:r>
    </w:p>
    <w:p>
      <w:r>
        <w:t>Guido Stazi Roberto Rustichelli</w:t>
      </w:r>
    </w:p>
    <w:p>
      <w:r>
        <w:t>16 BULLETIN NO. 43 OF NOVEMBER 13, 2023</w:t>
      </w:r>
    </w:p>
    <w:p>
      <w:r>
        <w:t>C12573 - PAG ITALY/SARMA NEWCO</w:t>
      </w:r>
    </w:p>
    <w:p>
      <w:r>
        <w:t>Provision No. 30845</w:t>
      </w:r>
    </w:p>
    <w:p>
      <w:r>
        <w:t>THE COMPETITION AND MARKET AUTHORITY</w:t>
      </w:r>
    </w:p>
    <w:p>
      <w:r>
        <w:t>IN ITS MEETING of October 24, 2023;</w:t>
      </w:r>
    </w:p>
    <w:p>
      <w:r>
        <w:t>HEARD the Rapporteur, Saverio Valentino;</w:t>
      </w:r>
    </w:p>
    <w:p>
      <w:r>
        <w:t>SEEN Regulation (EC) No. 139/2004 of the Council of January 20, 2004, concerning the control of concentrations between undertakings;</w:t>
      </w:r>
    </w:p>
    <w:p>
      <w:r>
        <w:t>SEEN Law No. 287 of October 10, 1990;</w:t>
      </w:r>
    </w:p>
    <w:p>
      <w:r>
        <w:t>SEEN Presidential Decree No. 217 of April 30, 1998;</w:t>
      </w:r>
    </w:p>
    <w:p>
      <w:r>
        <w:t>SEEN the communication made by the company PAG Italy S.r.l., received on October 6, 2023;</w:t>
      </w:r>
    </w:p>
    <w:p>
      <w:r>
        <w:t>SEEN the documentation on file;</w:t>
      </w:r>
    </w:p>
    <w:p>
      <w:r>
        <w:t>CONSIDERED the following:</w:t>
      </w:r>
    </w:p>
    <w:p>
      <w:r>
        <w:t>I. THE PARTIES</w:t>
      </w:r>
    </w:p>
    <w:p>
      <w:r>
        <w:t>1. PAG Italy S.r.l. (hereinafter, "PAG Italy") is a company active, through its subsidiaries, in the retail sale of new and used motor vehicles, in the sale of spare parts, and in the provision of repair and after-sales assistance services through nineteen sales points located in Emilia Romagna and Lombardy. The brands represented by PAG Italy are BMW, MINI, Audi, Land Rover, Maserati, Porsche, and Volvo. PAG Italy belongs to the PAG Group, at the top of which is Penske Corporation, Inc.</w:t>
      </w:r>
    </w:p>
    <w:p>
      <w:r>
        <w:t>2. In 2022, PAG Italy achieved a consolidated worldwide turnover of approximately 639 million euros, entirely generated in the European Union, of which approximately [532-700]* million euros from sales in Italy.</w:t>
      </w:r>
    </w:p>
    <w:p>
      <w:r>
        <w:t>3. The subject of acquisition is Sarma NewCo S.r.l. (hereinafter, "Sarma NewCo"), a business branch of Sarma S.p.A. (hereinafter, "Sarma") related to the activity of authorized dealership of BMW and Mini cars and the trade of related accessories and spare parts, as well as the provision of assistance and maintenance services currently carried out in Saronno (VA), which will be conducted exclusively in one of the sales points currently operated by Sarma.</w:t>
      </w:r>
    </w:p>
    <w:p>
      <w:r>
        <w:t>4. The share capital of Sarma is held by MCM S.r.l. (25%), Marifin S.r.l. (25%), Milano Krea Design S.r.l. (5%), and, for the remaining part, by three individuals.</w:t>
      </w:r>
    </w:p>
    <w:p>
      <w:r>
        <w:t>5. In 2022, the business branch subject to acquisition, merged into Sarma NewCo, achieved a worldwide turnover of approximately [32-100] million euros, entirely generated in the European Union, of which approximately [32-100] million euros from sales in Italy.</w:t>
      </w:r>
    </w:p>
    <w:p>
      <w:r>
        <w:t>* In this version, some data are omitted, as elements of confidentiality or secrecy of the information were deemed to exist.</w:t>
      </w:r>
    </w:p>
    <w:p>
      <w:r>
        <w:t>BULLETIN NO. 43 OF NOVEMBER 13, 2023 17</w:t>
      </w:r>
    </w:p>
    <w:p>
      <w:r>
        <w:t>II. DESCRIPTION OF THE TRANSACTION</w:t>
      </w:r>
    </w:p>
    <w:p>
      <w:r>
        <w:t>6. The transaction in question consists of the acquisition by PAG Italy of the entire share capital of a newly established company, named Sarma NewCo, to which the business branch of Sarma related to the activity of authorized dealership of BMW and Mini cars operated in Saronno (VA) will be previously transferred.</w:t>
      </w:r>
    </w:p>
    <w:p>
      <w:r>
        <w:t>7. The preliminary contract for the acquisition of the business branch includes a non-compete agreement, according to which the seller commits not to directly or indirectly engage in the activities of the business branch being sold. In particular, [omitted].</w:t>
      </w:r>
    </w:p>
    <w:p>
      <w:r>
        <w:t>III. QUALIFICATION OF THE TRANSACTION</w:t>
      </w:r>
    </w:p>
    <w:p>
      <w:r>
        <w:t>8. The notified transaction constitutes a concentration pursuant to Article 5, paragraph 1, letter b), of Law No. 287/1990, as it involves the acquisition of exclusive control of part of an undertaking.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interested undertakings exceeded 532 million euros and the turnover achieved individually at the national level by at least two of the interested undertakings exceeded 32 million euros.</w:t>
      </w:r>
    </w:p>
    <w:p>
      <w:r>
        <w:t>9. The non-compete agreement signed by the parties and described in the previous paragraph can be considered directly connected and necessary for the realization of the concentration operation in question, as it is functional to safeguarding the value of the acquired undertaking, provided that it is geographically limited to the area of activity of the acquired undertaking, temporally to a period of two years, and does not prevent the seller from acquiring or holding shares solely for financial investment purposes.</w:t>
      </w:r>
    </w:p>
    <w:p>
      <w:r>
        <w:t>IV. EVALUATION OF THE CONCENTRATION</w:t>
      </w:r>
    </w:p>
    <w:p>
      <w:r>
        <w:t>IV.1. The product market</w:t>
      </w:r>
    </w:p>
    <w:p>
      <w:r>
        <w:t>10. From a commodity perspective, the sectors affected by the transaction in question are those in which the business branch subject to acquisition operates, namely: i) the retail distribution of passenger vehicles; ii) the retail distribution of spare parts for passenger vehicles and commercial vehicles; iii) after-sales services of assistance, maintenance, and repair of vehicles. PAG Italy is also active in iv) the wholesale sale of passenger vehicles.</w:t>
      </w:r>
    </w:p>
    <w:p>
      <w:r>
        <w:rPr>
          <w:b/>
        </w:rPr>
        <w:t>[Pages 16–18]</w:t>
      </w:r>
    </w:p>
    <w:p>
      <w:r>
        <w:t>18 BULLETIN NO. 43 OF NOVEMBER 13, 2023</w:t>
      </w:r>
    </w:p>
    <w:p>
      <w:r>
        <w:t>11. The market for the retail distribution of passenger vehicles involves the distribution of vehicles by dealers to end consumers. Manufacturers market their vehicles through distribution companies (controlled companies or third-party operators) which, in turn, utilize a network of dealers that carry out sales activities to customers. Within this market, different segments can be identified, distinguishing, in addition to new and used vehicles, based on performance, size, and price of the marketed cars. However, dealers frequently distribute various types of products (city cars, mid-range, upper-range, etc.), and the differences have been decreasing over the years due to manufacturers' tendency to offer more accessories even for medium and small displacement cars. For the purposes of this transaction, however, it does not appear necessary to arrive at an exact delineation of the market.</w:t>
      </w:r>
    </w:p>
    <w:p>
      <w:r>
        <w:t>12. Within the sector of marketing parts and accessories, which includes automotive spare parts, two types of products can be identified: original and equivalent (of corresponding quality). Original spare parts are marketed under the manufacturer's brand; equivalent spare parts, on the other hand, are supplied by independent operators in the component sector, who may also supply the same manufacturers.</w:t>
      </w:r>
    </w:p>
    <w:p>
      <w:r>
        <w:t>13. The prices of equivalent spare parts are significantly lower, varying depending on the type of spare part considered. Furthermore, the different types of automotive spare parts (gaskets, pads, shock absorbers, belts, spark plugs, filters, lighting, etc.) are not substitutable from the final demand side, which evidently depends on the maintenance or repair intervention to be carried out. However, there is a significant substitutability from the demand side between original and equivalent spare parts (provided they are of corresponding quality), varying based on the age and economic class of the vehicle, as well as the type of spare part. From the supply side, moreover, the assistance centers of manufacturers (generally dealerships and authorized workshops) can retail both original and equivalent spare parts. Finally, from the supply side, operators generally distribute a wide range of spare parts. For the purposes of this transaction, however, it does not appear necessary to arrive at an exact delineation of the market.</w:t>
      </w:r>
    </w:p>
    <w:p>
      <w:r>
        <w:t>14. The market for after-sales service for vehicles is characterized by extreme fragmentation of supply. The repair and maintenance activity is, in fact, carried out by a wide range of operators such as: authorized dealerships and retailers; independent workshops; service stations; specialized auto centers; quick service assistance (the warranty assistance activity is, however, carried out by the same dealers of the manufacturers or by other parties authorized by them). For the purposes of this transaction, however, it does not appear necessary to arrive at an exact delineation of the market.</w:t>
      </w:r>
    </w:p>
    <w:p>
      <w:r>
        <w:t>15. With reference to the wholesale market for passenger vehicles, it is possible to distinguish the wholesale distribution of motor vehicles from the retail distribution of motor vehicles, since wholesale sales among professionals have characteristics that are entirely different from those that characterize sales of vehicles from professionals to consumers at the retail distribution level. This market is upstream of the retail distribution market for passenger vehicles.</w:t>
      </w:r>
    </w:p>
    <w:p>
      <w:r>
        <w:t>IV.2. The geographical market</w:t>
      </w:r>
    </w:p>
    <w:p>
      <w:r>
        <w:t>16. Regarding the geographical scope of markets sub i)-iii), it is noted that, due to consumer purchasing behaviors and, in particular, the importance they attribute to the proximity of sales and service points, it is considered that it should be local. In various precedents related to the markets in question, the Authority has defined local markets based on administrative boundaries, of a provincial type, also considering the possibility of defining markets constituted by the areas around sales points reachable within a certain period of time (so-called isochrone), thus taking into account the size of the catchment areas of the individual sales points of the companies involved and the mobility propensity from the demand side.</w:t>
      </w:r>
    </w:p>
    <w:p>
      <w:r>
        <w:t>17. The notifying party believes that it is possible to hypothesize the existence of a catchment area identified by the areas located around dealers reachable within 40 or 60 minutes of driving for market sub i) and within 20 minutes of driving for markets sub ii) and sub iii). For the purposes of this decision, however, it does not appear necessary to precisely delineate the geographical extent of the markets, as this would not affect the assessment of the transaction in question.</w:t>
      </w:r>
    </w:p>
    <w:p>
      <w:r>
        <w:t>18. With reference to the wholesale market for passenger vehicles (sub iv), it is possible, prima facie, to consider that the relevant markets have a broader geographical dimension compared to retail distribution, considering that the demand comes from professional operators active throughout the territory. For the purposes of this transaction, however, it does not appear necessary to precisely delineate the geographical extent of the markets, that is, whether it has a national or sub-national dimension, as this would not affect the assessment of the transaction in question.</w:t>
      </w:r>
    </w:p>
    <w:p>
      <w:r>
        <w:t>IV.3. Effects of the transaction</w:t>
      </w:r>
    </w:p>
    <w:p>
      <w:r>
        <w:t>19. The business branch subject to acquisition consists of Sarma's activities related to the authorized dealership of BMW and Mini vehicles operated in Saronno (VA), as well as the related activities of selling accessories and spare parts and providing assistance and maintenance.</w:t>
      </w:r>
    </w:p>
    <w:p>
      <w:r>
        <w:t>20. The concentration operation does not appear to produce significant effects on competition. In fact, considering a provincial definition of the relevant markets sub i)-iii), there are no horizontal overlaps between the companies subject to concentration operating in different provinces and which would have market shares significantly below 10% in all provinces, except for Bologna, where PAG Italy holds a share below 20%.</w:t>
      </w:r>
    </w:p>
    <w:p>
      <w:r>
        <w:t>21. Adopting a definition of the geographical market that takes into account the actual catchment areas within the same travel radius (isochrone), there would be horizontal overlaps between the Sarma NewCo sales point located in Saronno and some sales points of PAG Italy located in the provinces of Milan and Monza Brianza. However, even in this case, due to the value and volumes of sales, as well as the market shares of the parts, there would be no significant overlaps. Furthermore, there would be qualified operators, active both with respect to other automotive brands and in the marketing of BMW and Mini vehicles, and in the offering of spare parts and assistance services for such vehicles.</w:t>
      </w:r>
    </w:p>
    <w:p>
      <w:r>
        <w:t>22. With reference to the wholesale market for passenger vehicles (sub iv), it is noted that in this market only PAG Italy is active, with a national share of less than 1%. Due to the position held by PAG Italy in the upstream market and that held by the two companies subject to concentration in the downstream markets, it is believed that there are no significant vertical risks consisting of the limitation of the supply and/or outlet markets (vertical foreclosure).</w:t>
      </w:r>
    </w:p>
    <w:p>
      <w:r>
        <w:t>23. In consideration of the arguments presented, it is believed that in the affected markets the transaction will not have adverse effects on competition, not significantly altering the effective competition therein and not resulting in the establishment or strengthening of a dominant position.</w:t>
      </w:r>
    </w:p>
    <w:p>
      <w:r>
        <w:t>THEREFORE, it is deemed that the transaction in question does not significantly impede, pursuant to Article 6, paragraph 1, of Law No. 287/1990, effective competition in the affected markets and does not result in the establishment or strengthening of a dominant position;</w:t>
      </w:r>
    </w:p>
    <w:p>
      <w:r>
        <w:t>IT IS FURTHER DEEMED that the non-compete obligations between the parties are accessory to this transaction only to the limits described above and that the Authority reserves the right to evaluate, where the conditions exist, the aforementioned agreements that are realized beyond the limits indicated therein;</w:t>
      </w:r>
    </w:p>
    <w:p>
      <w:r>
        <w:t>DECIDES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Competition and Market Authority.</w:t>
      </w:r>
    </w:p>
    <w:p>
      <w:r>
        <w:t>THE SECRETARY GENERAL THE PRESIDENT</w:t>
      </w:r>
    </w:p>
    <w:p>
      <w:r>
        <w:t>Guido Stazi Roberto Rustichelli</w:t>
      </w:r>
    </w:p>
    <w:p>
      <w:r>
        <w:rPr>
          <w:b/>
        </w:rPr>
        <w:t>[Pages 19–21]</w:t>
      </w:r>
    </w:p>
    <w:p>
      <w:r>
        <w:t>BULLETIN NO. 43 OF NOVEMBER 13, 2023 21</w:t>
        <w:br/>
        <w:t>ACTIVITY OF REPORTING AND CONSULTATION</w:t>
        <w:br/>
        <w:t>AS1922 – CONSIP - TENDER PROCEDURE FOR THE AWARD OF HEALTH AND SAFETY SERVICES IN THE WORKPLACES FOR PUBLIC ADMINISTRATIONS</w:t>
        <w:br/>
        <w:t>Rome, September 1, 2023</w:t>
        <w:br/>
        <w:t>Ministry of Economy and Finance</w:t>
        <w:br/>
        <w:t>With reference to the request for an opinion, formulated pursuant to Article 22 of Law No. 287/1990, by this Ministry, concerning the tender procedure for the award of a Framework Agreement pursuant to and for the effects of Article 59, paragraph 4, letter a), of the new Public Procurement Code (Legislative Decree No. 36/2023) and Article 2, paragraph 225, of Law No. 191/2009, concerning health and safety services in the workplaces for Public Administrations under Article 1 of Legislative Decree No. 165/2001, as well as for other entities authorized to use the Framework Agreement under current legislation, which will be called through the Public IT Services Concessionaire – CONSIP S.p.A., it is communicated that the Italian Competition Authority (hereinafter, Authority), in its meeting of August 29, 2023, deemed that the provisions contained in the draft tender documentation transmitted are substantially in line with the guidelines already expressed regarding tender notices.</w:t>
        <w:br/>
        <w:t>In any case, the Authority reserves the right to evaluate the outcomes of the tender, should elements emerge during its conduct that could configure anti-competitive violations.</w:t>
        <w:br/>
        <w:t>This opinion will be published in the Bulletin of the Italian Competition Authority following the publication of the tender notice in question.</w:t>
        <w:br/>
        <w:t>THE PRESIDENT</w:t>
        <w:br/>
        <w:t>Roberto Rustichelli</w:t>
        <w:br/>
        <w:t>1 See, inter alia, and in particular on tender notices prepared by CONSIP S.p.A., AS251 – TENDER NOTICES PREPARED BY THE PUBLIC IT SERVICES CONCESSIONAIRE - CONSIP S.P.A., opinion published in the Authority's Bulletin No. 5/2003, AS1244-CONSIP-TENDER FOR THE AWARD OF SERVICES RELATED TO THE INTEGRATED MANAGEMENT OF HEALTH AND SAFETY IN THE WORKPLACES OF PUBLIC ADMINISTRATIONS, opinion published in the Authority's Bulletin No. 48/2015, AS1329 - CONSIP - TENDER FOR THE SUPPLY OF DEFIBRILLATORS FOR PUBLIC ADMINISTRATIONS – EDITION 1, opinion published in the Authority's Bulletin No. 45/2016.</w:t>
      </w:r>
    </w:p>
    <w:p>
      <w:r>
        <w:t>22 BULLETIN NO. 43 OF NOVEMBER 13, 2023</w:t>
        <w:br/>
        <w:t>AS1923 – MINISTRY OF CULTURE - RECOGNITION OF VALID ATTENDANCE CREDITS FOR CULTURAL HERITAGE RESTORATION TECHNICIAN COURSES</w:t>
        <w:br/>
        <w:t>Rome, October 3, 2023</w:t>
        <w:br/>
        <w:t>Ministry of Culture</w:t>
        <w:br/>
        <w:t>With reference to the request for an opinion formulated pursuant to Article 3, paragraph 3, of Legislative Decree No. 142/2020 by this Ministry regarding the draft Agreement in the Permanent Conference for the relations between the State, the Regions, and the Autonomous Provinces of Trento and Bolzano concerning the recognition of valid attendance credits for Cultural Heritage Restoration Technician courses, the Italian Competition Authority, in its meeting of September 26, 2023, observed the following.</w:t>
        <w:br/>
        <w:t>In light of the reasons highlighted in the documentation attached to the request for an opinion, the modifications intended to be introduced in the stipulating Agreement, with particular reference to access to the profession of Cultural Heritage Restoration Technician, made specifically easier through the recognition of so-called attendance training credits - arising from the possession of certain educational qualifications and/or professional experience in the sector - applicable to the requirements for obtaining the relevant certificate, appear proportionate to the objectives pursued and non-discriminatory.</w:t>
        <w:br/>
        <w:t>The proposed draft Agreement, simplifying access to the profession and thus favoring an increase in the supply in the labor market of the relevant professional figures, does not appear suitable to introduce unjustified restrictions on competition in the sector in question.</w:t>
        <w:br/>
        <w:t>This opinion will be published in the Bulletin of the Italian Competition Authority.</w:t>
        <w:br/>
        <w:t>Any confidentiality needs must be expressed within thirty days from the receipt of this opinion, specifying the reasons.</w:t>
        <w:br/>
        <w:t>THE PRESIDENT</w:t>
        <w:br/>
        <w:t>Roberto Rustichelli</w:t>
      </w:r>
    </w:p>
    <w:p>
      <w:r>
        <w:t>BULLETIN NO. 43 OF NOVEMBER 13, 2023 23</w:t>
        <w:br/>
        <w:t>AS1924 - CITY OF MILAN - AWARD TO THE COMPANY MILANOSPORT OF THE MANAGEMENT SERVICE OF SPORTS AND RECREATIONAL FACILITIES</w:t>
        <w:br/>
        <w:t>Rome, October 26, 2023</w:t>
        <w:br/>
        <w:t>City of Milan</w:t>
        <w:br/>
        <w:t>The Italian Competition Authority, in its meeting of October 24, 2023, resolved to formulate some observations, pursuant to Article 21 of Law No. 287/1990, regarding the competition issues arising from the award of the management service of sports and recreational facilities, bathing centers, and municipal swimming pools to the company Milanosport S.p.A. (hereinafter also “Milanosport”).</w:t>
        <w:br/>
        <w:t>The Authority, in the exercise of its institutional duties, is conducting a monitoring activity of the awards of local public services of economic relevance, also by virtue of the entry into force of Legislative Decree No. 201/2022, on the "Reorganization of the regulation of local public services of economic relevance."</w:t>
        <w:br/>
        <w:t>In the context of the aforementioned activity, the acts of the City of Milan published on August 31, 2023, on the telematic portal of the National Anti-Corruption Authority, in the section called "Transparency SPL," related to the award of the management service of sports and recreational facilities, bathing centers, and municipal swimming pools (also "sports facilities") have been examined.</w:t>
        <w:br/>
        <w:t>In particular, from these acts it emerged that Milanosport is a company wholly owned by the City of Milan and that, at present, manages in-house twenty-four sports facilities of the City of Milan.</w:t>
        <w:br/>
        <w:t>With specific reference to the duration of the award, it is noted that the management of the sports facilities and related services has been entrusted to Milanosport de facto since 1964, that is, since the establishment of the Milanese Center for Sport and Recreation, which was later transformed into a joint-stock company with the current name in 1991.</w:t>
        <w:br/>
        <w:t>In 1994, the City Council approved the concession to the new Milanosport Company for the management of certain sports and bathing centers. Upon the expiration of the agreement, in 1998, the City approved the renewal of the award of the sports facilities until June 12, 1999.</w:t>
        <w:br/>
        <w:t>Before the expiration of the agreement between the City and Milanosport, the City Council renewed it under the same conditions as the previous one.</w:t>
        <w:br/>
        <w:t>In 2001, following the modification of the existing contract concerning the award to Milanosport of the sports and bathing centers with a contract for the award and management of sports and recreational facilities, the City of Milan deemed it appropriate to provide for a duration of the new contract of</w:t>
      </w:r>
    </w:p>
    <w:p>
      <w:r>
        <w:rPr>
          <w:b/>
        </w:rPr>
        <w:t>[Pages 22–24]</w:t>
      </w:r>
    </w:p>
    <w:p>
      <w:r>
        <w:t>24 BULLETIN NO. 43 OF NOVEMBER 13, 2023</w:t>
      </w:r>
    </w:p>
    <w:p>
      <w:r>
        <w:t>eighteen years starting from the signing of the service contract. Since this contract was signed by the parties on January 14, 2002, the concession was supposed to naturally expire in January 2020.</w:t>
      </w:r>
    </w:p>
    <w:p>
      <w:r>
        <w:t>However, in the years 2004-2005, the Municipality of Milan decided to "provide for the revision of the existing contractual relationship with the company MilanoSport S.p.A. [...] establishing the following essential elements: a) duration of the contract with the company equal to thirty years from the date of signing the contract revision." Consequently, the duration of the concession was extended from November 18, 2005, the date of signing the revised contract, until the end of 2035.</w:t>
      </w:r>
    </w:p>
    <w:p>
      <w:r>
        <w:t>In 2018, the City Council again provided guidance to modify the duration of the service contract for an additional thirty years. In 2020, the Municipality then approved "the update of the Service Contract between the Municipality and MilanoSport S.p.A. aimed at regulating the relationships with the aforementioned Company for a duration of 30 (thirty) years starting from its signing." Considering that the aforementioned contract was signed by the parties on December 31, 2020, the concession for the management of the sports facilities owned by the Municipality of Milan, along with the other activities provided for by the corporate purpose, is extended until December 31, 2050.</w:t>
      </w:r>
    </w:p>
    <w:p>
      <w:r>
        <w:t>All of this premised, the Authority believes it must make the following considerations. Article 178 of Legislative Decree No. 36/2023 and Article 19 of Legislative Decree No. 201/2022 now expressly codify the principle of limited and determined duration of concessions and the principle of proportionality, according to which the duration of concessions must not exceed the time necessary to amortize investments and to remunerate the invested capital.</w:t>
      </w:r>
    </w:p>
    <w:p>
      <w:r>
        <w:t>Moreover, even before the entry into force of these rules, the Authority has repeatedly expressed itself emphasizing that, in the case of the concession of goods or services, the duration must be temporally limited due to its potentially contrary impact on the principles of free competition, equal treatment, and non-discrimination. Even in cases of concessions that require investments, the duration should not exceed the time necessary for the concessionaire to recover those investments and to receive a return on the invested capital.</w:t>
      </w:r>
    </w:p>
    <w:p>
      <w:r>
        <w:t>According to the Authority's orientation, furthermore, the possibility of extending the concession beyond the terms set in the original award procedure should represent a completely exceptional and temporally limited circumstance, due to its potentially contrary impact on the principles of free competition, equal treatment, and non-discrimination.</w:t>
      </w:r>
    </w:p>
    <w:p>
      <w:r>
        <w:t>The extension indeed prolongs the duration of the contract, preventing the resort to more efficient management of local public services, for which it is essential that "the instrument of extension is confined to exceptional and unpredictable situations that cannot be managed otherwise," such that they do not exceed the real needs of the administrations, in a perspective of necessity and proportionality, to allow as soon as possible the use of suitable instruments to promote an efficient use of public resources. Moreover, the system of extensions also constitutes a restriction on the freedom of establishment and the free provision of services as per Articles 49 and 56 TFEU, as they are capable of unjustifiably delaying and hindering the awarding of local public services in the territory through a procedure compliant with the current legislation and the competitive principles contained therein.</w:t>
      </w:r>
    </w:p>
    <w:p>
      <w:r>
        <w:t>In this specific case, it must be considered that the concession for the management of the 24 municipal sports facilities to MilanoSport is therefore not compliant with the aforementioned competitive principles, both due to the unjustified extensions of the concession that have persisted over the years, and due to the duration of the concessions themselves, and finally for the lack of justification regarding the reasons for not resorting to the market.</w:t>
      </w:r>
    </w:p>
    <w:p>
      <w:r>
        <w:t>As for the duration aspect, the documentation on file shows that since 1994 the Municipality of Milan has entrusted the management service of the sports facilities to the company MilanoSport. To date, the concession for the service in question is expected to last until 2050, thus for a total period of fifty-six years. In particular, within the last concession (dating back to 2001), the service contract has been extended twice, well before the natural expiration of the contract itself: the first time (in 2004) just two years after the award resolution, while the second time (in 2018) about seventeen years before the expiration of the service contract. Thus, in both cases, when the new duration of the service contract between the Municipality of Milan and MilanoSport was established, the term had not expired, nor was its expiration imminent.</w:t>
      </w:r>
    </w:p>
    <w:p>
      <w:r>
        <w:t>The duration of the concession, also in light of the intervening extensions, must therefore be considered disproportionate, resulting in the exclusion of the service concession from competitive comparison and thus frustrating one of the objectives pursued by the community-based legislation dictated by the public contracts code.</w:t>
      </w:r>
    </w:p>
    <w:p>
      <w:r>
        <w:t>The long duration of the concession to MilanoSport for the management of twenty-four sports facilities of the Municipality of Milan is not justified by the investments made by the company. The reasons put forward by the Municipality to justify the changes in the duration of the concession in favor of MilanoSport are absolutely generic and not anchored to the investments made by the same company MilanoSport. Specifically, in 2004, the modification of the duration of the contract was granted "in order to incentivize the company MilanoSport S.p.A. to relaunch the quality of the facilities entrusted to it for management"; in 2018, to implement the "Guidelines for industrial development and investments and for the revision of the service contract." Especially in this latter case, it is worth highlighting the contradiction in the reasoning, considering that Resolution No. 15/2018 entrusts the direct management of extraordinary maintenance to the Municipality, and not to MilanoSport, as well as any further investments.</w:t>
      </w:r>
    </w:p>
    <w:p>
      <w:r>
        <w:t>The extensions of the concession have led to an additional critical issue arising from the circumvention of the regulations regarding in-house awarding of public services, with reference to the need to justify the reasons for not resorting to the market, which was already required by the regulations in force at the time.</w:t>
      </w:r>
    </w:p>
    <w:p>
      <w:r>
        <w:t>In particular, reference is made to the provisions (now repealed) of Article 34, paragraph 20, of Decree Law No. 179/2012, according to which "the awarding of the service is carried out on the basis of a specific report, published on the website of the awarding entity, which accounts for the reasons and the existence of the requirements provided for by European law for the chosen form of awarding," and to Article 192, paragraph 2, of Legislative Decree No. 50/2016, which states that "for the purposes of in-house awarding of a contract concerning services available on the market in a competitive regime, contracting authorities shall first carry out an assessment of the economic adequacy of the offer from in-house entities, taking into account the object and value of the service, accounting for the reasons for not resorting to the market in the motivation of the awarding provision."</w:t>
      </w:r>
    </w:p>
    <w:p>
      <w:r>
        <w:t>In this regard, it is noted that while it is true that the aforementioned provisions were not in force in 2001, when the resolution for the awarding of the service for a duration of eighteen years was approved, they were however in force in 2018 and 2020, that is, when the Municipality extended the duration of the service contract and the concession until 2050, without taking into account the changed regulatory context.</w:t>
      </w:r>
    </w:p>
    <w:p>
      <w:r>
        <w:t>From the above, it clearly emerges a distorted use of the institution of extension, with particularly long and unjustified durations, to which the Municipality of Milan has resorted in order to maintain the management of the sports facilities of the Municipality in the hands of a subject, moreover inefficient, circumventing the pro-competitive regulations regarding the concession of services and the awarding of local public services already in force at the time.</w:t>
      </w:r>
    </w:p>
    <w:p>
      <w:r>
        <w:t>Therefore, the Authority hopes that the Municipality of Milan will implement all necessary measures to ensure a correct conduct of competitive dynamics in the awarding procedures for the management service of sports and recreational facilities, bathing centers, and municipal swimming pools, in order to guarantee, for the benefit of users, that the service is provided with high levels of quality, safety, and under the best economic conditions.</w:t>
      </w:r>
    </w:p>
    <w:p>
      <w:r>
        <w:rPr>
          <w:b/>
        </w:rPr>
        <w:t>[Pages 25–27]</w:t>
      </w:r>
    </w:p>
    <w:p>
      <w:r>
        <w:t>BULLETIN NO. 43 OF NOVEMBER 13, 2023 27</w:t>
      </w:r>
    </w:p>
    <w:p>
      <w:r>
        <w:t>The Authority invites the Municipality of Milan to communicate, within thirty days from the receipt of this notification, the initiatives taken regarding the highlighted competitive issues.</w:t>
      </w:r>
    </w:p>
    <w:p>
      <w:r>
        <w:t>This notification will be published in the Bulletin of the Antitrust Authority.</w:t>
      </w:r>
    </w:p>
    <w:p>
      <w:r>
        <w:t>THE PRESIDENT</w:t>
      </w:r>
    </w:p>
    <w:p>
      <w:r>
        <w:t>Roberto Rustichelli</w:t>
      </w:r>
    </w:p>
    <w:p>
      <w:r>
        <w:t>28 BULLETIN NO. 43 OF NOVEMBER 13, 2023</w:t>
      </w:r>
    </w:p>
    <w:p>
      <w:r>
        <w:t>UNFAIR TRADE PRACTICES</w:t>
      </w:r>
    </w:p>
    <w:p>
      <w:r>
        <w:t>PS12660 - INTESA SANPAOLO/ISYBANK – TRANSFER OF CURRENT ACCOUNTS</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 PS12660 Intesa Sanpaolo/Isybank – Transfer of current accounts.</w:t>
      </w:r>
    </w:p>
    <w:p>
      <w:r>
        <w:t>THE PARTIES</w:t>
      </w:r>
    </w:p>
    <w:p>
      <w:r>
        <w:t>1. Intesa Sanpaolo S.p.A. (hereinafter, Intesa Sanpaolo), as a professional, pursuant to Article 18, paragraph 1, letter b), of the Consumer Code. Intesa Sanpaolo is one of the main banking operators in the Italian market.</w:t>
      </w:r>
    </w:p>
    <w:p>
      <w:r>
        <w:t>2. Isybank S.p.A. (hereinafter, also Isybank), as a professional, pursuant to Article 18, paragraph 1, letter b), of the Consumer Code. Isybank is an exclusively digital bank that is part of the Intesa Sanpaolo group.</w:t>
      </w:r>
    </w:p>
    <w:p>
      <w:r>
        <w:t>II. THE COMMERCIAL PRACTICE</w:t>
      </w:r>
    </w:p>
    <w:p>
      <w:r>
        <w:t>According to the information acquired for the application of the Consumer Code and the numerous reports from individual consumers, it has emerged that the companies Intesa Sanpaolo and Isybank would have engaged in a commercial practice likely to violate consumer protection regulations. The Intesa Sanpaolo Group, in fact, has defined a reorganization project concerning the transfer of hundreds of thousands of current accounts from Intesa Sanpaolo to the digital bank Isybank. In particular, the plan provides for the transfer to Isybank of customers that Intesa Sanpaolo defines, in the communication sent, as "predominantly digital," that is, customers who "are familiar with digital services and channels, as well as consumer customers who, in any case, make no or limited use of the branch." The investigation focuses on the methods by which the two companies communicated and executed the transfer. In fact, numerous consumers have complained that the communication was delivered in internet banking or in the Intesa Sanpaolo app without any particular prominence and during a time of year largely coinciding with the summer holidays. Therefore, account holders would not have been fully aware of the transfer of their account to another operator and often only learned of it after the deadline set by Intesa Sanpaolo to express their refusal to the transfer. Furthermore, the transition to the new banking operator would entail significant changes to the contractual conditions in place with Intesa Sanpaolo and the methods of service utilization. In fact, there will be no physical branches to turn to, as Isybank is a completely digital operator with which one can only interact through smartphones and not also via the browser of their personal computer as was the case with Intesa Sanpaolo; some functionalities and services present in Intesa Sanpaolo are absent in Isybank, and finally, some consumers have highlighted an increase in account maintenance costs that would be higher than those of the Intesa Sanpaolo current account.</w:t>
      </w:r>
    </w:p>
    <w:p>
      <w:r>
        <w:t>The conduct of the professionals could, therefore, constitute a violation of Articles 21 and 22 of the Consumer Code as they would have disseminated the communication to account holders through methods that appear misleading and omissive, presenting it ambiguously and without the appropriate emphasis considering the importance of the issue at hand, as well as a violation of Articles 24 and 25 of the Consumer Code, since the conduct appears capable of significantly limiting the freedom of choice and behavior of the involved consumers and, therefore, seems likely to induce them to make a commercial decision they would not have otherwise made, namely the decision to switch from Intesa Sanpaolo to Isybank. Finally, the professionals do not seem to have adopted all necessary measures to ensure full compliance with the contractual rights of their account holders, in potential violation of the duty of professional diligence prescribed by Article 20 of the Consumer Code.</w:t>
      </w:r>
    </w:p>
    <w:p>
      <w:r>
        <w:t>III. NOTICE</w:t>
      </w:r>
    </w:p>
    <w:p>
      <w:r>
        <w:t>Through this notice, interested parties who have submitted a request for intervention pursuant to Article 4 of the Regulation are informed that, with communication dated November 2, 2023, an investigative proceeding has been initiated against the Professionals aimed at ascertaining any violation of Articles 20, 21, 22, 24, and 25 of the Consumer Code.</w:t>
      </w:r>
    </w:p>
    <w:p>
      <w:r>
        <w:t>For any communication addressed to the Authority regarding the case in question, please refer to the Directorate for Credit, Insurance, Postal Services, Tourism, and Sports of the Department for Consumer Protection 2 and the reference PS12660.</w:t>
      </w:r>
    </w:p>
    <w:p>
      <w:r>
        <w:rPr>
          <w:b/>
        </w:rPr>
        <w:t>[Pages 28–28]</w:t>
      </w:r>
    </w:p>
    <w:p>
      <w:r>
        <w:t>Antitrust Authority Weekly Bulletin</w:t>
        <w:br/>
        <w:t>of Competition and Market Year XXXIII - No. 43 - 2023</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