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https://www.agcm.it/dotcmsdoc/bollettini/2024/43-24.pdf</w:t>
      </w:r>
    </w:p>
    <w:p>
      <w:r>
        <w:t>Pages translated : 32</w:t>
      </w:r>
    </w:p>
    <w:p/>
    <w:p>
      <w:r>
        <w:rPr>
          <w:b/>
        </w:rPr>
        <w:t>[Pages 1–3]</w:t>
      </w:r>
    </w:p>
    <w:p>
      <w:r>
        <w:t>Bulletin</w:t>
        <w:br/>
        <w:t>Weekly</w:t>
        <w:br/>
        <w:t>Year XXXIV - No. 43</w:t>
        <w:br/>
        <w:t>Published on the website www.agcm.it</w:t>
        <w:br/>
        <w:t>November 11, 2024</w:t>
      </w:r>
    </w:p>
    <w:p>
      <w:r>
        <w:t>SUMMARY</w:t>
        <w:br/>
        <w:t>AGREEMENTS AND ABUSE OF DOMINANT POSITION 5</w:t>
        <w:br/>
        <w:t>A476D - CONAI-WASTE MANAGEMENT FROM PLASTIC PACKAGING-REVISION OF COMMITMENTS</w:t>
        <w:br/>
        <w:t>Measure No. 31348 5</w:t>
        <w:br/>
        <w:t>CONCENTRATION OPERATIONS 7</w:t>
        <w:br/>
        <w:t>C12666 - PTI ITALIA/BRANCH OF BUSINESS OF ILIAD ITALIA</w:t>
        <w:br/>
        <w:t>Measure No. 31349 7</w:t>
        <w:br/>
        <w:t>REPORTING AND ADVISORY ACTIVITIES 14</w:t>
        <w:br/>
        <w:t>AS2037 - ROME CAPITAL - AWARDING OF LOCAL PUBLIC TRANSPORT SERVICES AND COMPLEMENTARY SERVICES - EXTENSION OF CURRENT CONTRACTS 14</w:t>
        <w:br/>
        <w:t>UNFAIR COMMERCIAL PRACTICES 21</w:t>
        <w:br/>
        <w:t>PS12254 - HYUNDAI-PRESENTATION OF CAR OFFER PRICES</w:t>
        <w:br/>
        <w:t>Measure No. 31351 21</w:t>
        <w:br/>
        <w:t>PS12727 - RAPTOR 4X4-CREDIT CARD SURCHARGE</w:t>
        <w:br/>
        <w:t>Measure No. 31355 25</w:t>
        <w:br/>
        <w:t>IP367 - MULPOR-INTERNATIONAL FAIRS DIRECTORY</w:t>
        <w:br/>
        <w:t>Notice of extension of the deadline for the conclusion of the procedure 33</w:t>
      </w:r>
    </w:p>
    <w:p>
      <w:r>
        <w:t>BULLETIN NO. 43 OF NOVEMBER 11, 2024 5</w:t>
        <w:br/>
        <w:t>AGREEMENTS AND ABUSE OF DOMINANT POSITION</w:t>
        <w:br/>
        <w:t>A476D - CONAI-WASTE MANAGEMENT FROM PLASTIC PACKAGING-REVISION OF COMMITMENTS</w:t>
        <w:br/>
        <w:t>Measure No. 31348</w:t>
        <w:br/>
        <w:t>THE COMPETITION AND MARKET AUTHORITY</w:t>
        <w:br/>
        <w:t>IN ITS MEETING of October 22, 2024;</w:t>
        <w:br/>
        <w:t>HEARD the Rapporteur, Professor Elisabetta Iossa;</w:t>
        <w:br/>
        <w:t>HAVING REGARD to Law No. 287 of October 10, 1990;</w:t>
        <w:br/>
        <w:t>HAVING REGARD to its own resolution of July 17, 2014, No. 25035, with which an investigation was initiated, pursuant to Article 14 of Law No. 287/1990, against the National Packaging Consortium (hereinafter, "CONAI") and the National Consortium for the Collection, Recycling, and Recovery of Plastic Packaging (hereinafter, "COREPLA" and, together with CONAI, also "Consortia"), to ascertain the existence of any violations of Article 102 TFEU in the market for the recycling of secondary and tertiary plastic packaging waste and, in particular, of any abusive exclusionary conduct towards the company Aliplast S.p.A. (hereinafter, "Aliplast"), operator of a so-called "autonomous system," called the P.A.R.I. System;</w:t>
        <w:br/>
        <w:t>HAVING REGARD to its own resolution of September 3, 2015, No. 25609, with which, at the conclusion of the investigation, the commitments submitted by the Consortia were made mandatory, pursuant to Article 14-ter, paragraph 1, of Law No. 287/1990 (hereinafter, "Commitments"), without indicating a time limit for their cessation;</w:t>
        <w:br/>
        <w:t>HAVING REGARD to the request for revocation of the Commitments, submitted by the Consortia on September 20, 2024;</w:t>
        <w:br/>
        <w:t>HAVING REGARD to the supplementary information provided by the Consortia on October 4, 2024, and the observations submitted by Aliplast on October 11, 2024;</w:t>
        <w:br/>
        <w:t>CONSIDERING that the request is based on the changes that have affected the sector in the years since the conclusion of the investigation and, in particular, on the evolution of the regulatory and factual framework that, in the opinion of CONAI and COREPLA, would have rendered the Commitments no longer immediately and fully applicable;</w:t>
        <w:br/>
        <w:t>CONSIDERING it necessary, therefore, to verify whether such an evolution of the affected sector justifies the revocation or revision of the commitments made mandatory by the resolution of September 3, 2015, No. 25609, and considering that the assessment of the request, concerning the revocation or revision of the commitments made mandatory, pursuant to Article 14-ter, paragraph 1, of Law No. 287/1990, must be carried out in contradiction with the Consortia and any interested third parties;</w:t>
        <w:br/>
        <w:t>RESOLVES</w:t>
        <w:br/>
        <w:t>a) to initiate a procedure to evaluate the request for revocation or revision concerning the commitments made mandatory by resolution of September 3, 2015, No. 25609;</w:t>
      </w:r>
    </w:p>
    <w:p>
      <w:r>
        <w:rPr>
          <w:b/>
        </w:rPr>
        <w:t>[Pages 4–6]</w:t>
      </w:r>
    </w:p>
    <w:p>
      <w:r>
        <w:t>6 BULLETIN NO. 43 OF NOVEMBER 11, 2024</w:t>
      </w:r>
    </w:p>
    <w:p>
      <w:r>
        <w:t>b) the setting of a term of ten days, starting from the date of notification of this measure, for the exercise by the legal representatives of the Consortia CONAI and COREPLA, or by persons delegated by them, of the right to be heard, pursuant to Article 14, paragraph 1, of Law No. 287/1990, specifying that the request for a hearing must be received by the Transport, Energy and Environment Directorate of the Competition Department II of this Authority at least three days before the expiration of the above-mentioned term;</w:t>
      </w:r>
    </w:p>
    <w:p>
      <w:r>
        <w:t>c) that the person responsible for the procedure is Dr. Giulia Battista;</w:t>
      </w:r>
    </w:p>
    <w:p>
      <w:r>
        <w:t>d) that the documents of the procedure can be viewed at the Transport, Energy and Environment Directorate of the Competition Department II of this Authority by the legal representatives of the party or by persons delegated by them;</w:t>
      </w:r>
    </w:p>
    <w:p>
      <w:r>
        <w:t>e) that the procedure must be concluded by February 28, 2025;</w:t>
      </w:r>
    </w:p>
    <w:p>
      <w:r>
        <w:t>This measure will be notified to the interested parties and published in the Bulletin of the Competition and Market Authority.</w:t>
      </w:r>
    </w:p>
    <w:p>
      <w:r>
        <w:t>THE SECRETARY GENERAL THE PRESIDENT</w:t>
        <w:br/>
        <w:t>Guido Stazi Roberto Rustichelli</w:t>
      </w:r>
    </w:p>
    <w:p>
      <w:r>
        <w:t>BULLETIN NO. 43 OF NOVEMBER 11, 2024 7</w:t>
      </w:r>
    </w:p>
    <w:p>
      <w:r>
        <w:t>CONCENTRATION OPERATIONS</w:t>
      </w:r>
    </w:p>
    <w:p>
      <w:r>
        <w:t>C12666 - PTI ITALIA/BRANCH OF BUSINESS OF ILIAD ITALIA</w:t>
      </w:r>
    </w:p>
    <w:p>
      <w:r>
        <w:t>Measure No. 31349</w:t>
      </w:r>
    </w:p>
    <w:p>
      <w:r>
        <w:t>THE COMPETITION AND MARKET AUTHORITY</w:t>
      </w:r>
    </w:p>
    <w:p>
      <w:r>
        <w:t>IN ITS MEETING of October 22,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PTI Italia S.p.A., received on August 30, 2024, as supplemented, lastly, on September 12, 2024;</w:t>
      </w:r>
    </w:p>
    <w:p>
      <w:r>
        <w:t>HAVING REGARD to the opinion of the Authority for Communications Guarantees received on October 16, 2024;</w:t>
      </w:r>
    </w:p>
    <w:p>
      <w:r>
        <w:t>CONSIDERING the following:</w:t>
      </w:r>
    </w:p>
    <w:p>
      <w:r>
        <w:t>I. THE PARTIES</w:t>
      </w:r>
    </w:p>
    <w:p>
      <w:r>
        <w:t>1. PTI Italia S.p.A. (hereinafter, "PTI Italia") is a company under Italian law indirectly controlled by Phoenix Tower US Holdings L.P., the holding of the PTI Group, active in the wireless infrastructure sector, through a portfolio of over 25,000 sites present in more than twenty countries in Europe and America. PTI Italia, in particular, operates in the management of passive devices for the hosting of active transmission devices (including 5G antennas) primarily by telecommunications operators, also offering related preparatory services for hosting, such as, for example, the research and purchase of passive infrastructure for network development, the management of real estate contracts, etc., as well as support services in the development of the 5G network through the use of the so-called Next Generation System – NGS – and the so-called Distributed Antenna System – DAS. Following the acquisition of a minority stake in Phoenix Tower US Holdings L.P. by Grain Management LLC and BlackRock Alternatives Management LLC, PTI is jointly controlled by Grain Management LLC and Blackstone. In 2022, the PTI Group achieved a revenue, which also includes that of its parent companies, totaling [100-567]* billion euros, of which [1-10] billion euros were generated in Italy.</w:t>
      </w:r>
    </w:p>
    <w:p>
      <w:r>
        <w:t>2. The subject of acquisition is a Branch of Business consisting of 1,900 passive infrastructures for mobile telephony (hereinafter, "Sites"), consisting of buildings, fences, towers, masts, poles, foundations, and cabinets, as well as any equipment related to the operation and safety of the Sites themselves. Each Site is intended to support towers or masts for antennas and telecommunications devices for the transmission of mobile radio signals of mobile telephony or FWA. The transfer also includes the lease or sub-lease contracts related to rooftops of buildings or portions of land, any existing co-location contracts (related to the hosting services of third-party operators' devices on the Site), permits related to the Sites, additional contractual relationships as well as liabilities connected to the transferred contracts. As of now, not all Sites have been identified by the Parties. The Branch of Business subject to acquisition is currently controlled by Iliad Italia S.p.A. (hereinafter, "Iliad"). The revenue attributable to the Branch of Business1 is approximately [35-100] million euros, which will be entirely generated in Italy.</w:t>
      </w:r>
    </w:p>
    <w:p>
      <w:r>
        <w:t>II. DESCRIPTION OF THE OPERATION</w:t>
      </w:r>
    </w:p>
    <w:p>
      <w:r>
        <w:t>3. The operation in question consists of the acquisition by PTI Italia of a Branch of Business consisting of passive infrastructures for mobile telephony. More specifically, pursuant to the provisions of the Framework Agreement and the Master Service Agreement, PTI Italia will acquire, through several subsequent transfers, with quarterly deadlines, groups of Sites consisting of a minimum of [omitted] to a maximum of [omitted], over the five years following the signing of the Master Service Agreement. Such transfers will be made only once the Sites included in each group are fully operational. In this regard, the Parties represent that they have already identified [omitted] Sites, existing and fully operational or about to be so, as well as [omitted] Sites, for which the necessary authorizations have already been requested, prior to the signing of the contracts related to this operation, which should be obtained with a reasonable degree of certainty in a short time; the further [omitted] Sites, on the other hand, will be identified and realized by Iliad in the future.</w:t>
      </w:r>
    </w:p>
    <w:p>
      <w:r>
        <w:t>4. On this point, the Parties represent that it is reasonably certain that the scope of the operation will indeed include the transfer from Iliad to PTI Italia of 1,900 Sites. In this regard, the Parties represent that (i) the contracts establish a minimum number of Sites to be transferred equal to 1,000, under penalty of payment of compensation by Iliad to PTI Italia; (ii) Iliad will have the right to sell to PTI Italia (and PTI Italia will have the obligation to purchase) an additional 900 Sites; (iii) regarding these additional Sites, Iliad is subject to an exclusivity obligation under which, for five years from the signing of the Master Service Agreement, it may sell Sites only to PTI Italia (unless before that deadline it has already sold all 1,900 Sites to PTI Italia); (iv) Iliad expects to sell at least 1,900 Sites within the same timeframe (as would also be confirmed by the indicative transfer plan).</w:t>
      </w:r>
    </w:p>
    <w:p>
      <w:r>
        <w:t>1 For the purpose of calculating the revenue of the Branch of Business, the Parties have represented that since not all Sites have been identified yet and those identified and operational have generated very limited revenues from activities towards third parties, being substantially used by Iliad itself, the revenue has been estimated considering [omitted]. This is in line with what is provided for in paragraph 163 of the consolidated Communication of the Commission on the criteria for jurisdiction under Regulation (EC) No. 139/2004, whereby, for the calculation of the revenue of a business unit that previously had only internal revenues, "...in particular for operations involving the outsourcing of services through the transfer of a business unit. [...] If the previously internal revenue does not seem to correspond to a market valuation of the activities in question (and, therefore, to the future expected revenue on the market), the expected revenues based on an agreement with the previous parent company may be an adequate substitute."</w:t>
      </w:r>
    </w:p>
    <w:p>
      <w:r>
        <w:rPr>
          <w:b/>
        </w:rPr>
        <w:t>[Pages 7–9]</w:t>
      </w:r>
    </w:p>
    <w:p>
      <w:r>
        <w:t>BULLETIN NO. 43 OF NOVEMBER 11, 2024 9</w:t>
        <w:br/>
        <w:t>annual internal revenue of Iliad); (iv) PTI Italia, for its part, will be obliged to purchase up to 1,900 Sites by that deadline; (v) finally, from an operational perspective, the contracts have set [omissis].</w:t>
        <w:br/>
        <w:t>5. Finally, the operation provides that for the entire duration of the Master Service Agreement (i.e. five years, unless renewed) in relation to the transferred Sites, PTI Italia undertakes to provide: (i) hosting services for the installation of Iliad's transmission equipment on the Passive Infrastructures of the Sites, that is, for the installation of the active components of the mobile radio network that enable the transmission and management of mobile signals, such as base station equipment and control units, as well as the related transmission connections, including the antenna system, owned by Iliad and managed by it; (ii) ancillary services (some of which may be requested at Iliad's discretion), development work, and studies related to the improvement/evolution of the Sites and the installation of Iliad's transmission equipment.</w:t>
        <w:br/>
        <w:t>III. QUALIFICATION OF THE OPERATION</w:t>
        <w:br/>
        <w:t>6. The notified operation constitutes a concentration, pursuant to Article 5, paragraph 1, letter b), of Law No. 287/1990, as it involves the acquisition of control over parts of a business. To this end, it is represented that the acquisition of control over part of a business can only be considered a concentration if it concerns "an activity with a market presence, to which a market revenue can be clearly attributed" and, therefore, in the case at hand, the scope of the operation must be limited to the Sites that have already been identified. It falls within the scope of application of Law No. 287/1990, as the conditions set out in Article 1 of Regulation (EC) No. 139/2004 do not apply, and it is subject to the prior notification obligation established by Article 16, paragraph 1, of the same law, as the total revenue generated, in the last financial year at the national level, by the group of companies involved was over 567 million euros and the total revenue generated, in the last financial year at the national level, individually by at least two of the companies involved was over 35 million euros.</w:t>
        <w:br/>
        <w:t>7. The obligation to provide services undertaken by the Parties can be qualified as ancillary to the notified concentration to the extent that it aims to ensure the continuity of supply of the services necessary for the performance of the activities identified by the acquirer, for a maximum period of five years.</w:t>
        <w:br/>
        <w:t>IV. THE OPINION OF THE AUTHORITY FOR COMMUNICATIONS GUARANTEES</w:t>
        <w:br/>
        <w:t>8. On September 18, 2024, the Authority for Communications Guarantees (AGCOM) was requested, pursuant to Article 1, paragraph 6, letter c), No. 11, of Law No. 249 of July 31, 1997, establishing "The Authority for Communications Guarantees and rules on telecommunications and broadcasting systems," to express an opinion regarding the concentration operation in question, in view of the adoption of the final measure.</w:t>
        <w:br/>
        <w:t>2 Consolidated communication from the Commission on jurisdictional competence criteria pursuant to Regulation (EC) No. 139/2004 of the Council concerning the control of concentrations between undertakings, para. 24.</w:t>
        <w:br/>
        <w:t>3 Communication from the Commission on restrictions directly related and necessary to concentrations, para. 32 et seq.</w:t>
      </w:r>
    </w:p>
    <w:p>
      <w:r>
        <w:t>10 BULLETIN NO. 43 OF NOVEMBER 11, 2024</w:t>
        <w:br/>
        <w:t>9. On October 16, 2024, AGCOM's opinion was received, adopted with resolution No. 389/24/CONS of October 9, 2024, in which it expressed agreement with the conclusions of the Authority reported in the draft measure. In particular, AGCOM shares the Authority's conclusions that, based on the elements collected in the investigation, the operation in question does not significantly hinder effective competition in the relevant markets, pursuant to Article 6, paragraph 1, of Law No. 287/1990, and does not lead to the establishment or strengthening of a dominant position. AGCOM also agrees with the definition of the relevant market, of national dimension, of passive telecommunications infrastructures, in light of the technical characteristics that distinguish mobile broadcasting signals from those of television and sound broadcasting and that influence the location of transmitting equipment throughout the national territory.</w:t>
        <w:br/>
        <w:t>V. EVALUATION OF THE OPERATION</w:t>
        <w:br/>
        <w:t>The relevant market</w:t>
        <w:br/>
        <w:t>10. Due to the activities carried out by the Branch of Business, the concentration in question concerns the sector of infrastructures dedicated to hosting telecommunications broadcasting systems, consisting of vertical infrastructures (towers, poles, masts) suitable for hosting the antennas of network operators and buildings equipped for hosting transmitting equipment.</w:t>
        <w:br/>
        <w:t>11. Passive telecommunications infrastructures include the structures on which telecommunications electronic equipment is installed. Such assets include all the elements necessary for a cell (mobile or wireless), except for the telecommunications electronic equipment (the so-called "active infrastructures"), and include towers, rooftops, and other infrastructural assets, such as, for example, civil works, poles, pylons, masts, fences, shelters, service racks, foundations, batteries, electrical and air conditioning systems, – in some cases – electricity supply contracts, conduits, and security systems on the structures, aircraft warning lights, lightning protection systems, leased land, and owned properties.</w:t>
        <w:br/>
        <w:t>12. The provision of hosting services includes making space available on the passive infrastructure, for which customers pay a fee to the provider. Mobile network operators (MNOs) install Radio Access Network (RAN) equipment such as antennas, radios, and baseband units on the passive infrastructures for the transmission of mobile signals. The combination of passive infrastructure and active networks allows the MNO to provide voice and data transmission services.</w:t>
        <w:br/>
        <w:t>13. As previously noted in the Authority's cited precedents, passive infrastructures were originally built for self-production use (captive use, i.e., intra-group sales of hosting services generated by the self-supply of MNOs at the companies managing their own infrastructures) by network operators for their own MNOs, but an independent offering of hosting services to third parties (non-captive offering, i.e., sales generated from services offered to third-party telecommunications operators) has gradually developed.</w:t>
        <w:br/>
        <w:t>14. With specific regard to non-captive services, such as those examined in the present operation, the European Commission has noted that, as a result of outsourcing the management of sites previously used for captive services to third parties, MNOs enter into long-term contracts lasting between six and fifteen years, potentially renewable for the same duration, with independent tower companies.</w:t>
        <w:br/>
        <w:t>15. Regarding the production capacity of the national sector, the limitations imposed by environmental regulation in terms of maximum electromagnetic wave emissions from individual plants are relevant. From a regulatory perspective, in fact, there are constraints related to the limits of electromagnetic fields (hereinafter "EMF"). The Italian EMF regulation was recently amended by Article 10 of Law No. 214 of December 30, 2023 (annual law for the market and competition 2022); in particular, the legislator has provided that "In order to enhance the mobile network and ensure users and businesses the offer of high-quality connectivity services, without prejudice to public health, within one hundred and twenty days from the date of entry into force of this law, the exposure limits, attention values, and quality objectives referred to in Article 4, paragraph 2, of Law No. 36 of February 22, 2001, are adjusted, according to the procedure provided therein, in light of the most recent and accredited scientific evidence, in compliance with the rules, recommendations, and guidelines of the European Union." Additionally, certain limits also exist due to the local or regional regulatory framework (or due to its interpretation) which sometimes hinders market players from extending their presence in certain areas, as previously noted by the Authority.</w:t>
        <w:br/>
        <w:t>16. Further limitations on production capacity arise from the structural peculiarities of numerous Italian cities – characterized by the presence of historic centers and ancient villages – where the installation of large or high-power plants is not permitted due to environmental and landscape constraints imposed by national and local legislation and regulation. For this reason, on the same passive infrastructures, co-location of active infrastructure equipment from different MNOs (the so-called co-siting) is possible, especially in municipalities with a population of less than 35,000 inhabitants.</w:t>
        <w:br/>
        <w:t>17. That said in general terms, regarding the more specific definition of the relevant market, it is recalled that, according to the cited precedents of the Authority, from a commodity perspective, the market for mobile telecommunications infrastructures is distinct from the market for infrastructures intended for hosting other types of equipment and, in particular, from the markets for television broadcasting infrastructures and sound broadcasting infrastructures.</w:t>
        <w:br/>
        <w:t>18. This is due to the peculiar characteristics of the transmission signal for the identification of sites and infrastructures suitable for hosting transmitting equipment. In particular, the transmission of the signal through a mobile cellular network is characterized by bidirectionality and low power, and it is therefore necessary to use a large number of sites predominantly located in high-density residential areas. In contrast, the television signal is directional, so it is necessary to consider the orientation of the receiving antennas. Mobile and radio signals are omnidirectional and, therefore, their positioning is not relevant, but rather their proximity to receiving equipment. The technical differences found in radio, television, and mobile signals necessitate the use of different infrastructures, which can only be considered marginally substitutable.</w:t>
      </w:r>
    </w:p>
    <w:p>
      <w:r>
        <w:rPr>
          <w:b/>
        </w:rPr>
        <w:t>[Pages 10–12]</w:t>
      </w:r>
    </w:p>
    <w:p>
      <w:r>
        <w:t>12 BULLETIN NO. 43 OF NOVEMBER 11, 2024</w:t>
      </w:r>
    </w:p>
    <w:p>
      <w:r>
        <w:t>19. In this regard, the European Commission, although it has left the commodity definition of the market open, has considered a possible distinction between the offering of hospitality services on macro-sites and micro-sites. With regard to these segments, the Commission itself has considered an additional distinction between non-captive sales and captive sales, without, however, identifying distinct markets on that basis. Finally, the quantitative analysis conducted also examined the segments of services offered on macro-sites in areas characterized by a population greater (or less) than 35,000 inhabitants.</w:t>
      </w:r>
    </w:p>
    <w:p>
      <w:r>
        <w:t>20. From a geographical perspective, the established national and EU practice considers this market relevant on a national scale. In fact, these activities are governed by national regulatory regimes and the infrastructures that are part of the Branch of Business subject to acquisition are located throughout the national territory, meeting the demand for national and local hospitality.</w:t>
      </w:r>
    </w:p>
    <w:p>
      <w:r>
        <w:t>The effects of the operation</w:t>
      </w:r>
    </w:p>
    <w:p>
      <w:r>
        <w:t>21. As for the effects of this operation which, as mentioned, concerns the market for passive telecommunications infrastructures (having as its object exclusively the acquisition of so-called macro-sites), of national geographical dimension, it is important to consider that, based on the information provided by the Parties, PTI Italia represents an operator of very limited relevance, with a market share prior to the completion of the operation equal to approximately [1-5%].</w:t>
      </w:r>
    </w:p>
    <w:p>
      <w:r>
        <w:t>22. The Branch of Business subject to acquisition has so far been primarily active in favor of Iliad itself (and therefore with captive activities) and only to a minimal extent was active in providing hosting services to third parties, with a completely marginal share. Furthermore, even considering the totality of the Sites subject to acquisition, and also considering the entire growth project that PTI Italia has described in the Notification Form, the market share that would be collectively attributable to PTI Italia would be less than [5-10%], with an increase of less than [1-5%].</w:t>
      </w:r>
    </w:p>
    <w:p>
      <w:r>
        <w:t>23. More generally, the market is characterized by the presence in Italy of two major operators such as INWIT S.p.A. and Cellnex Italia S.p.A., which alone represent over 90% of the macro-sites in Italy.</w:t>
      </w:r>
    </w:p>
    <w:p>
      <w:r>
        <w:t>24. It is possible to note (at least in a broad sense, given that there is no vertical relationship between PTI Italia and the Branches of Business) a vertical relationship between the market for hosting services, in which PTI Italia is active, and that of mobile network access services, in which Iliad is active (which, under the MSA, will be the anchor tenant of the Sites). Even from a vertical perspective, however, the operation does not appear to raise concerns given PTI Italia's market share and the presence of other significant operators.</w:t>
      </w:r>
    </w:p>
    <w:p>
      <w:r>
        <w:t>CONSIDERING, therefore, that the operation in question does not significantly impede effective competition in the relevant markets, pursuant to Article 6, paragraph 1, of Law No. 287/1990, and does not result in the establishment or strengthening of a dominant position;</w:t>
      </w:r>
    </w:p>
    <w:p>
      <w:r>
        <w:t>CONSIDERING, furthermore, that the supply obligation signed by the parties is accessory to this operation only within the time limits described above and that the Authority reserves the right to evaluate, where the conditions exist, the aforementioned agreement that occurs beyond the indicated limits;</w:t>
      </w:r>
    </w:p>
    <w:p>
      <w:r>
        <w:t>7 See European Commission Decision of March 6, 2020, M.9674 – Vodafone Italia/TIM/INWIT JV.</w:t>
      </w:r>
    </w:p>
    <w:p>
      <w:r>
        <w:t>BULLETIN NO. 43 OF NOVEMBER 11, 2024</w:t>
      </w:r>
    </w:p>
    <w:p>
      <w:r>
        <w:t>RESOLUTION</w:t>
      </w:r>
    </w:p>
    <w:p>
      <w:r>
        <w:t>not to initiate the investigation referred to in Article 16, paragraph 4, of Law No. 287/1990.</w:t>
      </w:r>
    </w:p>
    <w:p>
      <w:r>
        <w:t>The above conclusions will be communicated, pursuant to Article 16, paragraph 4, of Law No. 287/1990, to the interested companies and to the Minister of Enterprises and Made in Italy.</w:t>
      </w:r>
    </w:p>
    <w:p>
      <w:r>
        <w:t>This measure will be published in the Bulletin of the Competition and Market Authority.</w:t>
      </w:r>
    </w:p>
    <w:p>
      <w:r>
        <w:t>THE SECRETARY GENERAL THE PRESIDENT</w:t>
      </w:r>
    </w:p>
    <w:p>
      <w:r>
        <w:t>Guido Stazi Roberto Rustichelli</w:t>
      </w:r>
    </w:p>
    <w:p>
      <w:r>
        <w:t>14 BULLETIN NO. 43 OF NOVEMBER 11, 2024</w:t>
      </w:r>
    </w:p>
    <w:p>
      <w:r>
        <w:t>REPORTING AND ADVISORY ACTIVITIES</w:t>
      </w:r>
    </w:p>
    <w:p>
      <w:r>
        <w:t>AS2037 - ROME CAPITAL - AWARDING OF LOCAL PUBLIC TRANSPORT SERVICES AND COMPLEMENTARY SERVICES - EXTENSION OF CURRENT CONTRACTS</w:t>
      </w:r>
    </w:p>
    <w:p>
      <w:r>
        <w:t>Rome, August 8, 2024</w:t>
      </w:r>
    </w:p>
    <w:p>
      <w:r>
        <w:t>Rome Capital</w:t>
      </w:r>
    </w:p>
    <w:p>
      <w:r>
        <w:t>The Italian Competition Authority, in the meeting of August 6, 2024, resolved to issue an opinion pursuant to Article 21-bis of Law No. 287 of October 10, 1990, in relation to the managerial determination No. QG/879/2024 of June 21, 2024, concerning the "Implementation of the Memorandum of the Capitoline Council approved in the session of December 21, 2023, for the continuation of the existing contract with ATAC S.p.A., approved by G.C. resolution 70/2020, for the management of complementary services to scheduled public transport related to the management of paid on-street parking, interchange parking, and off-street parking facilities, additional to on-street parking, on facilities and surfaces of Rome Capital or third parties. Continuation of the service until December 31, 2024. Commitment of funds totaling €17,481,517.61 (VAT included), Revenue assessment totaling €19,913,515.72 (VAT included)," and to the managerial determination No. QG/1075/2024 of July 29, 2024, concerning "Continuation of the obligation to execute the local public transport service on the surface and subway in the territory of Rome Capital, in implementation of Article 5, paragraph 5, of Regulation (EC) No. 1370/2007 from August 1, 2024, to December 31, 2024. Commitment in favor of ATAC S.p.A. totaling €240,621,607.72." Both determinations were transmitted to the Authority on August 1, 2024, following a specific request for information.</w:t>
      </w:r>
    </w:p>
    <w:p>
      <w:r>
        <w:t>With these determinations, the Department of Sustainable Mobility and Transport of Rome Capital has further followed up on the mandate conferred by the Capitoline Council in Memorandum No. 93 of December 21, 2023, concerning "Guidelines regarding the continuation of the local public transport service on the surface and subway and for the management of complementary services (interchange parking, management of paid on-street parking, and management of ticket sales and marketing)," related to the execution of all necessary activities to ensure the continuation of the services currently entrusted to ATAC S.p.A., adopting the most suitable emergency measure among those provided for by Regulation (EC) No. 1370/2007, applying the existing service contracts, and ensuring the continuation of services until December 31, 2024, or until the earlier date of signing new service contracts.</w:t>
      </w:r>
    </w:p>
    <w:p>
      <w:r>
        <w:rPr>
          <w:b/>
        </w:rPr>
        <w:t>[Pages 13–15]</w:t>
      </w:r>
    </w:p>
    <w:p>
      <w:r>
        <w:t>BULLETIN NO. 43 OF NOVEMBER 11, 2024 15</w:t>
        <w:br/>
        <w:t>In particular, the managerial determination No. QG/1075/2024 of July 29, 2024, established, pursuant to Article 5, paragraph 5, of Regulation (EC) No. 1370/2007, the obligation for ATAC S.p.A. to continue providing the local public transport service ("TPL") not peripheral, based on the existing contract, from August 1, 2024, to December 31, 2024, or until the earlier date of signing the new service contract, while the managerial determination No. QG/879/2024 of June 21, 2024, based on the same provision, ordered the continuation of the existing contract with ATAC S.p.A. concerning the so-called complementary services to the scheduled TPL - namely, the management of paid on-street parking, exchange parking, and parking in structures or surface lots off the roadway, on facilities and surfaces of Rome Capital or third parties - from July 1, 2024, to December 31, 2024, or until the earlier date of signing the new service contract.</w:t>
        <w:br/>
        <w:t>The Authority intends to make some considerations regarding various competitive criticality profiles of the measures under examination.</w:t>
        <w:br/>
        <w:t>First of all, the aforementioned acts were adopted following a series of extensions that have occurred since the end of 2019, thus lacking - after the entity has already benefited from the entire two-year period granted by the regulations for the local public transport service - the prerequisite of the existence of "exceptional circumstances" necessary, in light of the most recent interpretative guidelines of the European Commission, for the adoption of an additional emergency extension pursuant to Article 5, paragraph 5, of Regulation (EC) No. 1370/2007.</w:t>
        <w:br/>
        <w:t>1 It is noted that ATAC S.p.A. manages local public transport services and the so-called complementary services by virtue of a direct assignment established by the resolution of the Capitoline Assembly No. 47/2012 valid from January 1, 2013, to December 3, 2019.</w:t>
        <w:br/>
        <w:t>The service contract for local public transport was approved by the resolution of the Capitoline Council No. 273/2015 for the period from August 1, 2015, to December 3, 2019, and was subsequently extended, along with the related assignment, for the first time by the resolution of the Capitoline Assembly No. 2/2018, pursuant to Article 5, paragraph 5, of Regulation (EC) No. 1370/2017, until December 3, 2021, subject to the approval of the preventive agreement (which took place on June 25, 2019).</w:t>
        <w:br/>
        <w:t>Regarding the so-called complementary services, with the managerial determination of the Department of Mobility and Transport No. 1342 of December 17, 2019, it was ordered to assign them "in administrative continuity" to ATAC S.p.A. from December 4, 2019, to January 31, 2020. On January 30, 2020, the Capitoline Assembly, with resolution No. 11, mandated the Council to approve the new Service Contract and to extend the assignment of complementary services with ATAC S.p.A. "in line and for the duration of local public transport services." With managerial determination No. 301 of March 20, 2020, it was again ordered to "assign in administrative continuity" the complementary services for the period from March 1 to April 30, 2020. The current service contract for the so-called complementary services was finally approved by the resolution of the Capitoline Council No. 70/2020, with an initial duration from May 1, 2020, to December 3, 2021.</w:t>
        <w:br/>
        <w:t>The deadline for the aforementioned services was then further extended, for both services, to April 3, 2022, with resolutions of the Capitoline Council No. 167/2021 and No. 272/2021, then to December 31, 2022, with the resolution of the Capitoline Council No. 96/2022, and again until March 31, 2023, with resolution No. 453/2022, pursuant to Article 92, paragraph 4-ter, of Decree-Law No. 18/2020. Subsequently, with the resolution of the Capitoline Council No. 107 of March 31, 2023, the further extension of the assignment from April 1, 2023, to December 31, 2023, was ordered. Finally, following the adoption of the Memorandum of the Capitoline Council No. 93 of December 21, 2023, the assignment was further extended for local public transport until July 31, 2024, with managerial determination No. 1597 of December 29, 2023, and for the so-called complementary services until June 30, 2024, with managerial determination No. 1569 of December 22, 2023, pursuant to Article 5, paragraph 5, of Regulation (EC) No. 1370/2007. The succession of extensions "on the same terms and conditions" has contributed to the fact that the Service Contract for local public transport approved by the resolution of the Capitoline Council No. 273/2015, with an expected duration from August 1, 2015, to December 3, 2019, is still the one in force.</w:t>
        <w:br/>
        <w:t>2 It is noted that Rome Capital has indeed already utilized the entire two-year period provided by the aforementioned provision, in the extension ordered by the resolution of the Capitoline Assembly No. 2/2018.</w:t>
        <w:br/>
        <w:t>3 This refers to the "Communication from the Commission on interpretative guidelines concerning Regulation (EC) No. 1370/2007 relating to public passenger transport services by road and rail" (2023/C 222/01), according to which: "If the cause of the interruption that has occurred or is imminent persists when the emergency measures expire at the end of the two-year period, the competent authority may adopt new emergency measures pursuant to Article 5, paragraph 5, provided that it can demonstrate that the awarding of the public service contract based on the other provisions of Regulation (EC) No. 1370/2007 was not materially possible given the exceptional circumstances."</w:t>
        <w:br/>
        <w:t>4 See AS1910 Rome Capital - Assignment of local public transport services, in Bulletin No. 35/2023.</w:t>
        <w:br/>
        <w:t>5 See AS1995 Rome Capital - Assignment of local public transport services, in Bulletin No. 25/2024.</w:t>
        <w:br/>
        <w:t>6 For the so-called complementary services, the managerial determination No. QG/879/2024 of June 21, 2024, states that "the further administrative activities necessary for the definition of the new assignment of the services in question, according to the current regulations, cannot be completed in a short time," given that the Report pursuant to Article 14 of Legislative Decree No. 201/2022 has not yet been adopted. For the local public transport service not peripheral, the managerial determination No. QG/1075/2024 of July 29, 2024, states that, on July 19, 2024, the Department of Sustainable Mobility and Transport sent to the General Accounting Office the proposal for the Resolution of the Capitoline Assembly concerning "assignment to ATAC S.p.A. of the local public transport service of line, non-peripheral surface and metro in the territory of Rome Capital, pursuant to Article 17 of Legislative Decree No. 201/2022, and approval of the guidelines for the preparation of the new service contract between Rome Capital and ATAC S.p.A." and that "it is reasonable to believe that the formalization of the new assignment can take place by December 31, 2024."</w:t>
        <w:br/>
        <w:t>7 These aspects, among others, are attributed by the same local entity a strategic and central relevance concerning the choice of in-house management in the report pursuant to Article 14 of Legislative Decree No. 201/2022, adopted with the resolution of the Capitoline Assembly No. 159/2023 and subject of the motivated opinion AS1936 Rome Capital - In-house assignment of the local public transport service not peripheral for the years from 2024 to 2027, in Bulletin No. 4/2024.</w:t>
      </w:r>
    </w:p>
    <w:p>
      <w:r>
        <w:t>BULLETIN NO. 43 OF NOVEMBER 11, 2024 17</w:t>
        <w:br/>
        <w:t>management and assignment methods of the local public transport service, are applicable, in addition to the sector-specific European regulations, the provisions of Article 14, paragraphs 2 and 3, and Article 17 of the same Legislative Decree No. 201/2022 (which impose the obligation of a report on the chosen assignment method, of qualified motivation for in-house assignments, and of adoption and attachment of a Financial Economic Plan). The provision therefore has general scope and the adaptation needs to it apply to all competent entities in the assignment of the service in question.</w:t>
        <w:br/>
        <w:t>Considering the long period of validity of the already elapsed extensions (from December 4, 2019, to July 31, 2024), the entity has had all the necessary time to proceed with an assignment of the service through a tender or through an in-house assignment suitable to ensure adequate levels of efficiency and appropriate benefits for the community, also considering that the state of management of the services offered by ATAC S.p.A. required - for the purpose of a possible re-assignment of the service and even before the entry into force of the decree reorganizing the discipline of local public services - a significant improvement in performance, in terms of quality and efficiency of the service, and the resolution of widespread critical issues, reported in various venues by the competent institutions.</w:t>
        <w:br/>
        <w:t>The fact that the procedural activities were still not completed by July 31, 2024, for local public transport and by June 30, 2024, for the so-called complementary services is therefore far from assuming an "exceptional" nature and rather reaffirms the significant delay of Rome Capital in implementing the preparatory activities for the assignment of the service, also considering that the extensions provided by the current regulations had already all been exercised.</w:t>
        <w:br/>
        <w:t>By virtue of the above, it is believed that Rome Capital has unlawfully extended the in-house assignment to ATAC S.p.A. of local public transport services and the so-called complementary services, without promptly and diligently activating to meet the need to assign the services in accordance with the current regulations, thus evading the instructional and motivational obligations provided by the regulations of Legislative Decree No. 201/2022.</w:t>
        <w:br/>
        <w:t>In conclusion, it is believed that the extensions of the assignment to ATAC S.p.A. of the local public transport service not peripheral and of the complementary services for the management of paid on-street parking, exchange parking, and parking in structures or surface lots off the roadway - most recently ordered, respectively, with managerial determination No. QG/879/2024 of June 21, 2024, and with managerial determination No. QG/1075/2024 of July 29, 2024 - are unlawful as they are in contrast with Article 5, paragraph 5, of Regulation (EC) No. 1370/2007 and with the regulations of Legislative Decree No. 201/2022, particularly Articles 14, paragraphs 2 and 3, and 17.</w:t>
        <w:br/>
        <w:t>The extensions under examination also constitute a restriction on the freedom of establishment and the free provision of services referred to in Articles 49 and 56 TFEU, as they are capable of unjustifiably delaying and hindering the assignment of the local public transport service and the so-called complementary services in the territory of Rome Capital through a procedure compliant with the current regulations and the competitive principles contained therein.</w:t>
        <w:br/>
        <w:t>8 Critical issues illustrated by the Court of Auditors, Regional Control Section for Lazio, in the Report on the management of the corporate participations of the Municipality of Rome, approved by resolution No. 47/2021/GEST, and by the Agency for the control and quality of local public services of Rome Capital, in the Annual Report 2021/2022 on the state of local public services in Rome and the activities carried out and in the first volume of the Annual Report 2022/2023 on the state of local public services in Rome and the activities carried out, as well as by the Authority itself in the opinion AS1936 Rome Capital - In-house assignment of the local public transport service not peripheral for the years from 2024 to 2027, in Bulletin No. 4/2024.</w:t>
      </w:r>
    </w:p>
    <w:p>
      <w:r>
        <w:rPr>
          <w:b/>
        </w:rPr>
        <w:t>[Pages 16–18]</w:t>
      </w:r>
    </w:p>
    <w:p>
      <w:r>
        <w:t>18 BULLETIN NO. 43 OF NOVEMBER 11, 2024</w:t>
        <w:br/>
        <w:t>In this regard, it is appropriate to recall that, as recently reiterated by the Court of Justice, any measures that prohibit, hinder, or disincentivize the exercise of the fundamental freedoms guaranteed by Articles 49 and 56 TFEU must be considered restrictions on the freedom of establishment and the free provision of services. According to the same case law, restrictions on such freedoms can only be "justified by an imperative reason of general interest," while remaining subject to the principle of proportionality (see, most recently, judgment of the Court of Justice, June 8, 2023, case C-50/21, Prestige and Limousine SL, as well as the case law cited therein; according to extensive case law of the Court, the same principles also apply to limitations imposed on the free provision of services within the EU). Based on the aforementioned principle of proportionality, any measure adopted by public authorities that is capable of affecting the free play of competition is justified only if it is demonstrated that it is necessary and appropriate in relation to the public interest objective pursued: meaning that such an objective cannot be achieved through less invasive alternative measures.</w:t>
        <w:br/>
        <w:t>Furthermore, regarding the freedom of establishment and the provision of services, the Court has consistently stated that, in cases where a concession presents a cross-border interest, its assignment in the absence of transparency constitutes a disparity of treatment to the detriment of companies based in another Member State that could be interested in the said concession. This situation constitutes indirect discrimination based on nationality, prohibited under Articles 49 and 56 TFEU (see judgment of the Court of Justice, July 17, 2008, case C-347/06, ASM Brescia SpA, paragraph 59 and the case law cited therein). In this sense, the Court has had the opportunity to decline this principle by stating that "Member States must not maintain in force national legislation that allows the awarding of public service concessions without a tender, as such awarding violates Articles 43 EC or 49 EC or the principles of equal treatment, non-discrimination, and transparency" (judgment of the Court of Justice, October 13, 2005, case C-458/03, Parking Brixen GmbH, paragraphs 52 and 13; see also judgment of the Court of Justice, September 2005, case C-260/04, Commission/Italy, paragraph 25). In other words, the renewal of an existing concession in the absence of a tender procedure and adequate publicity constitutes a violation of the fundamental freedoms guaranteed by Articles 49 and 56 TFEU (see conclusions of Advocate General M. Poiares Maduro, April 24, 2008, case C-347/06, paragraph 38).</w:t>
        <w:br/>
        <w:t>In the same vein, national administrative case law has long widely adhered to the approach that it is necessary to "apply the rules in accordance with the community principles regarding the free movement of services, equal treatment, impartiality, and transparency arising from Directive 123/2006" (Council of State, November 18, 2019, judgment No. 7874; as well as, inter alia, Council of State, September 25, 2009, judgment No. 5765 and October 3, 2017, judgment No. 4614). Recently, the need for the action of the Public Administration to respond to the need to protect competition among businesses has been highlighted, respecting the principles of free movement of services and freedom of establishment, equal treatment, impartiality, non-discrimination, and transparency (inter alia, Council of State, February 17, 2023, judgment No. 1671 and March 1, 2023, judgment No. 2192).</w:t>
        <w:br/>
        <w:t>It emerges clearly that the conduct under examination by Rome Capital constitutes a violation of these articles, where the restrictions on competition and the freedoms guaranteed by the Treaty are not justified by any appreciable public interests coinciding with those identified by the relevant case law of the Court of Justice. On the contrary, in this case, the undue limitation of the freedom of access to the market (as noted by the Authority for the reasons previously stated) results in a position of privilege for the operator present there, lacking a reasonable justification from the perspective of public interest, also considering the results achieved in previous managements.</w:t>
        <w:br/>
        <w:t>Pursuant to Article 21-bis, paragraph 2, of Law No. 287/1990, Rome Capital must communicate to the Authority, within sixty days of receiving this opinion, the initiatives taken to remove the aforementioned violations of competition. If, within the aforementioned period, such initiatives do not comply with the competitive principles underlying the violated regulations, the Authority may file an appeal within the following thirty days.</w:t>
        <w:br/>
        <w:t>THE PRESIDENT</w:t>
        <w:br/>
        <w:t>Roberto Rustichelli</w:t>
        <w:br/>
        <w:t>_________________________________________________________________________</w:t>
        <w:br/>
        <w:t>Communication regarding the failure of Rome Capital to comply with the reasoned opinion expressed by the Authority pursuant to Article 21-bis of Law No. 287/1990, concerning managerial determination No. QG/879/2024 of June 21, 2024, and managerial determination No. QG/1075/2024 of July 29, 2024, of the Department of Sustainable Mobility and Transport of Rome Capital, regarding the extension of the duration of the current contracts with ATAC S.p.A. for local public transport services and complementary services.</w:t>
        <w:br/>
        <w:t>The Authority, on August 6, 2024, resolved to issue a reasoned opinion to Rome Capital, pursuant to Article 21-bis of Law No. 287/1990, regarding managerial determinations No. QG/1075/2024 of July 29, 2024, and No. QG/879/2024 of June 21, 2024, with which the Department of Sustainable Mobility and Transport, further implementing the mandate conferred by Capitoline Council Memorandum No. 93 of December 21, 2023, extended the duration of the current contracts with ATAC S.p.A. respectively for the local public transport service not peripheral and for the complementary services of managing paid on-street parking, exchange parking, and off-street parking structures.</w:t>
        <w:br/>
        <w:t>The Authority deemed these determinations to be illegitimate as they lack legal coverage and are in contrast with the regulations of Legislative Decree No. 201/2022, particularly Articles 14, paragraphs 2 and 3, and 17, as well as with Article 5, paragraph 5, of Regulation (EC) No. 1370/2007. The extensions in question also constitute a restriction on the freedom of establishment and the free provision of services under Articles 49 and 56 of the Treaty on the Functioning of the European Union, as they are capable of unjustifiably delaying and hindering the awarding of local public transport services and complementary services in the territory of Rome Capital through a procedure compliant with the current regulations and the competitive principles contained therein.</w:t>
        <w:br/>
        <w:t>With a delay of two weeks compared to the legally prescribed deadline – which in this case expired on October 7 – on October 21, 2024, Rome Capital submitted a response to the reasoned opinion, stating that the measures issued with the contested acts should not be considered extensions and that they were necessary solely for the budgetary needs of Rome Capital.</w:t>
        <w:br/>
        <w:t>Having learned this, and in any case lacking the emergency prerequisites for the adoption of the acts in question, the Authority took note of the failure of the Entity to comply with the reasoned opinion of August 6, 2024, transmitted on August 8, 2024, and therefore resolved, in the meeting of October 22, 2024, to file an appeal with the TAR of Lazio against the resolutions in question.</w:t>
      </w:r>
    </w:p>
    <w:p>
      <w:r>
        <w:rPr>
          <w:b/>
        </w:rPr>
        <w:t>[Pages 19–21]</w:t>
      </w:r>
    </w:p>
    <w:p>
      <w:r>
        <w:t>BULLETIN NO. 43 OF NOVEMBER 11, 2024 21</w:t>
        <w:br/>
        <w:t>UNFAIR COMMERCIAL PRACTICES</w:t>
        <w:br/>
        <w:t>PS12254 - HYUNDAI-PRESENTATION OF CAR OFFER PRICES</w:t>
        <w:br/>
        <w:t>Measure No. 31351</w:t>
        <w:br/>
        <w:t>THE COMPETITION AND MARKET AUTHORITY</w:t>
        <w:br/>
        <w:t>IN ITS MEETING of October 22, 2024;</w:t>
        <w:br/>
        <w:t>HEARD the Rapporteur, President Roberto Rustichelli;</w:t>
        <w:br/>
        <w:t>HAVING REGARD TO Part II, Title III of Legislative Decree September 6, 2005, No. 206 and subsequent amendments (hereinafter, "Consumer Code");</w:t>
        <w:b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No. 25411;</w:t>
        <w:br/>
        <w:t>HAVING REGARD TO its own measure No. 30267 of July 19, 2022 (hereinafter, "Measure"), adopted within the procedure PS/12254 - "Hyundai-presentation of car offer prices", with which the Authority resolved to make mandatory for Hyundai Motor Company Italy S.r.l., pursuant to Article 27, paragraph 7, of the Consumer Code and Article 9, paragraph 2, letter a), of the Regulation, the commitments proposed by the Professional, without ascertaining the infringement;</w:t>
        <w:br/>
        <w:t>HAVING REGARD TO the communication of August 27, 2024, supplemented on September 23 and October 11, 2024 (collectively also "Request"), whereby Hyundai Motor Company Italy S.r.l. proposed the revision of the commitments, presented in consolidated form on June 9, 2022 (hereinafter, "Commitments") and made binding with the Measure;</w:t>
        <w:br/>
        <w:t>HAVING REGARD TO the acts of the procedure;</w:t>
      </w:r>
    </w:p>
    <w:p>
      <w:r>
        <w:t>I. THE PARTY</w:t>
        <w:br/>
        <w:t>1. The company Hyundai Motor Company Italy S.r.l. as a professional (hereinafter also "HMCI" or the "Professional"), pursuant to Article 18, letter b), of the Consumer Code.</w:t>
      </w:r>
    </w:p>
    <w:p>
      <w:r>
        <w:t>II. THE REQUEST FOR MODIFICATION OF THE COMMITMENTS MADE MANDATORY BY MEASURE NO. 30267 OF JULY 19, 2022.</w:t>
        <w:br/>
        <w:t>2. The Request concerns a partial modification of the Commitments, motivated with reference to HMCI's new business choice to inform the consumer, from the first contact, of the essential elements of the financing offers concerning Hyundai-branded vehicles.</w:t>
        <w:br/>
        <w:t>3. In particular, in the Request, the Professional proposes the following modifications to the Commitments:</w:t>
        <w:br/>
        <w:t>(i) to include the main elements characterizing the financing offers of Hyundai vehicles on the page of its website, where the first contact with the consumer occurs. On this page, the information regarding the number and amount of the installments, the down payment, the guaranteed future value (coinciding with the final maxi-installment), the TAN and the TAEG, as well as, where the promotional starting price is indicated, also the total amount due for the financing will be indicated, simultaneously and with equal graphic prominence;</w:t>
        <w:br/>
        <w:t>(ii) to indicate, when the promotional price of Hyundai vehicles is accompanied by the claim "Yours from...", on the aforementioned page of the website of the first contact of the consumer with the offer, also the conditions to access such price (for example, financing, trade-in or scrapping, etc.) and the related financial charges.</w:t>
        <w:br/>
        <w:t>(iii) to include, on the page of the website of first contact with the consumer (the contents of which are described in the previous point (i)), a reference to another page of the website, through the expression "Discover more" or similar. This latter webpage will contain all the economic information about the offer and precisely, in the following order:</w:t>
        <w:br/>
        <w:t>(a) the reproduction of the page of first contact with the consumer, referred to in the previous point (i) (with the essential economic information about the offer present therein);</w:t>
        <w:br/>
        <w:t>(b) information on other price components/discounts regarding the advertised offer (for example, trade-in, scrapping and financing scenarios, list price, "Hyundai Financial Promo", amount of the "Total Customer Advantage (Thanks to the contribution of Hyundai Italy and participating Dealers)", promotional price with financing and without financing, etc.) in addition to down payment, number and amount of monthly installments, guaranteed future value and total amount due for the financing (these latter pieces of information will still be reproduced on the aforementioned page). In particular, the total amount due from the consumer, indicated on the aforementioned page, may also include the optional theft and fire insurance policy, where provided in the advertised offers;</w:t>
        <w:br/>
        <w:t>(c) the legal note regarding detailed information on the offer;</w:t>
        <w:br/>
        <w:t>(iv) to reserve the possibility, with regard to commercial communications disseminated on social channels (through videos and posts) and on third-party websites via banners, to indicate at the first contact with the consumer, simultaneously and with equal graphic prominence, the following information: number and amount of the installments, down payment, guaranteed future value, TAN and TAEG and the total amount due for the financing, where the promotional starting price is indicated. Within these commercial communications disseminated through social or banners on third-party sites, a reference will be included - with the expression "Discover more" or similar - to the HMCI website page described in (iii), where the above-mentioned information will be reported;</w:t>
        <w:br/>
        <w:t>(v) to maintain and update on its website a video for the consumer on the structure of the financing, as provided in the original version of the Commitments.</w:t>
        <w:br/>
        <w:t>(vi) to maintain and update a training plan and guidelines for the personnel involved in managing advertising (online and offline) based on the updated Commitments as indicated above.</w:t>
        <w:br/>
        <w:t>4. For the purposes of the above-mentioned points (i) and (iii) for the HMCI website, the Professional indicates that for "website page [where] the first contact with the consumer regarding the relevant offer occurs" it means both the home page and "the landing page [where] the website user arrives through any menu item of the site, or through any internal or external link to the site (for example, contained in a banner or in a post disseminated through social networks)".</w:t>
        <w:br/>
        <w:t>5. Furthermore, HMCI believes that, in the original version of the Commitments, the information on the total cost of financing was linked to the indication of the promotional starting price. In this regard, HMCI reiterates its commitment to indicate the total cost of financing where the promotional starting price is advertised; conversely, where the promotional starting price is not advertised, the Professional believes that the information on the total cost of financing should not be indicated.</w:t>
        <w:br/>
        <w:t>6. The proposed modification of the Commitments is for an indefinite period and, in case of acceptance of the Request, HMCI will implement the above-mentioned modifications within thirty days from the publication of the measure modifying the Commitments.</w:t>
      </w:r>
    </w:p>
    <w:p>
      <w:r>
        <w:t>III. EVALUATIONS</w:t>
        <w:br/>
        <w:t>7. The proposed modification of the Commitments presented by the Professional is acceptable, being consistent with the rationale of the Measure aimed at highlighting, from the first contact with the consumer, the essential elements of the purchase offers of vehicles with financing or leasing and a price that includes financial charges or expenses.</w:t>
        <w:br/>
        <w:t>8. In particular, through the Request, the Professional expresses its willingness to "anticipate" the essential economic information for the consumer regarding the cost of the vehicle and the payment methods over time (down payment, number and amount of monthly installments, final maxi-installment, TAN, TAEG and total amount for the financing where the promotional price is indicated) at the first contact with the consumer, which may occur through:</w:t>
        <w:br/>
        <w:t>(i) the home page of the HMCI website or a landing page of the aforementioned site that the consumer arrives at from any menu item of the site or from an internal or external link to it (including banners or posts disseminated through social networks or on third-party sites);</w:t>
        <w:br/>
        <w:t>(ii) videos and posts disseminated on social channels and/or banners disseminated on third-party websites.</w:t>
        <w:br/>
        <w:t>In both of these cases, the essential cost items mentioned above will be immediately indicated to the consumer, simultaneously and with equal graphic prominence, and it will be possible to access another page of the HMCI website (for example, via the "Discover more" button or similar) where all the economic information regarding the financing offer will be indicated in a complete and detailed manner, in addition to the so-called "Legal Notes", as indicated in (iii) of the previous paragraph.</w:t>
        <w:br/>
        <w:t>9. Finally, it appears consistent with the rationale of the Measure that the Professional, always at the first contact with the consumer, may alternatively indicate the promotional starting price accompanied by the total amount due for the financing or none of these two pieces of information.</w:t>
        <w:br/>
        <w:t>CONSIDERED to order the mandatory nature of the modifications proposed by Hyundai Motor Company Italy S.r.l. to the Commitments, in the terms indicated above, pursuant to Article 27, paragraph 7 of the Consumer Code and Article 9, paragraph 2, letter a), of the Regulation;</w:t>
        <w:br/>
        <w:t>All this being stated and considered.</w:t>
      </w:r>
    </w:p>
    <w:p>
      <w:r>
        <w:rPr>
          <w:b/>
        </w:rPr>
        <w:t>[Pages 22–24]</w:t>
      </w:r>
    </w:p>
    <w:p>
      <w:r>
        <w:t>24 BULLETIN NO. 43 OF NOVEMBER 11, 2024</w:t>
      </w:r>
    </w:p>
    <w:p>
      <w:r>
        <w:t>RESOLUTION</w:t>
      </w:r>
    </w:p>
    <w:p>
      <w:r>
        <w:t>a) to make mandatory, for Hyundai Motor Company Italy S.r.l., the proposed modifications, as indicated above, to the commitments attached to measure No. 30267 of July 19, 2022, as described in the Form attached to this measure - received in final version on September 23, 2024 (and as specified on October 11, 2024) - which constitutes an integral part;</w:t>
      </w:r>
    </w:p>
    <w:p>
      <w:r>
        <w:t>b) that Hyundai Motor Company Italy S.r.l., within sixty days from the date of notification of this resolution, informs the Authority of the implementation of the commitments.</w:t>
      </w:r>
    </w:p>
    <w:p>
      <w:r>
        <w:t>This measure will be notified to the interested parties and published in the Bulletin of the Competition and Market Authority.</w:t>
      </w:r>
    </w:p>
    <w:p>
      <w:r>
        <w:t>THE SECRETARY GENERAL                       THE PRESIDENT</w:t>
        <w:br/>
        <w:t>Guido Stazi                                      Roberto Rustichelli</w:t>
      </w:r>
    </w:p>
    <w:p>
      <w:r>
        <w:t>BULLETIN NO. 43 OF NOVEMBER 11, 2024 25</w:t>
      </w:r>
    </w:p>
    <w:p>
      <w:r>
        <w:t>PS12727 - RAPTOR 4X4-CREDIT CARD SURCHARGE</w:t>
      </w:r>
    </w:p>
    <w:p>
      <w:r>
        <w:t>Measure No. 31355</w:t>
      </w:r>
    </w:p>
    <w:p>
      <w:r>
        <w:t>THE COMPETITION AND MARKET AUTHORITY</w:t>
      </w:r>
    </w:p>
    <w:p>
      <w:r>
        <w:t>IN ITS MEETING of October 29, 2024;</w:t>
      </w:r>
    </w:p>
    <w:p>
      <w:r>
        <w:t>HEARD the Rapporteur, Professor Elisabetta Iossa;</w:t>
      </w:r>
    </w:p>
    <w:p>
      <w:r>
        <w:t>HAVING REGARD TO Part III, Title III, of Legislative Decree September 6, 2005, No. 206 and subsequent amendments (hereinafter, "Consumer Code");</w:t>
      </w:r>
    </w:p>
    <w:p>
      <w:r>
        <w:t>HAVING REGARD TO the "Regulation on investigative procedures concerning misleading and comparative advertising, unfair commercial practices, violation of consumer rights in contracts, violation of the prohibition of discrimination and unfair terms" (hereinafter, "Regulation"), adopted by the Authority with resolution of April 1, 2015, No. 25411;</w:t>
      </w:r>
    </w:p>
    <w:p>
      <w:r>
        <w:t>HAVING REGARD TO the communication of April 4, 2024, which initiated the PS12727 procedure against Saglietti S.r.l.;</w:t>
      </w:r>
    </w:p>
    <w:p>
      <w:r>
        <w:t>HAVING REGARD TO its decision of July 31, 2024, with which, pursuant to Article 7, paragraph 3, of the Regulation, the deadline for concluding the procedure was extended, considering the need to examine the findings in the records for the assessment of the case subject to the procedure in question;</w:t>
      </w:r>
    </w:p>
    <w:p>
      <w:r>
        <w:t>HAVING REGARD TO the records of the procedure;</w:t>
      </w:r>
    </w:p>
    <w:p>
      <w:r>
        <w:t>I. THE PARTIES</w:t>
      </w:r>
    </w:p>
    <w:p>
      <w:r>
        <w:t>1. Saglietti S.r.l. (C.F. and P. IVA 00506890094), as a professional (hereinafter, "Professional", "Company" or "Saglietti"), pursuant to Article 18, letter b), of the Consumer Code, active in the production and wholesale and retail trade of auto parts, accessories, machine tools, and special parts for cars, also through the website: https://raptor4x4.it/. Saglietti, based on the financial statements closed on December 31, 2023, generated revenues of 7.076 million euros.</w:t>
      </w:r>
    </w:p>
    <w:p>
      <w:r>
        <w:t>II. THE CONDUCT SUBJECT TO THE PROCEDURE</w:t>
      </w:r>
    </w:p>
    <w:p>
      <w:r>
        <w:t>2. The procedure concerns the conduct carried out by Saglietti "since 2021", consisting of charging an additional cost in case of payment by credit/debit card or PayPal for purchases made by consumers on the website https://raptor4x4.it/ of which it is the owner (hereinafter, "Site").</w:t>
      </w:r>
    </w:p>
    <w:p>
      <w:r>
        <w:t>3. In particular, based on a report and checks carried out ex officio, it emerged that the Professional, at the end of the online purchasing process on the Site for spare parts and accessories for vehicles, charges, in addition to the initially indicated price, an additional cost of 3 euros for payments made by credit/debit card and 8 euros for those made through PayPal.</w:t>
      </w:r>
    </w:p>
    <w:p>
      <w:r>
        <w:t>III. THE FINDINGS OF THE PROCEDURE</w:t>
      </w:r>
    </w:p>
    <w:p>
      <w:r>
        <w:t>1) The procedure process</w:t>
      </w:r>
    </w:p>
    <w:p>
      <w:r>
        <w:t>4. Based on the aforementioned evidence, on April 4, 2024, Saglietti was notified of the initiation of the PS12727 investigative procedure, to verify the possible violation of Article 62 of the Consumer Code in relation to the application of a surcharge to the consumer in case of payment by credit card/debit card or via PayPal for purchases made on the Site (so-called credit card surcharge).</w:t>
      </w:r>
    </w:p>
    <w:p>
      <w:r>
        <w:t>5. On April 29, 2024, a defensive memorandum was received from the Professional, subsequently supplemented on May 16, including a proposal for commitments and a request for a hearing that took place on May 16, 2024. The commitments were rejected by the Authority in the meeting of July 9, 2024, due to the existence of interest in ascertaining any infringement.</w:t>
      </w:r>
    </w:p>
    <w:p>
      <w:r>
        <w:t>6. On July 18, 2024, ex officio checks were carried out on the Site, acquiring the relevant web pages into the records of the procedure.</w:t>
      </w:r>
    </w:p>
    <w:p>
      <w:r>
        <w:t>7. On July 25, 2024, Saglietti was notified of the conclusion date of the investigative phase pursuant to Article 16, paragraph 1, of the Regulation.</w:t>
      </w:r>
    </w:p>
    <w:p>
      <w:r>
        <w:t>8. On September 3, 2024, an opinion was requested from the Authority for Communications Guarantees, pursuant to Article 16, paragraphs 3 and 4, of the Regulation, which was received on September 27.</w:t>
      </w:r>
    </w:p>
    <w:p>
      <w:r>
        <w:t>2) The acquired evidence</w:t>
      </w:r>
    </w:p>
    <w:p>
      <w:r>
        <w:t>9. Based on the ex officio checks and the complaint received by the Authority, it emerged that, at the time of payment for a product purchased on the Site, only in the case of choosing credit/debit card or PayPal as the payment method, the amounts of 3 euros and 8 euros were added respectively as commission fees.</w:t>
      </w:r>
    </w:p>
    <w:p>
      <w:r>
        <w:t>10. In this regard, the Professional stated that the commission fees for the use of credit/debit card or PayPal were introduced on the Site "since 2021". The commission of 3 euros provided in 2021, in case of using the credit/debit card, remained unchanged, while the commission for payment via PayPal, which was 6 euros in 2021, was increased to 8 euros in 2022.</w:t>
      </w:r>
    </w:p>
    <w:p>
      <w:r>
        <w:t>11. As of April 4, 2024, that is, from the date of receipt of the communication initiating the procedure, the Professional has permanently modified the Site, "eliminating" the additional costs.</w:t>
      </w:r>
    </w:p>
    <w:p>
      <w:r>
        <w:rPr>
          <w:b/>
        </w:rPr>
        <w:t>[Pages 25–27]</w:t>
      </w:r>
    </w:p>
    <w:p>
      <w:r>
        <w:t>BULLETIN NO. 43 OF NOVEMBER 11, 2024 27</w:t>
        <w:br/>
        <w:t>any differentiation in payment for all services offered regardless of the payment method used” (figures Nos. 3 and 4)10.</w:t>
        <w:br/>
        <w:t>Figure No. 1: Screen for payment by credit/debit card before the initiation of the procedure11</w:t>
        <w:br/>
        <w:t>10 Cf. ibidem.</w:t>
        <w:br/>
        <w:t>11 Cf. doc. n. 2.</w:t>
      </w:r>
    </w:p>
    <w:p>
      <w:r>
        <w:t>28 BULLETIN NO. 43 OF NOVEMBER 11, 2024</w:t>
        <w:br/>
        <w:t>Figure No. 2: Screen for payment via Paypal before the initiation of the procedure12</w:t>
        <w:br/>
        <w:t>Figure No. 3: Screen for payment after the initiation of the procedure13</w:t>
        <w:br/>
        <w:t>12 Cf. ibidem.</w:t>
        <w:br/>
        <w:t>13 Cf. doc. n. 12.</w:t>
      </w:r>
    </w:p>
    <w:p>
      <w:r>
        <w:t>BULLETIN NO. 43 OF NOVEMBER 11, 2024 29</w:t>
        <w:br/>
        <w:t>12. In the period 2021-2023, consumers made [5,000-50,000]* transactions on the Site for a total amount of [3-10 million euros], of which [5,000-10,000] transactions ([10-50] %) were paid by credit/debit card or with Paypal for a total amount of [1-8 million euros] (the [10-50] % of the total amount of online transactions). The total commissions collected by Saglietti in the period 2021-2023 on purchases made by consumers on the Site via credit/debit card and PayPal amounted to [5,000-50,000] euros net of VAT14.</w:t>
        <w:br/>
        <w:t>3) The arguments of the Professional</w:t>
        <w:br/>
        <w:t>13. In the defense memorandum of April 29, 202415, the Professional stated that he immediately modified the Site upon receiving the communication of initiation on March 4, 2024, thus proving his absolute good faith regarding the contested conduct. The Company also represented that the contested content, online during the year 2021, would have been inserted following an intervention carried out by a third party who was commissioned both for its realization and for the verification of compliance with current regulations of the inserted content (legal disclaimer)16.</w:t>
        <w:br/>
        <w:t>14. The Professional also specified that his activity is primarily directed at professionals and wholesalers in the automotive spare parts, accessories, machine tools, and special parts sector: direct sales to private individuals or consumers represent, in fact, a marginal activity compared to his core business, amounting to about [10-40] % of total turnover.</w:t>
        <w:br/>
        <w:t>15. “Precisely because of this aspect and because the banking system and financial intermediaries apply significant commissions and costs to sellers (and therefore to the appellant) for the use of payment instruments other than bank transfer, [the Company] deemed it correct within the framework of a proper professional relationship not to proceed with a price increase in the case of sales to private individuals, incorporating in that price the costs of the transactions applied to her for payments via credit card or PayPal.”</w:t>
        <w:br/>
        <w:t>16. The Professional also represented that with such commissions, he would have “limited by about [20-70] % the costs incurred to allow his customers to pay with such instruments.” Instead of charging part of those costs to his customers, he could have increased the price of the products accordingly, specifically by [3-10] %, but in this case, he would have found himself outside the European market, considering that European retailers, outside of Italy, are much more competitive due to the lower transaction costs applied by individual countries of the European Union.</w:t>
        <w:br/>
        <w:t>* In this version, some data are omitted, as there were deemed to be elements of confidentiality or secrecy of the information.</w:t>
        <w:br/>
        <w:t>14 Cf. doc. n. 5.</w:t>
        <w:br/>
        <w:t>15 Cf. ibidem.</w:t>
        <w:br/>
        <w:t>16 Cf. ibidem: “The consultant commissioned for the realization of the site had provided legal advice and directives to the appellant, also regarding a general compliance with the applicable regulations for online sales […] the page relating to payment methods, [...] was structured by the contractor with the contested methods, without making any observations regarding its possible illegality.”</w:t>
      </w:r>
    </w:p>
    <w:p>
      <w:r>
        <w:rPr>
          <w:b/>
        </w:rPr>
        <w:t>[Pages 28–30]</w:t>
      </w:r>
    </w:p>
    <w:p>
      <w:r>
        <w:t>30 BULLETIN NO. 43 OF NOVEMBER 11, 2024</w:t>
      </w:r>
    </w:p>
    <w:p>
      <w:r>
        <w:t>IV. OPINION OF THE AUTHORITY FOR COMMUNICATIONS GUARANTEES</w:t>
      </w:r>
    </w:p>
    <w:p>
      <w:r>
        <w:t>17. Since the conduct subject to this measure was disseminated via the internet, on September 3, 2024, the opinion was requested from the Authority for Communications Guarantees (hereinafter, "AGCOM"), pursuant to Article 16, paragraphs 3 and 4, of the Regulation.</w:t>
      </w:r>
    </w:p>
    <w:p>
      <w:r>
        <w:t>18. AGCOM, with an opinion received on September 27, 2024, deemed that the internet constitutes a means of communication capable of having "a significant impact on consumers who, based on the information read on the sites used by the Company, could be induced to make a commercial decision that they otherwise would not have made, thus concretely developing the full potential of the promotion and sales methods used."</w:t>
      </w:r>
    </w:p>
    <w:p>
      <w:r>
        <w:t>V. CONCLUDING ASSESSMENTS</w:t>
      </w:r>
    </w:p>
    <w:p>
      <w:r>
        <w:t>19. The procedure in question concerns the unlawfulness of the conduct carried out by Saglietti, consisting of the provision and actual charge to consumers of a price supplement directly related to the choice of payment method for purchases made on its website, in violation of Article 62 of the Consumer Code (so-called credit card surcharge). Indeed, the evidence gathered during the procedure shows that the Professional imposed commission fees on consumers making purchases on its Site when paying by credit/debit card or PayPal.</w:t>
      </w:r>
    </w:p>
    <w:p>
      <w:r>
        <w:t>20. This conduct constitutes a violation of Article 62 of the Consumer Code, which expressly prohibits professionals from "imposing on consumers, in relation to the use of certain payment instruments, charges for the use of such instruments." The aforementioned prohibition is independent of the nature and/or formal qualification of the surcharge requested by the seller, as any differentiation in the price of the good/service based on the consumer's choice among the various available payment instruments is prohibited.</w:t>
      </w:r>
    </w:p>
    <w:p>
      <w:r>
        <w:t>21. The fact that the Company commissioned a third party for the creation of the Site and for verifying compliance with current regulations does not exempt it from liability for the contested conduct, which, in this respect, remains under the culpa in eligendo of the Site's curator. The contradiction of the contested conduct with the provision of Article 62 of the Consumer Code cannot be overcome by the alleged intent of the Professional to make it transparent to the consumer that the additional cost charged is merely a pass-through of the costs incurred to make the chosen payment method available, given that the prohibition in Article 62 is absolute, as the Italian legislator did not provide for exceptions when transposing Directive (EU) No. 2015/2366.</w:t>
      </w:r>
    </w:p>
    <w:p>
      <w:r>
        <w:t>22. In conclusion, therefore, the provision and actual application by Saglietti of an additional cost for payments made by credit/debit card or PayPal for the online purchase of products offered on its Site constitutes a violation of Article 62 of the Consumer Code.</w:t>
      </w:r>
    </w:p>
    <w:p>
      <w:r>
        <w:t>17 See doc. No. 15.</w:t>
        <w:br/>
        <w:t>18 See doc. No. 16.</w:t>
        <w:br/>
        <w:t>19 See Article 2, paragraph 3, letter d), of Legislative Decree No. 281/2017, which amends paragraph 4 of Article 3 of Legislative Decree No. 11/2010, providing that "The beneficiary may not apply to the payer charges related to the use of payment instruments."</w:t>
      </w:r>
    </w:p>
    <w:p>
      <w:r>
        <w:t>BULLETIN NO. 43 OF NOVEMBER 11, 2024 31</w:t>
      </w:r>
    </w:p>
    <w:p>
      <w:r>
        <w:t>VI. QUANTIFICATION OF THE SANCTION</w:t>
      </w:r>
    </w:p>
    <w:p>
      <w:r>
        <w:t>23. Pursuant to Article 27, paragraph 9, of the Consumer Code, with the measure that prohibits the unfair conduct, the Authority imposes an administrative pecuniary sanction from €5,000 to €10,000,000, taking into account the severity and duration of the violation as well as the economic and asset conditions of the professional.</w:t>
      </w:r>
    </w:p>
    <w:p>
      <w:r>
        <w:t>24. Regarding the quantification of the sanction, the criteria identified by Article 11 of Law No. 689/1981 must be considered, as applicable, by virtue of the reference provided in Article 27, paragraph 13, of the Consumer Code: in particular, the severity of the violation, the efforts made by the business to eliminate or mitigate the infringement, the personality of the agent, as well as the economic conditions of the business itself.</w:t>
      </w:r>
    </w:p>
    <w:p>
      <w:r>
        <w:t>25. With regard to the severity of the violation, the following is taken into account in the case at hand: (i) the economic size of the Professional, noting that the Company's revenues for 2023 amount to over €7 million. It is also considered that the credit card surcharge charged to consumers who made online purchases on the Site during the period 2021-2023, by credit/debit card or via PayPal, totaled [€5,000 - €50,000] net of VAT; (ii) the nature of the violation which is likely to undermine the Union objective of creating a single payment system free of discrimination between instruments; (iii) the dissemination of the conduct and, in particular, the fact that the company operates in the automotive components sector also through the website and, therefore, promotes and allows the purchase of its products through a means capable of potentially reaching a considerable number of consumers.</w:t>
      </w:r>
    </w:p>
    <w:p>
      <w:r>
        <w:t>26. Regarding the duration of the violation, from the available evidence, it appears that the conduct was carried out "starting from 2021" and concluded on April 4, 2024.</w:t>
      </w:r>
    </w:p>
    <w:p>
      <w:r>
        <w:t>27. Based on these elements and in order to ensure that the sanction has a deterrent effect, it is deemed appropriate to set the amount of the administrative pecuniary sanction applicable to Saglietti S.r.l. at €40,000 (forty thousand euros).</w:t>
      </w:r>
    </w:p>
    <w:p>
      <w:r>
        <w:t>THEREFORE, CONSIDERING the opinion of the Authority for Communications Guarantees, based on the above considerations, that the conduct in question consisting of the provision and application of costs for the use of certain payment instruments is in violation of Article 62 of the Consumer Code;</w:t>
      </w:r>
    </w:p>
    <w:p>
      <w:r>
        <w:t>RESOLVES</w:t>
      </w:r>
    </w:p>
    <w:p>
      <w:r>
        <w:t>a) that the conduct described in point II of this measure, carried out by the company Saglietti S.r.l., as the owner of the e-commerce site https://raptor4x4.it/, constitutes, for the reasons and within the limits set forth in the motivation, a conduct in violation of Article 62 of the Consumer Code and prohibits its repetition;</w:t>
      </w:r>
    </w:p>
    <w:p>
      <w:r>
        <w:t>b) to impose on Saglietti S.r.l. an administrative pecuniary sanction of €40,000 (forty thousand euros).</w:t>
      </w:r>
    </w:p>
    <w:p>
      <w:r>
        <w:t>The administrative sanction imposed must be paid within thirty days from the notification of this measure, using the tax codes indicated in the attached F24 model with identifying elements, pursuant to Legislative Decree No. 241/1997.</w:t>
      </w:r>
    </w:p>
    <w:p>
      <w:r>
        <w:t>Payment must be made electronically with a debit from one's bank or postal account, through the home banking and CBI services provided by banks or by Poste Italiane S.p.A., or by using the telematic services of the Revenue Agency, available on the website www.agenziaentrate.gov.it.</w:t>
      </w:r>
    </w:p>
    <w:p>
      <w: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689/1981,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r>
    </w:p>
    <w:p>
      <w:r>
        <w:t>Immediate communication of the payment must be given to the Authority by sending documentation certifying the payment made.</w:t>
      </w:r>
    </w:p>
    <w:p>
      <w:r>
        <w:t>This measure will be notified to the interested parties and published in the Bulletin of the Competition and Market Authority.</w:t>
      </w:r>
    </w:p>
    <w:p>
      <w:r>
        <w:t>Pursuant to Article 27, paragraph 12, of the Consumer Code, in case of non-compliance with the measure, the Authority applies an administrative pecuniary sanction from €10,000 to €10,000,000. In cases of repeated non-compliance, the Authority may order the suspension of business activity for a period not exceeding thirty days.</w:t>
      </w:r>
    </w:p>
    <w:p>
      <w:r>
        <w:t>Against this measure, an appeal may be filed with the TAR of Lazio, pursuant to Article 135, paragraph 1, letter b), of the Code of Administrative Procedure (Legislative Decree July 2, 2010, No. 104), within sixty days from the date of notification of the measure itself, without prejudice to the longer terms provided for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measure itself.</w:t>
      </w:r>
    </w:p>
    <w:p>
      <w:r>
        <w:t>THE SECRETARY GENERAL THE PRESIDENT</w:t>
      </w:r>
    </w:p>
    <w:p>
      <w:r>
        <w:t>Guido Stazi Roberto Rustichelli</w:t>
      </w:r>
    </w:p>
    <w:p>
      <w:r>
        <w:rPr>
          <w:b/>
        </w:rPr>
        <w:t>[Pages 31–32]</w:t>
      </w:r>
    </w:p>
    <w:p>
      <w:r>
        <w:t>BULLETIN NO. 43 OF NOVEMBER 11, 2024 33</w:t>
      </w:r>
    </w:p>
    <w:p>
      <w:r>
        <w:t>IP367 - MULPOR-INTERNATIONAL FAIRS DIRECTORY</w:t>
      </w:r>
    </w:p>
    <w:p>
      <w:r>
        <w:t>Notice of extension of the deadline for the conclusion of the procedure</w:t>
      </w:r>
    </w:p>
    <w:p>
      <w:r>
        <w:t>COMPETITION AND MARKET AUTHORITY</w:t>
      </w:r>
    </w:p>
    <w:p>
      <w:r>
        <w:t>Notice of extension of the deadline for the conclusion of procedure IP367 - Mulpor-International Fairs Directory, pursuant to Article 19, paragraphs 2 and 3, of the Regulation on investigative procedures concerning misleading and comparative advertising, unfair commercial practices, violation of consumer rights in contracts, violation of the prohibition of discrimination and unfair terms, adopted by the Authority with resolution of April 1, 2015, No. 25411.</w:t>
      </w:r>
    </w:p>
    <w:p>
      <w:r>
        <w:t>The publication of this communication in the weekly Bulletin of the Competition and Market Authority is made pursuant to and for the effects of Article 19, paragraphs 2 and 3, of the Regulation, given the unsuccessful outcome of the attempt to transmit the initiation measure of the procedure to the company IBCM International Business Convention Management Ltd, carried out on December 14, 2023, by requesting collaboration from the Embassy of Italy in Nicosia (Cyprus). The Embassy has indeed represented that it was not possible to notify the act at the company's registered office.</w:t>
      </w:r>
    </w:p>
    <w:p>
      <w:r>
        <w:t>For any communication addressed to the Authority regarding the case in question, please refer to the Directorate for credit, insurance, postal services, tourism, and sports of the Consumer Protection Department - 2 and the reference IP367.</w:t>
      </w:r>
    </w:p>
    <w:p>
      <w:r>
        <w:t>---</w:t>
      </w:r>
    </w:p>
    <w:p>
      <w:r>
        <w:t>IP367 - MULPOR-INTERNATIONAL FAIRS DIRECTORY</w:t>
      </w:r>
    </w:p>
    <w:p>
      <w:r>
        <w:t>Communication of extension of the deadline for the conclusion of the procedure</w:t>
      </w:r>
    </w:p>
    <w:p>
      <w:r>
        <w:t>SUBJECT: extension of the deadline for the conclusion of procedure IP/367, pursuant to Article 7, paragraph 3, of the "Regulation on investigative procedures concerning misleading and comparative advertising, unfair commercial practices, violation of consumer rights in contracts, violation of the prohibition of discrimination and unfair terms," adopted by the Authority with resolution of April 1, 2015, No. 25411.</w:t>
      </w:r>
    </w:p>
    <w:p>
      <w:r>
        <w:t>With reference to the procedure in question, initiated on November 28, 2023, against the companies Mulpor Company S.r.l. and IBCM International Business Convention Management Ltd., it is communicated that the Authority, in its meeting of November 5, 2024, resolved to extend the deadline for the conclusion of the procedure by fifty-nine (59) days, in order to follow up on the necessary requirements for the conclusion of the procedure. Therefore, the deadline for the conclusion of the procedure is extended to January 17, 2025.</w:t>
      </w:r>
    </w:p>
    <w:p>
      <w:r>
        <w:t>Competition and Market Authority Weekly Bulletin Year XXXIV - No. 43 - 2024</w:t>
      </w:r>
    </w:p>
    <w:p>
      <w:r>
        <w:t>Editorial Coordination Giulia Antenucci</w:t>
      </w:r>
    </w:p>
    <w:p>
      <w:r>
        <w:t>Editorial Staff Angela D’Auria, Valerio Ruocco, Manuela Villani</w:t>
      </w:r>
    </w:p>
    <w:p>
      <w:r>
        <w:t>Competition and Market Authority</w:t>
      </w:r>
    </w:p>
    <w:p>
      <w:r>
        <w:t>Document Management, Protocol, and Statistical Services Directorate</w:t>
      </w:r>
    </w:p>
    <w:p>
      <w:r>
        <w:t>Piazza Giuseppe Verdi, 6/a - 00198 Rome</w:t>
      </w:r>
    </w:p>
    <w:p>
      <w:r>
        <w:t>Tel.: 06-858211 Fax: 06-85821256</w:t>
      </w:r>
    </w:p>
    <w:p>
      <w:r>
        <w:t>Web: https://www.agcm.it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