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https://www.agcm.it/dotcmsdoc/bollettini/2021/44-21.pdf</w:t>
      </w:r>
    </w:p>
    <w:p>
      <w:r>
        <w:t>Pages translated : 86</w:t>
      </w:r>
    </w:p>
    <w:p/>
    <w:p>
      <w:r>
        <w:rPr>
          <w:b/>
        </w:rPr>
        <w:t>[Pages 1–3]</w:t>
      </w:r>
    </w:p>
    <w:p>
      <w:r>
        <w:t>Bulletin</w:t>
        <w:br/>
        <w:t>Weekly</w:t>
        <w:br/>
        <w:t>Year XXXI - No. 44</w:t>
        <w:br/>
        <w:t>Published on the website www.agcm.it</w:t>
        <w:br/>
        <w:t>November 8, 2021</w:t>
      </w:r>
    </w:p>
    <w:p>
      <w:r>
        <w:t>SUMMARY</w:t>
        <w:br/>
        <w:t>AGREEMENTS AND ABUSE OF DOMINANT POSITION 5</w:t>
        <w:br/>
        <w:t>A524 - LEADIANT BIOSCIENCES/DRUG FOR THE TREATMENT OF CEREBROTENDINOUS XANTHOMATOSIS</w:t>
        <w:br/>
        <w:t>Decision No. 29855 5</w:t>
        <w:br/>
        <w:t>CONCENTRATION OPERATIONS 7</w:t>
        <w:br/>
        <w:t>C12231B - BPER BANK/UNIPOL BANK</w:t>
        <w:br/>
        <w:t>Decision No. 29856 7</w:t>
        <w:br/>
        <w:t>C12402 - CNH INDUSTRIAL ITALIA/SAMPIERANA</w:t>
        <w:br/>
        <w:t>Decision No. 29857 9</w:t>
        <w:br/>
        <w:t>C12403 - MA/BU METALLIC DI INGEGNERIA ITALIA</w:t>
        <w:br/>
        <w:t>Decision No. 29858 13</w:t>
        <w:br/>
        <w:t>C12406 - MIGROSS/BRANCH OF L'ALCO GRANDI MAGAZZINI</w:t>
        <w:br/>
        <w:t>Decision No. 29859 17</w:t>
        <w:br/>
        <w:t>C12407 - VERSALIS/FINPROJECT</w:t>
        <w:br/>
        <w:t>Decision No. 29860 20</w:t>
        <w:br/>
        <w:t>C12408 - UNIONE AMIATINA/TWO BRANCHES OF UNICOOP TIRRENO</w:t>
        <w:br/>
        <w:t>Decision No. 29861 27</w:t>
        <w:br/>
        <w:t>C12404 - ENEL X-VOLKSWAGEN FINANCE LUXEMBOURG/JVC</w:t>
        <w:br/>
        <w:t>Decision No. 29866 29</w:t>
        <w:br/>
        <w:t>C12393 - ARNOLDO MONDADORI EDITORE/DE AGOSTINI SCUOLA</w:t>
        <w:br/>
        <w:t>Decision No. 29867 41</w:t>
        <w:br/>
        <w:t>ACTIVITIES OF REPORTING AND CONSULTATION 73</w:t>
        <w:br/>
        <w:t>AS1800 - MODALITIES FOR THE ASSIGNMENT OF CATERING AND SUPERVISION SERVICES IN PENITENTIARY INSTITUTIONS 73</w:t>
        <w:br/>
        <w:t>UNFAIR TRADE PRACTICES 76</w:t>
        <w:br/>
        <w:t>IP348 - GOOGLE DRIVE-UNFAIR CLAUSES</w:t>
        <w:br/>
        <w:t>Decision No. 29863 76</w:t>
        <w:br/>
        <w:t>PS12169 - CVFACILE.COM</w:t>
        <w:br/>
        <w:t>Notice of initiation of investigative proceedings 80</w:t>
      </w:r>
    </w:p>
    <w:p>
      <w:r>
        <w:t>BULLETIN NO. 44 OF NOVEMBER 8, 2021 5</w:t>
        <w:br/>
        <w:t>AGREEMENTS AND ABUSE OF DOMINANT POSITION</w:t>
        <w:br/>
        <w:t>A524 - LEADIANT BIOSCIENCES/DRUG FOR THE TREATMENT OF CEREBROTENDINOUS XANTHOMATOSIS</w:t>
        <w:br/>
        <w:t>Decision No. 29855</w:t>
        <w:br/>
        <w:t>THE ANTITRUST AUTHORITY</w:t>
        <w:br/>
        <w:t>IN ITS MEETING of October 19, 2021;</w:t>
        <w:br/>
        <w:t>HEARD the Rapporteur, President Roberto Rustichelli;</w:t>
        <w:br/>
        <w:t>HAVING REGARD to Article 102 of the Treaty on the Functioning of the European Union (TFEU);</w:t>
        <w:br/>
        <w:t>HAVING REGARD to Regulation (EC) No. 1/2003 of the Council of December 16, 2002, concerning the application of the competition rules laid down in Articles 81 and 82 of the EC Treaty (now Articles 101 and 102 TFEU);</w:t>
        <w:br/>
        <w:t>HAVING REGARD to Law No. 287 of October 10, 1990;</w:t>
        <w:br/>
        <w:t>HAVING REGARD to the Presidential Decree No. 217 of April 30, 1998;</w:t>
        <w:br/>
        <w:t>HAVING REGARD to its decision No. 27940 of October 8, 2019, which initiated proceedings against the companies Essetifin S.p.A., Leadiant Biosciences S.p.A., Leadiant Biosciences Ltd., Leadiant GmbH, and Sigma-Tau Arzneimittel GmbH in liquidation, aimed at ascertaining the existence of a violation of Article 102 TFEU consisting of having implemented a single articulated strategy aimed at preventing competitors from accessing the market for the production of CDCA-based drugs and imposing unjustifiably excessive prices for the sale of Leadiant Chenodeoxycholic Acid, used for the treatment of the rare disease known as cerebrotendinous xanthomatosis;</w:t>
        <w:br/>
        <w:t>HAVING REGARD to its decision No. 28377 of October 13, 2020, by which the deadline for closing the investigative proceedings was extended to June 30, 2021;</w:t>
        <w:br/>
        <w:t>HAVING REGARD to its decision No. 29704 of June 8, 2021, by which the deadline for closing the investigative proceedings was extended to December 31, 2021;</w:t>
        <w:br/>
        <w:t>HAVING REGARD to the request made on October 4, 2021, by the companies Essetifin S.p.A., Leadiant Biosciences S.p.A., Leadiant Biosciences Ltd., Leadiant GmbH, and Sigma-Tau Arzneimittel GmbH, for an extension of the deadline for the submission of written statements and documents, pursuant to Article 14, paragraph 4, of Presidential Decree No. 217/1998, in order to have a longer period to examine the documentation in the file and fully exercise their right of defense;</w:t>
        <w:br/>
        <w:t>HAVING REGARD to the acts of the proceedings;</w:t>
        <w:br/>
        <w:t>CONSIDERING the complexity of the cases subject to the proceedings;</w:t>
        <w:br/>
        <w:t>CONSIDERING the need to ensure the Parties the broadest exercise of the right of defense in order to fully guarantee the right to adversarial proceedings;</w:t>
      </w:r>
    </w:p>
    <w:p>
      <w:r>
        <w:rPr>
          <w:b/>
        </w:rPr>
        <w:t>[Pages 4–6]</w:t>
      </w:r>
    </w:p>
    <w:p>
      <w:r>
        <w:t>6 BULLETIN NO. 44 OF NOVEMBER 8, 2021</w:t>
      </w:r>
    </w:p>
    <w:p>
      <w:r>
        <w:t>CONSIDERED, therefore, that it is necessary to extend the procedural deadline for the conclusion of the investigation phase;</w:t>
      </w:r>
    </w:p>
    <w:p>
      <w:r>
        <w:t>CONSIDERING that the extension of the procedural deadline for the closure of the investigation phase also necessitates an extension of the deadline for the conclusion of the procedure;</w:t>
      </w:r>
    </w:p>
    <w:p>
      <w:r>
        <w:t>CONSIDERED, therefore, necessary to extend the deadline for the closure of the procedure, currently set for December 31, 2021;</w:t>
      </w:r>
    </w:p>
    <w:p>
      <w:r>
        <w:t>RESOLVES</w:t>
      </w:r>
    </w:p>
    <w:p>
      <w:r>
        <w:t>to extend the deadline for the conclusion of the procedure to February 28, 2022.</w:t>
      </w:r>
    </w:p>
    <w:p>
      <w:r>
        <w:t>This provision will be notified to the interested parties and published in the Bulletin of the Competition and Market Authority.</w:t>
      </w:r>
    </w:p>
    <w:p>
      <w:r>
        <w:t>THE SECRETARY GENERAL THE PRESIDENT</w:t>
        <w:br/>
        <w:t>Filippo Arena Roberto Rustichelli</w:t>
      </w:r>
    </w:p>
    <w:p>
      <w:r>
        <w:t>BULLETIN NO. 44 OF NOVEMBER 8, 2021 7</w:t>
      </w:r>
    </w:p>
    <w:p>
      <w:r>
        <w:t>CONCENTRATION OPERATIONS</w:t>
        <w:br/>
        <w:t>C12231B - BPER BANCA/UNIPOL BANCA</w:t>
        <w:br/>
        <w:t>Provision No. 29856</w:t>
      </w:r>
    </w:p>
    <w:p>
      <w:r>
        <w:t>THE COMPETITION AND MARKET AUTHORITY</w:t>
      </w:r>
    </w:p>
    <w:p>
      <w:r>
        <w:t>IN ITS MEETING of October 19, 2021;</w:t>
      </w:r>
    </w:p>
    <w:p>
      <w:r>
        <w:t>HEARD the Rapporteur Professor Michele Ainis;</w:t>
      </w:r>
    </w:p>
    <w:p>
      <w:r>
        <w:t>HAVING REGARD to Law No. 287 of October 10, 1990;</w:t>
      </w:r>
    </w:p>
    <w:p>
      <w:r>
        <w:t>HAVING REGARD to Articles 6, 14, 18, and 19, paragraph 1, of the aforementioned law;</w:t>
      </w:r>
    </w:p>
    <w:p>
      <w:r>
        <w:t>HAVING REGARD to the decree of the President of the Republic No. 217 of April 30, 1998;</w:t>
      </w:r>
    </w:p>
    <w:p>
      <w:r>
        <w:t>HAVING REGARD to Law No. 689 of November 24, 1981;</w:t>
      </w:r>
    </w:p>
    <w:p>
      <w:r>
        <w:t>HAVING REGARD to its resolution of December 1, 2020, which initiated a procedure against BPER Banca S.p.A. to ascertain the existence of violations of Article 19, paragraph 1, of Law No. 287/90 and to evaluate whether it is necessary to impose new measures, in addition to or in replacement of those originally provided, pursuant to Article 18, paragraph 3, of the aforementioned law;</w:t>
      </w:r>
    </w:p>
    <w:p>
      <w:r>
        <w:t>HAVING REGARD to the acts of the procedure and the documentation acquired during the investigation, and in particular the Communication of Investigative Results, sent to the Party on April 21, 2021, pursuant to Article 14 of the D.P.R. No. 217 of April 30, 1998;</w:t>
      </w:r>
    </w:p>
    <w:p>
      <w:r>
        <w:t>HAVING REGARD to its resolution of May 25, 2021, which extended the deadline for the conclusion of the procedure to October 31, 2021, following the request made by BPER Banca S.p.A. on May 21, 2021, to initiate a new procedure for the transfer of the branches subject to the present compliance investigation;</w:t>
      </w:r>
    </w:p>
    <w:p>
      <w:r>
        <w:t>HAVING REGARD to the communications of July 2, 2021, and July 22, 2021, in which BPER Banca S.p.A. informed the Authority of the conduct of the new procedure for the transfer of the branches and the circumstance that at the end of the same no expressions of interest had been received to open negotiations for the transfer;</w:t>
      </w:r>
    </w:p>
    <w:p>
      <w:r>
        <w:t>HAVING REGARD, therefore, to the objective difficulty encountered by the Party in transferring the branches subject to the measures prescribed by the Authority with resolution No. 27842 of July 17, 2019;</w:t>
      </w:r>
    </w:p>
    <w:p>
      <w:r>
        <w:t>CONSIDERING, therefore, the necessity to evaluate the appropriateness of prescribing, pursuant to Article 18, paragraph 3, the measures necessary to restore effective competition conditions, eliminating the distorting effects, also through a new competitive analysis in the areas where the branches subject to transfer are located;</w:t>
      </w:r>
    </w:p>
    <w:p>
      <w:r>
        <w:t>CONSIDERED the consequent necessity to proceed with an extension of the deadline for the closure of the procedure initiated against BPER Banca S.p.A. to ascertain the existence of violations of Article 19, paragraph 1, of Law No. 287/90 and to evaluate the necessity of new measures, pursuant to Article 18, paragraph 3, of the aforementioned law, currently set for October 31, 2021;</w:t>
      </w:r>
    </w:p>
    <w:p>
      <w:r>
        <w:t>8 BULLETIN NO. 44 OF NOVEMBER 8, 2021</w:t>
      </w:r>
    </w:p>
    <w:p>
      <w:r>
        <w:t>RESOLVES</w:t>
      </w:r>
    </w:p>
    <w:p>
      <w:r>
        <w:t>to extend the deadline for the conclusion of the procedure to July 31, 2022.</w:t>
      </w:r>
    </w:p>
    <w:p>
      <w:r>
        <w:t>This provision will be notified to the interested parties and published in the Bulletin of the Competition and Market Authority.</w:t>
      </w:r>
    </w:p>
    <w:p>
      <w:r>
        <w:t>THE SECRETARY GENERAL THE PRESIDENT</w:t>
        <w:br/>
        <w:t>Filippo Arena Roberto Rustichelli</w:t>
      </w:r>
    </w:p>
    <w:p>
      <w:r>
        <w:rPr>
          <w:b/>
        </w:rPr>
        <w:t>[Pages 7–9]</w:t>
      </w:r>
    </w:p>
    <w:p>
      <w:r>
        <w:t>BULLETIN NO. 44 OF NOVEMBER 8, 2021 9</w:t>
      </w:r>
    </w:p>
    <w:p>
      <w:r>
        <w:t>C12402 - CNH INDUSTRIAL ITALIA/SAMPIERANA</w:t>
      </w:r>
    </w:p>
    <w:p>
      <w:r>
        <w:t>Provision No. 29857</w:t>
      </w:r>
    </w:p>
    <w:p>
      <w:r>
        <w:t>THE ANTITRUST AUTHORITY</w:t>
      </w:r>
    </w:p>
    <w:p>
      <w:r>
        <w:t>IN ITS MEETING of October 19, 2021;</w:t>
      </w:r>
    </w:p>
    <w:p>
      <w:r>
        <w:t>HEARD the Rapporteur, Professor Michele Ainis;</w:t>
      </w:r>
    </w:p>
    <w:p>
      <w:r>
        <w:t>HAVING REGARD to Law No. 287 of October 10, 1990;</w:t>
      </w:r>
    </w:p>
    <w:p>
      <w:r>
        <w:t>HAVING REGARD to Presidential Decree No. 217 of April 30, 1998;</w:t>
      </w:r>
    </w:p>
    <w:p>
      <w:r>
        <w:t>HAVING REGARD to the act of the company CNH Industrial Italia S.p.A., received on September 28, 2021;</w:t>
      </w:r>
    </w:p>
    <w:p>
      <w:r>
        <w:t>CONSIDERED the following:</w:t>
      </w:r>
    </w:p>
    <w:p>
      <w:r>
        <w:t>I. THE PARTIES</w:t>
      </w:r>
    </w:p>
    <w:p>
      <w:r>
        <w:t>1. CNH Industrial Italia S.p.A. (hereinafter, CNHI) is a company active in the design, production, and marketing of a complete range of products and vehicles for agriculture and for the construction/earthmoving machinery sector.</w:t>
      </w:r>
    </w:p>
    <w:p>
      <w:r>
        <w:t>2. CNHI is 100% controlled by CNHI NV, a Dutch law company holding the CNHI Group, whose ordinary shares are listed on the New York Stock Exchange (hereinafter, NYSE) and on the Electronic Stock Market (hereinafter, MTA), the latter managed by Borsa Italiana S.p.A. The majority shareholder of CNH NV is Exor N.V. (hereinafter, Exor, and the namesake group, Exor Group), which holds approximately 27% of the share capital, corresponding to 42.5% of the voting rights. Exor has the ability to significantly influence the decisions submitted to the vote of the CNHI NV assembly, including those concerning the appointment and removal of directors, the approval of annual dividends, mergers or other business aggregations, the acquisition or disposal of assets, and the issuance of shares and securities.</w:t>
      </w:r>
    </w:p>
    <w:p>
      <w:r>
        <w:t>3. In 2020, the CNHI Group achieved a consolidated worldwide turnover of approximately 22.8 billion euros, of which approximately [10-20]* billion euros from sales in the European Union and approximately [2-3] billion euros from sales in Italy.</w:t>
      </w:r>
    </w:p>
    <w:p>
      <w:r>
        <w:t>4. Sampierana S.p.A. (hereinafter, Sampierana or the Target) is a company active, both in Italy and abroad, in the design, production, and sale of earthmoving machinery under the Eurocomach brand (such as mini-excavators, compact tracked loaders, and compact wheeled loaders) and undercarriages applicable to drilling machines, excavators, demolition machines, cranes, crushers, and tracked vehicles in general, as well as in the distribution of undercarriage components (such as rubber tracks, chains, shoes, lubricated rollers, tensioners, and sprockets for earthmoving and construction).</w:t>
      </w:r>
    </w:p>
    <w:p>
      <w:r>
        <w:t>5. The share capital of Sampierana is equally held by two individuals (each holding 48.167% of the share capital) (hereinafter, the Sellers). The remaining part of the share capital (3.667%) is held by CNHI.</w:t>
      </w:r>
    </w:p>
    <w:p>
      <w:r>
        <w:t>* In this version, some data are omitted, as elements of confidentiality or secrecy of the information were deemed to exist.</w:t>
      </w:r>
    </w:p>
    <w:p>
      <w:r>
        <w:t>10 BULLETIN NO. 44 OF NOVEMBER 8, 2021</w:t>
      </w:r>
    </w:p>
    <w:p>
      <w:r>
        <w:t>6. In 2020, Sampierana achieved a worldwide turnover of approximately 106.1 million euros, of which approximately [31-100] million euros from sales in the European Union and approximately [31-100] million euros from sales in Italy.</w:t>
      </w:r>
    </w:p>
    <w:p>
      <w:r>
        <w:t>II. DESCRIPTION OF THE OPERATION</w:t>
      </w:r>
    </w:p>
    <w:p>
      <w:r>
        <w:t>7. Based on what is provided in the Share Purchase Agreement (hereinafter, SPA), CNHI will acquire part of the shares currently held by the Sellers, corresponding to a shareholding such that – following the Operation – CNHI will hold 90% of the share capital of the Target and, as a result, the majority of voting rights in the Assembly and in the Board of Directors (hereinafter, CdA).</w:t>
      </w:r>
    </w:p>
    <w:p>
      <w:r>
        <w:t>8. The remaining part of the share capital of Sampierana (10%) will instead be held by the Sellers, who will have the right to appoint one member of the CdA, to whom no veto right will be granted.</w:t>
      </w:r>
    </w:p>
    <w:p>
      <w:r>
        <w:t>9. It is expected that, for a period of 5 years from the closing of the Operation, each of the Sellers will assume a non-competition and non-solicitation obligation for the benefit of the Target, consisting of the prohibition of (i) engaging in activities in competition with the Target, directly or indirectly (for example, without limitation, through the acquisition of controlling interests in, or the assumption of managerial, executive, or consulting positions in favor of, competing entities), in the countries where the Target will be active at the date of closing and (ii) soliciting or diverting employees, customers, and suppliers who have established a relationship with the Target in the 12 months preceding the closing in the same geographical area.</w:t>
      </w:r>
    </w:p>
    <w:p>
      <w:r>
        <w:t>III. QUALIFICATION OF THE OPERATION</w:t>
      </w:r>
    </w:p>
    <w:p>
      <w:r>
        <w:t>10. The notified operation, as it involves the acquisition of exclusive control of a company, constitutes a concentration pursuant to Article 5, paragraph 1, letter b), of Law No. 287/90.</w:t>
      </w:r>
    </w:p>
    <w:p>
      <w:r>
        <w:t>11. It falls within the scope of application of Law No. 287/90, as the conditions of Article 1 of EC Regulation No. 139/04 are not met, and is subject to the obligation of prior notification provided for by Article 16, paragraph 1, of the same law, as the total turnover achieved in the last financial year at the national level by the group of companies involved was over 511 million euros and the turnover achieved individually at the national level by at least two of the companies involved was over 31 million euros.</w:t>
      </w:r>
    </w:p>
    <w:p>
      <w:r>
        <w:t>12. The non-competition agreement signed by the parties and described in the previous paragraph can be considered directly connected and necessary for the realization of the concentration operation under examination, as it is functional to safeguarding the value of the acquired company, provided that it is limited in time to a period of two years, and does not prevent the sellers from acquiring or holding shares solely for financial investment purposes1.</w:t>
      </w:r>
    </w:p>
    <w:p>
      <w:r>
        <w:t>13. The non-solicitation agreement signed by the parties and described in the previous paragraph can be considered directly connected and necessary for the realization of the concentration operation under examination, as it is functional to safeguarding the value of the acquired company, provided that it is limited in time to a period of two years2.</w:t>
      </w:r>
    </w:p>
    <w:p>
      <w:r>
        <w:t>IV. ASSESSMENT OF THE CONCENTRATION</w:t>
      </w:r>
    </w:p>
    <w:p>
      <w:r>
        <w:t>Relevant markets</w:t>
      </w:r>
    </w:p>
    <w:p>
      <w:r>
        <w:t>14. From a product perspective, considering the activity carried out by the Target, the operation concerns (i) the market for the production and distribution of earthmoving machinery3, (ii) the market for the production and sale of welded structures for earthmoving machinery4, and (iii) the market for the production and sale of undercarriage components for earthmoving machinery5.</w:t>
      </w:r>
    </w:p>
    <w:p>
      <w:r>
        <w:t>15. From a geographical perspective, the size of the three considered markets can be deemed, respectively, (i) European6, (ii) at least European7, and (iii) at least European8.</w:t>
      </w:r>
    </w:p>
    <w:p>
      <w:r>
        <w:t>16. However, for the purposes of the present operation, it does not seem necessary to arrive at an exact definition of the geographical markets, as the competitive assessment of the operation would not change.</w:t>
      </w:r>
    </w:p>
    <w:p>
      <w:r>
        <w:t>Effects of the operation</w:t>
      </w:r>
    </w:p>
    <w:p>
      <w:r>
        <w:t>17. In the market for the production and distribution of earthmoving machinery, the Target holds a share of approximately [1-5%] at the European level and approximately [1-5%] at the national level, while the CNHI Group holds a share of approximately [1-5%] at the European level and approximately [5-10%] at the national level.</w:t>
      </w:r>
    </w:p>
    <w:p>
      <w:r>
        <w:t>18. In the market for the production and sale of welded structures for earthmoving machinery, the Target holds a share of approximately [1-5%] at the European level and [less than 1%] at the global level, while the CNHI Group is not active.</w:t>
      </w:r>
    </w:p>
    <w:p>
      <w:r>
        <w:t>19. In the market for the production and sale of undercarriage components for earthmoving machinery, the Target holds a share of approximately [5-10%] at the European level and [less than 1%] at the global level, while the CNHI Group holds a share of [less than 1%] at the European level and [less than 1%] at the global level.</w:t>
      </w:r>
    </w:p>
    <w:p>
      <w:r>
        <w:t>20. With reference to any vertical effects of the Operation, it is noted that even if a vertical relationship between market (ii) (upstream) and market (i) (downstream) were to be hypothesized, the competitive assessment of the operation would not change.</w:t>
      </w:r>
    </w:p>
    <w:p>
      <w:r>
        <w:t>1 Communication from the Commission on restrictions directly related and necessary to concentration operations (2005/C 56/03) published in the Official Journal of the European Union on March 5, 2005.</w:t>
        <w:br/>
        <w:t>2 Communication from the Commission on restrictions directly related and necessary to concentration operations (2005/C 56/03) published in the Official Journal of the European Union on March 5, 2005.</w:t>
        <w:br/>
        <w:t>3 See AGCM provision No. 22467 of May 24, 2011, Case C11051 – Iveco/Orecchia; AGCM provision No. 19719 of April 2, 2009, Case C10003 – MPS Venture SGR-S.I.C.I. Sviluppo Imprese Centro Italia SGR/Imer International; AGCM provision No. 19411 of January 8, 2009, Case C9886 – Generale Tecnologie e Servizi/Maia Due.</w:t>
        <w:br/>
        <w:t>4 See AGCM provision No. 17350 of September 13, 2007, Case C8764 – Berco/Forteq Business Unit.</w:t>
        <w:br/>
        <w:t>5 See AGCM provision No. 23967 of October 3, 2012, Case C11780 – Titan International/Titan Europe; AGCM provision No. 17350 of September 13, 2007, Case C8764 – Berco/Forteq Business Unit.</w:t>
        <w:br/>
        <w:t>6 See AGCM provision No. 22467 of May 24, 2011, Case C11051 – Iveco/Orecchia; AGCM provision No. 19719 of April 2, 2009, Case C10003 – MPS Venture SGR-S.I.C.I. Sviluppo Imprese Centro Italia SGR/Imer International; AGCM provision No. 19411 of January 8, 2009, Case C9886 – Generale Tecnologie e Servizi/Maia Due.</w:t>
        <w:br/>
        <w:t>7 See AGCM provision No. 17350 of September 13, 2007, Case C8764 – Berco/Forteq Business Unit.</w:t>
        <w:br/>
        <w:t>8 See AGCM provision No. 23967 of October 3, 2012, Case C11780 – Titan International/Titan Europe; AGCM provision No. 17350 of September 13, 2007, Case C8764 – Berco/Forteq Business Unit.</w:t>
      </w:r>
    </w:p>
    <w:p>
      <w:r>
        <w:rPr>
          <w:b/>
        </w:rPr>
        <w:t>[Pages 10–12]</w:t>
      </w:r>
    </w:p>
    <w:p>
      <w:r>
        <w:t>12 BULLETIN NO. 44 OF NOVEMBER 8, 2021</w:t>
        <w:br/>
        <w:t>downstream), and a vertical relationship between market sub (iii) (upstream) and markets sub (i) and sub (ii) (downstream), the combined shares of the Parties in each of the three relevant markets are less than or equal to 10% and, therefore, do not raise concerns regarding either input foreclosure or customer foreclosure.</w:t>
      </w:r>
    </w:p>
    <w:p>
      <w:r>
        <w:t>21. Numerous qualified competitors are present in these markets.</w:t>
      </w:r>
    </w:p>
    <w:p>
      <w:r>
        <w:t>22. In light of the above considerations, it is believed that the operation will not have adverse effects on competition in the relevant markets, as it will not result in substantial changes to their competitive structure.</w:t>
      </w:r>
    </w:p>
    <w:p>
      <w:r>
        <w:t>CONSIDERING, therefore, that the operation under examination does not constitute, pursuant to Article 6, paragraph 1, of Law No. 287/90, the establishment or strengthening of a dominant position in the relevant markets, such as to eliminate or substantially and durably reduce competition;</w:t>
      </w:r>
    </w:p>
    <w:p>
      <w:r>
        <w:t>CONSIDERING, furthermore, that the non-competition and non-solicitation obligations between the parties are ancillary to this operation only to the extent described above and that the Authority reserves the right to evaluate the aforementioned agreements that extend beyond the indicated limits;</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Antitrust Authority.</w:t>
      </w:r>
    </w:p>
    <w:p>
      <w:r>
        <w:t>THE SECRETARY GENERAL THE PRESIDENT</w:t>
        <w:br/>
        <w:t>Filippo Arena Roberto Rustichelli</w:t>
      </w:r>
    </w:p>
    <w:p>
      <w:r>
        <w:t>BULLETIN NO. 44 OF NOVEMBER 8, 2021 13</w:t>
        <w:br/>
        <w:t>C12403 - MA/ BU METALLIC OF INGEGNERIA ITALIA</w:t>
        <w:br/>
        <w:t>Provision No. 29858</w:t>
        <w:br/>
        <w:t>THE ANTITRUST AUTHORITY</w:t>
      </w:r>
    </w:p>
    <w:p>
      <w:r>
        <w:t>IN ITS MEETING of October 19, 2021;</w:t>
      </w:r>
    </w:p>
    <w:p>
      <w:r>
        <w:t>HEARD the Rapporteur Professor Michele Ainis;</w:t>
      </w:r>
    </w:p>
    <w:p>
      <w:r>
        <w:t>HAVING REGARD to Law No. 287 of October 10, 1990;</w:t>
      </w:r>
    </w:p>
    <w:p>
      <w:r>
        <w:t>HAVING REGARD to the Presidential Decree No. 217 of April 30, 1998;</w:t>
      </w:r>
    </w:p>
    <w:p>
      <w:r>
        <w:t>HAVING REGARD to the communication from MA S.r.l. received on September 29, 2021;</w:t>
      </w:r>
    </w:p>
    <w:p>
      <w:r>
        <w:t>HAVING REGARD to the documentation on file;</w:t>
      </w:r>
    </w:p>
    <w:p>
      <w:r>
        <w:t>CONSIDERED the following:</w:t>
      </w:r>
    </w:p>
    <w:p>
      <w:r>
        <w:t>I. THE PARTIES</w:t>
      </w:r>
    </w:p>
    <w:p>
      <w:r>
        <w:t>1. MA S.r.l. (hereinafter MA) is a company active, also through its subsidiaries, in the processing of sheet metal (stamping, profiling, and assembly) for the production of components for cars and commercial vehicles. MA is part of the CLN Group1, active in the production of steel wheels for cars and motorcycles2.</w:t>
      </w:r>
    </w:p>
    <w:p>
      <w:r>
        <w:t>In 2020, the CLN Group generated a worldwide turnover of approximately [1-2]* billion euros, of which approximately [1-2] billion euros in the European Union and [100-511] million euros in Italy3.</w:t>
      </w:r>
    </w:p>
    <w:p>
      <w:r>
        <w:t>2. BU Metallic, a business unit owned by Ingegneria Italia S.r.l. (hereinafter Ingegneria Italia), is active in the production, assembly, and marketing of components and structural parts, made through the process of sheet metal processing (stamping, profiling, and assembly) for the automotive industry (cars and commercial vehicles); the business unit also operates marginally in the sector of equipping cars and commercial vehicles with methane engines at the first installation stage4. Ingegneria Italia and its parent company, Blutec S.p.A., have been subject, since the end of 2019, to an extraordinary administration procedure pursuant to the Decree-Law of December 23, 2003, No. 3475.</w:t>
      </w:r>
    </w:p>
    <w:p>
      <w:r>
        <w:t>In 2020, the turnover of the BU Metallic business unit was [31-100] million euros, entirely generated in Italy.</w:t>
      </w:r>
    </w:p>
    <w:p>
      <w:r>
        <w:t>1 The share capital of MA is 97.8% owned by C.L.N. - COILS LAMIERE NASTRI S.p.A. (“CLN”).</w:t>
      </w:r>
    </w:p>
    <w:p>
      <w:r>
        <w:t>2 The CLN Group operates through the joint venture ArcelorMittal CLN Group, between C.L.N. - COILS LAMIERE NASTRI S.p.A and ArcelorMittal Distribution Solutions Italia s.r.l., in the steel service centers sector, where it specifically engages in: (i) steel distribution; (ii) production of semi-finished steel for industry; (iii) pickling; (iv) transportation service and direct and indirect management of warehousing.</w:t>
      </w:r>
    </w:p>
    <w:p>
      <w:r>
        <w:t>* In this version, some data is omitted, as elements of confidentiality or secrecy of the information were deemed to exist.</w:t>
      </w:r>
    </w:p>
    <w:p>
      <w:r>
        <w:t>3 [Omitted].</w:t>
      </w:r>
    </w:p>
    <w:p>
      <w:r>
        <w:t>4 These activities currently relate only to the Ducato commercial vehicle model (FCA).</w:t>
      </w:r>
    </w:p>
    <w:p>
      <w:r>
        <w:t>5 See Ministerial Decree of October 18, 2019. Opening of the extraordinary administration procedure and appointment of the supervisory board of the companies Blutec S.p.A. and Ingegneria Italia S.r.l., pursuant to Decree-Law 347/2003; see also http://gruppoblutecinas.it/.</w:t>
      </w:r>
    </w:p>
    <w:p>
      <w:r>
        <w:t>14 BULLETIN NO. 44 OF NOVEMBER 8, 2021</w:t>
        <w:br/>
        <w:t>II. DESCRIPTION OF THE OPERATION</w:t>
      </w:r>
    </w:p>
    <w:p>
      <w:r>
        <w:t>3. The Operation consists of the acquisition of exclusive control of the BU Metallic business unit by MA. The operation is part of a planned procedure for the sale of certain assets of Ingegneria Italia, through a public tender (competitive, transparent, and non-discriminatory), following the initiation of the extraordinary administration procedure; the tender that began in 2020 concluded on August 26, 2021, with the formal acceptance of the binding offer submitted by MA6.</w:t>
      </w:r>
    </w:p>
    <w:p>
      <w:r>
        <w:t>III. QUALIFICATION OF THE OPERATION</w:t>
      </w:r>
    </w:p>
    <w:p>
      <w:r>
        <w:t>4. The notified operation, as it involves the acquisition of exclusive control of a part of a business, constitutes a concentration, pursuant to Article 5, paragraph 1, letter b), of Law No. 287/90. It falls within the scope of application of Law No. 287/90, as the conditions set out in Article 1 of Regulation (EC) No. 139/04 do not apply, and it is subject to the obligation of prior notification provided for by Article 16, paragraph 1, of the same law, as the total turnover achieved, in the last financial year at the national level, by the group of companies involved was over 511 million euros and the total turnover achieved individually, in the last financial year at the national level, by at least two of the companies involved was over 31 million euros.</w:t>
      </w:r>
    </w:p>
    <w:p>
      <w:r>
        <w:t>IV. ASSESSMENT OF THE CONCENTRATION</w:t>
      </w:r>
    </w:p>
    <w:p>
      <w:r>
        <w:t>Relevant markets</w:t>
      </w:r>
    </w:p>
    <w:p>
      <w:r>
        <w:t>5. In accordance with the Commission's guidelines7, taking into account the activity carried out by the business unit subject to acquisition, the operation in question concerns, from a product perspective, the production, assembly, and marketing of components and structural parts – made both through the profiling and stamping process8 – for the automotive industry, with particular regard to components for light motor vehicles and commercial vehicles, both for the part relating to the structure and for that concerning the chassis.</w:t>
      </w:r>
    </w:p>
    <w:p>
      <w:r>
        <w:t>6. From a geographical perspective, the market in question presents a supranational dimension, corresponding to the European Economic Area (EEA), considering the absence of significant barriers to the movement of products between EEA countries, the low impact of transportation costs on the final price of the product, and the fact that automotive industries choose their suppliers on a community-wide basis, without favoring national companies9.</w:t>
      </w:r>
    </w:p>
    <w:p>
      <w:r>
        <w:t>6 See Tender Specifications (“Disciplinare”) for the sale of the business complex; see also http://gruppoblutecinas.it/index.php?where=documenti&amp;from=home&amp;fallimento_id=286159.</w:t>
      </w:r>
    </w:p>
    <w:p>
      <w:r>
        <w:t>7 See European Commission decision of February 6, 2013, M.6714. Also see the Authority's decisions, including that of August 6, 2009, case C10182.</w:t>
      </w:r>
    </w:p>
    <w:p>
      <w:r>
        <w:t>8 The stamping process consists of a cold processing of sheet metal for the purpose of shaping (i.e., bending, deep drawing, and other similar processes) it. In the subsequent profiling process, which consists of a cold processing with rollers, the sheet metal is shaped by pairs of rollers to assume the desired profile.</w:t>
      </w:r>
    </w:p>
    <w:p>
      <w:r>
        <w:t>9 See decision M.6714 cited.</w:t>
      </w:r>
    </w:p>
    <w:p>
      <w:r>
        <w:rPr>
          <w:b/>
        </w:rPr>
        <w:t>[Pages 13–15]</w:t>
      </w:r>
    </w:p>
    <w:p>
      <w:r>
        <w:t>BULLETIN NO. 44 OF NOVEMBER 8, 2021 15</w:t>
      </w:r>
    </w:p>
    <w:p>
      <w:r>
        <w:t>The effects of the operation</w:t>
      </w:r>
    </w:p>
    <w:p>
      <w:r>
        <w:t>7. The operation under examination results in limited horizontal overlaps between the activities of the parties, concerning the production, assembly, and marketing of components and structural parts for the automotive sector at the European level. In this market, both MA and BU Metallic hold insignificant shares, amounting to [0-5%] and less than 1%, respectively. The combined post-concentration share attributable to the CNL group does not appear to be of particular significance, even considering that the increase is infinitesimal and that other qualified economic operators are present in the reference market, such as Gestamp, Benteler, and SNOP+Tower10.</w:t>
      </w:r>
    </w:p>
    <w:p>
      <w:r>
        <w:t>8. The operation does not appear capable of producing appreciable effects even with regard to vertical profiles. The CLN Group, through the ArcelorMittal CLN Group, is present in the upstream sector of the distribution of flat steel products through steel service centers, with a market share, even considering a geographic dimension limited to the national level, that does not exceed 10-20%11. The operation, also considering the insignificant market share of the acquirer, does not therefore appear capable of generating significant restrictive effects of a vertical nature.</w:t>
      </w:r>
    </w:p>
    <w:p>
      <w:r>
        <w:t>9. In light of the considerations above, the concentration operation under examination does not appear capable of significantly altering the competitive dynamics in the relevant market.</w:t>
      </w:r>
    </w:p>
    <w:p>
      <w:r>
        <w:t>CONSIDERING, therefore, that the operation under examination does not entail, pursuant to Article 6, paragraph 1, of Law 287/90, the establishment or strengthening of a dominant position in the affected markets, such as to eliminate or substantially and durably reduce competition;</w:t>
      </w:r>
    </w:p>
    <w:p>
      <w:r>
        <w:t>RESOLVES</w:t>
      </w:r>
    </w:p>
    <w:p>
      <w:r>
        <w:t>not to initiate the investigation referred to in Article 16, paragraph 4, of Law 287/90.</w:t>
      </w:r>
    </w:p>
    <w:p>
      <w:r>
        <w:t>The above conclusions will be communicated, pursuant to Article 16, paragraph 4, of Law 287/90, to the interested companies and to the Minister of Economic Development.</w:t>
      </w:r>
    </w:p>
    <w:p>
      <w:r>
        <w:t>10 The Parties indicate that even considering a national geographic market dimension, the increase in the market share of the CLN Group will be less than 5% and the combined post-operation share does not exceed [20-25%], against the presence of the main competitor, the Tiberina company, with a national share of approximately [40-50%].</w:t>
      </w:r>
    </w:p>
    <w:p>
      <w:r>
        <w:t>11 See the competitive analysis and market data in the decision of the European Commission of March 20, 2015, M.7461.</w:t>
      </w:r>
    </w:p>
    <w:p>
      <w:r>
        <w:t>16 BULLETIN NO. 44 OF NOVEMBER 8, 2021</w:t>
      </w:r>
    </w:p>
    <w:p>
      <w:r>
        <w:t>The provision will be published in the Bulletin of the Antitrust Authority.</w:t>
      </w:r>
    </w:p>
    <w:p>
      <w:r>
        <w:t>THE SECRETARY GENERAL THE PRESIDENT</w:t>
      </w:r>
    </w:p>
    <w:p>
      <w:r>
        <w:t>Filippo Arena Roberto Rustichelli</w:t>
      </w:r>
    </w:p>
    <w:p>
      <w:r>
        <w:t>BULLETIN NO. 44 OF NOVEMBER 8, 2021 17</w:t>
      </w:r>
    </w:p>
    <w:p>
      <w:r>
        <w:t>C12406 - MIGROSS/BRANCH OF BUSINESS OF L'ALCO GRANDI MAGAZZINI</w:t>
      </w:r>
    </w:p>
    <w:p>
      <w:r>
        <w:t>Provision No. 29859</w:t>
      </w:r>
    </w:p>
    <w:p>
      <w:r>
        <w:t>THE ANTITRUST AUTHORITY</w:t>
      </w:r>
    </w:p>
    <w:p>
      <w:r>
        <w:t>IN ITS MEETING of October 19, 2021;</w:t>
      </w:r>
    </w:p>
    <w:p>
      <w:r>
        <w:t>HEARD the Rapporteur Professor Michele Ainis;</w:t>
      </w:r>
    </w:p>
    <w:p>
      <w:r>
        <w:t>VIEWED Law No. 287 of October 10, 1990;</w:t>
      </w:r>
    </w:p>
    <w:p>
      <w:r>
        <w:t>VIEWED the Presidential Decree No. 217 of April 30, 1998;</w:t>
      </w:r>
    </w:p>
    <w:p>
      <w:r>
        <w:t>VIEWED the communication made by MIGROSS S.p.A., received on October 1, 2021;</w:t>
      </w:r>
    </w:p>
    <w:p>
      <w:r>
        <w:t>CONSIDERED the following:</w:t>
      </w:r>
    </w:p>
    <w:p>
      <w:r>
        <w:t>I. THE PARTIES</w:t>
      </w:r>
    </w:p>
    <w:p>
      <w:r>
        <w:t>1. MIGROSS S.p.A. (hereinafter also Migross) is a company active in the modern distribution sector of food and non-food products of mass and general consumption, through a network of sales points of various types and sizes, managed under the same brand and predominantly located in Veneto and Lombardy. The company is controlled by individuals, members of the Mion family; it generated a total revenue of approximately 499 million euros in Italy in 2020.</w:t>
      </w:r>
    </w:p>
    <w:p>
      <w:r>
        <w:t>2. The branch of business subject to acquisition consists of the complex of assets and legal relationships organized for the exercise of wholesale sales under the "cash&amp;carry" formula currently owned by L’Alco Grandi Magazzini S.p.A. In particular, it includes 8 cash&amp;carry type sales points, located in Lombardy and operating under the Altasfera brand, which generated a total revenue of 45.7 million euros in 2020.</w:t>
      </w:r>
    </w:p>
    <w:p>
      <w:r>
        <w:t>II. DESCRIPTION OF THE OPERATION</w:t>
      </w:r>
    </w:p>
    <w:p>
      <w:r>
        <w:t>3. The operation consists of the acquisition, by Migross, of the described branch of business, following the awarding of a tender provided for in the context of a preventive agreement procedure concerning L’Alco Grandi Magazzini.</w:t>
      </w:r>
    </w:p>
    <w:p>
      <w:r>
        <w:t>III. QUALIFICATION OF THE OPERATION</w:t>
      </w:r>
    </w:p>
    <w:p>
      <w:r>
        <w:t>4. The communicated operation, as it involves the acquisition of a part of a business, constitutes a concentration pursuant to Article 5, paragraph 1, letter b), of Law No. 287/90. It is subject to the obligation of prior notification established by Article 16, paragraph 1, of Law No. 287/90 (as amended by Article 1, paragraph 177, of Law No. 124 of August 4, 2017, in force since August 29, 2017), as the total revenue generated in the last financial year at the national level by the group of interested companies exceeded 511 million euros and as the revenue</w:t>
      </w:r>
    </w:p>
    <w:p>
      <w:r>
        <w:rPr>
          <w:b/>
        </w:rPr>
        <w:t>[Pages 16–18]</w:t>
      </w:r>
    </w:p>
    <w:p>
      <w:r>
        <w:t>18 BULLETIN NO. 44 OF NOVEMBER 8, 2021</w:t>
      </w:r>
    </w:p>
    <w:p>
      <w:r>
        <w:t>total revenue generated individually at the national level by at least two of the companies involved was greater than 31 million euros.</w:t>
      </w:r>
    </w:p>
    <w:p>
      <w:r>
        <w:t>IV. ASSESSMENT OF THE CONCENTRATION</w:t>
      </w:r>
    </w:p>
    <w:p>
      <w:r>
        <w:t>IV.1 The relevant market</w:t>
      </w:r>
    </w:p>
    <w:p>
      <w:r>
        <w:t>5. The sector affected by the notified operation is that of the wholesale commercial distribution of food and non-food products through the cash &amp; carry formula, primarily aimed at specialized operators (retailers, large professional users, hotels, restaurants, and catering - the so-called HoReCa). This activity identifies a distinct relevant market separate from modern retail distribution and traditional wholesale, due to the particular characteristics that distinguish it (packaging, presentation, and packaging of products, breadth and depth of the range of products offered, etc.), as well as the fact that access to cash &amp; carry is limited to holders of an authorization card mostly issued to traders.</w:t>
      </w:r>
    </w:p>
    <w:p>
      <w:r>
        <w:t>6. From a geographical perspective, cash &amp; carry markets have generally been considered by the Authority to be of a local dimension1, approximately coinciding with the regional territory - in this case, Lombardy - since these sales points serve a broader territorial area compared to retail sales points. However, in the present operation, the definition of the geographical market can be left open, as the analysis of the effects of the operation does not vary regardless of the size of the market considered.</w:t>
      </w:r>
    </w:p>
    <w:p>
      <w:r>
        <w:t>IV.II The effects of the operation</w:t>
      </w:r>
    </w:p>
    <w:p>
      <w:r>
        <w:t>7. Given that Migross is currently not present in the cash &amp; carry sector, the operation under examination results in the mere substitution of one operator with another in the relevant market, without producing changes to its current structure.</w:t>
      </w:r>
    </w:p>
    <w:p>
      <w:r>
        <w:t>8. The vertical effects of the operation can also be considered negligible, also considering that this wholesale sales channel has a very limited impact on the supplies of the GDO, which largely occur directly from producers or through purchasing centers. Moreover, the acquired business branch currently holds a share of less than 10% in the Lombardy cash &amp; carry market.</w:t>
      </w:r>
    </w:p>
    <w:p>
      <w:r>
        <w:t>CONSIDERING, therefore, that the operation under examination does not result, pursuant to Article 6, paragraph 1, of Law No. 287/90, in the establishment or strengthening of a dominant position in the relevant market,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1 See, among others, C11883 - GS/GROS MARKET ITALIA, provision No. 24197 of January 31, 2013.</w:t>
      </w:r>
    </w:p>
    <w:p>
      <w:r>
        <w:t>BULLETIN NO. 44 OF NOVEMBER 8, 2021 19</w:t>
      </w:r>
    </w:p>
    <w:p>
      <w:r>
        <w:t>This provision will be published in the Bulletin of the Antitrust Authority.</w:t>
      </w:r>
    </w:p>
    <w:p>
      <w:r>
        <w:t>THE SECRETARY GENERAL THE PRESIDENT</w:t>
      </w:r>
    </w:p>
    <w:p>
      <w:r>
        <w:t>Filippo Arena Roberto Rustichelli</w:t>
      </w:r>
    </w:p>
    <w:p>
      <w:r>
        <w:t>20 BULLETIN NO. 44 OF NOVEMBER 8, 2021</w:t>
      </w:r>
    </w:p>
    <w:p>
      <w:r>
        <w:t>C12407 - VERSALIS/FINPROJECT</w:t>
      </w:r>
    </w:p>
    <w:p>
      <w:r>
        <w:t>Provision No. 29860</w:t>
      </w:r>
    </w:p>
    <w:p>
      <w:r>
        <w:t>THE ANTITRUST AUTHORITY</w:t>
      </w:r>
    </w:p>
    <w:p>
      <w:r>
        <w:t>IN ITS MEETING of October 19, 2021;</w:t>
      </w:r>
    </w:p>
    <w:p>
      <w:r>
        <w:t>HEARD the Rapporteur, President Roberto Rustichelli;</w:t>
      </w:r>
    </w:p>
    <w:p>
      <w:r>
        <w:t>HAVING REGARD to Law No. 287 of October 10, 1990;</w:t>
      </w:r>
    </w:p>
    <w:p>
      <w:r>
        <w:t>HAVING REGARD to the Presidential Decree No. 217 of April 30, 1998;</w:t>
      </w:r>
    </w:p>
    <w:p>
      <w:r>
        <w:t>HAVING REGARD to the communication from Eni S.p.A. dated October 1, 2021;</w:t>
      </w:r>
    </w:p>
    <w:p>
      <w:r>
        <w:t>CONSIDERED the following:</w:t>
      </w:r>
    </w:p>
    <w:p>
      <w:r>
        <w:t>I. THE PARTIES</w:t>
      </w:r>
    </w:p>
    <w:p>
      <w:r>
        <w:t>1. Versalis S.p.A. (hereinafter Versalis) is a company active globally in the production and marketing of petrochemical products (as well as in the sale of licenses related to technologies and know-how); in particular, Versalis is active in the production of intermediates, polyethylene, styrenics, elastomers, and biochemical substances. For what is specifically relevant to the operation under examination, Versalis produces certain types of polyethylene family products (HDPE, LDPE, LLDPE, and EVA) used for the production of polyethylene-based compounds.</w:t>
      </w:r>
    </w:p>
    <w:p>
      <w:r>
        <w:t>2. Versalis is part of the Eni group as it is wholly owned by Eni S.p.A., an Italian company whose shares are listed on the New York Stock Exchange (NYSE) and the Milan Stock Exchange (FTSE MIB index), and heads the homonymous group active in 68 countries, primarily in the exploration, development, and extraction of oil and natural gas, production and wholesale and retail sale of fuels, biofuels, lubricants, and chemical products, in the procurement, supply, trading, and transport of oil, natural gas, LNG, and electricity. In Italy, the Eni group mainly carries out the following activities: (i) exploration and production in the hydrocarbons and gas sector; (ii) procurement and wholesale and retail sale of natural gas; (iii) purchase and marketing of liquefied natural gas (LNG); (iv) refining and bio-refining; (v) wholesale sale of fuels, biofuels, oils, and fuels on the ordinary and motorway network; (vi) generation, production, and wholesale and retail sale of electricity; (vii) production and marketing of chemical products.</w:t>
      </w:r>
    </w:p>
    <w:p>
      <w:r>
        <w:t>3. In 2020, the Eni group achieved a total revenue of 47.6 billion euros, of which [20-30]* and [10-20] billion euros were from sales made respectively in the European Union and in Italy.</w:t>
      </w:r>
    </w:p>
    <w:p>
      <w:r>
        <w:t>4. Finproject S.p.A. (hereinafter FinPro) is the company at the head of a group of companies that operates globally in the production of PVC-based and polyethylene-based compounds (in the latter case intended for the production of wires, cables, pipes, fittings, and other specific applications), as well as in the production, marketing, and molding of expanded cross-linked plastic material.</w:t>
      </w:r>
    </w:p>
    <w:p>
      <w:r>
        <w:t>* In this version, some data are omitted, as elements of confidentiality or secrecy of the information were deemed to exist.</w:t>
      </w:r>
    </w:p>
    <w:p>
      <w:r>
        <w:rPr>
          <w:b/>
        </w:rPr>
        <w:t>[Pages 19–21]</w:t>
      </w:r>
    </w:p>
    <w:p>
      <w:r>
        <w:t>BULLETIN NO. 44 OF NOVEMBER 8, 2021 21</w:t>
        <w:br/>
        <w:t>for the footwear and fashion sector (as well as for other industrial sectors such as automotive, wellness, interior design, and security) and in the design and production of molds used for the injection molding of plastics.</w:t>
      </w:r>
    </w:p>
    <w:p>
      <w:r>
        <w:t>5. In the specific case, affected by the present operation, of the production of polyethylene-based compounds (crosslinkable with silane technology) intended for the production of wires, cables, pipes, fittings, and other specific applications, which represents the largest of the internal business units in terms of revenue, FinPro operates a single production facility (located in Italy). The controlled company operating in this area is Padanaplast S.r.l. (as well as Padanaplast Deutschland GmbH and Padanaplast America LLC for distribution respectively in Germany and the United States; other controlled companies are engaged in the marketing of compounds particularly in India, Vietnam, and Mexico).</w:t>
      </w:r>
    </w:p>
    <w:p>
      <w:r>
        <w:t>6. As of today, the share capital of Finproject is divided as follows: (i) Team holds 11,100,000 shares, representing 60% of the share capital of Finproject; and (ii) Versalis holds 7,400,000 shares, representing the remaining 40% of the share capital of Finproject1.</w:t>
      </w:r>
    </w:p>
    <w:p>
      <w:r>
        <w:t>7. FinPro achieved a total revenue of 181.6 million euros in 2020, of which [100-511] and [31-100] million euros were from sales made respectively in the European Union and in Italy.</w:t>
      </w:r>
    </w:p>
    <w:p>
      <w:r>
        <w:t>II. DESCRIPTION OF THE OPERATION</w:t>
      </w:r>
    </w:p>
    <w:p>
      <w:r>
        <w:t>8. The communication under examination concerns the acquisition, by Versalis and thus the Eni group, of exclusive control of FinPro, through the exercise of the Purchase Option for the stake held by Team. The exercise of the Purchase Option by Versalis will result in the acquisition of 100% of the share capital, and therefore exclusive control, of Finproject.</w:t>
      </w:r>
    </w:p>
    <w:p>
      <w:r>
        <w:t>III. QUALIFICATION OF THE OPERATION</w:t>
      </w:r>
    </w:p>
    <w:p>
      <w:r>
        <w:t>9. The communicated operation, as it involves the acquisition of exclusive control of a company, constitutes a concentration pursuant to Article 5, paragraph 1 letter b), of Law 287/90. It falls within the scope of application of Law No. 287/1990, as the conditions of Article 1 of EC Regulation 139/2004 are not met, and is subject to the obligation of prior notification provided for by Article 16, paragraph 1, of the same law, as the total revenue achieved, in the last financial year at the national level, by the group of companies involved was over 511 million euros and the total revenue achieved, in the last financial year at the national level, individually by at least two of the companies involved was over 31 million euros.</w:t>
      </w:r>
    </w:p>
    <w:p>
      <w:r>
        <w:t>1 The current ownership structure has been assessed by the Authority in the context of procedure C12289 – Eni-Five/Finproject, concluded with decision No. 28229 of April 22, 2020.</w:t>
      </w:r>
    </w:p>
    <w:p>
      <w:r>
        <w:t>22 BULLETIN NO. 44 OF NOVEMBER 8, 2021</w:t>
      </w:r>
    </w:p>
    <w:p>
      <w:r>
        <w:t>IV. ASSESSMENT OF THE CONCENTRATION</w:t>
      </w:r>
    </w:p>
    <w:p>
      <w:r>
        <w:t>The relevant product and geographic markets</w:t>
      </w:r>
    </w:p>
    <w:p>
      <w:r>
        <w:t>Premise</w:t>
      </w:r>
    </w:p>
    <w:p>
      <w:r>
        <w:t>10. The operation under examination, as seen, concerns the acquisition of exclusive control of FinPro by Versalis/Eni. The Authority has already had the opportunity to assess the competitive structure and the markets involved in the present operation in the context of the previous C12289 – Eni-Five/Finproject and there are no reasons to deviate from that recent assessment, given that this is a transition from joint control to exclusive control.</w:t>
      </w:r>
    </w:p>
    <w:p>
      <w:r>
        <w:t>11. With reference to the product scope of activity, it is noteworthy that the acquiring company providing exclusive control supplies the target company with certain types of polyethylene for the production, by the latter, of polyethylene-based compounds, without further overlaps of activities between the Parties.</w:t>
      </w:r>
    </w:p>
    <w:p>
      <w:r>
        <w:t>12. Consequently, from a product perspective, of the four areas in which the target company operates (polyolefin-based compounds and in particular polyethylene; PVC-based compounds; molding of crosslinked expanded plastic material, so-called moulding; injection molding of expanded plastic material, so-called injection molded foam), the sector affected by the operation is that of the production of polyethylene-based compounds.</w:t>
      </w:r>
    </w:p>
    <w:p>
      <w:r>
        <w:t>Polyethylene</w:t>
      </w:r>
    </w:p>
    <w:p>
      <w:r>
        <w:t>13. Polyethylene, one of the most widely used plastics, is a derivative of ethylene, which in turn is a product derived from the refining process of oil and/or natural gas2. Polyethylene is a basic plastic material, that is, an industrial semi-finished product used as a raw material to produce a wide range of finished products (from packaging films, bottles, industrial containers, to automotive tanks, solar panels, medical prostheses, smart packaging).</w:t>
      </w:r>
    </w:p>
    <w:p>
      <w:r>
        <w:t>14. Within thermoplastics, polyethylene falls into the category of polyolefins3. Depending on the density and degree of branching, different types of polyethylene with varying properties and uses are obtained. In particular, Versalis produces and markets the following types of polyethylene: high-density polyethylene (HDPE); low-density polyethylene (LDPE); linear low-density polyethylene (LLDPE); ethylene vinyl acetate (EVA); ultra-low-density polyethylene (ULDPE). FinPro purchases the first four types of polyethylene from Versalis (it does not purchase ULDPE either from Versalis or from other parties). In this specific case, it is not necessary to reach a definitive conclusion regarding whether these types of polyethylene represent distinct product markets, as the assessment of the operation is conducted under the most restrictive assumption.</w:t>
      </w:r>
    </w:p>
    <w:p>
      <w:r>
        <w:t>15. As for the geographic dimension, a position in line with the European Commission can be adopted, which, in its most recent decision-making practice4, has considered that the relevant geographic market for polyethylene should be identified at least within the European Economic Area (EEA) (leaving the exact definition open in this regard). Supporting the consideration of a supranational scope are the estimated data provided by the Parties regarding the flow of imports into Italy, coming from both the rest of the EEA and non-European countries: these are values of approximately 75%-80% for LLDPE, LDPE, and HDPE, and even 95% for EVA. Furthermore, the Parties provide data regarding the significant flow of imports within Europe (13% of the quantities sold of EVA, 10% of LDPE, 27% for HDPE, and 44% for LLDPE) coming from non-EU countries (particularly the United States, the Middle East, and Southeast Asia), supporting a global dimension of the market.</w:t>
      </w:r>
    </w:p>
    <w:p>
      <w:r>
        <w:t>16. The above is consistent with what has already been noted by the Authority regarding EVA, considering that the ethylene copolymers sector (of which EVA constitutes one of the two main types) can be considered to be at least of European dimension (due to the homogeneity of the characteristics and composition of the products sold in Europe, the modest impact of transportation costs, and the strong presence of multinational groups)5. The disaggregation of Versalis' revenue data is consistent with this consideration. The company, in fact, while having its polyethylene production concentrated mainly in Italy (about two-thirds overall, with similar proportions in LDPE and LLDPE, and the entire production of HDPE), sells in Europe about half - and in some cases about two-thirds - of the polyethylene produced. Conversely, in the case of EVA, with production concentrated abroad (in Germany and France), Versalis sells in Italy more than one-third of the volumes produced.</w:t>
      </w:r>
    </w:p>
    <w:p>
      <w:r>
        <w:t>Polyethylene-based compounds</w:t>
      </w:r>
    </w:p>
    <w:p>
      <w:r>
        <w:t>17. The relevant sector concerns the transformation of thermoplastic polymers into materials called, precisely, thermoplastic compounds. Within this sector, it is possible to identify, depending on the raw material used, different products; the main raw materials used to obtain thermoplastic compounds are as follows: polyethylene, polystyrene, polypropylene, acrylonitrile butadiene styrene, polycarbonate, polybutylene terephthalate, nylon 6-66, thermoplastic elastomers. Thermoplastic compounds, although they may sometimes present a certain degree of substitutability from the supply side, show limited substitutability from the demand side, particularly due to significantly different prices and uses6. The existence of a product market related to granules for the production of electrical and telephone cables and, in particular, thermoplastic granules based on polyethylene, as well as a product market related to thermoplastic granules based on polyethylene for the production of pipes for hydro-thermal-sanitary use7, has also been noted.</w:t>
      </w:r>
    </w:p>
    <w:p>
      <w:r>
        <w:t>18. In the specific case under examination, the products made by FinPro that use the aforementioned types of polyethylene as raw materials are two categories of compounds: polyethylene-based compounds (produced by the aforementioned controlled company Padanaplast) primarily intended for the production of electrical and telephone cables, on the one hand, and pipes for hydro-thermal-sanitary use, on the other;</w:t>
      </w:r>
    </w:p>
    <w:p>
      <w:r>
        <w:rPr>
          <w:b/>
        </w:rPr>
        <w:t>[Pages 22–24]</w:t>
      </w:r>
    </w:p>
    <w:p>
      <w:r>
        <w:t>24 BULLETIN NO. 44 OF NOVEMBER 8, 2021</w:t>
        <w:br/>
        <w:t>as well as compounds based on EVA and polyolefin blends, expandable and cross-linkable (used primarily, i.e., for about 90%-95%, in the footwear sector).</w:t>
      </w:r>
    </w:p>
    <w:p>
      <w:r>
        <w:t>19. As already noted by the Authority, the geographic markets for thermoplastic compounds, in relation to the transportability of the products and considering the significant commercial interchange, present a geographic dimension that is tendentially European8. A similar observation applies with reference to the specifics of the end uses (pipes for hydro-thermal-sanitary use and electrical and telephone cables), due to the high commercial interchange, the homogeneity of the products, the low incidence of transport costs on the selling price, and the homogeneity of prices at least within the European Union9.</w:t>
      </w:r>
    </w:p>
    <w:p>
      <w:r>
        <w:t>20. These considerations are confirmed by the turnover data of FinPro, which, exclusively through its facilities located in Italy, has generated a significant portion of its revenues in the rest of Europe concerning all three categories of products mentioned above (compounds for the production of pipes for hydro-thermal-sanitary use, compounds for the production of electrical and telephone cables, compounds based on EVA and expandable and cross-linkable polyolefin blends). Specifically, the turnover in the rest of Europe is approximately equal to that generated in Italy in the first and third cases, while in the second case, the turnover in the rest of Europe is more than double.</w:t>
      </w:r>
    </w:p>
    <w:p>
      <w:r>
        <w:t>Furthermore, the Parties report that there is a homogeneous regulation at the European level concerning construction materials, which also pertains to pipes for hydro-thermal-sanitary use and electrical and telephone cables10.</w:t>
      </w:r>
    </w:p>
    <w:p>
      <w:r>
        <w:t>Effects of the operation</w:t>
      </w:r>
    </w:p>
    <w:p>
      <w:r>
        <w:t>21. The operation under examination will involve the acquisition of exclusive control of FinPro by Versalis/Eni, which already exercised joint control.</w:t>
      </w:r>
    </w:p>
    <w:p>
      <w:r>
        <w:t>22. With regard to the areas of activity, the acquiring company (Eni/Versalis) and the target company (FinPro) do not present horizontal overlaps, as there are no intersections between their respective activities. From a horizontal perspective, therefore, the operation under examination does not appear capable of producing significant changes in market structures.</w:t>
      </w:r>
    </w:p>
    <w:p>
      <w:r>
        <w:t>23. Conversely, from a vertical perspective, as noted, Versalis supplies FinPro with certain types of polyethylene for the production, by the latter, of polyethylene-based compounds. Even in this analytical perspective, however, the operation under examination does not appear capable of producing harmful effects on competition, particularly in terms of customer foreclosure and input foreclosure. In this regard, the analysis of market shares in the more narrowly identifiable product areas, as illustrated above, is particularly relevant.</w:t>
      </w:r>
    </w:p>
    <w:p>
      <w:r>
        <w:t>24. With reference to the polyethylene market, in terms of production capacity, at the European level, Versalis reaches shares of at most [20-25%] for EVA-type polyethylene, with values well below in other cases ([10-15%] for LLDPE, [5-10%] for LDPE, and [1-5%] for HDPE).</w:t>
      </w:r>
    </w:p>
    <w:p>
      <w:r>
        <w:t>25. Furthermore, in terms of sales volume11, also at the European level, Versalis is attributed a share of approximately [10-15%] in the case of EVA and LLDPE, approximately [5-10%] in the case of LDPE, and approximately [1-5%] in the case of HDPE. These shares, moreover, are estimated net of import volumes from non-EU countries, which, as noted above, are not negligible; thus, the denominator of the market share would actually be higher (and consequently the share lower).</w:t>
      </w:r>
    </w:p>
    <w:p>
      <w:r>
        <w:t>In this context, there is also the presence of several qualified competing polyethylene producers in all the different types of products highlighted here (e.g., Exxon, Total, Repsol, Borealis, Ineos, Dow, etc.). Additionally, it is noted that the sales of polyethylene from Versalis to FinPro, which constitute a significant portion of the latter's demand, do not represent the core outlet for the former, as indicated by the fact that the latter currently sells a predominant portion of polyethylene to customers other than FinPro.</w:t>
      </w:r>
    </w:p>
    <w:p>
      <w:r>
        <w:t>26. With reference to the markets in which the target company operates (downstream), it reaches at the European level a share of at most approximately [10-15%] in the case of the production and sale of polyethylene-based thermoplastic compounds for the production of pipes for hydro-thermal-sanitary use (a significantly lower value, approximately [1-5%], is recorded in the case of the production and sale of compounds, including polyethylene-based thermoplastics, for the production of electrical and telephone cables). Regarding the production and sale of compounds based on EVA and expandable and cross-linkable polyolefin blends, primarily intended for the footwear sector, the Parties estimate that FinPro's share at the European level is significantly below the 20% threshold. Also in the case of compounds, there is the presence of several competing operators (such as Fainplast, Cabopol, Mcpp, Melos, and Silon in the first two cases, and the same Fainplast, Api, and Tecnifoam in the third).</w:t>
      </w:r>
    </w:p>
    <w:p>
      <w:r>
        <w:t>27. In light of the preceding considerations, the concentration under examination does not appear capable of significantly altering competitive dynamics in the relevant markets.</w:t>
      </w:r>
    </w:p>
    <w:p>
      <w:r>
        <w:t>THEREFORE, it is deemed that the operation under examination, consisting of the acquisition of exclusive control of FinPro by Versalis, does not entail, pursuant to Article 6, paragraph 1, of Law 287/90, the establishment or strengthening of a dominant position in the relevant markets, such as to eliminate or substantially and durably reduce competition;</w:t>
      </w:r>
    </w:p>
    <w:p>
      <w:r>
        <w:t>28 BULLETIN NO. 44 OF NOVEMBER 8, 2021</w:t>
        <w:br/>
        <w:t>RESOLUTION</w:t>
      </w:r>
    </w:p>
    <w:p>
      <w:r>
        <w:t>not to initiate the investigation referred to in Article 16, paragraph 4, of Law 287/90. The above conclusions will be communicated, pursuant to Article 16, paragraph 4, of Law 287/90, to the interested companies and the Minister of Economic Development. The provision will be published in the Bulletin of the Antitrust Authority.</w:t>
      </w:r>
    </w:p>
    <w:p>
      <w:r>
        <w:t>THE SECRETARY GENERAL THE PRESIDENT</w:t>
        <w:br/>
        <w:t>Filippo Arena Roberto Rustichelli</w:t>
      </w:r>
    </w:p>
    <w:p>
      <w:r>
        <w:rPr>
          <w:b/>
        </w:rPr>
        <w:t>[Pages 25–27]</w:t>
      </w:r>
    </w:p>
    <w:p>
      <w:r>
        <w:t>BULLETIN NO. 44 OF NOVEMBER 8, 2021 27</w:t>
        <w:br/>
        <w:t>C12408 - UNIONE AMIATINA/TWO BRANCHES OF BUSINESS OF UNICOOP TIRRENO</w:t>
        <w:br/>
        <w:t>Provision No. 29861</w:t>
        <w:br/>
        <w:t>THE ANTITRUST AUTHORITY</w:t>
      </w:r>
    </w:p>
    <w:p>
      <w:r>
        <w:t>IN ITS MEETING of October 19, 2021;</w:t>
        <w:br/>
        <w:t>HEARD the Rapporteur, Professor Michele Ainis;</w:t>
        <w:br/>
        <w:t>HAVING REGARD to Law No. 287 of October 10, 1990;</w:t>
        <w:br/>
        <w:t>HAVING REGARD to Presidential Decree No. 217 of April 30, 1998;</w:t>
        <w:br/>
        <w:t>HAVING REGARD to the communication made by Unione Amiatina Soc. Coop., received on October 4, 2021;</w:t>
        <w:br/>
        <w:t>CONSIDERED the following:</w:t>
        <w:br/>
        <w:t>I. THE PARTIES</w:t>
        <w:br/>
        <w:t>1. Unione Amiatina Soc. Coop. (hereinafter Unione Amiatina) is a cooperative member of the Coopitalia system, active in the GDO sector under the “Coop” brand. It manages a network of 24 sales points, all of medium-small size (less than 1000 sqm), operating in the regions of Tuscany and Lazio. The cooperative's revenue in 2020 was approximately 75 million euros.</w:t>
        <w:br/>
        <w:t>2. The two sales points subject to acquisition are supermarkets (sales points with an area between 100 and 399 sqm), located in the provinces of Siena and Grosseto, both managed under the “Coop” brand. The two sales points are currently owned by Unicoop Tirreno Soc. Coop., which is one of the 9 large cooperatives belonging to the Coop Italia S.c. a r.l. consortium and operates in the GDO sector, also in the regions of Tuscany and Lazio, mainly with large and medium-large sales areas. The total revenue of the two sales points involved in the operation in 2020 was approximately 5 million euros.</w:t>
        <w:br/>
        <w:t>II. DESCRIPTION OF THE OPERATION</w:t>
        <w:br/>
        <w:t>3. The notified Operation consists of the acquisition by Unione Amiatina of the two sales points described, which are currently part of the Unicoop Tirreno Soc. Coop. network.</w:t>
        <w:br/>
        <w:t>4. The economic and strategic objective of the Operation is to optimize the management of the sales points subject to acquisition since, although both the acquirer and the seller operate within the Coop system, Unione Amiatina is specifically dedicated to managing small and medium sales structures, while Unicoop Tirreno focuses on medium-large and large ones.</w:t>
        <w:br/>
        <w:t>III. QUALIFICATION OF THE OPERATION</w:t>
        <w:br/>
        <w:t>5. The communicated operation constitutes a concentration pursuant to Article 5, paragraph 1, letter b), of Law No. 287/90, as it involves the acquisition of control over part of an enterprise. However, it does not fall within the scope of application of the same law, as the conditions set out in Article 16, paragraph 1, of Law No. 287/90 (as amended by Article 1, paragraph 177, of Law No. 124 of August 4, 2017, in force since August 29, 2017) are not met, since the thresholds for the obligation of prior notification have not been exceeded. In particular, the total revenue generated in the last financial year at the national level by the group of interested enterprises was below 511 million euros, and the total revenue generated individually at the national level by one of the interested enterprises was below 31 million euros.</w:t>
        <w:br/>
        <w:t>CONSIDERED, therefore, that the operation in question is not subject to the obligation of prior notification;</w:t>
        <w:br/>
        <w:t>RESOLVES</w:t>
        <w:br/>
        <w:t>that there is no need to take action.</w:t>
        <w:br/>
        <w:t>The above conclusions will be communicated, pursuant to Article 16, paragraph 4, of Law No. 287/90, to the interested enterprises and to the Minister of Economic Development.</w:t>
        <w:br/>
        <w:t>This provision will be published in the Bulletin of the Antitrust Authority.</w:t>
        <w:br/>
        <w:t>THE SECRETARY GENERAL THE PRESIDENT</w:t>
        <w:br/>
        <w:t>Filippo Arena Roberto Rustichelli</w:t>
      </w:r>
    </w:p>
    <w:p>
      <w:r>
        <w:t>BULLETIN NO. 44 OF NOVEMBER 8, 2021 29</w:t>
        <w:br/>
        <w:t>C12404 - ENEL X-VOLKSWAGEN FINANCE LUXEMBOURG/JVC</w:t>
        <w:br/>
        <w:t>Provision No. 29866</w:t>
        <w:br/>
        <w:t>THE ANTITRUST AUTHORITY</w:t>
      </w:r>
    </w:p>
    <w:p>
      <w:r>
        <w:t>IN ITS MEETING of October 29, 2021;</w:t>
        <w:br/>
        <w:t>HEARD the Rapporteur President Roberto Rustichelli;</w:t>
        <w:br/>
        <w:t>HAVING REGARD to Council Regulation (EC) No. 139/2004;</w:t>
        <w:br/>
        <w:t>HAVING REGARD to Law No. 287 of October 10, 1990;</w:t>
        <w:br/>
        <w:t>HAVING REGARD to Presidential Decree No. 217 of April 30, 1998;</w:t>
        <w:br/>
        <w:t>HAVING REGARD to the communication from the European Commission dated July 30, 2021, which transmitted a copy of the notification of the concentration operation made on the same date by Enel X S.r.l. and Volkswagen Finance Luxembourg S.A.;</w:t>
        <w:br/>
        <w:t>HAVING REGARD to its communication of August 18, 2021, in which the Authority requested the European Commission, pursuant to Article 9, paragraph 2, letter (a) of Regulation No. 139/2004, to defer the assessment of the operation;</w:t>
        <w:br/>
        <w:t>HAVING REGARD to the decision of the European Commission of September 17, 2021, to refer the assessment of the operation back to the Antitrust Authority, pursuant to Article 9, paragraph 3, letter (b) of Regulation No. 139/2004;</w:t>
        <w:br/>
        <w:t>HAVING REGARD to the communication of the operation pursuant to Article 16 of Law No. 287/1990, received from Enel X S.r.l. and Volkswagen Finance Luxembourg S.A. on September 30, 2021;</w:t>
        <w:br/>
        <w:t>HAVING REGARD to the documentation on file;</w:t>
        <w:br/>
        <w:t>CONSIDERED the following:</w:t>
        <w:br/>
        <w:t>I. THE PARTIES</w:t>
        <w:br/>
        <w:t>1. Enel X S.r.l. (“Enel X”) is a wholly-owned subsidiary of Enel S.p.A. (“Enel”), the parent company of the eponymous Italian energy group, active in forty-eight countries in the electricity and natural gas sectors. Enel X is the company of the Group responsible for the business line dedicated to innovative products and digital solutions related to energy, including electric mobility, where it operates in the installation, management, and maintenance of charging infrastructure (“Charging Point,” hereinafter “CP”) for battery electric vehicles (Battery Electric Vehicle, hereinafter “BEV”) both in low and high power. In 2020, the Enel Group generated a global revenue of 62.6 billion euros, of which approximately 24 billion in Italy.</w:t>
        <w:br/>
        <w:t>2. Volkswagen Finance Luxembourg S.A. (hereinafter also “VWFL”) is a wholly-owned subsidiary of Volkswagen AG (hereinafter also “VWAG”), a German company, parent company of the Volkswagen Group (hereinafter “VW Group”) active worldwide in the development, production, and sale of cars, light and heavy commercial vehicles, buses, their components, and accessories. The VW Group includes the brands Volkswagen, Porsche, Audi, Škoda, Bentley, Bugatti, Lamborghini, SEAT, MAN, Scania, and Ducati and has recently established the company MOIA for the development and marketing of solutions for mobility services, such as ride-hailing and car-sharing.</w:t>
      </w:r>
    </w:p>
    <w:p>
      <w:r>
        <w:rPr>
          <w:b/>
        </w:rPr>
        <w:t>[Pages 28–30]</w:t>
      </w:r>
    </w:p>
    <w:p>
      <w:r>
        <w:t>30 BULLETIN NO. 44 OF NOVEMBER 8, 2021</w:t>
      </w:r>
    </w:p>
    <w:p>
      <w:r>
        <w:t>sharing, currently active in Germany and Finland. The Group, through its subsidiary Porsche AG, holds a joint control stake in the joint venture IONITY Holding GmbH &amp; Co (hereinafter, "Ionity")1, active throughout Europe in the installation, management, and maintenance of publicly accessible high-power charging infrastructure for BEVs2. In 2020, the VW Group generated a global revenue of €222.9 billion, of which approximately [8-9]* billion was in Italy.</w:t>
      </w:r>
    </w:p>
    <w:p>
      <w:r>
        <w:t>3. The new Joint Venture (“JVC”) between Enel X and VWFL was established in Italy by Enel X on June 10, 2021, under the provisional company name Enel X Mobility HPC S.r.l.</w:t>
      </w:r>
    </w:p>
    <w:p>
      <w:r>
        <w:t>II. DESCRIPTION OF THE OPERATION</w:t>
      </w:r>
    </w:p>
    <w:p>
      <w:r>
        <w:t>4. The notified operation consists of the creation of a joint venture (hereinafter “JVC”) jointly controlled by Enel X and VWFL, each of which will hold 50% of the share capital. The Parties will have equal representation in both the shareholders' meeting and the board of directors of JVC, and both bodies will decide unanimously. The agreements between the Parties provide that in the event of a deadlock [omissis]. The Parties will therefore exercise joint control over the newly established joint company.</w:t>
      </w:r>
    </w:p>
    <w:p>
      <w:r>
        <w:t>5. JVC aims to create and manage exclusively in Italy a network of high-power charging infrastructure, that is, exceeding 100 kW (High Power Charge, hereinafter “HPC”), publicly or privately accessible (hereinafter collectively also referred to as “public” or “publicly”) for BEVs. According to the information provided by the Parties, the JVC network will be open on non-discriminatory terms to all potential users. Enel X will contribute to JVC the public HPC charging points it currently holds in the Italian territory.</w:t>
      </w:r>
    </w:p>
    <w:p>
      <w:r>
        <w:t>6. The agreements between the Parties also include a non-compete obligation for the Enel Group and, although with some exceptions, also for the VW Group for a period [omissis].</w:t>
      </w:r>
    </w:p>
    <w:p>
      <w:r>
        <w:t>7. Under this arrangement, Enel X will carry out the construction and management of charging infrastructure for public HPC charging points only through its joint control participation in the JVC, albeit [omissis]. As for the VW group, it also commits to carry out such construction and management activities for public HPC charging infrastructure only through JVC, but this obligation does not involve either the jointly controlled Ionity or, with some limitations, the subsidiaries Porsche AG and Audi AG. In this regard, the non-compete agreement indeed provides that Porsche AG and Audi AG may cumulatively install up to a maximum of [100-500] charging points in Italy and the other affiliates of the VW Group a number, cumulatively, not exceeding [1-5] charging points: in the event that these limits are exceeded, [omissis].</w:t>
      </w:r>
    </w:p>
    <w:p>
      <w:r>
        <w:t>8. For the IT services necessary for the performance of the CPO activity, JVC will be exclusively supplied by Enel X, which will transfer to the joint company the operating system it developed for its current CPO activities. Regarding the supply to JVC of other inputs that can also be provided by the parent companies (energy from Enel X and hardware for the realization of ultra-fast charging points from both Enel X and VWFL), the agreements provide that JVC [omissis].</w:t>
      </w:r>
    </w:p>
    <w:p>
      <w:r>
        <w:t>III. QUALIFICATION OF THE OPERATION</w:t>
      </w:r>
    </w:p>
    <w:p>
      <w:r>
        <w:t>9. The notified operation concerns the establishment of a joint venture that will permanently exercise all functions of an autonomous economic entity. The contractual provisions regarding supplies to the JVC from the parent companies imply, in fact, that such supplies will occur mostly based on procedures that involve the contestability of the supply and the application of market conditions.</w:t>
      </w:r>
    </w:p>
    <w:p>
      <w:r>
        <w:t>10. The operation, therefore, qualifies as a concentration operation pursuant to Article 3, paragraph 1, letter b) of EC Regulation No. 139 of January 20, 2004 and falls within its scope of application as it meets the conditions set out in Article 1, paragraph 2 of the same Regulation.</w:t>
      </w:r>
    </w:p>
    <w:p>
      <w:r>
        <w:t>11. Following the decision of September 17, 2021, whereby the Commission, pursuant to Article 9, paragraph 3, letter b) of Reg. No. 139/2004, ordered that the operation be fully referred to the Antitrust Authority, Law No. 287/1990 applies to the concentration.</w:t>
      </w:r>
    </w:p>
    <w:p>
      <w:r>
        <w:t>12. The non-compete agreement described in paragraphs 6-8 will be subject to further investigation during the inquiry to assess its accessory nature in relation to the notified operation3.</w:t>
      </w:r>
    </w:p>
    <w:p>
      <w:r>
        <w:t>IV. ASSESSMENT OF THE CONCENTRATION</w:t>
      </w:r>
    </w:p>
    <w:p>
      <w:r>
        <w:t>A) Relevant Markets</w:t>
      </w:r>
    </w:p>
    <w:p>
      <w:r>
        <w:t>13. The Enel Group and the VW group are both active in the Italian market for the construction and management of publicly or privately accessible HPC charging points, the former through the [omissis] charging points held by Enel X (to be transferred to JVC), the latter through its joint control participation in Ionity, which with [omissis] charging points currently represents the main operator in the market. Both groups are active in two vertically related markets to the previous one, namely the markets for the supply of devices (“hardware”) for the realization of charging points and the provision of services for electric mobility (E-Mobility service Provider “EMP”).</w:t>
      </w:r>
    </w:p>
    <w:p>
      <w:r>
        <w:t>14. Also regarding the vertically related markets to that of the construction and management of publicly accessible HPC charging points in Italy, the Enel group is active in the Italian market for the retail sale of electricity to customers connected at medium and high voltage and in the market for the provision of IT services for the management of the charging point network, while the VW group is active in the various markets in which the activity of automobile manufacturing (Original Equipment Manufacturing “OEM”) is articulated.</w:t>
      </w:r>
    </w:p>
    <w:p>
      <w:r>
        <w:t>15. Due to the horizontal overlaps between the parent companies (including all companies belonging to their respective groups) and the vertical links of the Parties with the planned activity of JVC, this operation therefore concerns the following relevant markets:</w:t>
      </w:r>
    </w:p>
    <w:p>
      <w:r>
        <w:t>I. market for the construction and management of charging infrastructure for publicly accessible HPC for BEVs (CPO market);</w:t>
      </w:r>
    </w:p>
    <w:p>
      <w:r>
        <w:t>3 See the “Commission Communication on restrictions directly related and necessary to concentration operations” (2001/C-188/03).</w:t>
      </w:r>
    </w:p>
    <w:p>
      <w:r>
        <w:t>32 BULLETIN NO. 44 OF NOVEMBER 8, 2021</w:t>
      </w:r>
    </w:p>
    <w:p>
      <w:r>
        <w:t>II. market for the retail sale of electricity to customers connected at medium and high voltage;</w:t>
      </w:r>
    </w:p>
    <w:p>
      <w:r>
        <w:t>III. market for the provision of back-end and front-end IT services for the management of the charging point network (“white label services”);</w:t>
      </w:r>
    </w:p>
    <w:p>
      <w:r>
        <w:t>IV. market for the supply of devices (“hardware”) for the realization of charging points;</w:t>
      </w:r>
    </w:p>
    <w:p>
      <w:r>
        <w:t>V. market for the provision of services for electric mobility (EMP market);</w:t>
      </w:r>
    </w:p>
    <w:p>
      <w:r>
        <w:t>VI. markets for the production and sale of motor vehicles (OEM market).</w:t>
      </w:r>
    </w:p>
    <w:p>
      <w:r>
        <w:t>I. The market for the construction and management of publicly accessible HPC infrastructure for BEVs in Italy</w:t>
      </w:r>
    </w:p>
    <w:p>
      <w:r>
        <w:t>16. The infrastructure for charging BEVs is characterized, first and foremost, by the different charging power they offer and from which the different duration of vehicle charging times depends. In this regard, it is therefore possible to distinguish between: charging points with a power of 22 kW (so-called quick), charging points with a power between 22 and 100 kW (so-called fast), and charging points with a power exceeding 100 kW (so-called ultrafast).</w:t>
      </w:r>
    </w:p>
    <w:p>
      <w:r>
        <w:t>17. In line with what has recently been stated by the EU Commission4, the market for the construction and management of publicly accessible HPC infrastructure with a power exceeding 100 kW appears to represent a distinct market compared to that of the construction and management of publicly accessible infrastructure with a power below 100 kW. This conclusion arises, from the demand side, from the difference in charging time, which is much shorter with ultra-fast charges, and from the supply side due to the greater technical complexity and higher investments that characterize HPC charging points. The construction and management of HPC infrastructure on highways could also identify a distinct market compared to similar activities carried out outside highways5. At this stage, it is not deemed necessary to take a position on this matter, as it would not affect the opportunity to initiate an investigative procedure regarding the notified operation given the still initial state of the evolutionary trajectory of this sector in Italy. Where necessary, the verification of the inclusion or exclusion of CPO services within and outside highways in the same product market will be subject to checks conducted within the investigative procedure.</w:t>
      </w:r>
    </w:p>
    <w:p>
      <w:r>
        <w:t>18. The construction and management of publicly accessible HPC charging points, which is the subject of the joint company's activity, involves the following activities: (1) the identification and acquisition of the appropriate site for each charging point; (2) the design of the installation and obtaining all necessary permits for the use of the site; (3) the construction and commissioning of the charging point; and (4) the management and maintenance of the same. These are complex activities that can represent obstacles to the development of the sector in some situations. The demand for CPO services is represented by: (i) EMPs, which negotiate access conditions to charging networks on behalf of end users who join their network; (ii) end customers who charge without intermediation (“ad hoc”); (iii) OEMs who may purchase kWh packages to include in the price of BEVs typically for promotional purposes.</w:t>
      </w:r>
    </w:p>
    <w:p>
      <w:r>
        <w:t>19. Regarding the geographical dimension of the market, it is observed that due to its characteristics of use by the end customer, the high-power charging service in publicly accessible charging points is the mode</w:t>
      </w:r>
    </w:p>
    <w:p>
      <w:r>
        <w:t>4 Case COMP/M.8870-E.ON/Innogy, September 17, 2019.</w:t>
        <w:br/>
        <w:t>5 In this sense, for example, the Commission concluded in case COMP/M.8870, cited.</w:t>
      </w:r>
    </w:p>
    <w:p>
      <w:r>
        <w:rPr>
          <w:b/>
        </w:rPr>
        <w:t>[Pages 31–33]</w:t>
      </w:r>
    </w:p>
    <w:p>
      <w:r>
        <w:t>BULLETIN NO. 44 OF NOVEMBER 8, 2021 33</w:t>
      </w:r>
    </w:p>
    <w:p>
      <w:r>
        <w:t>of refueling electric cars that is most comparable to traditional refueling of internal combustion engine vehicles. As in the latter market, for end users, each charging point competes with surrounding points, and thus competitive comparison occurs primarily at the local level. However, in the commercial policies of the CPOs of public HPC charging points, there are also factors that operate at the national level, such as the pricing mechanisms and the establishment of national contracts with EMPs or with business customers that need to refuel their vehicle fleets. It can therefore be argued, at least as a first approximation, that this market has a national geographic dimension, with elements of local competition.6 This aspect will also be the subject of the checks conducted within the investigative procedure.</w:t>
      </w:r>
    </w:p>
    <w:p>
      <w:r>
        <w:t>II. The market for the retail sale of electricity to customers connected at medium and high voltage</w:t>
      </w:r>
    </w:p>
    <w:p>
      <w:r>
        <w:t>20. Electricity is an important input for the activities of CPOs and represents the main cost item in the management of public HPC charging points. [95-100]% of the charging points that will be built and managed by JVC will be connected to the medium voltage network; therefore, the supply of electricity to JVC is part of the retail market for electricity to end customers connected at medium and high voltage, which has a national dimension according to the established operational practice of the Authority.</w:t>
      </w:r>
    </w:p>
    <w:p>
      <w:r>
        <w:t>III. The market for the provision of back-end and front-end IT services for the management of charging point networks (“white label services”)</w:t>
      </w:r>
    </w:p>
    <w:p>
      <w:r>
        <w:t>21. The management of the charging point network, which is the subject of JVC's activities, requires the availability of IT services, for example, for controlling access to the network or for managing any critical issues in the operation of charging points through specific maintenance tools (back-end services). In the case of direct contacts with end customers (such as for sales on an “ad hoc” basis), IT services that allow interaction with the end customer may also be necessary (front-end services). The provision of IT services to CPOs and EMPs of both back-end and front-end types (“white label services”) is a distinct market, which has, at least as a first approximation, a national dimension.7 However, a more precise definition of this market is not necessary here, as it would not change the outcome of the assessment.</w:t>
      </w:r>
    </w:p>
    <w:p>
      <w:r>
        <w:t>IV. The market for the supply of devices (“hardware”) for the establishment of charging points</w:t>
      </w:r>
    </w:p>
    <w:p>
      <w:r>
        <w:t>22. JVC will also purchase from third parties the devices (“hardware”) necessary for the setup of its public charging points. The relevant market is likely to be classified as a subset of the wholesale supply of charging infrastructure. The size of this market is to be considered, at least as a first approximation, supranational; however, a more precise definition of the geographical scope of this market is not necessary here, as it would not change the outcome of the assessment.</w:t>
      </w:r>
    </w:p>
    <w:p>
      <w:r>
        <w:t>V. The market for the provision of services for electric mobility (“E-mobility service provider”, “EMP”)</w:t>
      </w:r>
    </w:p>
    <w:p>
      <w:r>
        <w:t>23. Access of BEVs to public charging stations is typically intermediated by third parties (EMPs), each of which establishes as many interoperability agreements as possible with the various CPOs active in the territory (also through specialized operators that have developed specific roaming platforms) and then offers its customers the possibility of accessing the respective charging point networks. EMPs therefore represent the main source of demand for CPOs and thus also for JVC. According to the Parties, the service of EMPs is not influenced by the characteristics (in terms of charging power) of the charging points to which they allow access for end customers, and therefore, the market for the service in question should not be further subdivided, for example, by type of charging speed allowed by the charging stations to which the EMP allows access (normal/fast vs. ultra-fast).</w:t>
      </w:r>
    </w:p>
    <w:p>
      <w:r>
        <w:t>24. The provision of services by EMPs to end users for access to public charging points represents a separate market, which has been attributed a national geographic dimension in the precedents of the Authority8 and the Commission9, considering, among other things, the operational radius and pricing policies of the operators.</w:t>
      </w:r>
    </w:p>
    <w:p>
      <w:r>
        <w:t>VI. The markets for the production and sale of motor vehicles (“Original Equipment Manufacturing”, hereinafter “OEM”)</w:t>
      </w:r>
    </w:p>
    <w:p>
      <w:r>
        <w:t>25. From the pre-investigative checks carried out, it appears that automobile manufacturers producing BEVs sometimes adopt forms of promotion for the sale of BEVs that involve the transfer to customers, free of charge or at a discounted price, of the supply of electricity for a limited period. To this end, they may either resort to EMP services or directly acquire kWh packages from CPOs. According to the notifying Parties, this practice would not establish a direct vertical link between the CPO activity of a public HPC charging point network and the production and sale of BEVs, which is part of the core business of the VW group, since if the BEV manufacturer were to directly purchase energy packages from the CPO, it would operate exactly as an EMP, whose activity consists precisely in selling charging services to BEV users. For this reason, according to the notifying Parties, the OEM market should not be considered among the markets affected by the operation.</w:t>
      </w:r>
    </w:p>
    <w:p>
      <w:r>
        <w:t>26. The position of the Parties does not appear, at least at first glance, to be shareable. Compared to a specialized EMP, which resells on the market to anyone interested the possibility of accessing the services of the CPO, transferring obviously to the end user the cost of the energy that the latter uses for refueling, the OEM, in the sense described above, only allocates the energy packages it purchases to its own BEV buyers, bears all or part of the related costs, and carries out this activity solely to promote the sale of its own BEVs. In abstract terms, it therefore seems conceivable that any acquisition of market power in CPO services could lead to foreclosure effects in the vertically connected market of the production and commercialization of BEVs.</w:t>
      </w:r>
    </w:p>
    <w:p>
      <w:r>
        <w:t>27. In the Commission's precedents,11 the production and commercialization of cars has given rise to different markets, each corresponding to a category of cars. At the same time, the Commission has also hypothesized the possibility of distinguishing the production and commercialization of BEVs from the rest of the activities of OEMs, and possibly segmenting BEVs by type of car, although it did not take a position on these issues. Regarding the geographic dimension</w:t>
      </w:r>
    </w:p>
    <w:p>
      <w:r>
        <w:t>8 See C12224 - Dolomiti Energia Holding-Alperia/Alperia Smart Mobility, decision no. 27795 of June 5, 2019.</w:t>
        <w:br/>
        <w:t>9 See case COMP/M.8870, cited.</w:t>
        <w:br/>
        <w:t>10 [Omitted].</w:t>
        <w:br/>
        <w:t>11 See case COMP/.8744 - Daimler/BMW/Car Sharing JV.</w:t>
      </w:r>
    </w:p>
    <w:p>
      <w:r>
        <w:t>BULLETIN NO. 44 OF NOVEMBER 8, 2021 35</w:t>
      </w:r>
    </w:p>
    <w:p>
      <w:r>
        <w:t>of the OEM market, the Commission has also hypothesized12 that it could also be national, although it did not take a definitive position on the matter in that case.</w:t>
      </w:r>
    </w:p>
    <w:p>
      <w:r>
        <w:t>28. In light of these arguments, it is deemed appropriate to assess the effects of the operation on the downstream markets of the production and commercialization of motor vehicles, starting, as a first approximation and in line with the definition suggested by the Commission in the referral decision of the present operation, from the identification of the relevant market as that of the production and commercialization of BEVs in Italy, while reserving the investigative activity for the necessary insights to confirm it or alternatively to identify, according to the different categories of electric cars produced and marketed, more markets.</w:t>
      </w:r>
    </w:p>
    <w:p>
      <w:r>
        <w:t>B) Effects of the operation</w:t>
      </w:r>
    </w:p>
    <w:p>
      <w:r>
        <w:t>I. Horizontal effects</w:t>
      </w:r>
    </w:p>
    <w:p>
      <w:r>
        <w:t>The market for the construction and management of public HPC charging infrastructure for BEVs in Italy</w:t>
      </w:r>
    </w:p>
    <w:p>
      <w:r>
        <w:t>29. At the time of the survey conducted in view of the notification of the operation to the European Commission, according to the Parties, the public HPC charging points open in Italy were only one hundred thirty-one.13 Of these, [omitted] ([50-55]%) were attributable to Ionity, a company jointly controlled by the Volkswagen group through Porsche AG, and [omitted] ([15-20]%) to Enel X Mobility S.r.l., a company of the Enel group. The remaining HPC charging points existing at that time in the Italian territory were attributed to beCharge S.r.l.14 ([omitted] CP, [10-15]%), Free to X S.r.l.15 ([omitted] CP, [5-10]%), Neogy S.r.l.16 ([omitted] CP, [5-10]%), Evway and Duferco Energia S.p.A. ([omitted] CP and less than 1% each). According to these data, therefore, the Parties accounted for, jointly, more than [65-70]% of the public HPC charging network.</w:t>
      </w:r>
    </w:p>
    <w:p>
      <w:r>
        <w:t>30. With the form submitted to the Authority on September 30, 2021, the Parties then updated the data of existing HPC charging points in Italy as of June 30, bringing it to two hundred eight.17 In light of the growth in the total number, the charging points of Enel X remained [omitted] and those of Ionity reached [omitted], thus, the overall share attributable to the Parties would have decreased to [45-50]%.</w:t>
      </w:r>
    </w:p>
    <w:p>
      <w:r>
        <w:t>31. The current structure of the market, in which the Parties hold significant market shares individually (and even more jointly), is however likely to change in the coming years due to the strong expected expansion of the number of public HPC charging points, in connection with</w:t>
      </w:r>
    </w:p>
    <w:p>
      <w:r>
        <w:rPr>
          <w:b/>
        </w:rPr>
        <w:t>[Pages 34–36]</w:t>
      </w:r>
    </w:p>
    <w:p>
      <w:r>
        <w:t>36 BULLETIN NO. 44 OF NOVEMBER 8, 2021</w:t>
      </w:r>
    </w:p>
    <w:p>
      <w:r>
        <w:t>the expected strong increase in the diffusion of electric vehicles and the embryonic state in which the evolution of the high-power charging point network for BEVs still finds itself in Italy.</w:t>
      </w:r>
    </w:p>
    <w:p>
      <w:r>
        <w:t>32. The horizontal effects of the operation on the market for HPC network CPOs must therefore be evaluated prospectively, based on hypotheses regarding possible developments in the market structure and the role of the Parties.</w:t>
      </w:r>
    </w:p>
    <w:p>
      <w:r>
        <w:t>33. The Parties argue, firstly, that the CPO activity does not represent the core business of the VW Group, which therefore has no interest in dedicating itself to it except by participating in initiatives such as Ionity or JVC and solely for the purpose of contributing to promoting the diffusion and sale of BEVs. According to the Parties, moreover, Ionity's market share cannot be attributed to the VW group. The latter would have little influence over the joint venture due to the presence of many partners, the small capital share held by the group (20%), and Ionity's strong autonomy from its shareholders. In other words, the VW group should not be considered an active player in the market for the construction and management of HPC infrastructures. VW thus states that, in the absence of the operation, it would not have independently developed a HPC CP network, competing with other CPOs.</w:t>
      </w:r>
    </w:p>
    <w:p>
      <w:r>
        <w:t>34. At the same time, the Parties assert that even the evolutionary trajectory of JVC, inserted into the broader process of significant expected development in the sector, will not allow the company to reach, in a steady state, even [25-30]% of the total number of HPC CPs present in Italy, considering that JVC's plans foresee the realization of three thousand new public HPC CPs by 2026. On one hand, significant funding for this activity is expected from the resources allocated through the PNRR. On the other hand, several important initiatives by qualified and already active players in the market (such as Be Charge S.r.l. and FreeToX S.r.l.) have already announced the construction of networks comparable in size to that planned by JVC, also taking advantage of the aforementioned funding.</w:t>
      </w:r>
    </w:p>
    <w:p>
      <w:r>
        <w:t>35. In conclusion, in the representation provided by the Parties, prospectively, the operation would not eliminate a potential independent competitor in the market for the construction and management of public HPC charging infrastructures for BEVs and, moreover, would fit into a strongly dynamic context, in which numerous players will develop significant initiatives, such that the operator created by the operation itself (JVC) would not be destined at all to hold a dominant position as a CPO of public HPC CPs in Italy.</w:t>
      </w:r>
    </w:p>
    <w:p>
      <w:r>
        <w:t>36. In light of this reconstruction, however, the elements currently collected do not allow for the exclusion that the operation could contribute to increasing market concentration, potentially allowing for the establishment or strengthening of a dominant position in this market.</w:t>
      </w:r>
    </w:p>
    <w:p>
      <w:r>
        <w:t>37. Firstly, there remain doubts regarding whether the VW Group can actually be considered uninterested in developing its own presence in the sector in the absence of the operation. On one hand, the group has shown interest in direct intervention in the development of a public HPC CP network in Italy by acquiring joint control of Ionity. On this point, it does not seem, at least in the initial assessment phase, acceptable the position of the Parties according to which the market share held by Ionity would not be attributable to the VW group due to its limited influence over the company's decisions, given that the existence of prerogatives and the ability to influence the management of the company sufficient at least to confer joint control has been established by the European Commission.</w:t>
      </w:r>
    </w:p>
    <w:p>
      <w:r>
        <w:t>BULLETIN NO. 44 OF NOVEMBER 8, 2021 37</w:t>
      </w:r>
    </w:p>
    <w:p>
      <w:r>
        <w:t>On the other hand, [omitted]18. Moreover, the very provision of a derogation to the non-compete agreement with Enel X in favor of the development of autonomous networks (up to [omitted] HPC CPs) by two companies of the group (Porsche AG and Audi AG) appears consistent with the intention to also independently engage, at least within certain limits, in CPO activities.</w:t>
      </w:r>
    </w:p>
    <w:p>
      <w:r>
        <w:t>38. From the internal documentation submitted in the records, it seems possible to deduce that the Enel Group, the main group in the electricity sector in Italy, providing distribution services in much of the national territory and already active throughout the electric mobility supply chain, would certainly have pursued the development of its own HPC CP network even in the absence of the operation. In such documents, in fact, [omitted]19.</w:t>
      </w:r>
    </w:p>
    <w:p>
      <w:r>
        <w:t>39. The outcomes of the pre-investigation checks, finally, also lead to a more precise qualification of the certain expansion of the sector in the coming years, particularly when considering the weight (and, in any case, the uncertainties related) associated with possible funding for the electric mobility sector included in the PNRR. Furthermore, several critical issues have been highlighted that may hinder the developments in the sector, for some of which (availability of capital, access to distribution network connections, etc.) the Parties seem to be better equipped compared to competitors.</w:t>
      </w:r>
    </w:p>
    <w:p>
      <w:r>
        <w:t>40. In light of the above, it is believed that it is currently not possible to completely exclude that the operation has the effect of creating or strengthening a dominant position in the market for public HPC CP CPOs in Italy.</w:t>
      </w:r>
    </w:p>
    <w:p>
      <w:r>
        <w:t>The market for the retail sale of electricity to customers connected at medium and high voltage</w:t>
      </w:r>
    </w:p>
    <w:p>
      <w:r>
        <w:t>41. In the Italian market for the retail sale of electricity to customers connected at medium and high voltage, only the Enel Group is present among the Parties through the company Enel Energia S.p.a., which represents the main operator, with a market share in volume of around [15-20]%. However, the market is characterized by numerous other dynamic operators (Edison, Axpo, Hera, A2A) with shares between 5 and 10% each.</w:t>
      </w:r>
    </w:p>
    <w:p>
      <w:r>
        <w:t>42. The demand in this market consists of numerous other modes of electricity use for production purposes, of which the share attributable to JVC represents a marginal share, even in the perspective of growth in its size. According to available estimates, the forecast for electricity consumption for electric mobility from public charging points in 2030 is about 3 TWh20, compared to sales to customers connected at medium and high voltage which were 124 TWh in 2019 and 115 TWh in 202021.</w:t>
      </w:r>
    </w:p>
    <w:p>
      <w:r>
        <w:t>43. For these reasons and considering, furthermore, that the acquisition of energy by JVC will occur through procedures that allow for contestability of supply and its award at market price, it can be concluded that the operation does not produce effects capable of significantly impacting competition in the retail electricity market for customers connected at medium and high voltage.</w:t>
      </w:r>
    </w:p>
    <w:p>
      <w:r>
        <w:t>18 In particular, [omitted].</w:t>
      </w:r>
    </w:p>
    <w:p>
      <w:r>
        <w:t>19 From the documentation collected during the pre-investigation phase, it also appears that [omitted].</w:t>
      </w:r>
    </w:p>
    <w:p>
      <w:r>
        <w:t>20 See Motus-E, “The future of electric mobility: the charging infrastructure in Italy by 2030,” report October 2020. According to this estimate, the total electricity demand for mobility in 2030 (thus, through private and public CPs) will be about 10 TWh, of which 28% drawn from public charging points.</w:t>
      </w:r>
    </w:p>
    <w:p>
      <w:r>
        <w:t>21 For total electricity sales to all customers connected at medium and high voltage see ARERA, Annual Report 2021, “State of Services 2020,” p. 125.</w:t>
      </w:r>
    </w:p>
    <w:p>
      <w:r>
        <w:t>38 BULLETIN NO. 44 OF NOVEMBER 8, 2021</w:t>
      </w:r>
    </w:p>
    <w:p>
      <w:r>
        <w:t>The market for the supply of back-end and front-end IT services for the management of the CP network (“white label services”)</w:t>
      </w:r>
    </w:p>
    <w:p>
      <w:r>
        <w:t>44. In the market for the provision of IT services to CPOs and EMPs of a back-end and front-end type (“white label services”) in Italy, the VW Group is not present while the Enel Group operates through Enel X, with a small turnover22, as the Enel Group dedicates itself to these services essentially for self-production. The software developed by the group for this purpose will be sold to JVC for six years, but the value of this contract would reach, at the time of maximum expansion of JVC's CP network, only [less than one million] euros in total. Furthermore, numerous suppliers of white label services for CPOs and EMPs operate in Italy, such as Siemens, ABB, and others. Therefore, in this market as well, the operation does not appear likely to have effects that restrict competition.</w:t>
      </w:r>
    </w:p>
    <w:p>
      <w:r>
        <w:t>The market for the supply of devices (“hardware”) for the realization of CPs</w:t>
      </w:r>
    </w:p>
    <w:p>
      <w:r>
        <w:t>45. According to the information provided with the form, the Parties, although they do not exclude that they may decide differently in the future, are currently not active in the market for the supply of hardware devices for HPC CPs except in the form of mere resale or for self-consumption and in any case to a negligible extent. For this reason, the operation does not produce significant effects on the market for the supply of hardware devices for the operation of a CPO network of HPC charging points.</w:t>
      </w:r>
    </w:p>
    <w:p>
      <w:r>
        <w:t>II. Vertical effects</w:t>
      </w:r>
    </w:p>
    <w:p>
      <w:r>
        <w:t>The market for the provision of services for electric mobility (“E-mobility service provider”, “EMP”)</w:t>
      </w:r>
    </w:p>
    <w:p>
      <w:r>
        <w:t>46. Both Parties are active as EMPs in Italy. In particular, Enel X Italia S.r.l., a company that acts as an EMP within the Enel Group, holds a market share estimated by the Parties at [20-25]%. The VW group, on the other hand, is present through its subsidiary Volkswagen Group Charging GmbH (“Elli”), which, however, has just begun its operations, having generated in 2020 a turnover in this activity of only [100-500] euros. According to what the parties have represented, other EMPs such as Duferco Energia ([20-25]%), BeCharge ([15-20%]), and EvWay ([5-10%]) are also active in Italy with significant shares.</w:t>
      </w:r>
    </w:p>
    <w:p>
      <w:r>
        <w:t>47. The Parties argue that both EMPs and CPOs, by the very nature of their business, would have an incentive to interface with as many counterparts as possible, and therefore, any existing vertical relationship in these sectors would not be capable of producing any form of foreclosure. This assessment would be confirmed by the fact that JVC's business model also provides for non-discriminatory access to its CP network for all EMPs.</w:t>
      </w:r>
    </w:p>
    <w:p>
      <w:r>
        <w:t>48. It should be noted, however, that in this specific case, regarding the capacity and incentives of the Parties to restrict access to competing operators to HPC CPs, it seems appropriate to conduct further investigations since they could be altered by the establishment, by significant operators active in the EMP market such as Enel X and VW, of a dominant position in the market for the construction and management of HPC CPs.</w:t>
      </w:r>
    </w:p>
    <w:p>
      <w:r>
        <w:t>22 The sale to third parties of its IT systems for CPOs and EMPs resulted in revenues of less than [10,000-50,000] euros in 2020.</w:t>
      </w:r>
    </w:p>
    <w:p>
      <w:r>
        <w:rPr>
          <w:b/>
        </w:rPr>
        <w:t>[Pages 37–39]</w:t>
      </w:r>
    </w:p>
    <w:p>
      <w:r>
        <w:t>BULLETIN NO. 44 OF NOVEMBER 8, 2021 39</w:t>
      </w:r>
    </w:p>
    <w:p>
      <w:r>
        <w:t>49. For these reasons, it cannot be excluded at this stage that the operation, involving two very large groups both present in the EMP services market in Italy, may significantly hinder effective competition in the market in question.</w:t>
      </w:r>
    </w:p>
    <w:p>
      <w:r>
        <w:t>The markets for the production and sale of motor vehicles (“Original Equipment Manufacturing”, hereinafter “OEM”)</w:t>
      </w:r>
    </w:p>
    <w:p>
      <w:r>
        <w:t>50. According to the information provided by the Parties, the VW Group holds a share of less than [15-20]% in the market for the production and commercialization of BEVs in Italy, from which the Enel group is completely absent. However, this share may need to be revised if the investigation reveals the necessity to define a different perimeter for the product markets, for example, through the identification of distinct markets according to the category of cars. The Parties also assert that to date, the practice of purchasing prepaid energy packages to offer it together with the BEV is not followed by any OEM in Europe, while, as previously mentioned, the preliminary investigations suggest the existence of contrary examples.</w:t>
      </w:r>
    </w:p>
    <w:p>
      <w:r>
        <w:t>51. More generally, the Parties claim that the operation, in any case, could not have restrictive effects on the BEV market because the JVC would be committed to selling its services on non-discriminatory terms also due to the incentives generated by the very characteristics of the CPO activity, for which there would be a clear interest in expanding the use of charging points as much as possible.</w:t>
      </w:r>
    </w:p>
    <w:p>
      <w:r>
        <w:t>52. Also from the perspective of the capacity and incentives of the Parties to adopt input foreclosure behaviors, similarly to what was stated for the EMP market, it seems appropriate to conduct further investigations since, at least in theory, they could be altered by the establishment, in the hands of an important BEV manufacturer such as the VW Group, of a dominant position in the market for the construction and management of HPC charging points.</w:t>
      </w:r>
    </w:p>
    <w:p>
      <w:r>
        <w:t>53. For the reasons stated, it currently does not seem possible to exclude that the operation in question may significantly hinder effective competition in the market in question.</w:t>
      </w:r>
    </w:p>
    <w:p>
      <w:r>
        <w:t>THEREFORE, it is deemed necessary to proceed with further investigative deepening since it cannot be completely excluded that the operation under examination may result, pursuant to Article 6 of Law No. 287/1990, in the creation or strengthening of a dominant position, such as to eliminate or substantially and durably reduce competition in the market for the construction and management of public HPC charging infrastructures for BEVs in Italy, in the national market for the provision of services for electric mobility, and in the market or markets for the production and commercialization of BEVs in Italy;</w:t>
      </w:r>
    </w:p>
    <w:p>
      <w:r>
        <w:t>ALSO CONSIDERING that the non-competition agreement described above is not currently fully assessable in terms of its accessory nature to the operation and will therefore also be subject to evaluation during the proceedings;</w:t>
      </w:r>
    </w:p>
    <w:p>
      <w:r>
        <w:t>RESOLVES</w:t>
      </w:r>
    </w:p>
    <w:p>
      <w:r>
        <w:t>a) to initiate the investigation, pursuant to Article 16, paragraph 4, of Law No. 287/90, against the companies Enel X S.r.l. and Volkswagen Finance Luxembourg S.A.;</w:t>
      </w:r>
    </w:p>
    <w:p>
      <w:r>
        <w:t>40 BULLETIN NO. 44 OF NOVEMBER 8, 2021</w:t>
      </w:r>
    </w:p>
    <w:p>
      <w:r>
        <w:t>b) to set a deadline of ten days, starting from the date of notification of this provision, for the exercise by the legal representatives of the Parties, or by persons delegated by them, of the right to be heard, pursuant to Article 14, paragraph 1, of Law No. 287/1990, specifying that the request for a hearing must be received by the Energy and Basic Industry Directorate of the Directorate General for Competition of this Authority at least three days before the expiration of the above-mentioned deadline;</w:t>
      </w:r>
    </w:p>
    <w:p>
      <w:r>
        <w:t>c) that the person responsible for the proceedings is Dr. Letizia Giliberti;</w:t>
      </w:r>
    </w:p>
    <w:p>
      <w:r>
        <w:t>d) that the documents of the proceedings can be viewed at the Energy and Basic Industry Directorate of the Directorate General for Competition of this Authority by the legal representatives of the Parties, as well as by persons with a legally relevant interest or by persons delegated by them;</w:t>
      </w:r>
    </w:p>
    <w:p>
      <w:r>
        <w:t>e) that the proceedings must be concluded within forty-five days from the date of resolution of this provision.</w:t>
      </w:r>
    </w:p>
    <w:p>
      <w:r>
        <w:t>This provision will be notified to the interested parties and published in the Bulletin of the Antitrust Authority.</w:t>
      </w:r>
    </w:p>
    <w:p>
      <w:r>
        <w:t>THE SECRETARY GENERAL THE PRESIDENT</w:t>
      </w:r>
    </w:p>
    <w:p>
      <w:r>
        <w:t>Filippo Arena Roberto Rustichelli</w:t>
      </w:r>
    </w:p>
    <w:p>
      <w:r>
        <w:t>BULLETIN NO. 44 OF NOVEMBER 8, 2021 41</w:t>
      </w:r>
    </w:p>
    <w:p>
      <w:r>
        <w:t>C12393 - ARNOLDO MONDADORI EDITORE/DE AGOSTINI SCUOLA</w:t>
      </w:r>
    </w:p>
    <w:p>
      <w:r>
        <w:t>Provision No. 29867</w:t>
      </w:r>
    </w:p>
    <w:p>
      <w:r>
        <w:t>THE ANTITRUST AUTHORITY</w:t>
      </w:r>
    </w:p>
    <w:p>
      <w:r>
        <w:t>IN ITS MEETING of November 4, 2021;</w:t>
      </w:r>
    </w:p>
    <w:p>
      <w:r>
        <w:t>HEARD the Rapporteur, President Roberto Rustichelli;</w:t>
      </w:r>
    </w:p>
    <w:p>
      <w:r>
        <w:t>HAVING REGARD to Regulation (EC) No. 139/2004 of the Council, of January 20, 2004, concerning the control of concentrations between undertakings;</w:t>
      </w:r>
    </w:p>
    <w:p>
      <w:r>
        <w:t>HAVING REGARD to Law No. 287 of October 10, 1990;</w:t>
      </w:r>
    </w:p>
    <w:p>
      <w:r>
        <w:t>HAVING REGARD to Presidential Decree No. 217 of April 30, 1998;</w:t>
      </w:r>
    </w:p>
    <w:p>
      <w:r>
        <w:t>HAVING REGARD to the communication from Arnoldo Mondadori Editore S.p.A. received on August 25, 2021;</w:t>
      </w:r>
    </w:p>
    <w:p>
      <w:r>
        <w:t>HAVING REGARD to its resolution of September 21, 2021, with which it initiated, pursuant to Article 16, paragraph 4, of Law No. 287/90, the proceedings against the companies Arnoldo Mondadori Editore S.p.A. and De Agostini Scuola S.p.A.;</w:t>
      </w:r>
    </w:p>
    <w:p>
      <w:r>
        <w:t>HAVING REGARD to the communication of October 13, 2021, in which Arnoldo Mondadori Editore S.p.A. proposed corrective measures aimed at removing the distortive effects arising from the concentration operation;</w:t>
      </w:r>
    </w:p>
    <w:p>
      <w:r>
        <w:t>HAVING REGARD to the Communication of Investigative Findings transmitted on October 20, 2021;</w:t>
      </w:r>
    </w:p>
    <w:p>
      <w:r>
        <w:t>HAVING REGARD to the final memorandum submitted by Arnoldo Mondadori Editore S.p.A. on October 25, 2021;</w:t>
      </w:r>
    </w:p>
    <w:p>
      <w:r>
        <w:t>HAVING REGARD to the acts of the proceedings and the documentation acquired during the investigation;</w:t>
      </w:r>
    </w:p>
    <w:p>
      <w:r>
        <w:t>CONSIDERING the following:</w:t>
      </w:r>
    </w:p>
    <w:p>
      <w:r>
        <w:t>I. THE PARTIES</w:t>
      </w:r>
    </w:p>
    <w:p>
      <w:r>
        <w:t>1. Arnoldo Mondadori Editore S.p.A. (hereinafter, “Mondadori”) is a company active in the sectors of book and periodical publishing. Through the companies Mondadori Education S.p.A. and Rizzoli Education S.p.A., Mondadori operates with numerous brands in the publishing of educational texts. Mondadori is listed on the MTA Market, STAR segment organized and managed by Borsa Italiana S.p.A., and is controlled by the investment company Finanziaria d’Investimento Fininvest S.p.A., with a shareholding of 53.299%. Fininvest heads a group active not only in the book and periodical publishing sector but also in cinema, advertising collection, and commercial television.</w:t>
      </w:r>
    </w:p>
    <w:p>
      <w:r>
        <w:t>In 2020, Fininvest S.p.A. achieved a worldwide turnover of 3.46 billion euros, of which [2-3]1 in Italy. Mondadori, in 2020, achieved a consolidated turnover of 744 million euros worldwide, of which [511-700] in Italy.</w:t>
      </w:r>
    </w:p>
    <w:p>
      <w:r>
        <w:t>1 In this version, some data are omitted, as elements of confidentiality or secrecy of the information were deemed to exist.</w:t>
      </w:r>
    </w:p>
    <w:p>
      <w:r>
        <w:rPr>
          <w:b/>
        </w:rPr>
        <w:t>[Pages 40–42]</w:t>
      </w:r>
    </w:p>
    <w:p>
      <w:r>
        <w:t>42 BULLETIN NO. 44 OF NOVEMBER 8, 2021</w:t>
      </w:r>
    </w:p>
    <w:p>
      <w:r>
        <w:t>2. De Agostini Scuola S.p.A. (hereinafter DeA Scuola) is a company active, primarily in Italy, in the publishing of school textbooks, extracurricular, academic, and professional materials, as well as dictionaries under various brands, including DeA Scuola, De Agostini, and Utet Università. DeA Scuola is 100% controlled by De Agostini Editore S.p.A. (hereinafter De Agostini Editore), a company belonging to the B&amp;D Holding VAT Group. The revenue generated in 2020 worldwide by DeA Scuola amounted to 70.8 million euros, of which [31-100] million in Italy.</w:t>
      </w:r>
    </w:p>
    <w:p>
      <w:r>
        <w:t>II. DESCRIPTION OF THE OPERATION</w:t>
      </w:r>
    </w:p>
    <w:p>
      <w:r>
        <w:t>3. The notified operation consists of the purchase, by Mondadori, of the entire share capital of DeA Scuola2.</w:t>
      </w:r>
    </w:p>
    <w:p>
      <w:r>
        <w:t>4. The Parties have provided for a non-competition agreement on the part of De Agostini Editore, whereby the latter, for a period of [omitted] years from the date of execution of the operation, shall not engage in any commercial activity in competition with the activity carried out by DeA Scuola in any part of the Italian territory – not even through an intermediary or a controlled company, directly or indirectly, on its own or on behalf of third parties, for a fee or free of charge in any manner and form – particularly in the markets of school publishing, extracurricular publishing, and university publishing.</w:t>
      </w:r>
    </w:p>
    <w:p>
      <w:r>
        <w:t>5. The Parties have also provided for a prohibition on the poaching of employees by De Agostini Editore for a period of [omitted] years from the date of execution of the operation. In particular, during the aforementioned period, De Agostini Editore shall not, even through an intermediary or a controlled company, directly or indirectly, on its own or on behalf of third parties, for a fee or free of charge in any manner and form, encourage, induce, or instigate, even indirectly, any employee or collaborator of DeA Scuola to resign or otherwise terminate the relationship that binds them to DeA Scuola.</w:t>
      </w:r>
    </w:p>
    <w:p>
      <w:r>
        <w:t>6. Finally, two separate licensing agreements are provided for, whereby De Agostini Editore grants DeA Scuola the exclusive, non-transferable, and non-sublicensable sub-license of the De Agostini and Utet Università trademarks (as well as the related domain name utetuniversita.it), limited to the activity of the licensee carried out in the national territory and in the field of school publishing. [Omitted].</w:t>
      </w:r>
    </w:p>
    <w:p>
      <w:r>
        <w:t>III. QUALIFICATION OF THE OPERATION</w:t>
      </w:r>
    </w:p>
    <w:p>
      <w:r>
        <w:t>7. The notified operation, as it involves the acquisition of control of a company, constitutes a concentration pursuant to Article 5, paragraph 1, letter b), of Law No. 287/90. It falls within the scope of application of Law No. 287/90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companies involved exceeded 511 million euros and the total revenue generated individually in the last financial year at the national level by at least two of the companies involved exceeded 31 million euros.</w:t>
      </w:r>
    </w:p>
    <w:p>
      <w:r>
        <w:t>8. The non-competition agreement, the prohibition on poaching employees, and the licensing agreements described above can be qualified as ancillary to the notified concentration to the extent that they contain restrictions directly related to the realization of the operation and necessary for it3. In particular, the non-competition agreement and the prohibition on poaching employees can be considered ancillary to this operation to the extent that they are limited to the markets (product and geographic) affected by the concentration and do not exceed a duration of two years, given that, in this case, the value of the transferred company must be protected only in terms of goodwill and not also of know-how, as the acquiring company is already present in the school publishing market4.</w:t>
      </w:r>
    </w:p>
    <w:p>
      <w:r>
        <w:t>9. In this regard, it is anticipated that the argument put forward by Mondadori in the memorandum of October 25, 2021 (see infra, par. VI) that the duration of [omitted] years of the non-competition agreement is essential for the operation considering that the seller De Agostini Editore S.p.A. will continue to use the De Agostini trademark, which by history and tradition is capable of expressing a strong appeal to users in the publishing market, does not appear to be shareable. In fact, to address the feared risk that the aforementioned circumstance may create confusion regarding the ownership of the trademark, diminishing the value of the assets subject to transfer (including the DeA Scuola trademark), the Parties have provided for a specific agreement (the Coexistence Agreement, referred to by Mondadori itself) that makes the extension of the duration of the non-competition agreement to a period exceeding two years unnecessary. The aforementioned Agreement – not subject to evaluation within the scope of this provision – particularly provides that [omitted].</w:t>
      </w:r>
    </w:p>
    <w:p>
      <w:r>
        <w:t>Nor does it appear justifiable to extend the duration of the prohibition on poaching employees to a period exceeding two years, considering the corrective measure presented by Mondadori (see infra, par. XI), aimed at keeping DeA Scuola separate from the other companies in the Group. In fact, this corporate organization, contrary to what Mondadori claims, does not seem to affect the ability of the new operator to protect the acquired professional skills.</w:t>
      </w:r>
    </w:p>
    <w:p>
      <w:r>
        <w:t>IV. THE INVESTIGATIVE ACTIVITY CARRIED OUT</w:t>
      </w:r>
    </w:p>
    <w:p>
      <w:r>
        <w:t>10. On September 21, 2021, the Authority decided to initiate the investigation into the present operation, pursuant to Article 16, paragraph 4 of Law No. 287/90, believing that it could lead to the creation or strengthening of a dominant position in the market for school publishing for lower and upper secondary schools and in the market for extracurricular publishing, such as to eliminate or substantially and durably reduce competition therein.</w:t>
      </w:r>
    </w:p>
    <w:p>
      <w:r>
        <w:t>3 See "Communication from the Commission on restrictions directly related and necessary to concentrations (O.J. EU 2005/C-56/03 of March 5, 2005)."</w:t>
      </w:r>
    </w:p>
    <w:p>
      <w:r>
        <w:t>4 See Communication on ancillary restrictions, cited, par. 20.</w:t>
      </w:r>
    </w:p>
    <w:p>
      <w:r>
        <w:t>44 BULLETIN NO. 44 OF NOVEMBER 8, 2021</w:t>
      </w:r>
    </w:p>
    <w:p>
      <w:r>
        <w:t>11. During the investigation, requests for information were sent to Mondadori5 and to various competing publishers6, while the companies Giangiacomo Feltrinelli Editore S.r.l., Gius. Laterza &amp; Figli S.p.A., the National Association of Public Managers and High Professionals of the School (ANP), representatives of the Ministry of Education – General Directorate for School Regulations and the Evaluation of the National Education System, the National Association of Agents and Representatives of Editorial Promoters (ANARPE), and some operators active in the promotion of school books7 were heard in a hearing.</w:t>
      </w:r>
    </w:p>
    <w:p>
      <w:r>
        <w:t>12. During the investigation, Mondadori was heard in a hearing on October 8, 20218 and had access to the documents of the proceedings on October 7, 11, and 21, 2021.</w:t>
      </w:r>
    </w:p>
    <w:p>
      <w:r>
        <w:t>13. On October 13, 2021, Mondadori presented corrective measures to overcome the competitive issues outlined at the outset.</w:t>
      </w:r>
    </w:p>
    <w:p>
      <w:r>
        <w:t>14. The Authority, on October 19, 2021, verified the non-manifest unfoundedness of the investigative findings and authorized the sending of the communication of the investigative findings to the Parties.</w:t>
      </w:r>
    </w:p>
    <w:p>
      <w:r>
        <w:t>15. Subsequently, on October 25, 2021, Mondadori formally waived the final hearing before the College and submitted a final memorandum.</w:t>
      </w:r>
    </w:p>
    <w:p>
      <w:r>
        <w:t>V. THE INVESTIGATIVE FINDINGS</w:t>
      </w:r>
    </w:p>
    <w:p>
      <w:r>
        <w:t>16. Preliminary observations indicate that the investigation has explored the various aspects of the production and distribution chain of school textbooks for secondary schools, which, from a commodity perspective, define one of the markets on which the Authority deemed it appropriate to initiate the present proceedings. Regarding this market, in fact, the investigation confirmed the suitability of the operation to produce restrictive effects on competition also due to the peculiarities characterizing the different stages of the chain that precede the retail sale of the texts. The entire chain has therefore been the subject of in-depth analysis.</w:t>
      </w:r>
    </w:p>
    <w:p>
      <w:r>
        <w:t>Conversely, regarding the other market subject to the initiation of the investigation – that of extracurricular publishing – it is anticipated from now that the acquired elements allow for the exclusion of the emergence of competitive issues. For the related evaluations, reference is made to paragraph VIII.2.</w:t>
      </w:r>
    </w:p>
    <w:p>
      <w:r>
        <w:t>V.1 The chain of secondary school textbook publishing</w:t>
      </w:r>
    </w:p>
    <w:p>
      <w:r>
        <w:t>V.1.1 The regulatory framework</w:t>
      </w:r>
    </w:p>
    <w:p>
      <w:r>
        <w:t>17. From a regulatory perspective, it is first important to recall that pursuant to Article 15 of Decree-Law No. 112 of June 25, 2008, concerning "Urgent provisions for economic development, simplification, competitiveness, stabilization of public finances, and tax equalization," converted, with amendments, by Law No. 133 of August 6, 2008, textbooks develop</w:t>
      </w:r>
    </w:p>
    <w:p>
      <w:r>
        <w:t>5 See doc. 46.</w:t>
      </w:r>
    </w:p>
    <w:p>
      <w:r>
        <w:t>6 See requests for information to Zanichelli Editore S.p.A., Pearson Italia S.p.A., Casa Editrice Libraria Ulrico Hoepli S.p.A., S. Lattes &amp; C. Editori S.p.A., Eli S.r.l., Edizioni Il Capitello S.p.A., G. B. Palumbo Editore &amp; C. S.p.A., Raffaello Libri S.p.A., Società Editrice Internazionale p. A., La Scuola S.p.A., Casa Editrice G. Principato S.p.A., Casa Editrice Cetem S.r.l., Giunti and Tancredi Vigliardi Paravia Editori S.r.l., Giunti Scuola S.r.l., (docs. from 7 to 18).</w:t>
      </w:r>
    </w:p>
    <w:p>
      <w:r>
        <w:t>7 See docs. 35, 43, 47, 50, 54, 56, 63.</w:t>
      </w:r>
    </w:p>
    <w:p>
      <w:r>
        <w:t>8 See doc. 60.</w:t>
      </w:r>
    </w:p>
    <w:p>
      <w:r>
        <w:rPr>
          <w:b/>
        </w:rPr>
        <w:t>[Pages 43–45]</w:t>
      </w:r>
    </w:p>
    <w:p>
      <w:r>
        <w:t>BULLETIN NO. 44 OF NOVEMBER 8, 2021 45</w:t>
      </w:r>
    </w:p>
    <w:p>
      <w:r>
        <w:t>the essential contents of the national guidelines for study plans from ministerial sources9. The aforementioned decree also provides that the Minister of Education, by a non-regulatory decree, shall determine the spending ceilings for the entire library provision for each year of lower and upper secondary school, in compliance with the property rights of the author and the publisher. The last provision in this regard dates back to Ministerial Decree No. 43 of May 11, 2012.</w:t>
      </w:r>
    </w:p>
    <w:p>
      <w:r>
        <w:t>18. Furthermore, the methods of publication of textbooks are governed by D.M. 781/2013, which identifies the following methods for the adoption of textbooks and supplementary digital resources: textbook in paper version accompanied by supplementary digital content (Mixed Mode A); textbook in paper and digital version accompanied by supplementary digital content (Mixed Mode B); textbook in digital version accompanied by supplementary digital content (Mixed Mode C).</w:t>
      </w:r>
    </w:p>
    <w:p>
      <w:r>
        <w:t>19. Lastly, it is important to consider that, pursuant to Legislative Decree No. 297 of April 16, 1994, containing "Approval of the consolidated text of the current legislative provisions regarding education, relating to schools of all levels," textbooks are adopted by individual teachers, whose choices are shared in class councils and then ratified by the faculty meeting, which simultaneously examines the adoption proposals from all classes and approves them as long as the spending ceilings indicated by the Ministry are respected. The adoption process takes place between February and May of each year, for the following school year.</w:t>
      </w:r>
    </w:p>
    <w:p>
      <w:r>
        <w:t>V.1.2 The design and realization phase of textbooks</w:t>
      </w:r>
    </w:p>
    <w:p>
      <w:r>
        <w:t>20. The information provided by publishers10 has highlighted that the process of designing and publishing a text with educational content presents a certain complexity and involves various business functions, particularly the editorial management and the commercial management, which interact with each other in different aspects, as well as with the authors. The latter mostly come from the school world (i.e., qualified teachers, especially from secondary schools, who have direct knowledge of the educational needs of the specific subject) and from the university, but there are also contributions from authors with experiences different from the academic, who may be linked to the publishing house for publications of another kind. Authors are managed through royalty publishing contracts, which vary depending on the number of authors per work and the school order, or on a flat fee basis, a criterion usually applied to texts with a niche market or texts for preschool and primary school.</w:t>
      </w:r>
    </w:p>
    <w:p>
      <w:r>
        <w:t>21. The decision to undertake the publication of a new text arises from the dialectical confrontation between the editorial director, who has the vision of the company's editorial program, and the corresponding commercial director who, based on his knowledge of adoption dynamics, assesses the opportunity to replace obsolete texts and/or include new texts in the catalog that meet still unresolved educational needs and, in any case, plans the timing of the release of the texts based on the available spaces in the market, avoiding approaching teachers at the wrong time, as this would risk reducing the chances of adoption and therefore of sales.</w:t>
      </w:r>
    </w:p>
    <w:p>
      <w:r>
        <w:t>22. Once the decision to launch a new publishing project is made, its realization is based on a close interaction between the authors and the internal editorial staff in order to define the characteristics of the work, both in terms of content and teaching tools. As a rule, it is the editorial staff that, taking into account the ministerial guidelines, conveys to the authors the essential project coordinates of the work, along with the criteria to be followed for the realization of the text (content, dimensions, weight and type of exercise materials, linguistic register, etc.), sets the realization times, and evaluates promotional actions.</w:t>
      </w:r>
    </w:p>
    <w:p>
      <w:r>
        <w:t>V.1.3 The promotion of textbooks</w:t>
      </w:r>
    </w:p>
    <w:p>
      <w:r>
        <w:t>23. Considering the described methods of adopting textbooks, the promotion activity assumes particular importance in the educational publishing supply chain, which consists of the promoters illustrating the main characteristics and contents of the books to teachers, so that the latter can evaluate whether to adopt them for teaching their students.</w:t>
      </w:r>
    </w:p>
    <w:p>
      <w:r>
        <w:t>24. Promotion is carried out annually during the period between February and May, during which teachers make their choices regarding the texts to be adopted for the following school year, in view of the final approval within the Institute Councils that generally take place in the first part of June.</w:t>
      </w:r>
    </w:p>
    <w:p>
      <w:r>
        <w:t>25. Promoters are generally independent subjects – alternatively classified as agents or promoters – who collaborate with publishers based on contractual agreements that grant them exclusive rights over a specific geographical area, generally limited to a local scope (provincial or multi-provincial)11. The promotion activity is compensated by the publisher as a percentage of the total number of adopted books or on the number of books sold annually in the reference area of the individual promoter. This last data – considering the territorial exclusivity with which the promoter operates and taking into account the percentages of non-purchase12 – indirectly provides an indication of the results of the promoter's activity itself.</w:t>
      </w:r>
    </w:p>
    <w:p>
      <w:r>
        <w:t>26. The local scope of the promoters' operational area is determined by the need to maintain close contact with schools, which are visited once (or more) during the months in which the adoption process takes place. In this regard, the investigation revealed that, although digital evolution has opened the possibility of virtual contacts between the promoter, or even the publisher, and the teacher (through emails, messages, online presentations of the texts), frequently used, out of necessity, during the recent lockdown period, the view of the paper text continues to hold predominant value for the adoption choice.</w:t>
      </w:r>
    </w:p>
    <w:p>
      <w:r>
        <w:t>27. The investigation also revealed that for reasons of cost-effectiveness, when a promoter accesses a school, he tends to meet all the teachers affiliated with it, reserving for each of them a quick meeting at the end of which, at the teacher's request, the promoter can leave a copy of the text for review13. In this sense, for the individual promoter, it is efficient to promote a wide and complete catalog, including titles with good adoption performance, as this allows him to limit his operations to a smaller local area, visiting fewer schools14.</w:t>
      </w:r>
    </w:p>
    <w:p>
      <w:r>
        <w:t>28. Currently, according to the reconstruction carried out by Mondadori, at the national level, there are [350-400] promotion agencies15 whose distribution in the territory is substantially correlated to the presence of the school population, with a very limited number of agencies found in areas with low student density. This structure, significantly different from the condition of high numbers and fragmentation that characterized promotion agencies in the past, has been largely determined by the progressive process of consolidation upstream of many small publishing houses, generally active with a single brand, into an increasingly limited number of publishers managing multiple brands. Consequently, starting from a plurality of promotion relationships of single mandate, the described process of consolidation of publishing brands has led, on the one hand, to the exit from the market of some promotion agencies and, on the other hand, to the progressive consolidation of promoters within structures that manage multiple brands, even from different publishers, although as a rule the publisher with which the agency started its activity continues to play a central role, absorbing a large part of the promoter's resources and ensuring the largest portion of its income16.</w:t>
      </w:r>
    </w:p>
    <w:p>
      <w:r>
        <w:t>29. Generally, the relationship of each promoter with their respective reference publisher is characterized, in addition to its duration, which is long and thus conducive to solid personal relationships, by a condition of substantial economic dependence of the former on the latter. In this regard, it should be noted that over time agencies have ceased to carry out distribution and logistics activities, progressively centralized by publishers with large specialized operators, focusing solely on promotion activity, which thus represents their only source of income. In this context, a publisher with a wide catalog and good adoption performance easily ensures with its commissions the minimum income level necessary to guarantee the agency's survival17.</w:t>
      </w:r>
    </w:p>
    <w:p>
      <w:r>
        <w:t>In this regard, however, the situations vary depending on the characteristics of the local reference areas: in areas with high density of the school population (such as, for example, Lombardy), there are many agencies that effectively promote a single publisher, while in other areas (including Calabria or Liguria) the single mandate relationship does not prove economically sustainable for the promoter18.</w:t>
      </w:r>
    </w:p>
    <w:p>
      <w:r>
        <w:t>30. In summary, the investigation revealed that so far promotion relationships have effectively been exclusive: in fact, due to the described economic imbalance, publishers have been able to interfere with the business choices of promoters, as the mere threat of contract termination is sufficient to induce the promoter to concentrate their efforts on the catalog of the publisher.</w:t>
      </w:r>
    </w:p>
    <w:p>
      <w:r>
        <w:t xml:space="preserve">14 See doc. 56.  </w:t>
        <w:br/>
        <w:t xml:space="preserve">15 Excluding branches and agencies of Zanichelli. See doc. 60.  </w:t>
        <w:br/>
        <w:t xml:space="preserve">16 See doc. 35.  </w:t>
        <w:br/>
        <w:t xml:space="preserve">17 See doc. 47, 54, 56.  </w:t>
        <w:br/>
        <w:t>18 See doc. 54.</w:t>
      </w:r>
    </w:p>
    <w:p>
      <w:r>
        <w:rPr>
          <w:b/>
        </w:rPr>
        <w:t>[Pages 46–48]</w:t>
      </w:r>
    </w:p>
    <w:p>
      <w:r>
        <w:t>48 BULLETIN NO. 44 OF NOVEMBER 8, 2021</w:t>
      </w:r>
    </w:p>
    <w:p>
      <w:r>
        <w:t>of the publisher already represented and to dedicate less space to smaller competitors or even to refuse their mandate19. As highlighted by the representatives of ANARPE, the practice of the agencies has been not to take on new assignments without informing the publishers already represented, and situations have often arisen where a promoter has found themselves in difficulty when faced with requests for assignments from publishers other than those already represented, accepting only requests from smaller publishers compatible with the management of the main publisher's mandate20.</w:t>
      </w:r>
    </w:p>
    <w:p>
      <w:r>
        <w:t>V.1.4 The distribution of textbooks</w:t>
      </w:r>
    </w:p>
    <w:p>
      <w:r>
        <w:t>31. Completing the supply chain of school books is the distribution phase, which several publishers, including the Parties to the proceedings, carry out for the books in their catalog (in-house), as well as, in certain circumstances, also for the texts of other independent publishers (mainly foreign publishers that publish textbooks for language study) that lack their own distribution structures (in Italy)21. Alternatively, publishers that do not internalize this activity entrust it to specialized distributors.</w:t>
      </w:r>
    </w:p>
    <w:p>
      <w:r>
        <w:t>32. Once publishers have gathered information regarding the adoption choices of teachers, they arrange for the printing of the adopted work in estimated quantities and manage, either directly or through the distributors they use, the logistical management of commercial flows22 with retailers (especially online platforms) and wholesale (specialized wholesalers, who purchase large quantities of textbooks from multiple publishers to then resell them, primarily to large-scale distribution, but also to bookstores, stationery stores, and online platforms).</w:t>
      </w:r>
    </w:p>
    <w:p>
      <w:r>
        <w:t>33. Regarding the definition of economic relations, the publisher applies a discount to retailers (both wholesale and retail) relative to the cover price, intended to compensate for the functions performed by them, while any discount applied by retailers (typically large-scale distribution chains) to end customers represents a burden borne by the retailers themselves.</w:t>
      </w:r>
    </w:p>
    <w:p>
      <w:r>
        <w:t>V.2 The relevant market</w:t>
      </w:r>
    </w:p>
    <w:p>
      <w:r>
        <w:t>34. The investigation conducted has confirmed that the relevant market for the assessment of the present operation is that of publishing textbooks for secondary schools, on a national scale.</w:t>
      </w:r>
    </w:p>
    <w:p>
      <w:r>
        <w:t>35. In particular, with regard to the product profile, the opportunity to distinguish the publishing of texts for secondary schools from the publishing of texts for primary schools is suggested, in addition to some regulatory differences, also by the circumstance – already highlighted in the initiation of the investigation – that the activity of a large part of Italian publishers is specialized or otherwise focused on a specific school level and, consequently, the two product areas present a partially different supply structure.</w:t>
      </w:r>
    </w:p>
    <w:p>
      <w:r>
        <w:t>19 See doc. 56.</w:t>
      </w:r>
    </w:p>
    <w:p>
      <w:r>
        <w:t>20 See doc. 54.</w:t>
      </w:r>
    </w:p>
    <w:p>
      <w:r>
        <w:t>21 The distribution of books has been the subject of in-depth analysis by the Authority in the context of assessing concentration operations: see the Authority's decision of December 4, 2014 in case C11975 Emmelibri – Effe2005 Gruppo Feltrinelli/Newco and, more recently, the decision of March 10, 2020 in case C12274 EmmeEffe Libri/Centro Libri.</w:t>
      </w:r>
    </w:p>
    <w:p>
      <w:r>
        <w:t>22 These activities include order taking and returns management, invoicing, shipping of orders, and customer relationship management. These activities take place between June and August according to predetermined timelines considering the need to make the texts available close to the beginning of each school year.</w:t>
      </w:r>
    </w:p>
    <w:p>
      <w:r>
        <w:t>BULLETIN NO. 44 OF NOVEMBER 8, 2021 49</w:t>
      </w:r>
    </w:p>
    <w:p>
      <w:r>
        <w:t>36. Furthermore, the investigation has highlighted that the distribution and, above all, the promotion of texts for secondary schools present specificities – as illustrated above – that do not find full correspondence in primary schools. In particular, the promotional activity for primary schools presents fewer "monitoring"23 needs due to the specific characteristics of the texts and the approach of teachers, who typically independently review the new texts made available in the school premises. This activity is mostly carried out by concessionaires, who also handle distribution.</w:t>
      </w:r>
    </w:p>
    <w:p>
      <w:r>
        <w:t>V.3 The competitive context</w:t>
      </w:r>
    </w:p>
    <w:p>
      <w:r>
        <w:t>V.3.1 Structure and characteristics of the secondary school publishing market</w:t>
      </w:r>
    </w:p>
    <w:p>
      <w:r>
        <w:t>37. It is worth noting that in the last three years, the market under examination has shown a substantially stable size (see table 1), with no reasonable expectation of substantial changes in the future. In fact, the demand for school books is expected to trend downward due to the gradual reduction of the school population, which (according to the most recent ISTAT data on the matter24) recorded a decrease of over 77,000 units in the 2018/19 school year, representing just under 1% of the approximately 8.5 million students present across all school levels. Moreover, the particular incidence of the contraction in the initial school cycles (-40,000 students in preschool) suggests an even more pronounced contraction in the future25. The trend of declining demand resulting from the decreasing school population can only be partially mitigated by the lower propensity of families to purchase used books, which seems to emerge due to the recent spread of online sales of textbooks (especially through Amazon) and the discount policies implemented by large-scale distribution chains.</w:t>
      </w:r>
    </w:p>
    <w:p>
      <w:r>
        <w:t>38. On the other hand, the nearly stable trend in the value of sales of school books for secondary schools is significantly influenced by the regulatory forecast of the ceiling, which has not been updated since 2012, within which the expenditure for the book supply of each class must be contained.</w:t>
      </w:r>
    </w:p>
    <w:p>
      <w:r>
        <w:t>Table 1: School publishing market – value (millions)</w:t>
      </w:r>
    </w:p>
    <w:p>
      <w:r>
        <w:t>Primary School Secondary School Total</w:t>
      </w:r>
    </w:p>
    <w:p>
      <w:r>
        <w:t>2018 [90-100] [600-700] [700-800]</w:t>
      </w:r>
    </w:p>
    <w:p>
      <w:r>
        <w:t>2019 [90-100] [600-700] [700-800]</w:t>
      </w:r>
    </w:p>
    <w:p>
      <w:r>
        <w:t>2020 [90-100] [600-700] [700-800]</w:t>
      </w:r>
    </w:p>
    <w:p>
      <w:r>
        <w:t>Source: AIE: Market estimate of school publishing, June 2021</w:t>
      </w:r>
    </w:p>
    <w:p>
      <w:r>
        <w:t>23 See doc. 38.</w:t>
      </w:r>
    </w:p>
    <w:p>
      <w:r>
        <w:t>24 See ISTAT, Italian Statistical Yearbook 2020, Chapter 7 (https://www.istat.it/it/files//2020/12/C07.pdf).</w:t>
      </w:r>
    </w:p>
    <w:p>
      <w:r>
        <w:t>25 In perspective, according to what was stated by the Minister of Education to the Joint Culture and Education Committees, in the next ten years the reduction will amount to 1.4 million students, approximately 17% of today's enrollments (www.ansa.it/sito/notizie/topnews/2021/05/04/bianchi-tra-10-anni-14-milioni-di-studenti-in-meno_85d301100c46-4522-98ba-78ad6d09cde3.html).</w:t>
      </w:r>
    </w:p>
    <w:p>
      <w:r>
        <w:t>50 BULLETIN NO. 44 OF NOVEMBER 8, 2021</w:t>
      </w:r>
    </w:p>
    <w:p>
      <w:r>
        <w:t>39. In this context, the demand for books is driven almost exclusively by the decisions of teachers to replace the adopted texts, which can only be exercised in the years at the beginning of each school cycle (i.e., the 1st and 4th years of primary school, the 1st year of lower secondary school, the 1st and 3rd years of upper secondary school). Each year, on average, in secondary school, new adoptions replace the texts in use in 20-25% of cases26.</w:t>
      </w:r>
    </w:p>
    <w:p>
      <w:r>
        <w:t>40. On the supply side, the school publishing sector exhibits a rather high degree of concentration, also due to some aggregation operations that have occurred over time27. Net of the effects of the aforementioned external growth operations, the market shares of individual operators remain quite stable over time.</w:t>
      </w:r>
    </w:p>
    <w:p>
      <w:r>
        <w:t>41. The following table 2 shows the structure of the school publishing market for secondary schools reconstructed from AIE data related to adoptions28. According to data updated as of July 2021, [75-80]% of the supply is concentrated among the top four operators, among which are the Parties to the present proceedings. It is noteworthy that during the period considered, the portion of the supply concentrated among the top four operators has progressively increased, due to a growing trend in the market shares of Zanichelli, the leading operator in the market, and DeA Scuola.</w:t>
      </w:r>
    </w:p>
    <w:p>
      <w:r>
        <w:t>26 See doc. 35.</w:t>
      </w:r>
    </w:p>
    <w:p>
      <w:r>
        <w:t>27 Among the most significant are: the acquisition in 2016 of Istituto Italiano Edizioni Atlas by Zanichelli Editore S.p.A.; the acquisition in 2016 of the current Rizzoli Education by the Mondadori Group (see C12023 Arnoldo Mondadori Editore/Rcs Libri, decision no. 25807 of January 21, 2016); the acquisition in 2018 of S.E.I. (Società Editrice Internazionale S.p.A.) by La Scuola S.p.A.; the acquisition in December 2020 of the publishing house Cetem-Principato by Eli S.r.l.</w:t>
      </w:r>
    </w:p>
    <w:p>
      <w:r>
        <w:t>28 The data provided by AIE represent the number of "sections" of adopted texts, i.e., the total number of so-called head classes (the first and fourth years of primary school; the first year of lower secondary school, the first, third, and possibly fifth years of upper secondary school) in which a textbook, for each specific subject provided by the school curriculum, is chosen by teachers, summing all the subjects in market share present in that school level and address. Referring to the actual number of books adopted in the last year by the classes that decided on a new adoption, this dataset appears suitable for capturing the current market penetration capacity of each publisher.</w:t>
      </w:r>
    </w:p>
    <w:p>
      <w:r>
        <w:rPr>
          <w:b/>
        </w:rPr>
        <w:t>[Pages 49–51]</w:t>
      </w:r>
    </w:p>
    <w:p>
      <w:r>
        <w:t xml:space="preserve">BULLETIN NO. 44 OF NOVEMBER 8, 2021 51  </w:t>
        <w:br/>
        <w:t xml:space="preserve">Table 2: Publishing market for secondary school – shares 2018 – 2020  </w:t>
        <w:br/>
        <w:t xml:space="preserve">2018 2019 2020 2021  </w:t>
        <w:br/>
        <w:t xml:space="preserve">Publishing Groups  </w:t>
        <w:br/>
        <w:t xml:space="preserve">Zanichelli – Loescher – Atlas [25-30]% [25-30]% [25-30]% [25-30]%  </w:t>
        <w:br/>
        <w:t xml:space="preserve">Mondadori-Rizzoli [20-25]% [20-25]% [20-25]% [20-25]%  </w:t>
        <w:br/>
        <w:t xml:space="preserve">Pearson [10-15]% [10-15]% [10-15]% [10-15]%  </w:t>
        <w:br/>
        <w:t xml:space="preserve">DeA Scuola [10-15]% [10-15]% [10-15]% [10-15]%  </w:t>
        <w:br/>
        <w:t xml:space="preserve">CR4 [75-80]% [75-80]% [75-80]% [75-80]%  </w:t>
        <w:br/>
        <w:t xml:space="preserve">SEI – La Scuola [5-10]% [5-10]% [5-10]% [5-10]%  </w:t>
        <w:br/>
        <w:t xml:space="preserve">Hoepli [1-5]% [1-5]% [1-5]% [1-5]%  </w:t>
        <w:br/>
        <w:t xml:space="preserve">Lattes [1-5]% [1-5]% [1-5]% [1-5]%  </w:t>
        <w:br/>
        <w:t xml:space="preserve">Eli [1-5]% [1-5]% [1-5]% [1-5]%  </w:t>
        <w:br/>
        <w:t xml:space="preserve">Il Capitello [1-5]% [1-5]% [1-5]% [1-5]%  </w:t>
        <w:br/>
        <w:t xml:space="preserve">[less than [less than [less than [less than  </w:t>
        <w:br/>
        <w:t xml:space="preserve">Principato  </w:t>
        <w:br/>
        <w:t xml:space="preserve">1%] 1%] 1%] 1%]  </w:t>
        <w:br/>
        <w:t xml:space="preserve">[less than [less than [less than  </w:t>
        <w:br/>
        <w:t xml:space="preserve">Giunti [1-5]%  </w:t>
        <w:br/>
        <w:t xml:space="preserve">1%] 1%] 1%]  </w:t>
        <w:br/>
        <w:t xml:space="preserve">[less than [less than [less than [less than  </w:t>
        <w:br/>
        <w:t xml:space="preserve">Palumbo  </w:t>
        <w:br/>
        <w:t xml:space="preserve">1%] 1%] 1%] 1%]  </w:t>
        <w:br/>
        <w:t xml:space="preserve">[less than [less than [less than [less than  </w:t>
        <w:br/>
        <w:t xml:space="preserve">Raffaello  </w:t>
        <w:br/>
        <w:t xml:space="preserve">1%] 1%] 1%] 1%]  </w:t>
        <w:br/>
        <w:t xml:space="preserve">Other publishers [1-5]% [1-5]% [1-5]% [1-5]%  </w:t>
        <w:br/>
        <w:t xml:space="preserve">TOTAL MARKET 100.0% 100.0% 100.0% 100.0%  </w:t>
        <w:br/>
        <w:t xml:space="preserve">Source: elaborations on AIE data related to adoptions in head sections  </w:t>
        <w:br/>
        <w:t xml:space="preserve">42. Examining the two market segments separately, on one hand, for lower secondary school (middle schools), and on the other hand, for upper secondary school (high schools), it is observed that in the first segment, which accounts for about one-third of total adoptions, the leading operator is the Mondadori Group, followed by DeA Scuola, while Zanichelli has a smaller share compared to that held in the entire market, as well as in the upper secondary school segment (see tables 3 and 4).  </w:t>
        <w:br/>
        <w:t>The degree of concentration is particularly high in the upper secondary school segment, where the top four operators represent about [75–80]% of the supply; the same operators, in the lower secondary school segment, currently represent [70-75]% of the supply. In this area, the degree of concentration has increased during the considered period due to the growing shares of DeA Scuola and Zanichelli.</w:t>
      </w:r>
    </w:p>
    <w:p>
      <w:r>
        <w:t xml:space="preserve">BULLETIN NO. 44 OF NOVEMBER 8, 2021 53  </w:t>
        <w:br/>
        <w:t xml:space="preserve">Table 3: Publishing market for lower secondary school – shares 2018 – 2020  </w:t>
        <w:br/>
        <w:t xml:space="preserve">2018 2019 2020 2021  </w:t>
        <w:br/>
        <w:t xml:space="preserve">Publishing Groups  </w:t>
        <w:br/>
        <w:t xml:space="preserve">Mondadori-Rizzoli [25-30]% [25-30]% [25-30]% [25-30]%  </w:t>
        <w:br/>
        <w:t xml:space="preserve">DeA Scuola [15-20]% [15-20]% [15-20]% [15-20]%  </w:t>
        <w:br/>
        <w:t xml:space="preserve">Zanichelli – Loescher – Atlas [15-20]% [15-20]% [15-20]% [15-20]%  </w:t>
        <w:br/>
        <w:t xml:space="preserve">Pearson [10-15]% [10-15]% [10-15]% [10-15]%  </w:t>
        <w:br/>
        <w:t xml:space="preserve">CR4 [70-75]% [70-75]% [70-75]% [70-75]%  </w:t>
        <w:br/>
        <w:t xml:space="preserve">SEI – La Scuola [5-10]% [5-10]% [5-10]% [5-10]%  </w:t>
        <w:br/>
        <w:t xml:space="preserve">Lattes [5-10]% [5-10]% [5-10]% [5-10]%  </w:t>
        <w:br/>
        <w:t xml:space="preserve">Il Capitello [1-5]% [1-5]% [1-5]% [1-5]%  </w:t>
        <w:br/>
        <w:t xml:space="preserve">Eli [1-5]% [1-5]% [1-5]% [1-5]%  </w:t>
        <w:br/>
        <w:t xml:space="preserve">Raffaello [1-5]% [1-5]% [1-5]% [1-5]%  </w:t>
        <w:br/>
        <w:t xml:space="preserve">[less than  </w:t>
        <w:br/>
        <w:t xml:space="preserve">Giunti [1-5]% [1-5]% [1-5]%  </w:t>
        <w:br/>
        <w:t xml:space="preserve">1%]  </w:t>
        <w:br/>
        <w:t xml:space="preserve">[less than [less than [less than [less than  </w:t>
        <w:br/>
        <w:t xml:space="preserve">Principato  </w:t>
        <w:br/>
        <w:t xml:space="preserve">1%] 1%] 1%] 1%]  </w:t>
        <w:br/>
        <w:t xml:space="preserve">[less than [less than [less than [less than  </w:t>
        <w:br/>
        <w:t xml:space="preserve">Palumbo  </w:t>
        <w:br/>
        <w:t xml:space="preserve">1%] 1%] 1%] 1%]  </w:t>
        <w:br/>
        <w:t xml:space="preserve">Other publishers [5-10]% [1-5]% [1-5]% [1-5]%  </w:t>
        <w:br/>
        <w:t xml:space="preserve">TOTAL MARKET 100.0% 100.0% 100.0% 100.0%  </w:t>
        <w:br/>
        <w:t>Source: elaborations on AIE data related to adoptions in head sections</w:t>
      </w:r>
    </w:p>
    <w:p>
      <w:r>
        <w:t xml:space="preserve">V.3.2 The position of the Parties in the publishing market for secondary school books  </w:t>
        <w:br/>
        <w:t xml:space="preserve">43. As already highlighted, Mondadori (which operates in the market through the companies Mondadori Education and Rizzoli Education) and DeA Scuola are two of the most important operators in the school publishing market for secondary schools, holding shares of [20-25]% and [10-15]%, respectively, which currently confer them the positions of second and fourth operator. The positioning of the Parties is similar in the upper secondary school segment, where, however, their respective shares are slightly lower than those reported above, related to the entire market. In the lower secondary school segment, on the other hand, Mondadori and DeA Scuola currently represent the first and second operator, jointly accounting for [40-45]% of the supply.  </w:t>
        <w:br/>
        <w:t>44. The positioning of the Parties in the lower secondary school segment deserves to be examined in more detail, in light of the fact that in this area the teachings are contained within a limited number of subjects: from the AIE database related to adoptions by subject expressed</w:t>
      </w:r>
    </w:p>
    <w:p>
      <w:r>
        <w:rPr>
          <w:b/>
        </w:rPr>
        <w:t>[Pages 52–54]</w:t>
      </w:r>
    </w:p>
    <w:p>
      <w:r>
        <w:t>54 BULLETIN NO. 44 OF NOVEMBER 8, 2021</w:t>
        <w:br/>
        <w:t>in 2020, it appears that, although a total of 54 subjects are taught, approximately 90% of adoptions is concentrated on just over 10 subjects29 (see figure 1).</w:t>
        <w:br/>
        <w:t>Figure 1: Distribution of the number of sections by subject, %.</w:t>
        <w:br/>
        <w:t>Source: AGCM elaborations on data provided by the parties</w:t>
        <w:br/>
        <w:t>45. In this context, the breadth of the catalogs that characterize the offerings of both the Mondadori Group and DeA Scuola is noteworthy: the former offers texts for 35 of the total 54 subjects, of which 14 are for subjects with at least 10,000 sections and 20 for subjects with at least 1,000 sections, while DeA Scuola offers texts for 41 subjects, of which 14 are for subjects with at least 10,000 sections and 19 with at least 1,000 sections30. As shown in figure 2 below, the Mondadori Group is characterized by a position of prominence in Italian Grammar Linguistic Education, Italian Anthology, English Grammar Courses, and Music Courses. DeA Scuola, in turn, holds prominent positions in Physical Education and Sports, Spanish Courses (Grammar), Mathematics Courses 1/2/3, and French Courses (Grammar), with adoption shares around [30-35]%. In some of these subjects, post-operation, the Mondadori Group would concentrate an extremely significant share of the offering, qualifying it as an indispensable interlocutor for teachers: for example, it would offer more than 65% of the adopted texts for teaching music and English grammar and about [55-60]% of those for mathematics and Italian grammar.</w:t>
        <w:br/>
        <w:t>29 These include Italian grammar linguistic education, Italian anthology, history – courses, English courses (grammar), sciences – courses, technology courses, geography – courses, art and image courses, music courses, religion – courses, mathematics courses (1/2/3), French courses (grammar), and physical education and sports.</w:t>
        <w:br/>
        <w:t>30 The catalog of the Mondadori group companies also includes the brands Oxford University and MacMillan, related to English language books, and Edinumen related to Spanish language books, for which Mondadori performs distribution activities. DeA Scuola, on the other hand, does not distribute any third-party publisher.</w:t>
      </w:r>
    </w:p>
    <w:p>
      <w:r>
        <w:t>BULLETIN NO. 44 OF NOVEMBER 8, 2021 55</w:t>
        <w:br/>
        <w:t>Figure 2: Lower Secondary School – Portfolio of subjects of the Parties in terms of adoption shares for each subject31 (%).</w:t>
        <w:br/>
        <w:t>Source: AGCM elaborations on data provided by the parties</w:t>
        <w:br/>
        <w:t>46. Conversely, in the upper secondary school segment, where a total of 385 subjects are taught (of which 16 account for about 50% of adoptions), the catalogs of the Parties show substantial complementarity (see figure 3).</w:t>
        <w:br/>
        <w:t>31 For reasons of readability of the graph, the analysis was conducted on subjects with more than 1000 sections.</w:t>
      </w:r>
    </w:p>
    <w:p>
      <w:r>
        <w:t>56 BULLETIN NO. 44 OF NOVEMBER 8, 2021</w:t>
        <w:br/>
        <w:t>Figure 3: Upper Secondary School – Portfolio of subjects of the Parties in terms of adoption shares for each subject32 (%).</w:t>
        <w:br/>
        <w:t>Source: AGCM elaborations on data provided by the parties</w:t>
        <w:br/>
        <w:t>V.3.3 Competitive variables</w:t>
        <w:br/>
        <w:t>47. The market for school publishing for secondary education appears rather anomalous in terms of competitive dynamics, due to the various peculiarities that characterize it. In particular, the variable represented by price is weakened since the final demand is intermediated by teachers. Moreover, price does not play a significant role in teachers' choices, who are rather attentive to the correspondence of the text, in terms of content and its presentation, to their educational objectives and the needs of students.</w:t>
        <w:br/>
        <w:t xml:space="preserve">48. In any case, the spending cap constitutes an important exogenous constraint that limits publishers' freedom to set prices for their products. On one hand, the cap discourages upward price differentiation policies, as a manual sold at a price above the market average has very little chance of being adopted since, unless complicated adjustments in the balance of the class's book supply are made, it results in exceeding the overall spending cap. Setting a price above the average is therefore rarely practiced, only for texts of recognized quality33. On the other hand, it should be noted that if, in line with </w:t>
        <w:br/>
        <w:t>32 For reasons of readability of the graph, the analysis was conducted on subjects with more than 1500 sections and with a (combined) share of the Parties exceeding 25%.</w:t>
        <w:br/>
        <w:t>33 See doc. 56.</w:t>
      </w:r>
    </w:p>
    <w:p>
      <w:r>
        <w:rPr>
          <w:b/>
        </w:rPr>
        <w:t>[Pages 55–57]</w:t>
      </w:r>
    </w:p>
    <w:p>
      <w:r>
        <w:t>BULLETIN NO. 44 OF NOVEMBER 8, 2021 57</w:t>
      </w:r>
    </w:p>
    <w:p>
      <w:r>
        <w:t>theoretically, the spending cap could incentivize publishers to lower the prices of their works, in fact, the static nature of demand in volume (also exogenously imposed by the negative trend of the school population), reduces the margins for increasing sales to the only (limited) possibilities of substituting the texts in use34, making an aggressive pricing strategy irrational.</w:t>
      </w:r>
    </w:p>
    <w:p>
      <w:r>
        <w:t>49. Based on the information gathered from competing publishers, the main competitive variables they leverage to promote the adoption of their texts are represented by the quality of the editorial project, in which the increasing attention to digital content is becoming more significant, and access to teachers, both direct, supported by the publisher's investments in their training, and especially indirect, through promoters35.</w:t>
      </w:r>
    </w:p>
    <w:p>
      <w:r>
        <w:t>50. Regarding the quality of the editorial project, it should be noted that the described difficulties for publishers in setting prices above the market average represent a disincentive to invest in product quality, which would then struggle to find adequate remuneration. Indeed, according to what publishers indicated in response to a request for information on the matter, the innovations introduced in the last five years in editorial projects for secondary schools have mostly addressed needs expressed by the teaching world and interventions from the Ministry. They have dedicated resources particularly to: i) the development of digital, interactive, and multimedia products (as provided by D.M. 781/2013); ii) the component of inclusive teaching aimed at Special Educational Needs and Specific Learning Disorders (subject to regulatory interventions and ministerial directives36); iii) the introduction of Civic Education (as provided by Law No. 92 of August 20, 2019 and D.M. 22/2020).</w:t>
      </w:r>
    </w:p>
    <w:p>
      <w:r>
        <w:t>51. In this context, the ability of publishers to penetrate the secondary school publishing market crucially depends on the possibility of accessing teachers to illustrate the texts that are gradually introduced into the catalog, suggesting their adoption. As highlighted above, the key to accessing teachers is represented by editorial promoters, whose dynamics of interaction with publishers, however, for the reasons that will be better explained in the following paragraph, end up raising a barrier to the entry of new competitors and/or to the expansion of the activities of those already present in the market.</w:t>
      </w:r>
    </w:p>
    <w:p>
      <w:r>
        <w:t>V.3.4 Barriers to Entry</w:t>
      </w:r>
    </w:p>
    <w:p>
      <w:r>
        <w:t>52. The market for school publishing for secondary schools has historically shown little dynamism, which has only been fueled by aggregations among competitors, which have contributed to reducing the number of operators, but not by the entry of new players. The only entry, still prospective, is that announced by Feltrinelli, which plans to launch the first texts on the market starting from the next school year37.</w:t>
      </w:r>
    </w:p>
    <w:p>
      <w:r>
        <w:t>53. Indeed, the entry of a publisher into the market under examination is a complex process that requires long times (at least 5 years according to some industry operators38) to establish relationships with promoters, prepare the catalog, bring it to the attention of teachers, and find space in their adoption choices. In this regard, the president of ANP noted that teachers, when they find a text that satisfies them, tend to show resistance to replacing it, so new texts need time to establish themselves in the market.</w:t>
      </w:r>
    </w:p>
    <w:p>
      <w:r>
        <w:t>54. In this regard, Feltrinelli's experience highlights that it is particularly in accessing the promotion network that a new entrant encounters very significant obstacles that, according to what emerged from the investigation carried out, are rooted in the specificities of the relationship between publishers and promoters, illustrated in paragraph V.1.3. Promoters, in fact, due to the unfavorable asymmetry that characterizes their bargaining power with publishers – capable, in many cases, of generating individually a good part of the revenues of the individual promoter – show little willingness to take on additional mandates39. At the root of this exclusion by promoters lies, in fact, the fear of engaging in behaviors that are not appreciated by the publisher already represented, who is typically informed by the promoter of the proposals he has received and consulted regarding the advisability of following up40; ultimately, “if a publisher does not like that the promoter acquires another publisher, he expresses (even informally) his opposition, and this results, in most cases, in the promoter abandoning the idea of signing the new contract”41.</w:t>
      </w:r>
    </w:p>
    <w:p>
      <w:r>
        <w:t>55. Furthermore, it is observed that generally the contracts governing the relationships between publishers and promoters include so-called approval clauses, which prevent promoters from taking on new mandates without the explicit consent of the publisher they already represent, as well as, sometimes, true exclusivity clauses.</w:t>
      </w:r>
    </w:p>
    <w:p>
      <w:r>
        <w:t>56. In the specific case of Feltrinelli, such obstacles, at this stage (a few months before the start of the adoption campaign for the first school texts produced by the publisher) have prevented the completion of the promotion network, leaving particularly important areas of the country uncovered ([omissis]).</w:t>
      </w:r>
    </w:p>
    <w:p>
      <w:r>
        <w:t>57. From the promoter's perspective, it should also be considered that the expansion of the number of represented mandates presupposes the initiative to reorganize and expand their activity (for example, by involving a greater number of collaborators), to be evaluated in light of the expected benefits and risks. While on one hand, the benefits associated with expanding the portfolio discount the uncertainty regarding the adoption performance of the new publisher to be included (particularly heavy in the case of a new entrant publisher or smaller publishers with catalogs focused only on certain subjects), on the other hand, the risks associated with the possible loss of the already represented publisher are extremely tangible for the numerous agencies that find themselves in a situation of substantial dependence on the publisher itself.</w:t>
      </w:r>
    </w:p>
    <w:p>
      <w:r>
        <w:t>58. Completely different, in this regard, is the scenario in which a promoter is proposed to extend their catalog to additional brands belonging to the same publishing group they already represent: in this case, in fact, the entrepreneurial decision to expand and reorganize the agency to handle the promotion of the brand(s) subject to aggregation would not be exposed to the risk of losing the other brands already represented42.</w:t>
      </w:r>
    </w:p>
    <w:p>
      <w:r>
        <w:t>59. From the documents of the proceedings, it also emerges that the breadth of the range of the offer of the already represented publisher contributes to making it rewarding for the promoter to protect the relationship with that publisher instead of including new brands in their portfolio. As highlighted above, in fact, the promotion of a publisher with a wide range of subjects and titles in the portfolio facilitates achieving a high number of adoptions in each individual school, allowing the promoter to reduce their operational scope to increasingly confined territorial areas, with consequent minimization of operational times and costs. Moreover, the recently emerging trend among some schools to opt for uniform adoptions across different sections (in order to facilitate the movement between them of both students, possibly failing or requesting it for personal reasons, and teachers43) appears capable of amplifying the described effects, resulting in an increased economic convenience for the promoter to work exclusively with a publisher that offers a vast and nearly complete catalog.</w:t>
      </w:r>
    </w:p>
    <w:p>
      <w:r>
        <w:t>60. The promoters heard in the hearing also highlighted another element that contributes to increasing the uncertainty of their entrepreneurial choices, which lies in the lack of transparency regarding the sales data of school texts disaggregated by areas, to which – as seen – the remuneration of the promoter itself is parameterized. In the absence of sharing this data with publishers (who, instead, transfer to the promoter the data on adoptions from AIE), it becomes difficult for the promoter to assess the productivity of their collaborators and thus also to make entrepreneurial growth plans.</w:t>
      </w:r>
    </w:p>
    <w:p>
      <w:r>
        <w:t>61. On the other hand, from the publisher's perspective, direct investment in the promotion phase, aimed at creating an entire vertically integrated commercial network, presents very high costs44, which could only be borne by publishers with established catalogs and excellent performance. In any case, the implementation of a qualified proprietary network would require rather long times, considering that it takes 3 to 5 years to train an agent45. In this sense, Feltrinelli has indicated that it has resorted only in a few areas to direct investment solutions to overcome the obstacle to accessing the promotion phase, having for this reason had to bear initially unplanned costs in the market entry plan, which only the financial solidity of the Group has allowed to face. Alternatively, sharing a promotion agency among several smaller publishers represents a costly solution in terms of coordination among publishers46. This solution, in fact, is only employed in specific local areas.</w:t>
      </w:r>
    </w:p>
    <w:p>
      <w:r>
        <w:rPr>
          <w:b/>
        </w:rPr>
        <w:t>[Pages 58–60]</w:t>
      </w:r>
    </w:p>
    <w:p>
      <w:r>
        <w:t>60 BULLETIN NO. 44 OF NOVEMBER 8, 2021</w:t>
      </w:r>
    </w:p>
    <w:p>
      <w:r>
        <w:t>VI. THE POSITION OF MONDADORI</w:t>
      </w:r>
    </w:p>
    <w:p>
      <w:r>
        <w:t>61. Mondadori observed that a complete assessment of the effects of the operation under examination cannot fail to take into account, first and foremost, the undisputed leadership in the market for educational publishing for secondary schools held by the Zanichelli Group, which has progressively increased its market share. In this regard, the Party emphasizes that Zanichelli's network consists of wholly-owned subsidiaries and agencies with respect to which the approval clause subject to the I84847 proceeding continues to be effective, and it is the only one among the networks present in the relevant market that has recorded strong growth performance over the past six years. This situation represents a competitive disadvantage for the networks of the Mondadori Group, each of which has a share of about half that of Zanichelli.</w:t>
      </w:r>
    </w:p>
    <w:p>
      <w:r>
        <w:t>62. Mondadori also referred to further new elements that will impact the competitive dynamics of the educational market in the near future, including, in particular: i) the consequences of the investigation related to the aforementioned I848 proceeding and the definitive commitments undertaken by Mondadori Education, Rizzoli Education, Pearson Italia, and DeA Scuola within it, ii) the entry, starting from the 2022-2023 school year, of the publisher Feltrinelli, and iii) possible further structural changes. In particular, according to Mondadori, Feltrinelli's entry into the secondary school market confirms that a company not active in educational publishing and with adequate investment policies can enter the market with the ambition of becoming, in a short time, a key player.</w:t>
      </w:r>
    </w:p>
    <w:p>
      <w:r>
        <w:t>63. The Party also highlighted that the current regulatory and legislative framework may be subject to changes that could affect the adoption process, such as, for example, a reconsideration of the organization of the school system, such as the restructuring of the current school cycles. These are changes that could impact the organization and management of commercial networks and relationships with agencies.</w:t>
      </w:r>
    </w:p>
    <w:p>
      <w:r>
        <w:t>64. Finally, regarding the non-competition agreement and the prohibition on poaching employees, Mondadori noted that the duration of [omitted] years starting from the date of execution of the operation was mutually agreed upon by the Parties with the aim of ensuring that the buyer has the capacity to preserve the value of the acquired company, while allowing it to fully realize the value of the acquired assets. In particular, concerning the non-competition agreement, it is emphasized that the duration of [omitted] years is essential for the operation considering that the seller De Agostini Editore S.p.A. will continue to use the De Agostini brand, which by history and tradition is capable of expressing strong appeal to users in the publishing market. This circumstance, which could generate confusion regarding the ownership of the brand48, is likely to diminish the value of the assets being transferred and therefore appears suitable to justify a relatively long duration of the non-competition agreement. Similarly, according to Mondadori, it is necessary to protect for at least [omitted] years the expertise that will be acquired with the operation, especially considering the extent of the measure aimed at keeping the company De Agostini Scuola S.p.A. separate from the rest of the Mondadori group for three fiscal years – until December 31, 2024 – precisely with the aim of enhancing its editorial and commercial autonomy.</w:t>
      </w:r>
    </w:p>
    <w:p>
      <w:r>
        <w:t>VII. THE POSITION OF THIRD PARTIES</w:t>
      </w:r>
    </w:p>
    <w:p>
      <w:r>
        <w:t>65. Many competing publishers have preliminarily pointed out that the operation will grant the new operator a significant market share, especially in the lower secondary school segment, where teachers will find themselves choosing from an educational materials offer that will be almost half under a single publisher49.</w:t>
      </w:r>
    </w:p>
    <w:p>
      <w:r>
        <w:t>66. The greatest concerns expressed by nearly all operators heard during the investigation relate, in particular, to the promotion phase, where post-operation, the barriers to entry for new competitors will be higher than the current state, and, more generally, the difficulties for smaller publishers to organize qualified commercial networks for the promotion of their products. Operators have indeed highlighted that the consolidation under the same ownership of three major publishers, with very extensive catalogs, can only increase the bargaining power of the Mondadori group towards promoters and, conversely, exacerbate the economic dependence of these latter, making them even more inaccessible to new competitors and smaller publishers already present in the market. In particular, there is concern that the aggregation of the commercial networks of Mondadori, Rizzoli, and DeA Scuola will end up attributing a single mandate nature to the relationships with the numerous involved promotion agencies. Such an evolution could penalize the editorial proposals of small publishers that are already not supported in promotion by multi-mandate agencies with the same attention as the proposals of major publishers50.</w:t>
      </w:r>
    </w:p>
    <w:p>
      <w:r>
        <w:t>67. Also regarding the suitability of the operation to raise barriers to entry in the secondary school publishing market, it was noted that the expansion of the range of titles that the Mondadori Group will be able to market post-operation, resulting in a "greater occupation of spaces," will make it more complex for competitors to access promotional agencies51. For this reason, there is an expectation that the operation will accentuate the dynamics already present in the market, whereby publishers with a very extensive catalog, such as the Mondadori Group, will be able to assign progressively more restricted areas to the individual agent, exerting increasing pressure on the schools present in those areas52.</w:t>
      </w:r>
    </w:p>
    <w:p>
      <w:r>
        <w:t>68. The investigation also revealed concerns regarding the risk that the operation under examination will deteriorate the bibliodiversity of the market, which thrives on the number of publishers, each of whom qualifies their proposal in a distinctive manner from a methodological, presentation, content, and innovation perspective. On one hand, it is realistic to expect that a large publisher will introduce elements of homogeneity among the various texts in its offer; on the other hand, the presence of the Mondadori Group, extended to almost all subjects taught, will significantly reduce the intervention spaces for competitors with differentiated proposals, to the detriment of the cultural enrichment of students and teachers53.</w:t>
      </w:r>
    </w:p>
    <w:p>
      <w:r>
        <w:t>69. Finally, it was noted that post-operation, the new operator will be able to exploit economies of scale that cannot be achieved by smaller competitors and, due to its broad and increased offer, will have the ability to influence price definitions for the entire market54.</w:t>
      </w:r>
    </w:p>
    <w:p>
      <w:r>
        <w:t>70. Regarding possible corrective measures for the operation, some operators noted that an effective separation between the promotion networks and the commercial directions could mitigate the effects of the operation on the accessibility of promotion networks, the variety of the offer, and, more generally, competition in the market55. In this sense, Feltrinelli referred to the Group's experience in the general publishing market, where it uses two distinct commercial networks: one for proprietary brands and one for third-party publisher brands. The fact that the network dedicated to third-party publisher brands is managed by a separate company, with its own commercial direction, autonomous in defining objectives and incentives, as well as a separate budget, ensures better services for the distributed publishers. Other operators emphasized that the proposed separation should also concern the editorial offices, on each of which the ownership should invest distinctly so that the quality and variety of the editorial product can be safeguarded56.</w:t>
      </w:r>
    </w:p>
    <w:p>
      <w:r>
        <w:t>VIII. ASSESSMENT OF THE CONCENTRATION OPERATION</w:t>
      </w:r>
    </w:p>
    <w:p>
      <w:r>
        <w:t>VIII.1 The effects of the operation in the secondary school textbook publishing market</w:t>
      </w:r>
    </w:p>
    <w:p>
      <w:r>
        <w:t>71. To fully appreciate the effects of the operation under examination, it is necessary to preliminarily recall that it takes place in a market lacking dynamism from multiple perspectives. First of all, the overall size of the market, both in volume and value, shows no growth prospects due to the negative demographic trend and the exogenous constraint represented by the spending cap for book provision, which has remained unchanged since 2012. Furthermore, on the supply side, the market structure exhibits a high degree of concentration (about [75-80]% held by the top four operators), to which various consolidation operations among publishers have contributed over time, while no new entries have been recorded for decades.</w:t>
      </w:r>
    </w:p>
    <w:p>
      <w:r>
        <w:t>72. In this sense, the project of Feltrinelli, an important player in the general publishing sector, to start offering textbooks for some subjects of upper secondary school starting from the next school year (2022/2023) comes into play. This is certainly an event likely to introduce a competitive element into the relevant market, the extent of which, however, is currently uncertain and in any case not immediate, considering the rather long time that the complete realization of a publishing project requires: from the investigation carried out, it emerged that at least 5 years are necessary to establish relationships with promoters, prepare the catalog, bring it to the attention of teachers, and find space in their adoption choices.</w:t>
      </w:r>
    </w:p>
    <w:p>
      <w:r>
        <w:rPr>
          <w:b/>
        </w:rPr>
        <w:t>[Pages 61–63]</w:t>
      </w:r>
    </w:p>
    <w:p>
      <w:r>
        <w:t>BULLETIN NO. 44 OF NOVEMBER 8, 2021 63</w:t>
      </w:r>
    </w:p>
    <w:p>
      <w:r>
        <w:t>73. Another important peculiarity of the school publishing market for secondary education is represented by the marginal, if not entirely absent, role of price among the competitive variables. In fact, as highlighted above (see paragraph V.3.3), demand, being derived in nature, is substantially inelastic, while the pricing strategies of publishers find a limit on one side (upwards) in the presence of a spending cap and, on the other side (downwards), in the static nature of demand that confines the occasions for requesting new books solely to the replacement of adopted texts.</w:t>
      </w:r>
    </w:p>
    <w:p>
      <w:r>
        <w:t>74. From the investigation carried out (see paragraph V.3.4), it has mainly emerged that the specificities of the interaction between publishers and school promoters – who play a fundamental role in accessing teachers and, therefore, in market penetration – pose significant barriers to the entry of new operators and the expansion of the activities of smaller publishers. In fact, promoters, while being independent operators, present, also due to the local rooting that characterizes their activity, a dimension incomparably smaller than that of publishers, who often generate, individually, sufficient revenues to ensure the survival of promotion agencies. Additionally, in many cases, the relationships between publishers and promoters are highly stable, lasting a long time, during which solid personal relationships develop, and are formalized by contracts that include clauses of approval and sometimes exclusivity. In this context, promoters show little inclination to sign new mandates, both due to the contractual provisions to which they may be bound and due to the fear of engaging in behaviors that are not favored by the publisher they already represent, which could realistically lead to the termination of a consolidated contract, in light of the uncertainty of the results of a new mandate (particularly burdensome in the case of a new entrant publisher or smaller publishers with catalogs focused only on certain subjects).</w:t>
      </w:r>
    </w:p>
    <w:p>
      <w:r>
        <w:t>75. The investigation has also revealed that the described effects are amplified when a publisher has a very extensive and complete catalog of titles suitable for saturating the "production capacity" of the promoter and incentivizing their collaboration with that publisher, in order to benefit from the efficiency gains arising from the possibility of narrowing their scope of activity to a smaller number of schools.</w:t>
      </w:r>
    </w:p>
    <w:p>
      <w:r>
        <w:t>76. In the described context, the concentration operation between Mondadori and DeA Scuola requires particularly careful evaluation, as its effects are likely to further deteriorate the dynamics of interaction among the various operators in the sector with restrictive effects on competition among publishers, to the detriment of users of school books.</w:t>
      </w:r>
    </w:p>
    <w:p>
      <w:r>
        <w:t>77. Firstly, it is important to consider that, as a result of the operation, the Mondadori Group will become the leading operator in the secondary school publishing market, with a share of [30-35]%. The degree of market concentration will register a significant increase as the operation results in the exit from the market of one of the main publishers, so that post-merger, a large part of the supply ([75-80]%) will be concentrated in the hands of only three operators, one of whom (Pearson) holds a share of [15-20] percentage points lower than that of Mondadori. Meanwhile, the main competitor, Zanichelli, holds a share of [25-30]%, which, given the peculiar characteristics of the market in question, as mentioned above, must be appreciated in light of the significant integration of this operator in the promotion phase, where it predominantly operates through owned subsidiaries.</w:t>
      </w:r>
    </w:p>
    <w:p>
      <w:r>
        <w:t>78. The effects of the operation are particularly pronounced in the segment related to the supply of texts for lower secondary school, where the new operator will reach a share of approximately [40-45]%, with a significant presence in most of the subjects taught in this educational context (See paragraph V.3.2). Nonetheless, relevant, in light of the considerations made above, is the effect of expanding the range in upper secondary school resulting from the overlap between the catalogs of Mondadori and DeA Scuola, which are largely complementary.</w:t>
      </w:r>
    </w:p>
    <w:p>
      <w:r>
        <w:t>79. In the peculiar competitive environment that characterizes the relevant market, in which – as described in paragraph V.3.3 – the price variable is considerably weakened, the direct effects from the overlap between Mondadori and DeA Scuola can be identified in a potential deterioration of the quality of the texts, as well as in the reduction of the overall variety of the school offer (i.e., bibliodiversity) to the detriment of the cultural enrichment of students and teachers.</w:t>
      </w:r>
    </w:p>
    <w:p>
      <w:r>
        <w:t>80. Of great concern is also the effect that the operation in question could produce in relations with promoters, within which the possibility for the new operator to centralize with the same agency the mandates related to each of the three brands that it will manage after the acquisition of DeA Scuola would significantly increase the already existing imbalance of bargaining power in favor of the publisher (or, conversely, the dependence of the promoter), with the consequence of making – due to the dynamics of interaction described above – the barrier to entry into the school publishing market even higher. Significant concerns in this regard have been expressed by competitors, as well as by parties active in the promotion phase heard during the investigation.</w:t>
      </w:r>
    </w:p>
    <w:p>
      <w:r>
        <w:t>From the perspective of the entire relevant market, it is important to consider that the operation, bringing the DeA Scuola network under the central direction of the Mondadori Group (where Mondadori Education and Rizzoli Education are already present), reduces the number of separate commercial networks competing with each other, moreover in the absence of contestability of the network attributable to Zanichelli.</w:t>
      </w:r>
    </w:p>
    <w:p>
      <w:r>
        <w:t>81. For all the reasons considered, it must be concluded that the notified operation would be likely to grant the Mondadori Group a dominant position in the secondary school publishing market.</w:t>
      </w:r>
    </w:p>
    <w:p>
      <w:r>
        <w:t>VIII.2 The effects of the operation in the paraschool publishing market</w:t>
      </w:r>
    </w:p>
    <w:p>
      <w:r>
        <w:t>82. As highlighted in the decision to initiate the investigation, the national market for paraschool publishing refers to materials with educational content – such as workbooks, holiday homework books, Invalsi test books, and classic and narrative texts for school editions – which essentially serve an ancillary function with respect to the themes and contents addressed by school textbooks.</w:t>
      </w:r>
    </w:p>
    <w:p>
      <w:r>
        <w:t>BULLETIN NO. 44 OF NOVEMBER 8, 2021 65</w:t>
      </w:r>
    </w:p>
    <w:p>
      <w:r>
        <w:t>83. The following Table 5 shows the market shares reconstructed based on the revenue data provided by the operators, which, not ensuring a complete representation of the activity of all publishers57, inevitably provide partially overestimated shares.</w:t>
      </w:r>
    </w:p>
    <w:p>
      <w:r>
        <w:t>Table 5: paraschool publishing market – value shares</w:t>
        <w:br/>
        <w:t>PUBLISHER 2018 2019 2020</w:t>
        <w:br/>
        <w:t>Giunti [15 – 20]% [15 – 20]% [15 – 20]%</w:t>
        <w:br/>
        <w:t>Mondadori [15 – 20]% [15 – 20]% [15 – 20]%</w:t>
        <w:br/>
        <w:t>Zanichelli [10 – 15]% [15 – 20]% [15 – 20]%</w:t>
        <w:br/>
        <w:t>DeA [10 – 15]% [10 – 15]% [10 – 15]%</w:t>
        <w:br/>
        <w:t>Eli [10 – 15]% [10 – 15]% [10 – 15]%</w:t>
        <w:br/>
        <w:t>Pearson [5 – 10]% [5 – 10]% [5 – 10]%</w:t>
        <w:br/>
        <w:t>Principato-Cetem [1 – 5]% [1 – 5]% [1 – 5]%</w:t>
        <w:br/>
        <w:t>La scuola – SEI [1 – 5]% [1 – 5]% [1 – 5]%</w:t>
        <w:br/>
        <w:t>Il Capitello [5 – 10]% [5 – 10]% [1 – 5]%</w:t>
        <w:br/>
        <w:t>Hoepli [1 – 5]% [1 – 5]% [1 – 5]%</w:t>
        <w:br/>
        <w:t>[Less than [Less than [Less than</w:t>
        <w:br/>
        <w:t>Lattes</w:t>
        <w:br/>
        <w:t>1%] 1%] 1%]</w:t>
        <w:br/>
        <w:t>TOTAL 100.00 100.00 100.00</w:t>
        <w:br/>
        <w:t>Source: AGCM elaborations on data provided by the operators</w:t>
      </w:r>
    </w:p>
    <w:p>
      <w:r>
        <w:t>84. Following the operation, the Mondadori Group will become the leading operator in the market with a share, updated to 2020, of approximately [30-35]%, against shares not very far from those held by other important publishers – among which, especially, Giunti ([15-20]%) and Zanichelli ([15-20]%) – which appear suitable to exclude effects of substantial reduction of competition.</w:t>
      </w:r>
    </w:p>
    <w:p>
      <w:r>
        <w:t>85. In this regard, it should also be noted that a significant part of the paraschool market concerns narrative texts, which are subject to the indirect competitive constraint represented by the corresponding general texts, to which, in the absence of a binding adoption choice by teachers58, families can refer.</w:t>
      </w:r>
    </w:p>
    <w:p>
      <w:r>
        <w:t>86. In any case, since Mondadori and DeA Scuola, as generally all publishers, use the same agencies for the promotion of paraschool material to which they entrust the mandates for school texts, it must be considered that the corrective measures presented by Mondadori within the procedure, as described in the next section, since, as will be argued below, contribute to resolving the competitive issues rooted in the relationship between publishers and promoters, will produce pro-competitive effects also with regard to the market under examination.</w:t>
      </w:r>
    </w:p>
    <w:p>
      <w:r>
        <w:t>57 For example, the publisher Raffaello was unable to provide the requested data.</w:t>
        <w:br/>
        <w:t>58 The purchase of paraschool material is recommended by teachers.</w:t>
      </w:r>
    </w:p>
    <w:p>
      <w:r>
        <w:rPr>
          <w:b/>
        </w:rPr>
        <w:t>[Pages 64–66]</w:t>
      </w:r>
    </w:p>
    <w:p>
      <w:r>
        <w:t>66 BULLETIN NO. 44 OF NOVEMBER 8, 2021</w:t>
      </w:r>
    </w:p>
    <w:p>
      <w:r>
        <w:t>87. In conclusion, in light of the considerations made, it can be excluded that the operation under examination establishes a dominant position for Mondadori in the market of supplementary publishing.</w:t>
      </w:r>
    </w:p>
    <w:p>
      <w:r>
        <w:t>IX. THE CORRECTIVE MEASURES PROPOSED BY MONDADORI</w:t>
      </w:r>
    </w:p>
    <w:p>
      <w:r>
        <w:t>88. During the investigation, based on the concerns raised by the Authority in the initiation order and emerging from the review of the documentation acquired during the investigation, Mondadori proposed several measures that it deems suitable to effectively and durably remove the alleged detrimental consequences generated by the execution of the concentration project under examination. The measures proposed by Mondadori are structured in six points, illustrated below.</w:t>
      </w:r>
    </w:p>
    <w:p>
      <w:r>
        <w:t>89. Measure No. 1: with the aim of not degrading the quality and content of the offer of the acquired company, Mondadori will make investments for DeA Scuola for three years starting from January 1, 2022, not less than the total amount invested by the latter in the three-year period 2018, 2019, and 2020, in the creation of new textbook content, amounting to Euro [omissis]59. The verification of the actual compliance with the total investments will be possible at the end of the third year of operation, on the assumption that the amount of investments may vary from year to year, depending on the editorial planning.</w:t>
      </w:r>
    </w:p>
    <w:p>
      <w:r>
        <w:t>90. Measure No. 2: Mondadori will maintain, for three financial years, starting from the date of notification of this Authority's decision and until December 31, 2024, the company DeA Scuola separate from the other companies of the Mondadori Group active in the same market, keeping in that company the editorial and commercial activities60.</w:t>
      </w:r>
    </w:p>
    <w:p>
      <w:r>
        <w:t>91. In this regard, the Party observes that corporate separation is in itself a guarantee of independence for the three publishing houses, provided that other service and staff activities can be ensured by the functions of the Mondadori Group.</w:t>
      </w:r>
    </w:p>
    <w:p>
      <w:r>
        <w:t>92. Measure No. 3a: without prejudice to the existing overlaps between the promotion mandates of the companies of the Mondadori Group (Mondadori Education, Rizzoli Education) and DeA Scuola61, Mondadori, until December 31, 2023, will not create further overlaps [omissis] between the aforementioned three publishing houses, without prejudice to the possibility of creating overlaps of mandates between [omissis] publishing houses of the Mondadori Group, should the monitoring trustee (see below) certify, in advance, the occurrence of at least one of the following situations: i) cessation of activity, ii) subjection to bankruptcy proceedings, iii) serious contractual breaches, iv) deterioration of commercial performance for a period of two years or presence of a commercial performance significantly below the national average. In this regard, it is provided that the overlapping interventions that may be implemented for the occurrence of the condition referred to in point iv) shall not exceed [omissis] per year out of a total of approximately 170 mandates of the three publishing houses.</w:t>
      </w:r>
    </w:p>
    <w:p>
      <w:r>
        <w:t>93. Measure No. 3b: without prejudice to the above, Mondadori will maintain [omissis] separate networks for the third, fourth, and fifth year, that is, until December 31, 2026, and will not assign the same agency [omissis] of the three publishing houses Mondadori Education, Rizzoli Education, and DeA Scuola.</w:t>
      </w:r>
    </w:p>
    <w:p>
      <w:r>
        <w:t>94. Measure No. 3c: for cases where, in compliance with measures No. 3a and 3b, Mondadori proceeds to create overlaps between the networks of the three publishing houses beyond those currently existing, a specific "Commitment for the protection of small publishers mandating the agencies" is provided. In particular, in this regard, Mondadori will ensure that any other publishers – different from the publishing houses Zanichelli Editore and Pearson Italia – already promoted by such agency are not excluded as a result of the new assignment. The measure specifically provides that in this case Mondadori must inform the agency that the new mandate will be granted on the assumption that the other promoted publishers – different from the publishing houses Zanichelli Editore and Pearson Italia – can maintain their existing mandates unchanged and that if the agency were to terminate such relationships, for reasons other than the default of the contract by the commissioning publisher, the new mandate will be immediately resolved.</w:t>
      </w:r>
    </w:p>
    <w:p>
      <w:r>
        <w:t>95. Mondadori observes that the set of these measures (3a, 3b, 3c) will have the effect of keeping the commercial network of the publishing house DeA Scuola separate from, and in competition with, the commercial networks of both the publishing house Mondadori Education and the publishing house Rizzoli Education, thus addressing the concerns expressed by almost all operators heard during the investigation.</w:t>
      </w:r>
    </w:p>
    <w:p>
      <w:r>
        <w:t>96. The Party also emphasized that the content of these corrective measures, as well as the duration indicated for each of them, must be appreciated taking into account, first and foremost, the undisputed leadership in the market of supplementary school publishing for secondary school held by the Zanichelli Group, which has progressively increased its market share, reaching, according to data updated to July 2021, a share of [25-30]%. Furthermore, the new elements that will impact the competitive dynamics of the school market must also be considered, including, in particular: i) the consequences of the investigation related to procedure I848 – Issues concerning promotional activities in the school publishing market, initiated by the Authority with a decision of December 1, 2020, and the definitive commitments undertaken within it by Mondadori Education, Rizzoli Education, Pearson Italia, and DeA Scuola, ii) the entry, starting from the 2022-2023 school year, of the publisher Feltrinelli, as well as iii) possible further structural changes. According to Mondadori, the set of these changes will lead, already in the medium term, to a change in the definition of the contractual relationships between the operators in the school market.</w:t>
      </w:r>
    </w:p>
    <w:p>
      <w:r>
        <w:t>97. Measure No. 4: in order to ensure that the agencies can continue to operate on the catalog of the publishing house DeA Scuola without interruption, nor worsening changes in contractual conditions, Mondadori, for two financial years starting from January 1, 2022, will not make worsening changes to the contractual conditions62 that, prior to the completion of the concentration, are applied to them by DeA Scuola. In this regard, Mondadori will provide the Authority within thirty days from the date of publication in the Authority's bulletin of the authorization decision of the operation, the updated list of all agencies of DeA Scuola, whose mandates will be in effect on the date of adoption of the Authority's resolution, to which the aforementioned measure will apply.</w:t>
      </w:r>
    </w:p>
    <w:p>
      <w:r>
        <w:t>98. Measure No. 5: with specific reference to the reporting to the promotion agencies of data relating to sales and adoptions, in order to respond to the concerns expressed by the agencies involved during the investigation, Mondadori will apply its best practice to the DeA Scuola network as well, which provides for detailed reporting of the quantities adopted and sold, title by title, for each agency. The measure takes effect from the date of notification of the Authority's authorization decision of the concentration operation and has no expiration date.</w:t>
      </w:r>
    </w:p>
    <w:p>
      <w:r>
        <w:t>99. Measure No. 6: Mondadori will appoint – informing the Authority within thirty days from the notification of the conclusion of the investigation – a third-party monitoring trustee, independent and possessing specific technical expertise, tasked with monitoring the actual implementation of the proposed measures, acting as an arbitrator in any disputes related to them, and producing periodic reports to the Authority. In this regard, it is provided that the monitoring trustee: i) is an independent entity with respect to the parties and the companies belonging to the same group; ii) possesses the necessary qualifications to carry out his mandate; iii) is not, nor has been, exposed to a conflict of interest. In particular, the trustee must not have held any significant position on behalf of the Mondadori Group in the year preceding his appointment.</w:t>
      </w:r>
    </w:p>
    <w:p>
      <w:r>
        <w:t>X. EVALUATION OF THE CORRECTIVE MEASURES</w:t>
      </w:r>
    </w:p>
    <w:p>
      <w:r>
        <w:t>100. The corrective measures proposed by Mondadori on October 13, 2021, if effectively implemented, exceed the competitive issues outlined in the initiation resolution of the procedure and confirmed during the procedure.</w:t>
      </w:r>
    </w:p>
    <w:p>
      <w:r>
        <w:t>101. In particular, the measures aimed at avoiding further overlaps between the commercial network of the publishing house DeA Scuola and those of the other two companies of the Mondadori Group for the two years following the realization of the operation under examination – without prejudice to cases of exceptional situations and necessity to be identified according to adequately specified criteria – (measure 3a) and ensuring that, in the three following years, distinct and separate commercial networks remain within the Group [omissis] (measure 3b) appear suitable to safeguard against further deteriorations the condition of asymmetry, in terms of bargaining power, of the promoters with respect to the publishers of the Mondadori Group. In other words, safeguarding the number of separate commercial networks that currently operate in direct competition, the described measures appear suitable to sterilize the effects of the notified operation concerning the crucial phase of promoting the texts to teachers. Considering the timing that deadlines the reorganization of much of the activities that occur in the various phases of the supply chain, the duration of the described measures appears appropriate, as well as adequate to allow the full unfolding of the effects that may arise from the proposed entry.</w:t>
      </w:r>
    </w:p>
    <w:p>
      <w:r>
        <w:rPr>
          <w:b/>
        </w:rPr>
        <w:t>[Pages 67–69]</w:t>
      </w:r>
    </w:p>
    <w:p>
      <w:r>
        <w:t>BULLETIN NO. 44 OF NOVEMBER 8, 2021 69</w:t>
      </w:r>
    </w:p>
    <w:p>
      <w:r>
        <w:t>in the market of school publishing for secondary school by an important operator in the general publishing sector, such as Feltrinelli.</w:t>
      </w:r>
    </w:p>
    <w:p>
      <w:r>
        <w:t>102. The significance of the two aforementioned measures is also strengthened by the provision of specific protection for publishers holding market shares lower than those attributable to each of the companies in the Mondadori group, considered individually. As a result of measure 3c, in fact, these smaller competitors are protected from the risk that a potential consolidation by the Mondadori Group of additional mandates (beyond those currently in place) with the same agency could lead to the termination of their mandates with that same agency, ultimately translating into an obstacle to access to the promotion phase.</w:t>
      </w:r>
    </w:p>
    <w:p>
      <w:r>
        <w:t>103. Similarly, the provision that for three years the company DeA Scuola will remain separate from the other two publishing companies of the Group (measure 2) serves to strengthen the effects of the separation between the commercial networks that will fall within the scope of the Mondadori Group. This measure appears suitable to ensure the autonomy of DeA Scuola also from an editorial perspective, safeguarding the identity of its proposals, which will then be presented to teachers separately from those of the other two publishers of the Group, which are also, at present, distinct from each other. In this sense, the overall variety of the school offer can be considered protected with respect to the specific effects of the operation under examination.</w:t>
      </w:r>
    </w:p>
    <w:p>
      <w:r>
        <w:t>104. The same result is appreciably contributed to by measure no. 1 aimed at ensuring that in the next three years, DeA Scuola's investments in the creation of new textbook content are not lower than those recorded in the previous three-year period (2018-2020). This measure, in fact, by protecting against the risk of degradation of the content of DeA Scuola's offer, contributes to safeguarding the quality and bibliodiversity of the entire market offer.</w:t>
      </w:r>
    </w:p>
    <w:p>
      <w:r>
        <w:t>105. In the described market context, measures aimed, on the one hand, at not worsening, for the next two years, the contractual economic conditions applied to the agencies of DeA Scuola (measure no. 4) and, on the other hand, at improving, in terms of transparency, the reporting conditions of data on adopted and sold texts for the agencies of the DeA Scuola network, aligning them with the practices already followed by the Mondadori Group (measure no. 5) also appear likely to have positive effects. These corrective measures, in fact, by helping to reduce the substantial dependence of promoters on publishers, may support the independent determination of the latter regarding the number of mandates to be managed.</w:t>
      </w:r>
    </w:p>
    <w:p>
      <w:r>
        <w:t>106. Finally, the appointment of a monitoring trustee, that is, an independent third expert, appears necessary in this case and in line with national and community practices.</w:t>
      </w:r>
    </w:p>
    <w:p>
      <w:r>
        <w:t>XI. CONCLUSIONS</w:t>
      </w:r>
    </w:p>
    <w:p>
      <w:r>
        <w:t>107. In conclusion, the investigation in question has established that the concentration under examination results in the establishment of a dominant position for Mondadori in the market for secondary school book publishing, such as to eliminate or substantially and durably reduce competition in that market.</w:t>
      </w:r>
    </w:p>
    <w:p>
      <w:r>
        <w:t>108. All of this considered, it is believed that the corrective measures proposed by Mondadori are suitable to address the competitive issues analyzed above. The notified concentration operation is, therefore, susceptible to being conditionally authorized subject to the prescription, pursuant to Article 6, paragraph 2, of Law No. 10 of October 10, 1990, of the measures referred to in Section IX, in accordance with what has been proposed by the Parties.</w:t>
      </w:r>
    </w:p>
    <w:p>
      <w:r>
        <w:t>CONSIDERING that the operation in question is likely to result, pursuant to Article 6 of Law No. 287/90, in the establishment or strengthening of the dominant position of Arnoldo Mondadori Editore S.p.A. in the market for secondary school book publishing;</w:t>
      </w:r>
    </w:p>
    <w:p>
      <w:r>
        <w:t>CONSIDERING it necessary to prescribe, to Arnoldo Mondadori Editore S.p.A., pursuant to Article 6, paragraph 2, of Law No. 287/90, measures to prevent the realization of the distorting effects caused by the implementation of the concentration in question;</w:t>
      </w:r>
    </w:p>
    <w:p>
      <w:r>
        <w:t>CONSIDERING, therefore, that the operation in question is authorized subject to the full and effective execution of all the measures prescribed in this provision;</w:t>
      </w:r>
    </w:p>
    <w:p>
      <w:r>
        <w:t>CONSIDERING, furthermore, that the non-competition obligations, the prohibition on poaching employees, and the licensing agreements between the parties are ancillary to this operation only to the extent described above and that the Authority reserves the right to evaluate the aforementioned agreements that exceed the limits indicated therein;</w:t>
      </w:r>
    </w:p>
    <w:p>
      <w:r>
        <w:t>RESOLVES</w:t>
      </w:r>
    </w:p>
    <w:p>
      <w:r>
        <w:t>to authorize the notified concentration operation, provided that Arnoldo Mondadori Editore S.p.A. fully and effectively implements the following measures prescribed pursuant to Article 6, paragraph 2, of Law No. 287/90:</w:t>
      </w:r>
    </w:p>
    <w:p>
      <w:r>
        <w:t>1) to invest, for the three years starting from January 1, 2022, in DeA Scuola not less than the total amount invested by it in the three-year period 2018, 2019, and 2020, in the creation of new textbook content, amounting to Euro [omitted];</w:t>
      </w:r>
    </w:p>
    <w:p>
      <w:r>
        <w:t>2) to maintain, for three financial years, starting from the date of notification of this Authority's provision and until December 31, 2024, the company DeA Scuola separate from the other companies of the Mondadori Group active in the same market, maintaining in that company the editorial and commercial activities;</w:t>
      </w:r>
    </w:p>
    <w:p>
      <w:r>
        <w:t>3a) without prejudice to the existing overlaps between the promotional mandates of the companies of the Mondadori Group (Mondadori Education, Rizzoli Education) and DeA Scuola63, until December 31, 2023, not to create further overlaps [omitted] between the aforementioned three publishing houses, without prejudice to the possibility of creating overlaps of mandates between [omitted] publishing houses of the Mondadori Group, provided that the monitoring trustee (see below) certifies, in advance, the occurrence of at least one of the following situations: i) cessation of activity, ii) subjection to bankruptcy proceedings, iii) serious contractual breaches, iv) deterioration of commercial performance for a period of two years or presence of commercial performance significantly below the national average. In this regard, it is provided that the overlapping interventions that may be implemented upon the occurrence of the condition referred to in point iv) shall not exceed [omitted] per year out of a total of approximately 170 mandates of the three publishing houses;</w:t>
      </w:r>
    </w:p>
    <w:p>
      <w:r>
        <w:t>63 In this regard, Mondadori undertakes to provide the updated list within 30 days from the date of notification of the Authority's authorization provision for the concentration operation.</w:t>
      </w:r>
    </w:p>
    <w:p>
      <w:r>
        <w:t>BULLETIN NO. 44 OF NOVEMBER 8, 2021 71</w:t>
      </w:r>
    </w:p>
    <w:p>
      <w:r>
        <w:t>3b) without prejudice to measure 3a), to maintain [omitted] separate networks for the third, fourth, and fifth years, that is, until December 31, 2026, not to assign to the same agency [omitted] of the three publishing houses Mondadori Education, Rizzoli Education, and DeA Scuola;</w:t>
      </w:r>
    </w:p>
    <w:p>
      <w:r>
        <w:t>3c) "Commitment to protect small publishers mandating the agencies" for cases where, in compliance with measures no. 3a and 3b, in implementation of the same, Mondadori proceeds to create overlaps between the networks of the three publishing houses beyond those currently existing: Mondadori will ensure that any other publishers – different from the publishing houses Zanichelli Editore and Pearson Italia – already promoted are not excluded as a result of the new assignment. In this case, Mondadori must inform the agency that the new mandate will be granted on the condition that the other promoted publishers – different from the publishing houses Zanichelli Editore and Pearson Italia – can maintain their existing mandates unchanged and that if the agency were to terminate such relationships, for reasons other than the default of the contract by the commissioning publisher, the new mandate will be immediately terminated;</w:t>
      </w:r>
    </w:p>
    <w:p>
      <w:r>
        <w:t>4) not to worsen, for two financial years starting from January 1, 2022, the contractual conditions that, prior to the completion of the concentration, are applied by DeA Scuola to the promotion agencies it uses;</w:t>
      </w:r>
    </w:p>
    <w:p>
      <w:r>
        <w:t>5) to apply its best practice, which provides for detailed reporting of the quantities adopted and sold, title by title, for each agency, also to the DeA Scuola network;</w:t>
      </w:r>
    </w:p>
    <w:p>
      <w:r>
        <w:t>6) to appoint – informing the Authority within thirty days from the notification of the conclusion of the investigation provision – a third-party, independent monitoring trustee with specific technical expertise, tasked with monitoring the effective implementation of the proposed measures, acting as an arbitrator in any disputes related to them, and producing periodic reports to the Authority. The monitoring trustee:</w:t>
        <w:br/>
        <w:t>i) must be an independent entity with respect to the parties and the companies belonging to the same group;</w:t>
        <w:br/>
        <w:t>ii) must possess the necessary qualifications to carry out their mandate;</w:t>
        <w:br/>
        <w:t>iii) must not be, nor have been, exposed to a conflict of interest. In particular, the trustee cannot have held any significant position on behalf of the Mondadori Group in the year preceding their appointment.</w:t>
      </w:r>
    </w:p>
    <w:p>
      <w:r>
        <w:t>This provision will be notified to the interested parties and published in the Bulletin of the Antitrust Authority.</w:t>
      </w:r>
    </w:p>
    <w:p>
      <w:r>
        <w:rPr>
          <w:b/>
        </w:rPr>
        <w:t>[Pages 70–72]</w:t>
      </w:r>
    </w:p>
    <w:p>
      <w:r>
        <w:t>72 BULLETIN NO. 44 OF NOVEMBER 8, 2021</w:t>
        <w:b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br/>
        <w:t>Filippo Arena Roberto Rustichelli</w:t>
      </w:r>
    </w:p>
    <w:p>
      <w:r>
        <w:t>BULLETIN NO. 44 OF NOVEMBER 8, 2021 73</w:t>
        <w:br/>
        <w:t>ACTIVITY OF REPORTING AND CONSULTATION</w:t>
        <w:br/>
        <w:t>AS1800 - MODALITIES FOR THE AWARD OF CATERING AND SUPPLEMENTARY SERVICES IN PENITENTIARY INSTITUTIONS</w:t>
        <w:br/>
        <w:t>Rome, October 29, 2021</w:t>
        <w:br/>
        <w:t>Minister of Justice</w:t>
        <w:br/>
        <w:t>The Authority for the Guarantee of Competition and the Market, in its meeting of October 19, 2021, following some reports, intends to make the following observations, pursuant to Article 22 of Law No. 287 of October 10, 1990, regarding the calls for tenders concerning the "Dematerialized open procedure, at the European level, aimed at concluding a Framework Agreement for the award - with the criterion of the economically most advantageous offer, pursuant to the combined provisions of Articles 60 and 95 and in compliance with Article 34 of Legislative Decree No. 50 of April 18, 2016 and subsequent amendments - of the Service for the Catering of inmates and detainees held in adult penitentiary institutions, to be carried out through the procurement and supply of foodstuffs necessary for the preparation of complete daily meals (breakfast, lunch, and dinner), with assurance, if not managed directly by the Institution's Directorate, of the service for the sale of extra-catering goods (so-called Supplementary Services)" prepared, at the indication of this Ministry, by the 11 regional directorates listed in Table B attached to the Prime Minister's Decree of June 15, 2015, no. 84, which replaces Table E attached to Law 395/1990.</w:t>
      </w:r>
    </w:p>
    <w:p>
      <w:r>
        <w:t>The calls for tenders in question, structured identically, only abstractly provide for the possibility that the awarded party may have to provide, alongside the catering service, also the supplementary service1 and, in any case, establish nothing regarding the value of the latter, thus limiting the possibility for operators participating in the tender to formulate a conscious offer that takes, in other words, into account the costs and margins arising from the performance of the requested services. This aspect cannot be considered secondary, as it undermines competition for the market, since companies are unable to express a reasonable quotation for the catering service, not knowing whether and to what extent they can count on the margins arising from the additional, and only potential, performance of the supplementary service.</w:t>
      </w:r>
    </w:p>
    <w:p>
      <w:r>
        <w:t>In particular, considering that the supplementary service can reach a non-negligible value, at least equal to 50% of that of the catering service, offers that are too high (because the margins arising from the supplementary service are not considered) or offers that are too low (because it is believed that compensation can be made with the earnings from the potential supplementary service, which is paid directly by the inmates) could be abstractly presented.</w:t>
      </w:r>
    </w:p>
    <w:p>
      <w:r>
        <w:t>As is known, the Council of State has already intervened on the matter, noting the aforementioned competitive criticalities arising from the combination of the catering service and the only potential supplementary service2. The Council of State, in particular, highlighting the difference between the service contract (for the catering service) and the public service concession (for the supplementary service), concluded that, in the calls for tenders in question, there is "no way for any economic operator to prepare a conscious and reasoned economic offer related solely to the catering service, as would be required by the special law, without having to confront the positive or negative margins arising from the parallel management of the supplementary service."</w:t>
      </w:r>
    </w:p>
    <w:p>
      <w:r>
        <w:t>Similarly, the Court of Auditors, in several resolutions, has emphasized certain insurmountable criticalities in such calls for tenders that cascade onto downstream contracts. In addition to what has already been noted, the Court of Auditors specified that "Profiles of unreasonableness emerge in the choices of the administration which, instead of issuing two different tenders, one for the award of the catering service contract and the other for the concession of the supplementary service (with its own economic-financial plan) or, at least, a single tender, including the value of both contracts, has imposed on operators to formulate offers that, in fact, consider the mere eventuality of having to also provide the different supplementary service, the value of which, however, has not been considered in the auction base to which to parameterize the offered price; hence, the consequent prejudice to the reception of serious, adequate, and conscious offers and to an effective competitive comparison on each of the two services to be awarded."3.</w:t>
      </w:r>
    </w:p>
    <w:p>
      <w:r>
        <w:t>In light of the above, the Authority hopes that this Administration will foresee, for the upcoming procedures, adequate forms of awarding the catering and supplementary service through the</w:t>
      </w:r>
    </w:p>
    <w:p>
      <w:r>
        <w:t>2 The Council of State, more specifically, clarified that "subordinating the actual performance of the supplementary service to a discretionary choice of the contracting authority that is completely unpredictable at the time of the submission of offers cannot fail to create a contractual risk that is structurally different and exceeding that which is ordinarily considered by the aforementioned Article 3, paragraph 1, letter zz) of Legislative Decree No. 50 of 2016, as it refers not to the ever-changing dynamics of the market, against which the professionalism of the economic operator allows for the achievement of a certain financial balance and therefore a profit, but to the very practical possibility of carrying out or not carrying out the activity in question." See judgments no. 5781 (Lombardy) 5782 (Tuscany), 5783 (Veneto) 5784 (Piedmont Liguria Aosta Valley), 5785 (Sardinia), 5786 (Tuscany), 5787 (Lombardy), 5788 (Calabria), 5789 (Veneto) of August 6, 2021.</w:t>
      </w:r>
    </w:p>
    <w:p>
      <w:r>
        <w:t>3 The Court of Auditors also specified that "The data provided regarding the economic value of the supplementary service for the lot in question (greater than 50 percent of the corresponding value of the catering service indicated in the tender specifications) also leads to excluding, even from this perspective, its merely accessory nature with respect to the main and mandatory catering service and to highlight the risk, in the mechanism put in place, of improper compensations by companies between lower catering costs and higher revenues from the supplementary service, as the award of both services to the same subject could lead to a potential conflict of interest to the detriment of the quality of the primary food services offered to inmates, for which reason the administration is required to vigilantly monitor the quality and quantity of the catering and the variety and prices imposed for the supplementary service." See Court of Auditors, Regional Control Section for Lazio, Resolution No. 101 of September 7, 2021, regarding the contracts of the Regional Directorate of the Penitentiary Administration for Lazio, Abruzzo, and Molise.</w:t>
      </w:r>
    </w:p>
    <w:p>
      <w:r>
        <w:rPr>
          <w:b/>
        </w:rPr>
        <w:t>[Pages 73–75]</w:t>
      </w:r>
    </w:p>
    <w:p>
      <w:r>
        <w:t>BULLETIN NO. 44 OF NOVEMBER 8, 2021 75</w:t>
        <w:br/>
        <w:t>clear and complete indication of the value and the actual assignment of the supplementary service, should it, based on its own discretionary choice, deem it more efficient to award the two services through a single tender.</w:t>
      </w:r>
    </w:p>
    <w:p>
      <w:r>
        <w:t>This report will be published in the Bulletin of the Authority for the Guarantee of Competition and the Market.</w:t>
      </w:r>
    </w:p>
    <w:p>
      <w:r>
        <w:t xml:space="preserve">THE PRESIDENT </w:t>
        <w:br/>
        <w:t>Roberto Rustichelli</w:t>
      </w:r>
    </w:p>
    <w:p>
      <w:r>
        <w:t xml:space="preserve">76 BULLETIN NO. 44 OF NOVEMBER 8, 2021 </w:t>
        <w:br/>
        <w:t xml:space="preserve">UNFAIR TRADE PRACTICES </w:t>
        <w:br/>
        <w:t xml:space="preserve">IP348 - GOOGLE DRIVE - UNFAIR CLAUSES </w:t>
        <w:br/>
        <w:t xml:space="preserve">Provision No. 29863 </w:t>
        <w:br/>
        <w:t xml:space="preserve">THE AUTHORITY FOR THE GUARANTEE OF COMPETITION AND THE MARKET </w:t>
        <w:br/>
        <w:t xml:space="preserve">IN ITS MEETING of October 19, 2021; </w:t>
        <w:br/>
        <w:t xml:space="preserve">HEARD the Rapporteur Prof. Michele Ainis; </w:t>
        <w:br/>
        <w:t xml:space="preserve">VIEWED Part III, Title I of Legislative Decree No. 206 of September 6, 2005, containing the “Consumer Code” and subsequent amendments (hereinafter, Consumer Code); </w:t>
        <w:br/>
        <w:t xml:space="preserve">VIEWED Article 37-bis, paragraph 2, of the Consumer Code, according to which, in case of non-compliance with the provisions of paragraph 1 of the same article, the Authority applies an administrative pecuniary sanction from 5,000 to 50,000 euros; </w:t>
        <w:br/>
        <w:t xml:space="preserve">VIEWED Law No. 689 of November 24, 1981; </w:t>
        <w:br/>
        <w:t xml:space="preserve">VIEWED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No. 25411 of April 1, 2015; </w:t>
        <w:br/>
        <w:t xml:space="preserve">VIEWED its resolution No. 29817 of September 7, 2021, with which the Authority ascertained the unfairness of certain clauses contained in the Terms of Service of Google, which the consumer must accept in order to use Google Drive, adopted by Google Ireland Ltd., and ordered the publication for twenty days of an excerpt of the provision (attached to the resolution itself) on the homepage of its website, Italian version; </w:t>
        <w:br/>
        <w:t xml:space="preserve">VIEWED the documents of the proceeding; </w:t>
        <w:br/>
        <w:t xml:space="preserve">CONSIDERED the following: </w:t>
        <w:br/>
        <w:t xml:space="preserve">With provision No. 29817 of September 7, 2021, the Authority ascertained the unfairness, pursuant to Articles 33, paragraphs 1 and 2, letters b), d) and m), of the Consumer Code, of certain clauses of the contractual model of the Terms of Service of Google, submitted for acceptance by consumers wishing to use Google Drive. </w:t>
        <w:br/>
        <w:t xml:space="preserve">The Authority specifically ascertained the unfairness of the provisions that provide for: </w:t>
        <w:br/>
        <w:t xml:space="preserve">− exclusions and limitations of liability on the part of Google regarding the proper performance of the services and their quality; </w:t>
        <w:br/>
        <w:t xml:space="preserve">− the possibility of suspension or interruption of the services unilaterally decided by Google without indication of the methods and timing with which the relevant notice will be communicated to the user and will allow the user to oppose the Company's decisions; </w:t>
        <w:br/>
        <w:t>− the failure of Google to indicate, in the event of contractual changes, certain methods of prior communication of the modification made.</w:t>
      </w:r>
    </w:p>
    <w:p>
      <w:r>
        <w:t xml:space="preserve">BULLETIN NO. 44 OF NOVEMBER 8, 2021 77 </w:t>
        <w:br/>
        <w:t xml:space="preserve">In light of the above, the Authority has ascertained the unfairness of the clauses mentioned above and also ordered, in relation to the need to fully inform consumers, pursuant to Article 23, paragraph 8, of the Regulation, the publication for twenty days – at the care and expense of the company – of an excerpt of the aforementioned provision No. 29817 adopted against Google Ireland Ltd., on the homepage of the website, Italian version, of the Professional. </w:t>
        <w:br/>
        <w:t xml:space="preserve">In the provision, the company was given a term of twenty days to comply with the publication of the excerpt, expressly requesting to communicate to the Authority the methods and timing of execution of said publication. </w:t>
        <w:br/>
        <w:t xml:space="preserve">The aforementioned provision No. 29817 of September 7, 2021 was communicated to the Professional on September 22, 2021. </w:t>
        <w:br/>
        <w:t xml:space="preserve">With communication received on October 11, 2021, Google communicated the methods and timing followed for the publication, starting October 12, 2021, of the excerpt of the provision. </w:t>
        <w:br/>
        <w:t xml:space="preserve">On October 13, 2021, the Directorate requested the Professional to provide the necessary information to verify the methods of publication of the excerpt ordered in the concluding provision of the proceeding. </w:t>
        <w:br/>
        <w:t xml:space="preserve">On October 15, 2021, the Company submitted the compliance report to the order of publication of the excerpt of the provision and simultaneously provided clarifications in response to the aforementioned request for information. </w:t>
        <w:br/>
        <w:t xml:space="preserve">In light of the information acquired, and taking into account the checks carried out, it emerged that “in order to ensure immediate visibility of the excerpt of the provision, Google published it by displaying an informational box on the Italian version of the website www.google.com and on the corresponding pages with other national top-level domains containing the search engine string and accessible from Italy. The informational box states: “Authority for the Guarantee of Competition and the Market – Excerpt of provision CV194 Google Drive Unfair Clauses” and allows users to access the excerpt prepared by the AGCM (by clicking on “Read here”) or to confirm the receipt of the notification by interacting with the message (by clicking on “Close”).” </w:t>
        <w:br/>
        <w:t>Google then specified that “Users who do not have a Google account, users who are not logged into their Google account, and users who delete their cookies will see the informational box both on first access and on all subsequent accesses until October 31, 2021. This is also the case even if they have previously clicked on “Read here” or “Close.” Not being able to track their interactions on Google Sites, the Company is indeed unable to determine whether such users have already read the information and will therefore continue to display it for the entire indicated period, even at the cost of having it read multiple times by the same users. As for users who are logged into their Google account and access Google Sites, the following applies: (i) if they do not click either on “Read here” or “Close,” they will continue to see the box on each new access to Google Sites until October 31, 2021, just as happens to the users referred to in the previous paragraph; (ii) if they click on “Read here” or “Close,” the notice will not reappear, unless they access Google Sites again from a different device, after logging out of the account or after deleting their cookies. Thanks to the “Close” and “Read here” buttons, Google is indeed able to determine with certainty whether the user (logged in) has interacted with the informational message and has therefore become aware of the existence of the</w:t>
      </w:r>
    </w:p>
    <w:p>
      <w:r>
        <w:rPr>
          <w:b/>
        </w:rPr>
        <w:t>[Pages 76–78]</w:t>
      </w:r>
    </w:p>
    <w:p>
      <w:r>
        <w:t>78 BULLETIN NO. 44 OF NOVEMBER 8, 2021</w:t>
        <w:br/>
        <w:t>measure, and will therefore stop showing the notice to users who provide evidence of having received it by clicking on one of the two indicated buttons.”</w:t>
      </w:r>
    </w:p>
    <w:p>
      <w:r>
        <w:t>In essence, Google has adopted a method whereby, for users accessing the relevant page through their Google account, the information box regarding the existence of the extract of the Authority's measure appears only upon the first access, under certain circumstances, rather than remaining visible for twenty days as stipulated by measure no. 29817.</w:t>
      </w:r>
    </w:p>
    <w:p>
      <w:r>
        <w:t>From the collection of elements acquired and described above, it would emerge that Google Ireland Ltd. has failed to comply with resolution no. 29817 of September 7, 2021.</w:t>
      </w:r>
    </w:p>
    <w:p>
      <w:r>
        <w:t>Therefore, the prerequisites for initiating the sanctioning procedure provided for by Article 37-bis, paragraph 2, of the Consumer Code aimed at imposing an administrative pecuniary sanction from €5,000 to €50,000 are met.</w:t>
      </w:r>
    </w:p>
    <w:p>
      <w:r>
        <w:t>CONSIDERING, therefore, that the established facts constitute a case of non-compliance with the Authority's resolution no. 29817 of September 7, 2021, pursuant to Article 37-bis, paragraph 2, of the Consumer Code;</w:t>
      </w:r>
    </w:p>
    <w:p>
      <w:r>
        <w:t>RESOLVES</w:t>
        <w:br/>
        <w:t>a) to contest to Google Ireland Ltd. the violation referred to in Article 37-bis, paragraph 2, of the Consumer Code, for failing to comply with the publication order issued by the Authority's resolution no. 29817 of September 7, 2021, as required by the same resolution;</w:t>
        <w:br/>
        <w:t>b) to initiate the procedure for the possible imposition of the pecuniary sanction provided for by Article 37-bis, paragraph 2, of the Consumer Code for the violation of the publication order;</w:t>
        <w:br/>
        <w:t>c) that the person responsible for the procedure is Dr. Paola Scotti;</w:t>
        <w:br/>
        <w:t>d) that the acts of the procedure can be viewed at Directorate B of the General Directorate for Consumer Protection of the Authority, by the legal representative of Google Ireland Ltd. or by persons delegated by it;</w:t>
        <w:br/>
        <w:t>e) that within forty days from the communication of this measure, the interested parties may submit defensive writings and documents to the Authority, as well as request to be heard;</w:t>
        <w:br/>
        <w:t>f) that the procedure must be concluded within one hundred twenty days from the date of communication of this measure.</w:t>
      </w:r>
    </w:p>
    <w:p>
      <w:r>
        <w:t>BULLETIN NO. 44 OF NOVEMBER 8, 2021 79</w:t>
        <w:br/>
        <w:t>This measure will be communicated to the interested parties and published in the Bulletin of the Authority for Competition and Market.</w:t>
      </w:r>
    </w:p>
    <w:p>
      <w:r>
        <w:t>THE SECRETARY GENERAL THE PRESIDENT</w:t>
        <w:br/>
        <w:t>Filippo Arena Roberto Rustichelli</w:t>
      </w:r>
    </w:p>
    <w:p>
      <w:r>
        <w:t>80 BULLETIN NO. 44 OF NOVEMBER 8, 2021</w:t>
        <w:br/>
        <w:t>PS12169 - CVFACILE.COM</w:t>
        <w:br/>
        <w:t>Notice of initiation of investigative procedure</w:t>
        <w:br/>
        <w:t>AUTHORITY FOR COMPETITION AND MARKET</w:t>
        <w:br/>
        <w:t>Notice of initiation of investigation, pursuant to Article 6, paragraph 2, and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procedure PS12169.</w:t>
      </w:r>
    </w:p>
    <w:p>
      <w:r>
        <w:t>The publication of this notice, followed by the communication of the initiation of the procedure, in the weekly Bulletin of the Authority for Competition and Market, is carried out pursuant to and for the effects of Article 6, paragraph 2, and Article 19, paragraph 2, of the Regulation given the unsuccessful outcome of the attempt to transmit the same initiation communication, made on October 25, 2021, via the Consulate General of Italy in Hong Kong. The communication sent by registered mail has indeed been returned to the sending Consulate due to non-delivery.</w:t>
      </w:r>
    </w:p>
    <w:p>
      <w:r>
        <w:t>For any communication addressed to the Authority regarding the case in question, please refer to Directorate C of the General Directorate for Consumer Protection and the reference PS12169.</w:t>
        <w:br/>
        <w:t>____________________________________________________________________</w:t>
        <w:br/>
        <w:t>PS12169 - CVFACILE.COM</w:t>
        <w:br/>
        <w:t>Communication of initiation of investigative procedure</w:t>
        <w:br/>
        <w:t>Subject: Communication of initiation of the procedure pursuant to Article 27, paragraph 3, of Legislative Decree No. 206 of September 6, 2005 and subsequent amendments (hereinafter, Consumer Code), as well as pursuant to Article 6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and simultaneous request for information pursuant to Article 12, paragraph 1, of the Regulation.</w:t>
      </w:r>
    </w:p>
    <w:p>
      <w:r>
        <w:t>I. The Parties</w:t>
        <w:br/>
        <w:t>1. PANDA LEADS (hereinafter “LEADS”) as a professional, pursuant to Article 18, letter b), of the Consumer Code. This company manages multimedia portals that offer the possibility of creating a curriculum vitae for a fee, accessible via the website https://cvfacile.com (currently registered at IP address 104.21.0.175) as well as through the website https://expresscv.com/it (IP address 104.21.25.93).</w:t>
        <w:br/>
        <w:t>2. National Consumers Union, as a consumer association reporting.</w:t>
      </w:r>
    </w:p>
    <w:p>
      <w:r>
        <w:rPr>
          <w:b/>
        </w:rPr>
        <w:t>[Pages 79–81]</w:t>
      </w:r>
    </w:p>
    <w:p>
      <w:r>
        <w:t>BULLETIN NO. 44 OF NOVEMBER 8, 2021 81</w:t>
      </w:r>
    </w:p>
    <w:p>
      <w:r>
        <w:t>II. The commercial practice</w:t>
      </w:r>
    </w:p>
    <w:p>
      <w:r>
        <w:t>3. According to reports from the Consumer Association "Unione Nazionale Consumatori" and from some consumers since September 2021, as well as from information acquired ex officio for the application of the Consumer Code1, LEADS would have engaged in conduct likely to violate the regulations concerning unfair commercial practices. In particular, the reporters stated that they had subscribed to the offer for the creation of their curriculum on the website https://cvfacile.com believing that the service would be completed with the one-time payment of the amount of 0.90 euros indicated on the site and on the web page dedicated to payment by credit card. In reality, subscribing to the offer resulted in the activation of a monthly subscription of 29.99 euros, with automatic billing that renews tacitly unless canceled by the consumer. Some reporters reported the impossibility of exercising the right to withdraw from the contract, stating that they received an unjustified denial, as well as encountering extreme difficulties in contacting the professional. Others claimed to have been forced to block the credit card used for the payment of the curriculum to avoid further unwanted charges.</w:t>
      </w:r>
    </w:p>
    <w:p>
      <w:r>
        <w:t>4. The offer of an IT service for assistance in drafting a curriculum vitae is presented in Italian on the homepage of the website https://cvfacile.com. At the beginning of the homepage, in a light blue box, the statement in large letters "CREATE YOUR CV ONLINE" is inserted; further down, in smaller letters, it is indicated: "Online CV Editor, easy to use." The following statements follow: "A wide choice of CV templates," "A personalized CV in a few minutes," "A CV downloadable in PDF, TXT, or Word," "New professional opportunities." Images of various CV formats available are displayed. Further down, the reasons for why it would be advantageous to subscribe to the offer are advertised. In particular, it is stated: "1 I am guided in drafting my CV"; "Take advantage of tailored guidance to create your professional CV. For each section (education, skills, work experience, etc.), an interactive guide helps you improve your professional path. Thanks to your online CV creation platform, you also benefit from personalized advice to simplify writing your CV." Further down it reads: "2 Create a unique CV. Since you are unique, your CV must also be unique. That’s why CV facile offers you a wide choice of CV templates that you can easily customize [...]". This section concludes with the statement: "3 I boost my career project" followed by "Designed by professional recruiters, our online CV templates meet the expectations of employers and their selection criteria [...]".</w:t>
      </w:r>
    </w:p>
    <w:p>
      <w:r>
        <w:t>5. The IT process for creating the curriculum starts immediately by clicking on a green box "create your cv," positioned in several places on the homepage. Clicking on this box leads to a sequence of web pages that allow you to choose a CV template from the proposed formats and to enter personal data, educational qualifications, and work experiences. Once the CV is completed in the chosen format, you access a web page where a box appears in the center stating "Enter your email address to upload your CV" and, further down, the wording on a light blue background "continue," followed by the warning in very small print "by clicking on 'continue' you accept the general conditions." Continuing leads to the next web page titled "choose your tailored offer," which displays three boxes (colored yellow, blue, and green) titled respectively: "0.90 € 7 days classic," "1.90 € 7 days unlimited," and "7.49 € monthly unlimited." Each box lists the characteristics of the service that can be accessed by paying the indicated amount2 and concludes with a button of the same color labeled "CHOOSE." By selecting one of the three options shown, you arrive at the payment page. This page displays, at the top left, the wording "Enter your payment information," followed by boxes for entering credit card details necessary to then directly download the curriculum vitae. At the top right, the chosen option is indicated with the corresponding cost (e.g., "7 days classic 0.90 €"). Payment is then made by clicking on the bright green "confirm payment" button.</w:t>
      </w:r>
    </w:p>
    <w:p>
      <w:r>
        <w:t>6. According to the provisions in the general contract conditions "CVFacile Terms of Service," included in a document for mere consultation drafted exclusively in English, the agreement concluded between the subscriber to the service and the professional has an initial duration of one month, renewed monthly automatically (art. 19). It is possible to cancel the subscription at any time by written communication giving one month's notice; in this case, the user must still pay the cost of the service until the end of the notice period: "cvfacile and the Customer both are entitled to terminate the Subscription Agreement at any time by giving one-month notice in writing to the other. For the avoidance of doubt, fees will remain payable by the Customer through to the end of the notice period" (art. 19). It is also provided that the amount is paid in British pounds: "The fees and other prices indicated on the cvfacile and in these Terms of Use are in British pounds sterling and all taxes are included" (art. 7). Regarding the applicable law and jurisdiction, reference is made exclusively to English law and the courts of England, Wales, Scotland, and Northern Ireland: "These Terms of Use [...] their subject matter and formation are governed by English law" (art. 22).</w:t>
      </w:r>
    </w:p>
    <w:p>
      <w:r>
        <w:t>7. Regarding refunds, the website https://cvfacile.com includes a web page titled "Refund policy," also drafted exclusively in English, accessible via a link at the bottom of the homepage. It provides for the possibility for consumers to obtain a refund of the amount paid within 7 days of purchasing the service; after this period, any right to a refund is excluded: "We offer a 7 days trial for all purchases made on our website. If you are not satisfied with the product that you have purchased from us, you can get your money back no questions asked. You are eligible for a full reimbursement within 7 calendar days of your purchase. After the 7-day period you will no longer be eligible and won’t be able to receive a refund."</w:t>
      </w:r>
    </w:p>
    <w:p>
      <w:r>
        <w:t>8. As for the methods of contact with the professional, the site provides the possibility to fill out a form to be sent online or, alternatively, to send a communication by regular mail to the declared address of the professional or via email to the address support@cvfacile.com.</w:t>
      </w:r>
    </w:p>
    <w:p>
      <w:r>
        <w:t>9. The same content can also be found on the website https://expresscv.com/it, attributable to the same professional PANDA LEADS.</w:t>
      </w:r>
    </w:p>
    <w:p>
      <w:r>
        <w:t>III. Possible violations of the Consumer Code</w:t>
      </w:r>
    </w:p>
    <w:p>
      <w:r>
        <w:t>10. The behaviors described in point II of this communication could constitute distinct violations of the Consumer Code.</w:t>
      </w:r>
    </w:p>
    <w:p>
      <w:r>
        <w:t>11. In particular, the conduct towards consumers could constitute an unfair commercial practice, as on one hand they deceive the recipients of the messages regarding the characteristics and economic conditions of the services offered, in violation of Articles 21 and 22 of the Consumer Code; on the other hand, they prevent consumers from exercising the rights arising from the contractual relationship, in violation of Articles 24 and 25, paragraph 1, letter d), of the Consumer Code.</w:t>
      </w:r>
    </w:p>
    <w:p>
      <w:r>
        <w:t>12. In fact, the statements made by the professional regarding the proposed service lead one to believe that it is exhausted in obtaining a curriculum in exchange for the one-time payment of the price indicated in connection with the three options offered, amounting to between 0.90 and 7.49 euros. In reality, by subscribing to the service, one unknowingly subscribes to a monthly subscription with automatic renewal costing 29.99 euros. In this regard, it is noted that during the purchasing process, the actual economic conditions of the service are never clarified to the consumer, being reported only in the General Conditions of Contract, a document for mere consultation and drafted, moreover, in English, in which it is stated, contrary to what is presented in the purchasing process, that the prices are denominated in pounds. This appears to be in contrast with Articles 21 and 22 of the Consumer Code.</w:t>
      </w:r>
    </w:p>
    <w:p>
      <w:r>
        <w:t>13. The difficulties experienced by consumers in contacting the professional and in exercising the right to withdraw from the unknowingly subscribed subscription - which have even led some consumers to block their credit cards - represent obstacles placed before consumers in exercising their contractual rights, in violation of Articles 24, 25, paragraph 1, letter d), of the Consumer Code. Similarly, the provision of a disproportionate notice period for canceling the subscription, of which the start date is not specified, appears to constitute an obstacle to the exercise of consumers' contractual rights, in violation of Articles 24, 25, paragraph 1, letter d), of the Consumer Code.</w:t>
      </w:r>
    </w:p>
    <w:p>
      <w:r>
        <w:t>14. The omission, in the General Conditions of Contract, of any indication regarding the existence of the right of withdrawal within 14 days following the subscription of the subscription and its methods of exercise appears to constitute a violation of Article 52 of the Consumer Code. It is noted in this regard that the provision of a 7-day trial period, during which a full refund of the expenses incurred is provided, does not remedy this lack of provision.</w:t>
      </w:r>
    </w:p>
    <w:p>
      <w:r>
        <w:rPr>
          <w:b/>
        </w:rPr>
        <w:t>[Pages 82–84]</w:t>
      </w:r>
    </w:p>
    <w:p>
      <w:r>
        <w:t>84 BULLETIN NO. 44 OF NOVEMBER 8, 2021</w:t>
      </w:r>
    </w:p>
    <w:p>
      <w:r>
        <w:t>15. Finally, the provision of a forum different from that of the consumer's residence for the resolution of any disputes appears to be in conflict with Article 66-bis of the Consumer Code.</w:t>
      </w:r>
    </w:p>
    <w:p>
      <w:r>
        <w:t>IV. Investigative procedures and terms</w:t>
      </w:r>
    </w:p>
    <w:p>
      <w:r>
        <w:t>16. Based on the above, it is hereby communicated:</w:t>
        <w:br/>
        <w:t>a) the initiation of the procedure, pursuant to Article 6 of the Regulation, in order to verify the alleged violations mentioned in point III;</w:t>
        <w:br/>
        <w:t>b) that the person responsible for the procedure is Dr. Letizia Razzitti;</w:t>
        <w:br/>
        <w:t>c) that the procedure will conclude within 210 days from the date of protocol of this communication, pursuant to Article 7 of the Regulation;</w:t>
        <w:br/>
        <w:t>d) that the person responsible for the procedure will communicate, pursuant to Article 16, paragraph 1, of the Regulation, the date of conclusion of the investigative phase;</w:t>
        <w:br/>
        <w:t>e) that the person responsible for the procedure will request the opinion from the Authority for Communications Guarantees pursuant to Article 16, paragraphs 3 and 4, of the Regulation;</w:t>
        <w:br/>
        <w:t>f) that the office where the Party can access the documents of the procedure, upon written request and telephone contact to establish the access modalities, is Directorate C of the Directorate General for Consumer Protection (tel. 06/85821246, PEC: protocollo.agcm@pec.agcm.it). Access may be made directly by the Party or by a person delegated in writing;</w:t>
        <w:br/>
        <w:t>g) that the Party may submit written statements and documents within 20 days from receipt of this communication.</w:t>
      </w:r>
    </w:p>
    <w:p>
      <w:r>
        <w:t>V. Request for information</w:t>
      </w:r>
    </w:p>
    <w:p>
      <w:r>
        <w:t>17. In order to acquire useful information for the assessment of the commercial practice illustrated above, PANDA LEADS is requested to provide, within 20 days from receipt of this communication, the following information (accompanied by the relevant documentation, including internal relevance):</w:t>
        <w:br/>
        <w:t>i. to send a copy of the commercial proposal and the general contract conditions currently used;</w:t>
        <w:br/>
        <w:t>ii. a detailed description of the service provided, listing all possible activities performed for the benefit of consumers purchasing the service;</w:t>
        <w:br/>
        <w:t>iii. the date from which the website https://cvfacile.com has been present in its current configuration;</w:t>
        <w:br/>
        <w:t>iv. for each type of service offered through the website https://cvfacile.com (classic 7 days, unlimited 7 days, unlimited monthly) and separately for 2020 and the first 9 months of 2021, provide the following data: (i) number of subscription plans purchased, (ii) number of subscription plans canceled during the trial period, (iii) number of subscription plans canceled after the trial period, (iv) revenues generated;</w:t>
        <w:br/>
        <w:t>v. a description of the contact channels through which consumers can request information, file complaints, and/or cancel the subscription, specifying the response time for each of them;</w:t>
      </w:r>
    </w:p>
    <w:p>
      <w:r>
        <w:t>85 BULLETIN NO. 44 OF NOVEMBER 8, 2021</w:t>
      </w:r>
    </w:p>
    <w:p>
      <w:r>
        <w:t>vi. indicate the practice adopted by PANDA LEADS in case of non-payment of due amounts, specifying in which cases payment reminders are sent;</w:t>
        <w:br/>
        <w:t>vii. the methods by which it is possible to proceed with the cancellation of the subscription during the trial period, specifying, separately for 2020 and the first nine months of 2021: (i) the number of cancellation requests received during the trial period, (ii) the number of subscriptions refunded during the trial period, (iii) the number of cancellation requests received during the trial period that were rejected;</w:t>
        <w:br/>
        <w:t>viii. the methods by which it is possible to proceed with the cancellation of the subscription after the trial period, specifying, separately for 2020 and the first nine months of 2021: (i) the number of cancellation requests received, (ii) the number of cancellation requests received after the trial period that were accepted;</w:t>
        <w:br/>
        <w:t>ix. procedures established for handling withdrawal requests that may be submitted by subscribers to the services offered by PANDA LEADS, specifying, separately for 2020 and the first nine months of 2021: (i) the number of subscribers who exercised the right of withdrawal, (ii) the number of withdrawal requests rejected, (iii) the main reasons for non-acceptance;</w:t>
        <w:br/>
        <w:t>x. indicate the exact amount of the total turnover achieved by PANDA LEADS with express reference to each year for which the aforementioned promotional activity for the purchase of the subscription service was carried out;</w:t>
        <w:br/>
        <w:t>xi. any other element deemed useful for the assessment of the case in question.</w:t>
      </w:r>
    </w:p>
    <w:p>
      <w:r>
        <w:t>18. The requested information and documents, as well as any written statements, may also be transmitted on appropriate electronic support.</w:t>
      </w:r>
    </w:p>
    <w:p>
      <w:r>
        <w:t>19. Pursuant to Article 11, paragraph 7, of the Regulation, it is possible to indicate the specific information and parts of the documents provided for which confidentiality or secrecy is requested, indicating the reasons justifying such a request. To this end, it is kindly requested to also transmit a non-confidential version of the documents containing confidential information.</w:t>
      </w:r>
    </w:p>
    <w:p>
      <w:r>
        <w:t>20. Pending the requested information elements, it is reminded that, pursuant to Article 27, paragraph 4, of the Consumer Code, the parties consulted are subject, by order of the Authority, to an administrative pecuniary sanction from €2,000 to €20,000 if they refuse or omit without justified reason to provide the requested information or to exhibit the requested documents, or to an administrative pecuniary sanction from €4,000 to €40,000 if they provide untruthful information or exhibit untruthful documents.</w:t>
      </w:r>
    </w:p>
    <w:p>
      <w:r>
        <w:t>21. For the purposes of quantifying any pecuniary sanction referred to in Article 27, paragraph 9, of the Consumer Code, PANDA LEADS is requested to provide a copy of the last approved financial statement, or suitable tax documentation showing the economic results related to the considered financial year.</w:t>
      </w:r>
    </w:p>
    <w:p>
      <w:r>
        <w:t>86 BULLETIN NO. 44 OF NOVEMBER 8, 2021</w:t>
      </w:r>
    </w:p>
    <w:p>
      <w:r>
        <w:t>22. For any communication addressed to the Authority regarding the case in question, please cite Directorate C of the Directorate General for Consumer Protection and the reference PS12169. For any clarifications and information, you may contact Dr. Letizia Razzitti, email letizia.razzitti@agcm.it - telephone number (+39) 06/85821246.</w:t>
      </w:r>
    </w:p>
    <w:p>
      <w:r>
        <w:t>23. Attached is the information notice pursuant to Article 13 of Regulation (EU) 2016/679.</w:t>
      </w:r>
    </w:p>
    <w:p>
      <w:r>
        <w:t>THE PERSON RESPONSIBLE FOR THE PROCEDURE</w:t>
        <w:br/>
        <w:t>____________________________________________________________________</w:t>
      </w:r>
    </w:p>
    <w:p>
      <w:r>
        <w:t>INFORMATION ON THE PROCESSING OF PERSONAL DATA</w:t>
        <w:br/>
        <w:t>- Article 13 of Regulation (EU) 2016/679 -</w:t>
      </w:r>
    </w:p>
    <w:p>
      <w:r>
        <w:t>The Antitrust Authority, as the data controller (located at Piazza G. Verdi n. 6A, IT-00198, Rome; email-PEC: protocollo.agcm@pec.agcm.it; Switchboard: +39 06858211), will process the personal data provided in compliance with the provisions of Regulation (EU) 2016/679 (hereinafter "Regulation"), in particular for the performance of the activities entrusted to it by the legislation on consumer protection (Legislative Decree of September 6, 2005, No. 206, containing the "Consumer Code" and subsequent amendments, Legislative Decree of August 2, 2007, No. 145, Article 30, paragraph 1 bis of Legislative Decree No. 59/2010, Legislative Decree No. 70/2003).</w:t>
      </w:r>
    </w:p>
    <w:p>
      <w:r>
        <w:t>The provision of this data is strictly functional to the performance of such activities and the related processing will be carried out, also through IT and telematic tools, in the ways and within the limits necessary to pursue these purposes or in any case connected to the exercise of its public powers, including the purposes of archiving, historical research, and analysis for statistical purposes.</w:t>
      </w:r>
    </w:p>
    <w:p>
      <w:r>
        <w:t>Personal data will be kept for a period not exceeding the achievement of the purposes for which they are processed and in accordance with the rules on the retention of administrative documentation. Such data may be kept for longer periods exclusively for archiving purposes in the public interest, for scientific or historical research, or for statistical purposes.</w:t>
      </w:r>
    </w:p>
    <w:p>
      <w:r>
        <w:t>The data provided will be known by personnel authorized to process it and may be communicated to public entities based on legal or regulatory provisions and possibly to private entities that have an interest in accordance with the regulations on access to administrative documents. The same data may be published in the bulletin and on the institutional website of the Authority (www.agcm.it) within the limits permitted by law and regulations.</w:t>
      </w:r>
    </w:p>
    <w:p>
      <w:r>
        <w:t>Data subjects have the right to request the data controller access to their personal data and the rectification or deletion of the same or the limitation of the processing concerning them or to object to the processing (Articles 15 et seq. of the Regulation). The appropriate request is submitted by contacting the Data Protection Officer at the Authority (Antitrust Authority - Data Protection Officer, Piazza G. Verdi n. 6A, 00198, Rome, email: rpd@agcm.it).</w:t>
      </w:r>
    </w:p>
    <w:p>
      <w:r>
        <w:rPr>
          <w:b/>
        </w:rPr>
        <w:t>[Pages 85–86]</w:t>
      </w:r>
    </w:p>
    <w:p>
      <w:r>
        <w:t>BULLETIN NO. 44 OF NOVEMBER 8, 2021 87</w:t>
      </w:r>
    </w:p>
    <w:p>
      <w:r>
        <w:t>The interested parties, provided that the prerequisites are met, also have the right to lodge a complaint with the Guarantor for the protection of personal data, as the supervisory authority, or to take appropriate judicial action.</w:t>
      </w:r>
    </w:p>
    <w:p>
      <w:r>
        <w:t>Guarantor Authority Weekly Bulletin</w:t>
        <w:br/>
        <w:t>of Competition and Market Year XXXI - No. 44 - 2021</w:t>
        <w:br/>
        <w:t>Editorial Coordination Giulia Antenucci</w:t>
        <w:br/>
        <w:t>Editorial Staff Valerio Ruocco, Simonetta Schettini, Manuela Villani</w:t>
        <w:br/>
        <w:t>Guarantor Authority for Competition and Market</w:t>
        <w:br/>
        <w:t>Office of Statistics and IT Applications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