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https://www.agcm.it/dotcmsdoc/bollettini/2022/44-22.pdf</w:t>
      </w:r>
    </w:p>
    <w:p>
      <w:r>
        <w:t>Pages translated : 66</w:t>
      </w:r>
    </w:p>
    <w:p/>
    <w:p>
      <w:r>
        <w:rPr>
          <w:b/>
        </w:rPr>
        <w:t>[Pages 1–3]</w:t>
      </w:r>
    </w:p>
    <w:p>
      <w:r>
        <w:t>Bulletin</w:t>
        <w:br/>
        <w:t>Weekly</w:t>
        <w:br/>
        <w:t>Year XXXII - No. 44</w:t>
        <w:br/>
        <w:t>Published on the website www.agcm.it</w:t>
        <w:br/>
        <w:t>December 12, 2022</w:t>
      </w:r>
    </w:p>
    <w:p>
      <w:r>
        <w:t>SUMMARY</w:t>
        <w:br/>
        <w:t>AGREEMENTS AND ABUSE OF DOMINANT POSITION 5</w:t>
        <w:br/>
        <w:t>I838C - RESTRICTIONS ON THE PURCHASE OF EXHAUSTED LEAD BATTERIES</w:t>
        <w:br/>
        <w:t>Decision No. 30384 5</w:t>
        <w:br/>
        <w:t>A551 - HIGH-SPEED AND REGIONAL RAIL TRANSPORT</w:t>
        <w:br/>
        <w:t>Decision No. 30387 7</w:t>
        <w:br/>
        <w:t>CONCENTRATION OPERATIONS 9</w:t>
        <w:br/>
        <w:t>C12476 - MARBLES/IRIDEOS</w:t>
        <w:br/>
        <w:t>Decision No. 30382 9</w:t>
        <w:br/>
        <w:t>C12494 - BANCO DI DESIO E DELLA BRIANZA/TWO BUSINESS BRANCHES OF BPER BANK</w:t>
        <w:br/>
        <w:t>Decision No. 30383 20</w:t>
        <w:br/>
        <w:t>REPORTING AND CONSULTATIVE ACTIVITIES 31</w:t>
        <w:br/>
        <w:t>AS1870 - CAMPANIA REGION - PROJECT OF INTEGRATED TARIFFS 'SEA &amp; SEA' AND</w:t>
        <w:br/>
        <w:t>31</w:t>
        <w:br/>
        <w:t>'LAND &amp; SEA'</w:t>
        <w:br/>
        <w:t>UNFAIR TRADE PRACTICES 36</w:t>
        <w:br/>
        <w:t>PS12083 - MUNICIPALITY OF RAGUSA/TWO-YEAR PRESCRIPTION IN THE WATER SECTOR</w:t>
        <w:br/>
        <w:t>Decision No. 30385 36</w:t>
        <w:br/>
        <w:t>PS12372 - BUSINESS REGISTER ITALY - DATABASES</w:t>
        <w:br/>
        <w:t>Decision No. 30386 47</w:t>
        <w:br/>
        <w:t>PS12418 – BP TESLA HELICOPTERS - LACK OF LICENSE</w:t>
        <w:br/>
        <w:t>Notice of initiation of investigative proceedings 54</w:t>
        <w:br/>
        <w:t>PS12429 - HELIAIR HELICOPTERS - LACK OF LICENSE</w:t>
        <w:br/>
        <w:t>Notice of initiation of investigative proceedings 62</w:t>
      </w:r>
    </w:p>
    <w:p>
      <w:r>
        <w:t>BULLETIN NO. 44 OF DECEMBER 12, 2022 5</w:t>
        <w:br/>
        <w:t>AGREEMENTS AND ABUSE OF DOMINANT POSITION</w:t>
        <w:br/>
        <w:t>I838C - RESTRICTIONS ON THE PURCHASE OF EXHAUSTED LEAD BATTERIES</w:t>
        <w:br/>
        <w:t>Decision No. 30384</w:t>
        <w:br/>
        <w:t>THE ANTITRUST AUTHORITY</w:t>
        <w:br/>
        <w:t>IN ITS MEETING of November 22, 2022;</w:t>
        <w:br/>
        <w:t>HEARD the Rapporteur, Professor Michele Ainis;</w:t>
        <w:br/>
        <w:t>HAVING REGARD to Law No. 287 of October 10, 1990;</w:t>
        <w:br/>
        <w:t>HAVING REGARD to its resolution of June 15, 2021, No. 29718, with which the commitments pursuant to Article 14-ter, paragraph 1, of Law No. 287/90 were made mandatory for an indefinite period, towards COBAT, COBAT RIPA, Eco-bat S.r.l., Piombifera Italiana S.p.A., Piomboleghe S.r.l., ESI Ecological Scrap Industry S.p.A., Fiamm Energy Technology S.p.A., Società Italiana Accumulatori Produzione Ricerca Avezzano – SIAPRA S.p.A. and Clarios Italia S.r.l., in the terms attached to the same resolution;</w:t>
        <w:br/>
        <w:t>HAVING REGARD to the request of COBAT S.p.A. Società Benefit1, received on October 20, 2022, aimed at obtaining a reassessment, for the purposes of the revocation or revision of the commitments made mandatory by the resolution of June 15, 2021, No. 29718, in the terms attached to the aforementioned resolution and consisting of “revoking commitments No. 2 and 3 (the latter in the part strictly related to the allocation of exhausted batteries through auctions, i.e., that related to the mechanism and criteria for determining the auction base) of COBAT and commitment No. 2 of COBAT RIPA; and during the review procedure of the commitments, to suspend the mandatory nature of commitments No. 2 and 3 of COBAT and commitment No. 2 of COBAT RIPA.”</w:t>
        <w:br/>
        <w:t>CONSIDERING that the request is based on recent developments in the affected sector and, in particular, on the temporary exit from the market of the recycling of exhausted lead batteries, due to the increase in energy costs, of the main national operator, awarded significant volumes of exhausted lead batteries put out to tender by COBAT in the last year and a half;</w:t>
        <w:br/>
        <w:t>CONSIDERED, therefore, necessary to verify whether such developments in the affected sector justify the revocation or revision of the commitments made mandatory by the resolution of June 15, 2021, No. 29718 and considered that the assessment of the request, having as its object the revocation or revision of the commitments made mandatory, pursuant to Article 14-ter, paragraph 1, of Law No. 287/90, must be carried out in contradiction with the Party and any interested third parties;</w:t>
        <w:br/>
        <w:t>1 COBAT was transformed into a capital company at the end of June 2021, immediately after the closure of procedure I838, in implementation of structural commitment No. 1 and became a Società Benefit on July 6, 2021, initiating within its business operation a path characterized by common benefit objectives aimed at the community, workers, and the environment.</w:t>
      </w:r>
    </w:p>
    <w:p>
      <w:r>
        <w:rPr>
          <w:b/>
        </w:rPr>
        <w:t>[Pages 4–6]</w:t>
      </w:r>
    </w:p>
    <w:p>
      <w:r>
        <w:t>6 BULLETIN NO. 44 OF DECEMBER 12, 2022</w:t>
      </w:r>
    </w:p>
    <w:p>
      <w:r>
        <w:t>CONSIDERED, finally, that the possibility for COBAT S.p.A. to engage in private negotiations where the auctions go deserted, as occurred for the most recently held auctions, represents for the consortium an opportunity that allows it to adequately overcome the difficulties presented in the request for review, without there being an urgency to order the suspension of commitments no. 2 and 3 of COBAT and commitment no. 2 of COBAT RIPA during the course of this proceeding;</w:t>
      </w:r>
    </w:p>
    <w:p>
      <w:r>
        <w:t>RESOLVES</w:t>
      </w:r>
    </w:p>
    <w:p>
      <w:r>
        <w:t>a) to initiate a proceeding to evaluate the request for revocation or revision concerning the commitments made binding by resolution of June 15, 2021, no. 29718;</w:t>
      </w:r>
    </w:p>
    <w:p>
      <w:r>
        <w:t>b) to set a deadline of ten days, starting from the date of notification of this provision, for the exercise by the legal representatives of COBAT and COBAT RIPA or by persons delegated by them, of the right to be heard, pursuant to Article 14, paragraph 1, of Law no. 287/90, specifying that the request for a hearing must be received by the Energy and Basic Industry Directorate of the Directorate General for Competition of this Authority at least three days before the expiration of the aforementioned deadline;</w:t>
      </w:r>
    </w:p>
    <w:p>
      <w:r>
        <w:t>c) that the person responsible for the proceeding is Dr. Vittoria Tesei;</w:t>
      </w:r>
    </w:p>
    <w:p>
      <w:r>
        <w:t>d) that the documents of the proceeding can be viewed at the Energy and Basic Industry Directorate of the Directorate General for Competition of this Authority by the legal representatives of the party or by persons delegated by them;</w:t>
      </w:r>
    </w:p>
    <w:p>
      <w:r>
        <w:t>e) that the proceeding must be concluded by March 31, 2023;</w:t>
      </w:r>
    </w:p>
    <w:p>
      <w:r>
        <w:t>This provision will be notified to the interested parties and published in the Bulletin of the Authority for Competition and the Market.</w:t>
      </w:r>
    </w:p>
    <w:p>
      <w:r>
        <w:t>THE SECRETARY GENERAL THE PRESIDENT</w:t>
      </w:r>
    </w:p>
    <w:p>
      <w:r>
        <w:t>Guido Stazi Roberto Rustichelli</w:t>
      </w:r>
    </w:p>
    <w:p>
      <w:r>
        <w:t>BULLETIN NO. 44 OF DECEMBER 12, 2022</w:t>
      </w:r>
    </w:p>
    <w:p>
      <w:r>
        <w:t>A551 - HIGH-SPEED AND REGIONAL RAIL TRANSPORT</w:t>
      </w:r>
    </w:p>
    <w:p>
      <w:r>
        <w:t>Provision no. 30387</w:t>
      </w:r>
    </w:p>
    <w:p>
      <w:r>
        <w:t>THE AUTHORITY FOR COMPETITION AND THE MARKET</w:t>
      </w:r>
    </w:p>
    <w:p>
      <w:r>
        <w:t>IN ITS MEETING of December 6, 2022;</w:t>
      </w:r>
    </w:p>
    <w:p>
      <w:r>
        <w:t>HEARD the Rapporteur, Professor Michele Ainis;</w:t>
      </w:r>
    </w:p>
    <w:p>
      <w:r>
        <w:t>HAVING REGARD to Article 102 of the Treaty on the Functioning of the European Union (TFEU);</w:t>
      </w:r>
    </w:p>
    <w:p>
      <w:r>
        <w:t>HAVING REGARD to Regulation no. 1/2003 of the Council of December 16, 2002, concerning the application of the competition rules laid down in Articles 81 and 82 of the EC Treaty (now 101 and 102 TFEU);</w:t>
      </w:r>
    </w:p>
    <w:p>
      <w:r>
        <w:t>HAVING REGARD to Law of October 10, 1990, no. 287 and, in particular, Article 14-ter;</w:t>
      </w:r>
    </w:p>
    <w:p>
      <w:r>
        <w:t>HAVING REGARD to the Decree of the President of the Republic of April 30, 1998, no. 217;</w:t>
      </w:r>
    </w:p>
    <w:p>
      <w:r>
        <w:t>HAVING REGARD to its provision no. 30248 of July 19, 2022, with which an investigation was initiated pursuant to Article 14 of Law no. 287/90, against Trenitalia S.p.A. to ascertain the existence of violations of Article 102 of the TFEU, in relation to access to the sale, by the competitor Italo - Nuovo Trasporto Viaggiatori S.p.A. (hereinafter, "NTV"), of tickets for regional and Intercity rail connections on which Trenitalia operates exclusively in combination with its high-speed tickets (hereinafter, "AV").</w:t>
      </w:r>
    </w:p>
    <w:p>
      <w:r>
        <w:t>HAVING REGARD to the "Communication on the procedures for the application of Article 14-ter of Law of October 10, 1990, no. 287," adopted in the meeting of September 6, 2012 and published in Bulletin no. 35 of September 17, 2012;</w:t>
      </w:r>
    </w:p>
    <w:p>
      <w:r>
        <w:t>HAVING REGARD to the communication of November 3, 2022, by which Trenitalia S.p.A. submitted commitments, pursuant to Article 14-ter of Law no. 287/90, according to the methods indicated in the specific "Form for the submission of commitments pursuant to Article 14-ter of Law no. 287/90," consisting, in summary:</w:t>
      </w:r>
    </w:p>
    <w:p>
      <w:r>
        <w:t>a) in providing NTV full access to the anonymized disaggregated and aggregated data of the regional transport tickets of Trenitalia sold in combination with its AV services;</w:t>
      </w:r>
    </w:p>
    <w:p>
      <w:r>
        <w:t>b) in extending the transitional period of the agreement governing the sale, by NTV, of Trenitalia's regional service tickets in combination with its AV services (hereinafter, "Agreement"), in order to allow NTV to adopt the necessary technical measures for the processing of personal data of regional transport passengers according to the provisions of the Agreement itself. Trenitalia will also be available for a different regulation of the case upon indication, by NTV, of processing purposes compatible with the retention of the data for a longer period;</w:t>
      </w:r>
    </w:p>
    <w:p>
      <w:r>
        <w:t>c) in extending the provisions of the Agreement also to the tickets of Intercity services;</w:t>
      </w:r>
    </w:p>
    <w:p>
      <w:r>
        <w:t>d) in facilitating the conclusion of similar agreements, also providing the necessary technical support, between NTV and the companies Trenitalia Tper S.c.a r.l. and Trenord S.r.l.;</w:t>
      </w:r>
    </w:p>
    <w:p>
      <w:r>
        <w:t>e) in indicating the connections of the AV services operated by NTV on the onboard monitors of the regional service trains.</w:t>
      </w:r>
    </w:p>
    <w:p>
      <w:r>
        <w:t>CONSIDERED that the commitments presented, as a whole, do not appear manifestly unfounded and are such as to be susceptible to publication, without prejudice to any assessment by the Authority on their suitability to resolve the competitive issues raised at the outset;</w:t>
      </w:r>
    </w:p>
    <w:p>
      <w:r>
        <w:t>THEREFORE CONSIDERED, to order the publication of the aforementioned commitments presented by Trenitalia S.p.A., so that interested third parties may express their observations;</w:t>
      </w:r>
    </w:p>
    <w:p>
      <w:r>
        <w:t>RESOLVES</w:t>
      </w:r>
    </w:p>
    <w:p>
      <w:r>
        <w:t>a) to publish on December 9, 2022, on the Authority's website the aforementioned commitments, attached to this provision, of which they constitute an integral part, presented by Trenitalia S.p.A., pursuant to Article 14-ter of Law no. 287/90;</w:t>
      </w:r>
    </w:p>
    <w:p>
      <w:r>
        <w:t>b) that any observations on the commitments presented by Trenitalia S.p.A. must be submitted in writing, no later than January 9, 2023, to the Directorate General for Competition - Agro-Food, Pharmaceutical and Transport Directorate of the Authority, Piazza G. Verdi, 6/A, 00198 Rome, tel. 06/85821.553, pec: protocollo.agcm@pec.agcm.it;</w:t>
      </w:r>
    </w:p>
    <w:p>
      <w:r>
        <w:t>c) that any representations by Trenitalia S.p.A. of its position regarding the observations presented by third parties on the commitments, as well as any introduction of ancillary modifications to them, must be submitted in writing to the Authority no later than February 8, 2023.</w:t>
      </w:r>
    </w:p>
    <w:p>
      <w:r>
        <w:t>THE SECRETARY GENERAL THE PRESIDENT</w:t>
      </w:r>
    </w:p>
    <w:p>
      <w:r>
        <w:t>Guido Stazi Roberto Rustichelli</w:t>
      </w:r>
    </w:p>
    <w:p>
      <w:r>
        <w:rPr>
          <w:b/>
        </w:rPr>
        <w:t>[Pages 7–9]</w:t>
      </w:r>
    </w:p>
    <w:p>
      <w:r>
        <w:t>BULLETIN NO. 44 OF DECEMBER 12, 2022 9</w:t>
      </w:r>
    </w:p>
    <w:p>
      <w:r>
        <w:t>CONCENTRATION OPERATIONS</w:t>
      </w:r>
    </w:p>
    <w:p>
      <w:r>
        <w:t>C12476 - MARBLES/IRIDEOS</w:t>
      </w:r>
    </w:p>
    <w:p>
      <w:r>
        <w:t>Provision No. 30382</w:t>
      </w:r>
    </w:p>
    <w:p>
      <w:r>
        <w:t>THE ANTITRUST AUTHORITY</w:t>
      </w:r>
    </w:p>
    <w:p>
      <w:r>
        <w:t>IN ITS MEETING of November 22, 2022;</w:t>
      </w:r>
    </w:p>
    <w:p>
      <w:r>
        <w:t>HEARD the Rapporteur, Professor Michele Ainis;</w:t>
      </w:r>
    </w:p>
    <w:p>
      <w:r>
        <w:t>HAVING REGARD TO Regulation (EC) No. 139/04;</w:t>
      </w:r>
    </w:p>
    <w:p>
      <w:r>
        <w:t>HAVING REGARD TO Law No. 287 of October 10, 1990;</w:t>
      </w:r>
    </w:p>
    <w:p>
      <w:r>
        <w:t>HAVING REGARD TO Presidential Decree No. 217 of April 30, 1998;</w:t>
      </w:r>
    </w:p>
    <w:p>
      <w:r>
        <w:t>HAVING REGARD TO the communication from Marbles S.p.A. dated August 5, 2022;</w:t>
      </w:r>
    </w:p>
    <w:p>
      <w:r>
        <w:t>HAVING REGARD TO the request for information sent on September 2, 2022, to Marbles S.p.A., with consequent interruption of the deadlines pursuant to Article 5, paragraph 3, of Presidential Decree No. 217 of April 30, 1998;</w:t>
      </w:r>
    </w:p>
    <w:p>
      <w:r>
        <w:t>HAVING REGARD TO the additional information provided by Marbles S.p.A., received on September 23, 2022, and supplemented on October 3, 2022;</w:t>
      </w:r>
    </w:p>
    <w:p>
      <w:r>
        <w:t>HAVING REGARD TO the opinion of the Authority for Guarantees in Communications received on November 17, 2022;</w:t>
      </w:r>
    </w:p>
    <w:p>
      <w:r>
        <w:t>HAVING REGARD TO the documentation on file;</w:t>
      </w:r>
    </w:p>
    <w:p>
      <w:r>
        <w:t>CONSIDERING the following:</w:t>
      </w:r>
    </w:p>
    <w:p>
      <w:r>
        <w:t>THE PARTIES</w:t>
      </w:r>
    </w:p>
    <w:p>
      <w:r>
        <w:t>Marbles S.p.A. (“Marbles”) is a company indirectly controlled by the Asterion Industrial Infra Fund II, FCR (“Fund II”), and the Asterion Industrial Infra Fund I, FCR (“Fund I”), both Spanish private equity funds managed by Asterion Industrial Partners SGEIC S.A. (“Asterion”).</w:t>
      </w:r>
    </w:p>
    <w:p>
      <w:r>
        <w:t>Asterion is an independent investment management company whose activities focus on infrastructure in the telecommunications, energy, public services, and mobility sectors.</w:t>
      </w:r>
    </w:p>
    <w:p>
      <w:r>
        <w:t>In 2021, Asterion generated, through all its subsidiaries (including those acquired in 2022), a revenue of [2-3]* billion euros worldwide, of which [2-3] in the European Union and [1-2] in Italy.</w:t>
      </w:r>
    </w:p>
    <w:p>
      <w:r>
        <w:t>The corporate purpose of Marbles consists of the acquisition, management, and disposal of securities and interests in other companies, as well as technical, administrative, and financial coordination, the granting of financing, and the issuance of guarantees in favor of the entities in which it holds direct or indirect interests. In particular, Marbles owns 100% of the share capital of Retelit S.p.A. (“Retelit”), an Italian operator of digital solutions, particularly data centers and cloud computing, and telecommunications infrastructure. Retelit controls Retelit Digital Services S.p.A., P.A. A.B.S. S.r.l., P.A. Expertise S.r.l., Brennercom S.p.A., Brennercom Tyrol, Brennercom DE, and Welol Next S.r.l.</w:t>
      </w:r>
    </w:p>
    <w:p>
      <w:r>
        <w:t>Irideos S.p.A. (“Irideos”) is an Italian company operating in the ICT (Information and Communication Technology) sector, particularly in the provision of data center and cloud computing services, and in the telecommunications sector. Irideos controls Irideos Datacenter Italia S.r.l. and B.C.C. S.r.l.</w:t>
      </w:r>
    </w:p>
    <w:p>
      <w:r>
        <w:t>Irideos is controlled by F2i Secondo Fondo Italiano per le Infrastrutture (the “Fondo F2i”) managed by F2i SGR S.p.A. (“F2i”), which holds 78.41% of the share capital.</w:t>
      </w:r>
    </w:p>
    <w:p>
      <w:r>
        <w:t>In 2021, Irideos generated, also through its subsidiaries, a revenue of 179 million euros worldwide, of which [100-517] million euros in the European Union and [100-517] in Italy.</w:t>
      </w:r>
    </w:p>
    <w:p>
      <w:r>
        <w:t>DESCRIPTION OF THE TRANSACTION</w:t>
      </w:r>
    </w:p>
    <w:p>
      <w:r>
        <w:t>The transaction concerns the acquisition by Marbles of the 78.41% stake held by Fund F2i in the share capital of Irideos. Marbles will thus hold a stable majority of the votes in the shareholders' meeting of Irideos, thereby exercising exclusive control over it.</w:t>
      </w:r>
    </w:p>
    <w:p>
      <w:r>
        <w:t>The parties have agreed on an employee non-solicitation clause according to which [omitted].</w:t>
      </w:r>
    </w:p>
    <w:p>
      <w:r>
        <w:t>QUALIFICATION OF THE TRANSACTION</w:t>
      </w:r>
    </w:p>
    <w:p>
      <w:r>
        <w:t>The notified transaction constitutes a concentration pursuant to Article 5, paragraph 1, letter b), of Law No. 287/90, as it involves the acquisition of control of an undertaking.</w:t>
      </w:r>
    </w:p>
    <w:p>
      <w:r>
        <w:t>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undertakings involved exceeded 517 million euros and the total revenue generated, in the last financial year at the national level, by at least two of the undertakings involved exceeded 31 million euros.</w:t>
      </w:r>
    </w:p>
    <w:p>
      <w:r>
        <w:t>The employee non-solicitation clause described above can be considered ancillary to the transaction in question as its scope and duration fall within the limits necessary to preserve the value of the entity subject to the transaction in terms of goodwill1.</w:t>
      </w:r>
    </w:p>
    <w:p>
      <w:r>
        <w:t>1 See the "Communication from the Commission on restrictions directly related and necessary to concentrations (2005/C 56/03)."</w:t>
      </w:r>
    </w:p>
    <w:p>
      <w:r>
        <w:t>BULLETIN NO. 44 OF DECEMBER 12, 2022 11</w:t>
      </w:r>
    </w:p>
    <w:p>
      <w:r>
        <w:t>EVALUATION OF THE TRANSACTION</w:t>
      </w:r>
    </w:p>
    <w:p>
      <w:r>
        <w:t>Relevant markets</w:t>
      </w:r>
    </w:p>
    <w:p>
      <w:r>
        <w:t>Premise</w:t>
      </w:r>
    </w:p>
    <w:p>
      <w:r>
        <w:t>Considering the overlap of activities between Asterion2 and Irideos, this transaction concerns certain markets for ICT (Information Communication Technology) services, particularly with reference to data center and cloud computing services and IT (Information Technology) consulting services, and certain telecommunications markets, particularly with reference to wholesale fixed network access services and retail fixed network services, as illustrated in the following paragraphs.</w:t>
      </w:r>
    </w:p>
    <w:p>
      <w:r>
        <w:t>ICT (Information Communication Technology) services encompass a wide range of economic activities, characterized by a significant process of technological evolution, due to which the cost structure, barriers to entry, and preferences of consumers and clients tend to change relatively frequently. In this case, the evolutionary nature of the markets in question is highlighted with reference to the market for data center and cloud computing services.</w:t>
      </w:r>
    </w:p>
    <w:p>
      <w:r>
        <w:t>As for telecommunications services, Marbles proposes a more segmented articulation of the markets compared to the distinction between wholesale access services and retail services. As will be seen below, the proposed segmentation does not entail a different assessment of the effects of the concentration operation.</w:t>
      </w:r>
    </w:p>
    <w:p>
      <w:r>
        <w:t>ICT services markets</w:t>
      </w:r>
    </w:p>
    <w:p>
      <w:r>
        <w:t>Market for data center and cloud computing services</w:t>
      </w:r>
    </w:p>
    <w:p>
      <w:r>
        <w:t>With reference to data center (co-location/housing) and cloud computing services, in its previous decisions3 the Authority has deemed it appropriate to leave the definition of the market open from a product perspective. In particular, the question of whether it is possible to distinguish a narrower product market related to co-location/housing services provided by data centers, as opposed to cloud computing services, has been left open.</w:t>
      </w:r>
    </w:p>
    <w:p>
      <w:r>
        <w:t>Marbles has highlighted that co-location/housing services and cloud computing services utilize the same infrastructure, namely data centers.</w:t>
      </w:r>
    </w:p>
    <w:p>
      <w:r>
        <w:t>The information collected from market operators has, on the other hand, highlighted that4:</w:t>
      </w:r>
    </w:p>
    <w:p>
      <w:r>
        <w:t>2 In Italy, Asterion operates in the relevant markets exclusively through Retelit.</w:t>
      </w:r>
    </w:p>
    <w:p>
      <w:r>
        <w:t>3 See C12184 – IRIDEOS/CLOUDITALIA TELECOMUNICAZIONI and C12106 – F2I SGR/INFRACOM ITALIA.</w:t>
      </w:r>
    </w:p>
    <w:p>
      <w:r>
        <w:t>4 Information has been collected from various market operators including: (i) operators specialized in providing interconnection services to Internet Service Providers and/or telecommunications operators and connectivity services ([Omitted], [Omitted], [Omitted], [Omitted], [Omitted], [Omitted]), (ii) telecommunications operators that also offer data center and cloud computing services ([Omitted], [Omitted], [Omitted], [Omitted]), (iii) an operator specialized in providing data center services ([Omitted]), (iv) operators that own their own data centers and offer both data center and cloud computing services ([Omitted], [Omitted], [Omitted]), (v) operators that do not own their own data centers and offer both data center and cloud computing services ([Omitted], [Omitted]), (vi) an in-house company ([Omitted]) and (vii) so-called hyperscaler operators, i.e., (international) operators that offer fully scalable cloud solutions ([Omitted], [Omitted], [Omitted], [Omitted] and [Omitted]).</w:t>
      </w:r>
    </w:p>
    <w:p>
      <w:r>
        <w:rPr>
          <w:b/>
        </w:rPr>
        <w:t>[Pages 10–12]</w:t>
      </w:r>
    </w:p>
    <w:p>
      <w:r>
        <w:t>12 BULLETIN NO. 44 OF DECEMBER 12, 2022</w:t>
        <w:br/>
        <w:t>- the availability and/or accessibility of spaces within data centers constitutes only one of the assets necessary to provide cloud computing services5, with the availability/accessibility of hardware resources, software resources, and network connectivity6 also being necessary for this purpose;</w:t>
        <w:br/>
        <w:t>- only in some cases do market operators offer both data center services and cloud computing services, while operators specialized in one or the other category of services are common7.</w:t>
        <w:br/>
        <w:t>In the case at hand, similarly to what has been noted by the Authority in its previous decisions, the exact definition of the product market can be left open. Indeed, the operation under examination does not appear capable of raising concerns from the perspective of competition, regardless of the possibility of identifying distinct markets for data center services and cloud computing services.</w:t>
        <w:br/>
        <w:t>From a geographical perspective, in the Authority's previous decisions, it has been considered that data center and cloud computing services exhibit certain economic characteristics that suggest a local definition of the relevant market corresponding to an area around the metropolitan area where the data processing centers are located8. Therefore, the geographical dimension of the market for data center and cloud computing services has been defined as the area within a radius of 50 kilometers from the center of the urban area where the data processing centers are located9.</w:t>
        <w:br/>
        <w:t>Regarding the proposal for a local geographical dimension corresponding to the area within a radius of 50 kilometers from the center of the urban area where the data processing centers are located, Marbles notes that10:</w:t>
        <w:br/>
        <w:t>- in the current reality, users located in a given geographical area (for example, Verona or Trento) can be served by data centers located in other geographical areas (for example, Milan or Bergamo);</w:t>
        <w:br/>
        <w:t>5 From the documentation attached to Marbles' supplementary communication of September 23, 2022, it emerges that [assessment of the factors determining the demand for co-location/housing services] (see, in particular, Annex 7.1 [Title and time reference] and Annex 7.2.2 [Title and time reference].</w:t>
        <w:br/>
        <w:t>6 See, in particular, the response of [Omissis]; the necessity of additional assets beyond space in data centers, in order to provide cloud computing services, emerges clearly from the overall responses provided by market operators.</w:t>
        <w:br/>
        <w:t>7 The presence of operators specialized in one or the other category of services also emerges from the documentation attached to Marbles' supplementary communication of September 23, 2022, and, in particular, from Annex 8 [Title and time reference] (page 30) and Annex 10 [Title and time reference] (page 22).</w:t>
        <w:br/>
        <w:t>8 From a market study conducted in 2012 by the European Commission in the context of the assessment procedure for the concentration operation M.6166 – Deutsche Börse/NYSE Euronext, it was found that end customers typically procure ICT services within a territory not exceeding a radius of 50 kilometers from the center of the relevant urban area. The proximity of the user company to the hosting data processing site was a factor in the decision to procure data center services. ICT customers require a level of signal latency that does not exceed certain thresholds and the ability to reach the data processing center in a short time, in order to carry out on-site activities on the hosted computing equipment. ICT operators prefer to locate data processing facilities near large urban areas to take advantage of agglomeration economies and minimize interconnection costs with other data processing centers.</w:t>
        <w:br/>
        <w:t>9 In this case, considering the overlap of activities between Retelit and Irideos regarding the location of their respective data centers, the relevant geographical areas would be those within a radius of 50 kilometers from Rome, Milan/Bergamo, Verona, and Trento. In this regard, it has been highlighted that Milan and Bergamo are located at a distance, in a straight line, of less than 50 kilometers.</w:t>
        <w:br/>
        <w:t>10 See communication of the concentration operation of August 5, 2022, and supplementary communication of Marbles of September 23, 2022.</w:t>
      </w:r>
    </w:p>
    <w:p>
      <w:r>
        <w:t>BULLETIN NO. 44 OF DECEMBER 12, 2022 13</w:t>
        <w:br/>
        <w:t>- some services, particularly those of cloud computing, can inherently be provided from and to any location.</w:t>
        <w:br/>
        <w:t>The first point highlighted by Marbles has been explicitly confirmed by a market operator who actually indicated, as a competing data center to its own located in the areas of Milan/Bergamo and [Omissis], a data center located in the area of Trento (see response of [Omissis]).</w:t>
        <w:br/>
        <w:t>In analogy with Marbles' observations on the overcoming of the geographical market definition based on local areas related to the location of data centers, information gathered from market operators indicates that:</w:t>
        <w:br/>
        <w:t>- market operators offer their services at a national level but the location of data centers is generally concentrated in a few locations; in particular, data centers are concentrated in the area of Milan and the surrounding provinces and, to a lesser extent, in Rome11;</w:t>
        <w:br/>
        <w:t>- users of co-location/housing and cloud computing services can be located at significant distances (typically on the order of several hundred kilometers, and in any case exceeding 100 kilometers, and in some cases significantly exceeding 1000 kilometers) from the reference data center12;</w:t>
        <w:br/>
        <w:t>- factors influencing the choice of co-location/housing service providers prioritize the distance of data centers from customer locations (for example, international customers13 and disaster recovery solutions14) or render such distance irrelevant (for example, in the case of customers who have adequate connectivity to use the infrastructures as if they were nearby)15;</w:t>
        <w:br/>
        <w:t>- cloud computing services are inherently detached from a territorial logic.</w:t>
        <w:br/>
        <w:t>11 They use data centers located in the area of Milan and the surrounding provinces and in the area of Rome of [Omissis], [Omissis], [Omissis], [Omissis], [Omissis], [Omissis], and [Omissis].</w:t>
        <w:br/>
        <w:t>[Omissis] also uses a data center located at [Omissis], [Omissis] also uses a data center located at [Omissis], and [Omissis] also uses a data center located at [Omissis].</w:t>
        <w:br/>
        <w:t>[Omissis] uses data centers located in the area of Rome.</w:t>
        <w:br/>
        <w:t>[Omissis] and [Omissis], in addition to [Omissis] and [Omissis], use a network of data centers that spans more than three sites.</w:t>
        <w:br/>
        <w:t>This characteristic seems attributable to the activities of connectivity providers as suggested by the fact that [Omissis], which describes itself as a connectivity service provider and - in this context - co-location services, presents an even finer articulation than that of [Omissis]. In any case, the four operators in question also use data centers located in the area of Milan and the surrounding provinces and in the area of Rome.</w:t>
        <w:br/>
        <w:t>12 [Omissis] indicates average distances from 167 to 492 kilometers and maximum distances from 579 to 1344 kilometers, [Omissis] indicates a maximum distance of 600 kilometers, [Omissis] indicates average distances from 120 to 272 kilometers and maximum distances from 120 to 1444 kilometers, [Omissis] indicates an average distance of about 125/130 kilometers and a maximum distance of 500 kilometers.</w:t>
        <w:br/>
        <w:t>[Omissis] specifies that the primary data center must be located in Italian territory and that the distance must not exceed the technological limit to ensure a good user experience for customers, indicating 1000 kilometers as the limit distance.</w:t>
        <w:br/>
        <w:t>[Omissis], which uses a data center located in the area of Milan and the surrounding provinces, states that its customers are mostly located in central and northern Italy.</w:t>
        <w:br/>
        <w:t>13 See responses from [Omissis], [Omissis], and [Omissis].</w:t>
        <w:br/>
        <w:t>14 See responses from [Omissis], [Omissis], which highlights that the disaster recovery or secondary data center must be located at a distance greater than 100 from the primary data center, and [Omissis], according to which the disaster recovery data center must be located at a distance greater than 300 kilometers from the customer's local unit.</w:t>
        <w:br/>
        <w:t>15 See response from [Omissis].</w:t>
      </w:r>
    </w:p>
    <w:p>
      <w:r>
        <w:t>14 BULLETIN NO. 44 OF DECEMBER 12, 2022</w:t>
        <w:br/>
        <w:t>The characteristic of cloud computing services being detached from a territorial logic reinforces the thesis of the irrelevance of proximity between data centers and user locations. In fact, the demand for co-location/data center services coming from cloud computing operators constitutes the most [omissis] component of the overall demand for co-location/data center services.</w:t>
        <w:br/>
        <w:t>Moreover, the technological evolution of connectivity solutions is moving towards an expansion of the geographical dimension of the data center services market16. In fact, the ability to connect data centers with other data centers and/or with customer locations via fast networks increases the transmission speed between the nodes of the technological platform of service providers and between user locations and the reference data centers.</w:t>
        <w:br/>
        <w:t>In light of the evidence presented, it is believed that the geographical dimension of the relevant market can be identified at least in the macro-areas of North and Central-South, taking into account, in particular, the concentration of data centers in the areas of Milan and the surrounding provinces and Rome17. In any case, the exact geographical definition of the market can be left open as the operation under examination does not appear capable of raising competitive concerns.</w:t>
        <w:br/>
        <w:t>IT Services Market</w:t>
        <w:br/>
        <w:t>According to the established position of the Authority and the European Commission, the IT services market can be segmented based on the functionalities of the software and the sectors of activity in which the customers operate18. In particular, with reference to the functionalities of the software, the following segmentation has been hypothesized: (i) IT management, (ii) business management, (iii) software development and integration, (iv) consulting, (v) software maintenance, (vi) hardware maintenance, and (vii) training and education. The operation under examination concerns only the consulting segment.</w:t>
        <w:br/>
        <w:t>With regard to the geographical definition of the market, in its previous decisions, the Authority has noted the homogeneity of competitive conditions across the national territory and the absence of significant imports of IT services, which suggests a national market dimension. Conversely, the Authority, in line with what has been highlighted by the European Commission, has noted a trend towards the internationalization of demand and supply (services offered on a supranational basis, homogeneity of the nature and quality of services across different countries, high mobility of workers, use of the English language).</w:t>
        <w:br/>
        <w:t>In the case at hand, the exact definition of the market can be left open. Indeed, the operation does not appear capable of raising concerns from the perspective of competition.</w:t>
        <w:br/>
        <w:t>16 [Omissis] explains that the IT infrastructures of customers installed at the data center “are served by numerous fiber optic routes coming from different geographical directions.”</w:t>
        <w:br/>
        <w:t>17 An operator, [Omissis], states that one can at most imagine a division of customers by macro-areas (Northern Italy and Central-South).</w:t>
        <w:br/>
        <w:t>18 See, among others, C12317 – ITALIAN INVESTMENT FUND SGR – ELETTRA ONE/ MATICMIND.</w:t>
      </w:r>
    </w:p>
    <w:p>
      <w:r>
        <w:rPr>
          <w:b/>
        </w:rPr>
        <w:t>[Pages 13–15]</w:t>
      </w:r>
    </w:p>
    <w:p>
      <w:r>
        <w:t>BULLETIN NO. 44 OF DECEMBER 12, 2022 15</w:t>
      </w:r>
    </w:p>
    <w:p>
      <w:r>
        <w:t>Telecommunications markets</w:t>
      </w:r>
    </w:p>
    <w:p>
      <w:r>
        <w:t>As for the telecommunications markets, the Authority has identified in its previous decisions two relevant markets: (I) the wholesale access market to the fixed network and (II) the retail telecommunications services market on the fixed network19.</w:t>
      </w:r>
    </w:p>
    <w:p>
      <w:r>
        <w:t>The wholesale access market to the fixed network (broadband and ultra-broadband) includes, from a commodity perspective, the services that allow telecommunications operators to provide services to end customers through access to the local fixed network with broadband and ultra-broadband. The geographical dimension is national.</w:t>
      </w:r>
    </w:p>
    <w:p>
      <w:r>
        <w:t>The retail telecommunications services market on the fixed network (broadband and ultra-broadband) is defined, from a product perspective, as the set of voice and data services on the fixed network with broadband and ultra-broadband intended for end users. Retail telecommunications services on the fixed network have been divided between business customers (non-residential) and residential and SOHO (small office home office) customers20, and the market for telecommunications services on the fixed network for customers represented by public administration has also been distinguished21. The geographical dimension is national.</w:t>
      </w:r>
    </w:p>
    <w:p>
      <w:r>
        <w:t>In the case at hand, considering the overlap of activities between Retelit and Irideos, it is also possible to consider a more detailed breakdown of the telecommunications markets, particularly referring to the markets related to (i) data transmission services, (ii) wholesale leased line supply services, (iii) backhauling services, (iv) fixed network internet access services, (v) wholesale internet connectivity services.</w:t>
      </w:r>
    </w:p>
    <w:p>
      <w:r>
        <w:t>Data transmission services are non-voice telecommunications services aimed at businesses, based on the use of various transmission modes. The demand for such services is connected to the need for companies to connect their headquarters to peripheral locations and to manage communications with external parties electronically22. The geographical dimension of the market is national23.</w:t>
      </w:r>
    </w:p>
    <w:p>
      <w:r>
        <w:t>Data transmission services could fall within the broader set of retail telecommunications services on the fixed network (broadband and ultra-broadband).</w:t>
      </w:r>
    </w:p>
    <w:p>
      <w:r>
        <w:t>Wholesale leased line supply services are telecommunications infrastructures that provide transparent transmission capacity between terminal points of the same network and do not include switching on demand, essentially allowing direct and dedicated connections between terminal points of the network. The services in question constitute components of a telecommunications network and, therefore, represent an intermediate good for operators for the provision of telecommunications services to end users24. The geographical dimension of the market is national.</w:t>
      </w:r>
    </w:p>
    <w:p>
      <w:r>
        <w:t>19 See, among others, C12184 – IRIDEOS/CLOUDITALIA TELECOMUNICAZIONI and C12106 – F2I SGR/INFRACOM ITALIA. Also see, I850 – ACCORDI FIBERCOP and A514 – CONDOTTE FIBRA TELECOM ITALIA.</w:t>
      </w:r>
    </w:p>
    <w:p>
      <w:r>
        <w:t>20 See C12184 – IRIDEOS/CLOUDITALIA TELECOMUNICAZIONI and C11120 – BT ITALIA/BT ENIA TELECOMUNICAZIONI.</w:t>
      </w:r>
    </w:p>
    <w:p>
      <w:r>
        <w:t>21 See C12354 – TELECOM ITALIA/RAMI DI AZIENDA BT ITALIA.</w:t>
      </w:r>
    </w:p>
    <w:p>
      <w:r>
        <w:t>22 See C11120 – BT ITALIA/BT ENIA TELECOMUNICAZIONI.</w:t>
      </w:r>
    </w:p>
    <w:p>
      <w:r>
        <w:t>23 See M.8131 – TELE2 SVERIGE / TDC SVERIGE.</w:t>
      </w:r>
    </w:p>
    <w:p>
      <w:r>
        <w:t>24 See A351 – ABUSIVE BEHAVIOR OF TELECOM ITALIA.</w:t>
      </w:r>
    </w:p>
    <w:p>
      <w:r>
        <w:t>16 BULLETIN NO. 44 OF DECEMBER 12, 2022</w:t>
      </w:r>
    </w:p>
    <w:p>
      <w:r>
        <w:t>Wholesale leased line supply services are upstream of the retail telecommunications services market on the fixed network (broadband and ultra-broadband) in a complementary function to wholesale access services to the fixed network (broadband and ultra-broadband).</w:t>
      </w:r>
    </w:p>
    <w:p>
      <w:r>
        <w:t>Backhauling services consist of the connection between network infrastructures. Backhaul networks can be composed of wireless or fixed backhaul. Fixed backhaul services can be provided over fiber optic cables or copper cables25. The geographical dimension of the market is national.</w:t>
      </w:r>
    </w:p>
    <w:p>
      <w:r>
        <w:t>Backhauling services could fall within the broader set of wholesale access services to the fixed network (broadband and ultra-broadband) or be assimilated to transit services (which would be downstream of the aforementioned wholesale access services).</w:t>
      </w:r>
    </w:p>
    <w:p>
      <w:r>
        <w:t>Fixed network internet access services allow end users to receive data with a relatively high capacity, regardless of the transmission medium used26. The geographical dimension of the market is national.</w:t>
      </w:r>
    </w:p>
    <w:p>
      <w:r>
        <w:t>Fixed network internet access services could fall within the broader market of retail telecommunications services on the fixed network (broadband and ultra-broadband).</w:t>
      </w:r>
    </w:p>
    <w:p>
      <w:r>
        <w:t>Wholesale internet connectivity services respond to the need of international connectivity service providers to connect with other operators to enable their end customers to exchange data with other users outside their local network27. The market dimension is global.</w:t>
      </w:r>
    </w:p>
    <w:p>
      <w:r>
        <w:t>Wholesale internet connectivity services are provided upstream of the retail telecommunications services market on the fixed network (broadband and ultra-broadband) with a complementary function to wholesale access services to the fixed network (broadband and ultra-broadband).</w:t>
      </w:r>
    </w:p>
    <w:p>
      <w:r>
        <w:t>In conclusion, in the case at hand, the telecommunications service markets can be referred both to the basic distinction between wholesale access services and retail services (sub I and II) and to the more detailed breakdown of services (sub i, ii, iii, iv, and v) that presents a segmentation and/or completion perspective with respect to the basic distinction28. In any case, in the present case, the exact definition of the relevant product markets can be left open as the transaction does not appear likely to raise concerns from a competition perspective.</w:t>
      </w:r>
    </w:p>
    <w:p>
      <w:r>
        <w:t>The effects of the transaction</w:t>
      </w:r>
    </w:p>
    <w:p>
      <w:r>
        <w:t>ICT services markets</w:t>
      </w:r>
    </w:p>
    <w:p>
      <w:r>
        <w:t>Data center and cloud computing services market</w:t>
      </w:r>
    </w:p>
    <w:p>
      <w:r>
        <w:t>At the national level, in the data center and cloud computing services market, following the completion of the concentration transaction, Asterion will hold a market share of [1-5%]29. Considering separately the co-location/housing services and cloud computing services, Asterion will have market shares of [5-10%] and [less than 1%], respectively.</w:t>
      </w:r>
    </w:p>
    <w:p>
      <w:r>
        <w:t>25 See M.9674 – VODAFONE ITALIA/TIM/INWIT JV.</w:t>
      </w:r>
    </w:p>
    <w:p>
      <w:r>
        <w:t>26 See C11371 – SWISSCOM ITALIA/METROWEB.</w:t>
      </w:r>
    </w:p>
    <w:p>
      <w:r>
        <w:t>27 See M.7109 – DEUTSCHE TELEKOM/GTS, § 19).</w:t>
      </w:r>
    </w:p>
    <w:p>
      <w:r>
        <w:t>28 See Marbles' response of September 23, 2022.</w:t>
      </w:r>
    </w:p>
    <w:p>
      <w:r>
        <w:t>29 Market shares have been estimated based on the revenues generated in 2021 by Retelit and Irideos and estimates of the overall market size and the co-location/housing and cloud computing segments in 2021.</w:t>
      </w:r>
    </w:p>
    <w:p>
      <w:r>
        <w:t>BULLETIN NO. 44 OF DECEMBER 12, 2022 17</w:t>
      </w:r>
    </w:p>
    <w:p>
      <w:r>
        <w:t>Based on the available information on the data center areas, it can be estimated that, in the macro areas North and Central-South, following the completion of the concentration transaction, Asterion will hold shares of [15-20%] and [1-5%], respectively. These values overestimate Asterion's market position as they take into account all data centers of Retelit and Irideos but only a portion of the data centers of competitors30. Asterion's market position in the macro area North is also overestimated due to the fact that there are data centers located in Central Italy that can well serve customers located in the North31.</w:t>
      </w:r>
    </w:p>
    <w:p>
      <w:r>
        <w:t>The market position that Asterion will hold can be further appreciated with reference to the local areas of Milan/Bergamo and Rome, where there is an overlap of activities between Retelit and Irideos and which approximately correspond to the areas where data centers are concentrated in Italy. In the aforementioned local areas, Asterion's share, following the completion of the concentration transaction, will be [15-20%] and [1-5%], respectively.</w:t>
      </w:r>
    </w:p>
    <w:p>
      <w:r>
        <w:t>The market operates with numerous competitors such as Aruba, Data4, CDLAN, Stack EMEA, TIM, Fastweb, Wind Tre, and BT Italia. Additionally, operators such as Amazon Web Services, Google, Microsoft, IBM, and Oracle (the so-called hyperscalers) provide fully scalable cloud solutions.</w:t>
      </w:r>
    </w:p>
    <w:p>
      <w:r>
        <w:t>Investments in data centers in Italy are in a phase of expansion32, and important operators such as Aruba and Stack EMEA have announced significant expansion plans33. Furthermore, the main providers of cloud solutions (the so-called hyperscalers) have established technological facilities in Italy and announce investment plans34.</w:t>
      </w:r>
    </w:p>
    <w:p>
      <w:r>
        <w:t>IT services market</w:t>
      </w:r>
    </w:p>
    <w:p>
      <w:r>
        <w:t>In the IT services market, Asterion and Irideos each hold a market share of less than 1%. At the European level, Asterion holds a share of less than 1% while Irideos operates only in Italy.</w:t>
      </w:r>
    </w:p>
    <w:p>
      <w:r>
        <w:t>Telecommunications markets</w:t>
      </w:r>
    </w:p>
    <w:p>
      <w:r>
        <w:t>As for the telecommunications markets, the joint market share of Asterion and Irideos will be less than 1% both with regard to wholesale access services to the fixed network and with regard to retail telecommunications services on the fixed network35.</w:t>
      </w:r>
    </w:p>
    <w:p>
      <w:r>
        <w:t>Regarding wholesale access services to the fixed network, the operator that provides the majority of access services is TIM. It held, in 2018, a share of over 90% in relation to</w:t>
      </w:r>
    </w:p>
    <w:p>
      <w:r>
        <w:t>30 For Retelit and Irideos, the data contained in attachments 11.1 and 11.2 to the supplementary communication of September 23, 2022, have been considered. For competitors, the data contained in the Form of August 5, 2022, and the data provided by only one competitor ([Omissis]) have been considered.</w:t>
      </w:r>
    </w:p>
    <w:p>
      <w:r>
        <w:t>31 For example, [Omissis] and [Omissis] own data centers located in Tuscany.</w:t>
      </w:r>
    </w:p>
    <w:p>
      <w:r>
        <w:t>32 See "Italy Data Center Market – Investment Analysis &amp; Growth Opportunities 2021-2026" by Research and Markets and "Italy Data Center Report – Spring 2022" by Cushman &amp; Wakefield.</w:t>
      </w:r>
    </w:p>
    <w:p>
      <w:r>
        <w:t>33 See the press release from Stack EMEA "STACK Infrastructure Continues Milan Expansion" of July 27, 2022, and the presentation of the data center "Global Cloud Data Center (IT3)" by Aruba (on the company's website).</w:t>
      </w:r>
    </w:p>
    <w:p>
      <w:r>
        <w:t>34 For example, they have presented their respective investment plans Amazon Web Services (see document "AWS Economic Impact Study – Italy") and Microsoft (see news "Microsoft launches 'Ambizione Italia Cloud Region Partner Alliance', the partner ecosystem to accelerate the country's digital transformation" of March 29, 2022).</w:t>
      </w:r>
    </w:p>
    <w:p>
      <w:r>
        <w:t>35 See Marbles' communication of October 3, 2022.</w:t>
      </w:r>
    </w:p>
    <w:p>
      <w:r>
        <w:rPr>
          <w:b/>
        </w:rPr>
        <w:t>[Pages 16–18]</w:t>
      </w:r>
    </w:p>
    <w:p>
      <w:r>
        <w:t>18 BULLETIN NO. 44 OF DECEMBER 12, 2022</w:t>
        <w:br/>
        <w:t>local access (the remaining share was attributed to other operators, such as Open Fiber and Fastweb) and a share of approximately 50% in relation to central access (Fastweb and Tiscali held, respectively, 11% and 2%)36.</w:t>
        <w:br/>
        <w:t>With regard to retail services on fixed networks, TIM is the only vertically integrated operator possessing an access network covering the entire national geographic market, in addition to being the main market operator with a share exceeding 40%37. Specifically concerning retail telecommunications services aimed at business customers, which represent the operational scope of both Asterion (through Retelit) and Irideos, the main market operators are TIM38, Fastweb, Vodafone, and Wind Tre; these collectively cover over 90% of the demand from private business customers and over 95% of the demand from the Public Administration39.</w:t>
        <w:br/>
        <w:t>Also with reference to the definitions of the markets as presented in the notification, the market shares of Asterion and Irideos are of modest significance:</w:t>
        <w:br/>
        <w:t>- at the national level, regarding data transmission services, Asterion and Irideos both hold a market share of less than 1%;</w:t>
        <w:br/>
        <w:t>- at the national level, regarding data transmission services, Asterion and Irideos hold market shares of less than 2% and 1%, respectively;</w:t>
        <w:br/>
        <w:t>- at the national level, regarding backhauling services, Asterion and Irideos hold market shares of less than 3% and 1%, respectively;</w:t>
        <w:br/>
        <w:t>- at the national level, regarding fixed network Internet access services, Asterion and Irideos both hold a market share of less than 1%;</w:t>
        <w:br/>
        <w:t>- globally, regarding wholesale Internet connectivity services, Asterion and Irideos both hold a market share of less than 1%40.</w:t>
        <w:br/>
        <w:t>Conclusions</w:t>
        <w:br/>
        <w:t>Following the implementation of the concentration operation, due to the overlap of activities between Retelit and Irideos, Asterion will hold market shares that are not sufficient to confer it a dominant position or to exert significant influence on market structures.</w:t>
        <w:br/>
        <w:t>The competitive conditions of the relevant markets suggest that it is unlikely that the transaction in question could facilitate and/or make more probable coordination effects. In particular, the ICT services markets are characterized by the presence of numerous and significant competitors and are undergoing an expansion phase, while the telecommunications markets see the presence of a clearly and significantly relevant competing operator.</w:t>
        <w:br/>
        <w:t>In light of all this, it is believed that the concentration operation is not likely to create a significant obstacle to effective competition in the relevant markets.</w:t>
        <w:br/>
        <w:t>36 See I850 – FIBERCOP AGREEMENTS.</w:t>
        <w:br/>
        <w:t>37 See I850 – FIBERCOP AGREEMENTS.</w:t>
        <w:br/>
        <w:t>38 TIM has acquired the business unit of BT Italia related to business customers.</w:t>
        <w:br/>
        <w:t>39 See C12354 – TELECOM ITALIA/BT ITALIA BUSINESS UNITS.</w:t>
        <w:br/>
        <w:t>40 [Omitted]</w:t>
      </w:r>
    </w:p>
    <w:p>
      <w:r>
        <w:t>BULLETIN NO. 44 OF DECEMBER 12, 2022 19</w:t>
        <w:br/>
        <w:t>THE OPINION OF THE AUTHORITY FOR GUARANTEES IN COMMUNICATIONS</w:t>
        <w:br/>
        <w:t>On October 18, 2022, an opinion was requested from the Authority for Guarantees in Communications (hereinafter "AGCOM"), pursuant to Article 1, paragraph 6, letter c), no. 11, of Law No. 249 of July 31, 1997, establishing "The Authority for Guarantees in Communications and regulations on telecommunications and broadcasting systems," regarding the concentration operation in question.</w:t>
        <w:br/>
        <w:t>On November 17, 2022, AGCOM's opinion was received. After reviewing the main points of the draft provision related to the transaction in question and recalling its own decisions regarding the definition of retail and wholesale markets in telecommunications41, AGCOM deemed it appropriate to share the considerations expressed in the aforementioned draft provision, particularly regarding the definition of relevant markets and the effects of the concentration operation. AGCOM therefore expressed a favorable opinion.</w:t>
        <w:br/>
        <w:t>CONSIDERING, therefore, that the transaction in question does not significantly impede effective competition in the affected markets, pursuant to Article 6, paragraph 1, of Law No. 287/90, and does not result in the establishment or strengthening of a dominant position;</w:t>
        <w:br/>
        <w:t>ALSO CONSIDERING that the prohibition on employee poaching between the parties is ancillary to this operation only to the extent described above and that the Authority reserves the right to evaluate, where the conditions exist, the aforementioned agreement that occurs beyond the indicated limits;</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br/>
        <w:t>THE SECRETARY GENERAL THE PRESIDENT</w:t>
        <w:br/>
        <w:t>Guido Stazi Roberto Rustichelli</w:t>
        <w:br/>
        <w:t>41 Resolutions No. 348/19/CONS and No. 333/20/CONS.</w:t>
      </w:r>
    </w:p>
    <w:p>
      <w:r>
        <w:t>20 BULLETIN NO. 44 OF DECEMBER 12, 2022</w:t>
        <w:br/>
        <w:t>C12494 - BANCO DI DESIO E DELLA BRIANZA/TWO BUSINESS UNITS OF BPER BANK</w:t>
        <w:br/>
        <w:t>Provision No. 30383</w:t>
        <w:br/>
        <w:t>THE ANTITRUST AUTHORITY</w:t>
        <w:br/>
        <w:t>IN ITS MEETING of November 22, 2022;</w:t>
        <w:br/>
        <w:t>HEARD the Rapporteur, Professor Michele Ainis;</w:t>
        <w:br/>
        <w:t>HAVING REGARD TO Regulation (EC) No. 139/2004;</w:t>
        <w:br/>
        <w:t>HAVING REGARD TO Law No. 287 of October 10, 1990;</w:t>
        <w:br/>
        <w:t>HAVING REGARD TO Presidential Decree No. 217 of April 30, 1998;</w:t>
        <w:br/>
        <w:t>HAVING REGARD TO the communication from Banco di Desio e della Brianza S.p.A., received on September 28, 2022;</w:t>
        <w:br/>
        <w:t>HAVING REGARD TO the opinion of IVASS, received on October 31, 2022;</w:t>
        <w:br/>
        <w:t>HAVING REGARD TO the documentation on file;</w:t>
        <w:br/>
        <w:t>CONSIDERED the following:</w:t>
        <w:br/>
        <w:t>I. THE PARTIES</w:t>
        <w:br/>
        <w:t>1. Banco di Desio e della Brianza S.p.A. (hereinafter, "Banco Desio") is a company listed on the Milan Stock Exchange, at the head of the eponymous banking group primarily active in traditional banking, as well as in the distribution of insurance products (life and non-life), in asset management, in the market of administered savings, in consumer credit, and in payment services. Banco Desio primarily operates in Northern and Central Italy and is controlled by Brianza Unione di Luigi Gavazzi and Stefano Lado S.a.p.a. The revenue generated by Banco Desio in 2021, calculated pursuant to Article 16, paragraph 2, of Law No. 287/90, as amended by Article 32 of Law No. 118 of August 5, 2022, is approximately [100-517]* million euros, entirely generated in Italy.</w:t>
        <w:br/>
        <w:t xml:space="preserve">2. The acquisition concerns two business units consisting of 40 bank branches that the BPER group recently acquired from Banca Carige S.p.A. and 8 bank branches owned by Banco di Sardegna S.p.A., for a total of 48 branches (hereinafter, respectively, also "Carige Business Unit," "BdS Business Unit," or collectively "BPER Business Units"). In particular, each business unit consists of the set of contracts with customers, employment relationships, and lease agreements pertaining to each branch and each operational point and is primarily active in traditional banking (savings collection and credit granting), as well as in other sectors including asset management and administered savings, payment services, and the distribution of insurance products. The BdS Business Unit subject to acquisition is exclusively controlled by Banco di Sardegna S.p.A., which is in turn controlled by BPER Banca S.p.A. (hereinafter also "BPER"). The Carige Business Unit subject to acquisition is </w:t>
        <w:br/>
        <w:t>* In this version, some data are omitted, as there were deemed to be elements of confidentiality or secrecy of the information.</w:t>
      </w:r>
    </w:p>
    <w:p>
      <w:r>
        <w:rPr>
          <w:b/>
        </w:rPr>
        <w:t>[Pages 19–21]</w:t>
      </w:r>
    </w:p>
    <w:p>
      <w:r>
        <w:t>BULLETIN NO. 44 OF DECEMBER 12, 2022 21</w:t>
      </w:r>
    </w:p>
    <w:p>
      <w:r>
        <w:t>The branch of business subject to acquisition is controlled by BPER by virtue of its recent acquisition of a controlling stake of approximately 80% of the share capital of Banca Carige S.p.A.1. The revenue generated by the BPER branches has been estimated, in accordance with Article 16, paragraph 2, Law 287/90, as amended by Article 32 of Law No. 118 of August 5, 2022, to be approximately [31-100] million euros.</w:t>
      </w:r>
    </w:p>
    <w:p>
      <w:r>
        <w:t>II. DESCRIPTION OF THE TRANSACTION</w:t>
      </w:r>
    </w:p>
    <w:p>
      <w:r>
        <w:t>3. The transaction consists of the acquisition by Banco Desio of exclusive control over the BPER branches, as described above. This transaction, as previously mentioned, is part of the context of the acquisition of Banca Carige S.p.A. by BPER, authorized by the Authority with decision No. 30165 of May 31, 20222. An essential element of this transaction was the transfer by BPER to Banco Desio of the business branches consisting of 8 bank branches of Banco di Sardegna S.p.A. and 40 bank branches previously held by Banca Carige S.p.A., the acquisition of which is the subject of this provision.</w:t>
      </w:r>
    </w:p>
    <w:p>
      <w:r>
        <w:t>4. In particular, the scope of the acquisition includes, in detail, the following branches:</w:t>
        <w:br/>
        <w:t>- 13 branches in Sardinia, of which 5 are owned by Banco di Sardegna and are subject to the measures of the procedure C12231-BPER Banca/Unipol Banca;</w:t>
        <w:br/>
        <w:t>- 19 branches in Liguria (of which 6 in the province of Genoa, 6 in the province of La Spezia, 5 in the province of Savona, and 2 in the province of Imperia);</w:t>
        <w:br/>
        <w:t>- 4 branches in Tuscany, all in the province of Massa Carrara;</w:t>
        <w:br/>
        <w:t>- 7 branches in Emilia-Romagna (of which 2 in the province of Modena, 2 in the province of Bologna, 1 in the province of Piacenza, 1 in the province of Reggio Emilia, and 1 in the province of Rimini);</w:t>
        <w:br/>
        <w:t>- 5 branches in Lazio (of which 3 in the province of Rome, 1 in the province of Frosinone, and 1 in the province of Latina).</w:t>
      </w:r>
    </w:p>
    <w:p>
      <w:r>
        <w:t>5. The acquisition by Banco Desio of exclusive control over the BPER branches is conditionally suspended pending the authorization of the Authority, the Bank of Italy, the golden power authorization from the President of the Council of Ministers pursuant to Article 2 of the decree-law of March 15, 2012, No. 21, as well as the completion and exhaustion of the information and consultation procedure with trade unions pursuant to Article 47 of Law No. 428 of December 29, 1990.</w:t>
      </w:r>
    </w:p>
    <w:p>
      <w:r>
        <w:t>6. According to the statements made by the Parties, the transaction also includes a non-competition clause, whereby the seller commits, for a period of 24 months, not to engage, even through subsidiaries, in initiatives likely to divert the clientele of the business branches, not to directly approach individual clients of the business branches, and not to hire any employee currently working at the business branches subject to the transaction.</w:t>
      </w:r>
    </w:p>
    <w:p>
      <w:r>
        <w:t>1 See C12443-BPER Banca/Banca Carige in Bull. No. 21/2022.</w:t>
        <w:br/>
        <w:t>2 As per contractual agreements, following the closing of the acquisition of this stake, BPER has promoted a public offer for the remaining shares of Banca Carige S.p.A. and by December 31, 2022, the merger by incorporation of the latter into BPER will be completed (see Bper Banca press release https://www.gruppocarige.it/grpwps/wcm/connect/8a1a3de3-d5c6-4067-a176-d9bc837cb385/20220603_-_Comunicato_102_BPER_%28ITA%29+s.pdf?MOD=AJPERES&amp;CACHEID=ROOTWORKSPACE-8a1a3de3-d5c6-4067-a176-d9bc837cb385-o4UHB-A).</w:t>
      </w:r>
    </w:p>
    <w:p>
      <w:r>
        <w:t>22 BULLETIN NO. 44 OF DECEMBER 12, 2022</w:t>
      </w:r>
    </w:p>
    <w:p>
      <w:r>
        <w:t>III. QUALIFICATION OF THE TRANSACTION</w:t>
      </w:r>
    </w:p>
    <w:p>
      <w:r>
        <w:t>7. The notified transaction, as it involves the acquisition of exclusive control over a part of a business,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revenue, calculated pursuant to Article 16, paragraph 2, of Law No. 287/90 (as amended by Article 32 of Law No. 118 of August 5, 2022), generated in the last financial year at the national level by the group of companies involved was over 517 million euros, and the revenue generated individually, at the national level, by at least two of them is over 31 million euros.</w:t>
      </w:r>
    </w:p>
    <w:p>
      <w:r>
        <w:t>8. The non-competition agreement in favor of the acquirer can be considered an ancillary restriction to the transaction, as it does not exceed a duration of two years3.</w:t>
      </w:r>
    </w:p>
    <w:p>
      <w:r>
        <w:t>IV. THE OPINION OF IVASS</w:t>
      </w:r>
    </w:p>
    <w:p>
      <w:r>
        <w:t>9. In an opinion received on October 31, 2022, IVASS highlighted that, based on the available data, the transaction in question would not alter the competitive balance of the insurance distribution markets in the life and non-life sectors.</w:t>
      </w:r>
    </w:p>
    <w:p>
      <w:r>
        <w:t>V. EVALUATION OF THE TRANSACTION</w:t>
      </w:r>
    </w:p>
    <w:p>
      <w:r>
        <w:t>10. The transaction concerns multiple markets included in the traditional banking, asset management, administered savings, consumer credit, insurance, and payment instruments sectors.</w:t>
      </w:r>
    </w:p>
    <w:p>
      <w:r>
        <w:t>11. In the following paragraphs, the transaction will be analyzed in the relevant markets as defined based on the established practice of the Authority.</w:t>
      </w:r>
    </w:p>
    <w:p>
      <w:r>
        <w:t>1) TRADITIONAL BANKING ACTIVITY</w:t>
      </w:r>
    </w:p>
    <w:p>
      <w:r>
        <w:t>a) Banking collection market</w:t>
      </w:r>
    </w:p>
    <w:p>
      <w:r>
        <w:t>12. The banking collection market identifies the total direct banking collection from ordinary customers through free and fixed-term current accounts, savings deposits, savings bonds, as well as certificates of deposit. This definition of the collection market does not include postal collection4.</w:t>
      </w:r>
    </w:p>
    <w:p>
      <w:r>
        <w:t>13. Considering the low mobility on the demand side, the banking collection market has local territorial relevance which, as a rule, the Authority has deemed to correspond in the first approximation to provincial boundaries. Only where the preliminary screening conducted on a provincial basis makes it appropriate, an analysis is also carried out at the level of catchment areas5.</w:t>
      </w:r>
    </w:p>
    <w:p>
      <w:r>
        <w:t>14. Furthermore, it is noted that, according to the Authority's practice6, the market shares of collection and loans are calculated using data collected based on the "branch location" criterion, which appears to appropriately represent the ability of operators to exert their market power over demand; this is particularly true with respect to banking markets of a local dimension (markets for collection, loans to consumer households, and loans to producer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territory7.</w:t>
      </w:r>
    </w:p>
    <w:p>
      <w:r>
        <w:t>15. In this case, as a result of the overall transaction considered, no provincial market will reach a significant post-merger market share8.</w:t>
      </w:r>
    </w:p>
    <w:p>
      <w:r>
        <w:t>16. In particular, in the provinces of Sardinia, the transaction will have a pro-competitive significance, as Banco Desio, not being active in these geographical areas, will effectively constitute a new entrant, enriching the offer of banking services for consumers.</w:t>
      </w:r>
    </w:p>
    <w:p>
      <w:r>
        <w:t>17. In no other provincial market affected by the transaction, namely the provinces of Savona, Rome, Genoa, Imperia, Piacenza, Reggio Emilia, Modena, Bologna, and Latina, will the combined market share held by the Parties exceed 10%.</w:t>
      </w:r>
    </w:p>
    <w:p>
      <w:r>
        <w:t>18. Considering the above, the transaction does not produce restrictive effects on competition in the collection market.</w:t>
      </w:r>
    </w:p>
    <w:p>
      <w:r>
        <w:t>b) Loan markets</w:t>
      </w:r>
    </w:p>
    <w:p>
      <w:r>
        <w:t>19. Within the loan sector, short-term, medium-term, and long-term credit are included in various possible technical forms. From the demand perspective, loans can be distinguished based on the type of subjects in favor of which they are made, namely: (i) consumer households; (ii) producer households-small businesses; (iii) medium and large enterprises; and (iv) public entities. These different categories of subjects express different financing needs, for which banks offer diversified products/services, and for these reasons, constitute several relevant product markets.</w:t>
      </w:r>
    </w:p>
    <w:p>
      <w:r>
        <w:t>20. The different forms of expressed demand also seem to be characterized by differences in terms of mobility, and therefore of willingness to substitute the offer by seeking other loans in more or less broad geographical areas. In particular, the loan markets to households and small businesses present a local territorial dimension, which in the Authority's practice has been</w:t>
      </w:r>
    </w:p>
    <w:p>
      <w:r>
        <w:t>5 See C12287 – Intesa San Paolo/UBI Banca - Unione di Banche Italiane, in Bull. 29/2020; C12231 - BPER Banca/Unipol Banca, in Bull. 29/2019 and C12138 - Cassa Centrale Raiffeisen dell'Alto Adige/Gruppo Bancario Cooperativo delle Casse Raiffeisen in Bull. 22/2018.</w:t>
        <w:br/>
        <w:t>6 See, among others, procedure C12287 – Intesa San Paolo/UBI Banca - Unione di Banche Italiane, in Bull. 29/2020; C12231 - BPER Banca/Unipol Banca, in Bull. 29/2019; C12138 - Cassa Centrale Raiffeisen dell'Alto Adige/Gruppo Bancario Cooperativo delle Casse Raiffeisen, in Bull. 22/2018.</w:t>
        <w:br/>
        <w:t>7 See C12138 Cassa Centrale Raiffeisen dell'Alto Adige/Gruppo Bancario Cooperativo delle Casse Raiffeisen, in Bull. 11/2018 where the results of an ad hoc survey on banking markets, conducted by the Authority and administered to a representative sample of consumers by a market research company, are also reported.</w:t>
        <w:br/>
        <w:t>8 Data provided by the Parties.</w:t>
      </w:r>
    </w:p>
    <w:p>
      <w:r>
        <w:rPr>
          <w:b/>
        </w:rPr>
        <w:t>[Pages 22–24]</w:t>
      </w:r>
    </w:p>
    <w:p>
      <w:r>
        <w:t>24 BULLETIN NO. 44 OF DECEMBER 12, 2022</w:t>
        <w:br/>
        <w:t>assessed in the first approximation at the provincial level, carrying out, where appropriate, an analysis at the catchment area level, analogous to that of banking collection.</w:t>
        <w:br/>
        <w:t>Lending to consumer households and lending to small producer households</w:t>
        <w:br/>
        <w:t>21. In the case at hand, neither in the market for lending to consumer households nor in that for lending to small producer households in any of the affected local markets, specifically the provinces of Savona, Rome, Genoa, Imperia, Piacenza, Reggio Emilia, Modena, Bologna, and Latina, do the joint shares of the Parties appear significant.</w:t>
        <w:br/>
        <w:t>22. In particular, while maintaining the observations made regarding the provinces of Sardinia, in all other provincial markets, the post-merger share will be significantly below 10%.</w:t>
        <w:br/>
        <w:t>23. In light of the above considerations, it is believed that the transaction under examination does not produce restrictive effects on competition in the markets for lending to consumer households and lending to small producer households.</w:t>
        <w:br/>
        <w:t>Lending to medium-large enterprises</w:t>
        <w:br/>
        <w:t>24. As for the market for lending to medium-large enterprises, it has a territorial dimension assessed in the first approximation at the regional level, given the greater mobility of such subjects compared to the previous segments of demand. In this regard, adopting the criterion of the location of the branch, while maintaining the observations made regarding the region of Sardinia, in the other affected regional markets, particularly Liguria, Lazio, and Emilia-Romagna, the post-merger share will be significantly below 10%.</w:t>
        <w:br/>
        <w:t>25. Therefore, the transaction does not produce restrictive effects on competition in the market for lending to medium-large enterprises.</w:t>
        <w:br/>
        <w:t>Lending to public entities</w:t>
        <w:br/>
        <w:t>26. In relation to the market for lending to public entities, in light of the Authority's practice9, it appears possible to consider that this market has a geographical extension that is generally national, provided that, given the heterogeneity of public entities (by nature and size), in certain specific circumstances, a more restricted identification of the geographical area concerned may be required.</w:t>
        <w:br/>
        <w:t>27. At the national level, as a result of the transaction, the post-merger share, considering the increasing presence of Cassa Depositi e Prestiti S.p.A. (hereinafter also "CDP"), is contained, widely below 10%.</w:t>
        <w:br/>
        <w:t>2) MARKET FOR ADMINISTERED SAVINGS</w:t>
        <w:br/>
        <w:t>28.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the holding of a current account and a securities account at the same banking institution10. The administered savings market has a provincial dimension, given the limited willingness to mobility on the part of the end customers.</w:t>
        <w:br/>
        <w:t>29. Given the close connection that exists between administered savings and collection, as highlighted above, it can be argued that if a subject requires administered savings services and therefore needs to open a securities account, they will turn to the bank where they already have a current account.</w:t>
        <w:br/>
        <w:t>30. In this market, the Parties are active in the provinces of Savona, Rome, Genoa, Imperia, Piacenza, Reggio Emilia, Modena, Bologna, and Latina, with a market share that, based on the information provided, is comparable to that held in the collection markets. For this reason, and given the close connection that exists between administered savings and collection, the considerations made above regarding the affected collection markets also apply to these markets.</w:t>
        <w:br/>
        <w:t>3) ASSET MANAGEMENT SECTOR</w:t>
        <w:br/>
        <w:t>31. Within the asset management sector, various activities are included, corresponding to distinct product markets, and are related to: (i) management of mutual investment funds; (ii) individual management of financial assets (GPM) and in funds (GPF); and (iii) management of complementary pension products.</w:t>
        <w:br/>
        <w:t>32. Furthermore, the services offered within the asset management sector typically have an upstream management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Italy. As for the distribution market, however, considering the reduced mobility of demand, the geographical dimension has been defined by the Authority, in the first approximation, at the provincial level. With reference to the pension sector, there are differences between contractual pension funds, open pension funds, and individual pension plans (PIP) that may affect the definition of the geographical market, which may have a broader extension, generally national, but, also depending on the relevance of individual memberships, may require an extended screening even to smaller local areas11.</w:t>
        <w:br/>
        <w:t>a) Management of mutual investment funds</w:t>
        <w:br/>
        <w:t>33. A mutual investment fund is an autonomous asset, divided into shares, belonging to a plurality of participants, managed collectively. As mentioned earlier, the activity related to mutual investment funds presents two phases that identify two distinct markets: production and distribution. In this context, based on the information provided, the transaction does not create overlaps at the production level, but only at the downstream distribution level, where Banco Desio has entered into distribution agreements with, inter alia, AcomeA SGR, Anima SGR, Arca Fondi SGR, and Schroders Investment Management SA.</w:t>
        <w:br/>
        <w:t>10 See, in this regard, C8660 – Unicredito Italiano/Capitalia, in Bulletin 33/2007.</w:t>
        <w:br/>
        <w:t>11 See, inter alia, C10053 - Società Cattolica di Assicurazione/BCC Vita, in Bulletin 24/2009.</w:t>
      </w:r>
    </w:p>
    <w:p>
      <w:r>
        <w:t>26 BULLETIN NO. 44 OF DECEMBER 12, 2022</w:t>
        <w:br/>
        <w:t>34. Based on the information provided by Banco Desio – whose positioning in the distribution of mutual investment funds is estimated based on the market shares held by the Parties in the collection market which, in this case, would represent a suitable proxy – the transaction does not raise competitive concerns, as the aggregated share of the Parties will be well below 10% in all affected provincial markets.</w:t>
        <w:br/>
        <w:t>b) Individual management of financial assets (GPM) and in funds (GPF)</w:t>
        <w:br/>
        <w:t>35. Individual management of financial assets (GPM) is an activity carried out by banks, investment firms, and asset management companies, based on a mandate conferred by the client. Compared to collective management, the assets of each client remain distinct from those of others. The management of assets in funds (GPF) also has the peculiarity that the client's financial resources are invested in shares of mutual investment funds. GPFs are assimilated to collective management even though, from a contractual point of view, they have an element in common with individual management, as the client can request the manager to modify the composition of the portfolio, always, however, choosing from shares of mutual funds.</w:t>
        <w:br/>
        <w:t>36. The Parties have communicated that they are only jointly present in the distribution phase of individual management services (GPM and GPF), through the allocation of assets managed separately in the interest of the individual client, consistent with the client's risk/return profile.</w:t>
        <w:br/>
        <w:t>37. Also in this market, in light of the information provided by Banco Desio – based on the market shares held by the Parties in the collection market which, in this case, would represent a suitable proxy – the transaction does not raise competitive concerns, as the aggregated share of the Parties will be significantly below 10% in all relevant provincial markets.</w:t>
        <w:br/>
        <w:t>c) Management of complementary pension products</w:t>
        <w:br/>
        <w:t>38. Complementary pension aims to meet the income needs of workers during their retirement phase. This purpose is pursued in Italy through a pension structure based on two different modes of intervention: (i) mandatory pension; (ii) complementary pension, realized through the use of contractual pension funds (or closed), open pension funds, and individual pension plans (PIP).</w:t>
        <w:br/>
        <w:t>39. As mentioned earlier, there are differences between contractual pension funds, open pension funds, and PIP that may affect the definition of the geographical market. In particular, contractual pension funds are established for individual companies or groups of companies, for categories of workers, sometimes for territorial grouping; they are subject to a national collective agreement, or to company agreements or regulations and are managed, based on contributions, by SGR, insurance companies, or banks. Open pension funds, on the other hand, are established and managed directly by banks, insurance companies, and SGR and can be either collectively subscribed (like contractual funds) or individual. Finally, PIPs are individual subscription complementary pension contracts.</w:t>
        <w:br/>
        <w:t>40. Based on the information provided, the transaction does not create overlaps at the production level, but only at the downstream distribution phase.</w:t>
        <w:br/>
        <w:t>41. In this area, based on the information provided by Banco Desio – based on the market shares held by the Parties in the collection market which, in this case, would represent a suitable proxy – the transaction does not raise competitive concerns, as the aggregated share of the Parties will be significantly below 10% in all relevant provincial markets.</w:t>
      </w:r>
    </w:p>
    <w:p>
      <w:r>
        <w:rPr>
          <w:b/>
        </w:rPr>
        <w:t>[Pages 25–27]</w:t>
      </w:r>
    </w:p>
    <w:p>
      <w:r>
        <w:t>BULLETIN NO. 44 OF DECEMBER 12, 2022 27</w:t>
      </w:r>
    </w:p>
    <w:p>
      <w:r>
        <w:t>42. In light of the foregoing, it is considered that the transaction is not likely to produce antitrust concerns in the asset management markets.</w:t>
      </w:r>
    </w:p>
    <w:p>
      <w:r>
        <w:t>4) OTHER CREDIT MARKETS AND PAYMENT SYSTEMS</w:t>
      </w:r>
    </w:p>
    <w:p>
      <w:r>
        <w:t>a) Consumer credit market</w:t>
      </w:r>
    </w:p>
    <w:p>
      <w:r>
        <w:t>43. The transaction also concerns the consumer credit sector, which involves the granting of credit in the form of payment deferral, financing, or other similar facilitation in favor of a natural person acting for purposes unrelated to their entrepreneurial or professional activity. According to the established position of the Authority, within the consumer credit sector, it is possible to distinguish two types of financing: (i) direct credit, provided in the form of personal loans without destination constraints, and (ii) targeted credit, that is, intended for the purchase of specific goods (vehicles, motorcycles, furniture, etc.). These two types of consumer credit present substantial differences in terms of the service provided, the methods of placing the financing, and the related commercial conditions, as well as the relationship between supply and demand; therefore, as already stated by the Authority, they can be considered as two segments, if not two distinct markets, due to the service provided and the related commercial conditions12.</w:t>
      </w:r>
    </w:p>
    <w:p>
      <w:r>
        <w:t>44. As for direct consumer credit, a peculiar element is the direct contact between the lender and the consumer, which creates a bilateral relationship. This includes financing primarily through personal loans, via revolving credit cards (that is, cards usable at all affiliated stores, associated with a line of credit that allows for installment payments based on the customer's commitment to repay the amounts based on an agreed minimum monthly installment), as well as those through salary assignment. Geographically, the size of the direct consumer credit market is local and is typically confined to regional boundaries.</w:t>
      </w:r>
    </w:p>
    <w:p>
      <w:r>
        <w:t>45.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is conventionally distinguished between credit aimed at the purchase of vehicles and credit aimed at the purchase of other goods or services. The geographical dimension of the targeted consumer credit market is national, considering the homogeneity of the production and marketing characteristics of the services in question throughout the national territory.</w:t>
      </w:r>
    </w:p>
    <w:p>
      <w:r>
        <w:t>46. Based on the information provided in the Notification Form, the Parties are active only in direct consumption. In the relevant regional markets, particularly Liguria, Emilia-Romagna, and Lazio, the joint share of the Parties in direct consumer credit is marginal, not exceeding 5%.</w:t>
      </w:r>
    </w:p>
    <w:p>
      <w:r>
        <w:t>47. Therefore, given the limited positioning of the post-merger entity and the presence of numerous qualified competitors, the concentration is not likely to have effects on competitive dynamics in the regional markets for direct consumer credit.</w:t>
      </w:r>
    </w:p>
    <w:p>
      <w:r>
        <w:t>12 See, among others, C8660 – Unicredito Italiano/Capitalia, in Bull. 33/2007; C10702 – ICCREA Holding/Soluzio Consumer Credit, in Bull. 38/2010; C10854 – Société des Paiements Pass/Carrefour Servizi Finanziari, in Bull. 49/2010; C12063 - Santander Consumer Bank/Branch of Accedo, in Bull. 29/2016.</w:t>
      </w:r>
    </w:p>
    <w:p>
      <w:r>
        <w:t>28 BULLETIN NO. 44 OF DECEMBER 12, 2022</w:t>
      </w:r>
    </w:p>
    <w:p>
      <w:r>
        <w:t>b) Payment services markets</w:t>
      </w:r>
    </w:p>
    <w:p>
      <w:r>
        <w:t>48. Another sector affected by the transaction is that of payment instruments via cards. Within the payment card sector, the Authority has previously identified three distinct markets: the card issuing market, the merchant acquiring market, and the operational and IT processing market.</w:t>
      </w:r>
    </w:p>
    <w:p>
      <w:r>
        <w:t>49. The activity of issuing payment cards (so-called card issuing) consists of a set of services aimed at providing payment cards (debit, credit, or prepaid) to end customers, who are typically represented by consumers. In particular, the card issuing activity mainly includes the offer of the card to the end customer (who becomes the cardholder), the definition of the card's characteristics and related economic conditions (annual fee amount, cash advance service fees, statement sending fees, and other commissions), the credit assessment of the customer (i.e., whether the individual is creditworthy), the contractualization of the same, the management of relationships with networks, customer service and marketing activities, and the management of credit risk and fraud. More specifically, it should be noted that, regarding the economic and commercial policies related to these services, they are defined by the bank if an integrated model is adopted; conversely, if the bank limits itself to distributing the services and relies on third parties for the issuing activity, the policies and criteria for product distribution, as well as pricing for the end customer, can be defined by the third parties or by the banks, depending on the agreement.</w:t>
      </w:r>
    </w:p>
    <w:p>
      <w:r>
        <w:t>50. According to the Authority's practice, issuing can be divided based on the different types of payment instruments, distinguishing between credit and debit cards (including prepaid cards), corresponding to different product markets; however, more recently, the possibility of configuring a single market encompassing all types of cards due to their substitutability from the supply side has been left open13.</w:t>
      </w:r>
    </w:p>
    <w:p>
      <w:r>
        <w:t>51. Similarly, from a geographical perspective, the size of the payment card issuing market has been identified in practice within national borders, due to the homogeneity of the supply conditions of the described services across the national territory; however, even from this perspective, the possible redefinition of this market as having a dimension corresponding to the European Economic Area has more recently been left open14.</w:t>
      </w:r>
    </w:p>
    <w:p>
      <w:r>
        <w:t>52. It is noted that, considering according to the most established practice debit and credit cards as two distinct national markets, due to the market positioning of the parties, the assessment of this transaction does not appear to raise concerns. In fact, regarding the issuing of both credit and debit cards (the latter including prepaid cards), in terms of the number of cards issued, the Parties will hold a joint share of less than 1% post-transaction.</w:t>
      </w:r>
    </w:p>
    <w:p>
      <w:r>
        <w:t>53. With reference to merchant acquiring services, based on recent practice15, these services are articulated in the wholesale merchant acquiring market and the provision of POS and related services, having a geographical dimension that is supranational, equal to the EEA, and in the retail merchant acquiring market and the provision of POS and related services, having a national geographical dimension.</w:t>
      </w:r>
    </w:p>
    <w:p>
      <w:r>
        <w:t>54. In this case, this articulation can be left open as this activity is carried out only to a marginal extent and with a post-merger market share of less than 1% on a national basis.</w:t>
      </w:r>
    </w:p>
    <w:p>
      <w:r>
        <w:t>55. Based on the information communicated, the Parties are not active in the processing market.</w:t>
      </w:r>
    </w:p>
    <w:p>
      <w:r>
        <w:t>56. Considering the post-merger market shares, as well as the presence of numerous qualified competitors, such as, among others, Nexi-SIA, Unicredit S.p.A., and BNP Paribas, as well as Poste Italiane S.p.A., it is not believed that the transaction is likely to significantly impact the competitive dynamics of the affected markets.</w:t>
      </w:r>
    </w:p>
    <w:p>
      <w:r>
        <w:t>5) INSURANCE MARKETS</w:t>
      </w:r>
    </w:p>
    <w:p>
      <w:r>
        <w:t>57. With reference to the life and non-life insurance markets, according to the established position of the Authority, each branch of the life and non-life insurance sectors represents a distinct market. This distinction regarding the individual insurance branches is primarily based on the object of the service rendered, the risks assumed, and the insurance coverage objective expressed by the demand for each individual branch. Furthermore, the non-life and life insurance markets are distinct, each having a production phase with a national geographical dimension and a distribution phase characterized by its local dimension, considered in the first approximation as provincial according to the Authority's practice.</w:t>
      </w:r>
    </w:p>
    <w:p>
      <w:r>
        <w:t>58. The Parties have declared that they are active only in the distribution of insurance products in both the life and non-life sectors.</w:t>
      </w:r>
    </w:p>
    <w:p>
      <w:r>
        <w:t>59. In the distribution of life insurance products, the joint market share of the Parties is less than 1% in the provinces of Rome, Genoa, Piacenza, Reggio Emilia, Modena, Bologna, and Latina, while it is between 1% and 5% in the provinces of Savona and Imperia.</w:t>
      </w:r>
    </w:p>
    <w:p>
      <w:r>
        <w:t>60. In the distribution of non-life insurance products, the post-merger share is even lower, remaining below 1% in all the affected provinces.</w:t>
      </w:r>
    </w:p>
    <w:p>
      <w:r>
        <w:t>61. Given this significantly limited market positioning, no competitive concerns arise in the insurance sector as a result of the transaction.</w:t>
      </w:r>
    </w:p>
    <w:p>
      <w:r>
        <w:t>62. In light of the considerations above, the concentration under examination does not appear to significantly hinder effective competition in the affected markets or to create or strengthen a dominant position.</w:t>
      </w:r>
    </w:p>
    <w:p>
      <w:r>
        <w:t>THEREFORE, it is deemed that the transaction under examination does not significantly hinder effective competition in the affected markets pursuant to Article 6, paragraph 1, of Law No. 287/90 and does not create or strengthen a dominant position;</w:t>
      </w:r>
    </w:p>
    <w:p>
      <w:r>
        <w:t>IT IS FURTHER DEEMED that the non-compete obligations between the parties are ancillary to this transaction only to the limits described above and that the Authority reserves the right to evaluate the aforementioned agreements that exceed the indicated limits;</w:t>
      </w:r>
    </w:p>
    <w:p>
      <w:r>
        <w:t>DECIDES</w:t>
      </w:r>
    </w:p>
    <w:p>
      <w:r>
        <w:t>not to initiate the investigation referred to in Article 16, paragraph 4, of Law No. 287/90.</w:t>
      </w:r>
    </w:p>
    <w:p>
      <w:r>
        <w:rPr>
          <w:b/>
        </w:rPr>
        <w:t>[Pages 28–30]</w:t>
      </w:r>
    </w:p>
    <w:p>
      <w:r>
        <w:t>30 BULLETIN NO. 44 OF DECEMBER 12, 2022</w:t>
      </w:r>
    </w:p>
    <w:p>
      <w:r>
        <w:t>The above conclusions will be communicated, pursuant to Article 16, paragraph 4, of Law No. 287/90, to the interested companies and to the Minister of Economic Development. This provision will be published in the Bulletin of the Authority for Competition and the Market.</w:t>
      </w:r>
    </w:p>
    <w:p>
      <w:r>
        <w:t>THE SECRETARY GENERAL THE PRESIDENT</w:t>
        <w:br/>
        <w:t>Guido Stazi Roberto Rustichelli</w:t>
      </w:r>
    </w:p>
    <w:p>
      <w:r>
        <w:t>BULLETIN NO. 44 OF DECEMBER 12, 2022 31</w:t>
      </w:r>
    </w:p>
    <w:p>
      <w:r>
        <w:t>REPORTING AND CONSULTATIVE ACTIVITY</w:t>
      </w:r>
    </w:p>
    <w:p>
      <w:r>
        <w:t>AS1870 - CAMPANIA REGION - INTEGRATED TARIFF PROJECT 'SEA &amp; SEA' AND 'LAND &amp; SEA'</w:t>
      </w:r>
    </w:p>
    <w:p>
      <w:r>
        <w:t>Rome, November 3, 2022</w:t>
      </w:r>
    </w:p>
    <w:p>
      <w:r>
        <w:t>Regional Council of Campania</w:t>
      </w:r>
    </w:p>
    <w:p>
      <w:r>
        <w:t>With reference to the request for an opinion made by the IV Permanent Council Committee, Urban Planning, Public Works and Transport of the Regional Council of Campania (hereinafter, the Council Committee), regarding the implementation of the Integrated Tariff Project “Sea &amp; Sea” and “Land &amp; Sea” for maritime public transport services, in the gulfs of Naples and Salerno, and land transport, in the territory of the Campania Region (hereinafter, also the Project), the Authority for Competition and the Market, in its meeting of October 25, 2022, intended to make the following considerations, pursuant to Article 22 of Law No. 287 of October 10, 1990.</w:t>
      </w:r>
    </w:p>
    <w:p>
      <w:r>
        <w:t>According to the information provided by the Council Committee, the Project is part of the first flagship project funded by the Presidency of the Council of Ministers aimed at implementing the Mobility as a Service for Italy (MaaS) project, which promotes the transformation of the transport sector. MaaS, in fact, aims to integrate multiple modes of transport through intermediation platforms that provide users with a variety of digital services aimed at facilitating access to transport modes even for the most vulnerable segments of the population, within the context of existing transport systems, offering tailored mobility solutions based on individual needs.</w:t>
      </w:r>
    </w:p>
    <w:p>
      <w:r>
        <w:t>In particular, the objective of the Project is to offer users maximum accessibility to maritime transport and the local public transport network, hypothesizing two types of “integrated” tariffs, the “Integrated Tariff Sea &amp; Sea” (hereinafter, TIMM) and the “Integrated Tariff Land &amp; Sea” (TITM), to be defined in different spatial and temporal modes of use and, in any case, subject to the adherence of the shipping companies operating in the free market.</w:t>
      </w:r>
    </w:p>
    <w:p>
      <w:r>
        <w:t>Specifically, the TIMM will allow the purchase, by accessing a unique technological platform shared by the participating shipping companies, of a unique travel title “Sea &amp; Sea” (unique title MM), for the specified route, which will allow travel with any company, to be chosen only at the time of mandatory seat reservation. The TITM, on the other hand, will allow the purchase of a unique travel title “Land and Sea” (unique title TM), which will allow in one solution the use of the maritime connection and the TPL land connection, both on the islands and on the mainland. This will be achieved by integrating the current sales platform of the UnicoCampania Consortium - Regional Sales System (SVR) - with those of the shipping companies operating in the Campania Region and adhering to the tariff integration.</w:t>
      </w:r>
    </w:p>
    <w:p>
      <w:r>
        <w:t>The tariff system adopted for the TIMM, according to the information provided by the Council Committee, will be calibrated taking into account the maximum tariff levels defined by the Region and the individual company tariffs and will be defined based on routes, duration, type of user (resident/commuter or tourist/occasional) and type of vessel. It may be managed by the UnicoCampania Consortium, which operates and manages the “land” integration, or by another tool or entity to be identified.</w:t>
      </w:r>
    </w:p>
    <w:p>
      <w:r>
        <w:t>Regarding the methods of implementing the tariff integration, it has been clarified that the unique title MM will allow a movement that is homogeneous, for route and for the nautical means used, without the need to specify the shipping company. Furthermore, the unique title MM, once the route and nautical means are defined, will have a single undifferentiated tariff for all the interested shipping companies and, according to what was expressly stated by the Administration, “the integrated tariff Mare Aperto, in line with the integrated tariffs and the terrestrial company tariffs that coexist in the tested Unico Campania system, will have an average cost higher (not exceeding +18-20%) than the corresponding maximum tariff level allowed. The higher cost serves to compensate for the integration service between carriers and the choice between alternative carriers that travel the same route.” The Committee then reiterated that “It is important to highlight that, even in the presence of the unique Mare Aperto tariff, all the company tariffs autonomously defined by each shipping company will remain fully in force” and that “the integrated tariff will have a higher cost because it will allow interchangeability of the travel choice among the different operators participating in the initiative, ensuring greater opportunities for users without altering the free market.”</w:t>
      </w:r>
    </w:p>
    <w:p>
      <w:r>
        <w:t>All of the above having been stated, the Authority can only look favorably upon the objectives of the Integrated Tariff Project “Sea &amp; Sea” and “Land &amp; Sea,” aimed at ensuring a concrete territorial continuity within the Region through a more effective transport system for all citizens. Furthermore, the development of collective mobility capable of meeting user needs, reducing individual mobility, would simultaneously produce positive externalities on the environment.</w:t>
      </w:r>
    </w:p>
    <w:p>
      <w:r>
        <w:t>More generally, this project is part of a broader national project aimed at promoting accessibility, multimodality, and sustainability of movements through the integration of multiple transport modes; this integration is realized through the creation of intermediation platforms that allow users to benefit from a multitude of digital services ranging from travel planning, to seat reservation on the chosen means, to payment, and finally, to ticketing.</w:t>
      </w:r>
    </w:p>
    <w:p>
      <w:r>
        <w:t>The Project indeed provides for the possibility of acquiring a unique title MM or a unique title TM, thanks to which the user will be able, in the first case, specifying only the route and the chosen nautical means, to travel with any shipping company, to be identified only at the time of mandatory seat reservation, with the advantage of freeing them from the constraints of the schedule of the individual company.</w:t>
      </w:r>
    </w:p>
    <w:p>
      <w:r>
        <w:rPr>
          <w:b/>
        </w:rPr>
        <w:t>[Pages 31–33]</w:t>
      </w:r>
    </w:p>
    <w:p>
      <w:r>
        <w:t>BULLETIN NO. 44 OF DECEMBER 12, 2022 33</w:t>
      </w:r>
    </w:p>
    <w:p>
      <w:r>
        <w:t>of navigation and to expand its choice within the available offer on the route of interest. In the second case, the user will be able to benefit from an integrated journey that includes both the use of the maritime connection for the routes of the Gulf of Naples and the Campanian land public transport connection (both on the islands and on the mainland).</w:t>
      </w:r>
    </w:p>
    <w:p>
      <w:r>
        <w:t>In light of these advantages, it should be noted that the Project is set within a context, at least with reference to the authorized services operated by the shipping companies that adhere to the "Regulatory Guidelines for the Organization of Local Maritime Public Transport"3, characterized by strong rigidities - already stigmatized by the Authority in the report AS1547 "Campania Region - Competitive Issues in Maritime Transport Services to/from the Islands"4 - which does not appear to encourage competitive comparison either in terms of the quality of the services offered or in terms of the tariffs, which generally tend to converge towards the maximum levels defined by regulation by the Region.</w:t>
      </w:r>
    </w:p>
    <w:p>
      <w:r>
        <w:t>In this framework, the provision, for each route and nautical means, of a uniform tariff for all shipping companies with a higher average level, approximately between 18 and 20% of the corresponding maximum tariff level allowed, could introduce additional elements of rigidity and further weaken competition among maritime operators in the Gulf of Naples, to the detriment of consumers.</w:t>
      </w:r>
    </w:p>
    <w:p>
      <w:r>
        <w:t>Considering the elements described so far, it seems appropriate to highlight a series of general principles that should characterize the organizational and ticketing methods of an integrated transport system, such as: i) openness to all potential operators wishing to adhere to this mode of service offering; ii) the possibility for operators to freely decide which served routes to include within the integrated service and with what frequencies/timetables, as well as the price applied to users for a single journey and/or for a round trip; iii) limiting the exchange of information between companies to what is strictly necessary to make the integrated transport system operational.</w:t>
      </w:r>
    </w:p>
    <w:p>
      <w:r>
        <w:t>In the case at hand, the adoption of a single tariff for operators offering maritime transport services in competition on the same route, with similar nautical means, does not appear to be a strictly necessary measure for the functioning of the integrated service ticketing system, as a ticketing mechanism could be structured in which each operator can offer the service at the price they deem most appropriate (within the maximum ceiling set by regulation) in order to incentivize the use of their maritime transport service.</w:t>
      </w:r>
    </w:p>
    <w:p>
      <w:r>
        <w:t>Thanks also to the wide possibilities offered by digital technology, and considering the willingness of this Administration to encourage its use, an innovative system for accessing the integrated transport service and for the digital purchase of the single ticket (via app, dedicated website, etc.) could be envisaged, which, for example, provides for a pre-authorization system - with electronic payment tools - for the payment for the purchase of a single MM ticket of an amount corresponding to the maximum tariff provided for that journey (the one set by regulation), which would then be automatically recalculated - at the time of seat reservation - to the amount corresponding to the tariff of the carrier actually used. This would have the further advantage of being able to structure an integrated tariff that also allows the use of different types of navigation means (ferry or hydrofoil) as well as the combination of both authorized services and those covered by public service obligations.</w:t>
      </w:r>
    </w:p>
    <w:p>
      <w:r>
        <w:t>Furthermore, the additional tariff component, the definition of which - it is emphasized - should be closely related to the higher costs arising from the management of the integrated platform, could be identified, at the time of purchasing the integrated travel ticket, separately from the transport tariff, and calculated not as a percentage of the ticket value, but as a fixed sum. This solution would allow avoiding that this tariff component could automatically increase during the update of the maximum tariffs by regulation, with the risk of no longer being closely linked to costs.</w:t>
      </w:r>
    </w:p>
    <w:p>
      <w:r>
        <w:t>On the contrary, the adoption of a single tariff for each route and type of nautical means used would carry the risk of incentivizing shipping companies to adopt opportunistic behaviors in the offering of non-integrated services - such as, for example, increasing the tariffs charged (if they are below the maximum ceiling) and/or varying the type of vessel used and/or the number of trips made in a free market regime (increasing, for example, those made in adherence to the Project) - in such a way as to induce users to use integrated tickets (more advantageous for companies in terms of tariff level) instead of those related to non-integrated services. This would result in completely nullifying the already weak competitive comparison on the affected routes, harming consumers both in terms of higher tariff levels and in terms of the actual possibility of exercising a choice between the integrated service and that offered by individual shipping companies in a non-integrated form.</w:t>
      </w:r>
    </w:p>
    <w:p>
      <w:r>
        <w:t>Also with reference to the TITM tariff system, which defines the tariffs related to an integrated system of maritime public transport services with land public transport services, the above observations apply to the TIMM tariff system, both with reference to the definition of the tariff component linked to the management of the integrated platform, to be indicated at the time of purchase separately from the integrated transport tariff and as a fixed sum, and to the maintenance of a concrete possibility of choice for consumers between integrated services and non-integrated services.</w:t>
      </w:r>
    </w:p>
    <w:p>
      <w:r>
        <w:t>In conclusion, the Authority hopes that the above observations can be adequately considered by the requesting Administration and invites communication of the determinations that will be taken in this regard, thanking for the attention shown towards its institutional activity.</w:t>
      </w:r>
    </w:p>
    <w:p>
      <w:r>
        <w:t>BULLETIN NO. 44 OF DECEMBER 12, 2022 35</w:t>
      </w:r>
    </w:p>
    <w:p>
      <w:r>
        <w:t>This opinion will be published in the Bulletin of the Antitrust Authority. Any confidentiality needs must be expressed within thirty days from the receipt of the opinion, specifying the reasons.</w:t>
      </w:r>
    </w:p>
    <w:p>
      <w:r>
        <w:t>THE PRESIDENT</w:t>
      </w:r>
    </w:p>
    <w:p>
      <w:r>
        <w:t>Roberto Rustichelli</w:t>
      </w:r>
    </w:p>
    <w:p>
      <w:r>
        <w:rPr>
          <w:b/>
        </w:rPr>
        <w:t>[Pages 34–36]</w:t>
      </w:r>
    </w:p>
    <w:p>
      <w:r>
        <w:t>36 BULLETIN NO. 44 OF DECEMBER 12, 2022</w:t>
      </w:r>
    </w:p>
    <w:p>
      <w:r>
        <w:t>UNFAIR COMMERCIAL PRACTICES</w:t>
      </w:r>
    </w:p>
    <w:p>
      <w:r>
        <w:t>PS12083 - MUNICIPALITY OF RAGUSA/BIENNIAL PRESCRIPTION IN THE WATER SECTOR</w:t>
      </w:r>
    </w:p>
    <w:p>
      <w:r>
        <w:t>Provision No. 30385</w:t>
      </w:r>
    </w:p>
    <w:p>
      <w:r>
        <w:t>THE AUTHORITY FOR THE PROTECTION OF COMPETITION AND MARKET</w:t>
      </w:r>
    </w:p>
    <w:p>
      <w:r>
        <w:t>IN ITS MEETING of November 22, 2022;</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of September 17, 2022, which initiated the PS12083 procedure against the Municipality of Ragusa, in its capacity as Manager of local water services;</w:t>
      </w:r>
    </w:p>
    <w:p>
      <w:r>
        <w:t>HAVING REGARD to the communication received on June 21, 2022, subsequently supplemented on September 1 and 9, 2022, whereby the Municipality of Ragusa, in its capacity as Manager of local water services, presented commitments pursuant to Article 27, paragraph 7, of the Consumer Code and Article 9 of the Regulation;</w:t>
      </w:r>
    </w:p>
    <w:p>
      <w:r>
        <w:t>HAVING REGARD to the decisions extending the deadline for concluding the procedure issued on December 21, 2021, March 22, and May 24, 2022, pursuant to Article 7, paragraph 3, of the Regulation, for specific investigative needs; on August 4, 2022, due to the presentation of commitments by the Professional; as well as on September 27, 2022, pursuant to Articles 7, paragraph 3, and 16, paragraph 5, of the Regulation;</w:t>
      </w:r>
    </w:p>
    <w:p>
      <w:r>
        <w:t>HAVING REGARD to the acts of the procedure;</w:t>
      </w:r>
    </w:p>
    <w:p>
      <w:r>
        <w:t>I. THE PARTY</w:t>
      </w:r>
    </w:p>
    <w:p>
      <w:r>
        <w:t>1. The Municipality of Ragusa, in its capacity as Professional, pursuant to Article 18, letter b), of the Consumer Code, as the local manager of water services.</w:t>
      </w:r>
    </w:p>
    <w:p>
      <w:r>
        <w:t>II. THE CONDUCTS SUBJECT TO THE PROCEDURE</w:t>
      </w:r>
    </w:p>
    <w:p>
      <w:r>
        <w:t>2. The procedure concerns the conducts carried out by the Municipality of Ragusa in possible violation of the Consumer Code, relating to: A) the failure to comply with the informational obligations regarding the biennial or short prescription (hereinafter also "PB") provided by the current legislative and regulatory framework. The water service manager is, in fact, required to provide users with adequate information about the existence of the regulation and the possibility of raising the PB, both on its website (or through other communication/dissemination supports) and directly within the invoice containing amounts related to consumption dating back more than two years; B) the failure to accept – based on reasons inconsistent with the correct interpretation of the current regulation – the short prescription exception regarding credits related to water consumption invoiced after January 1, 2020, and dating back more than two years from the date of issuance of the relevant bill.</w:t>
      </w:r>
    </w:p>
    <w:p>
      <w:r>
        <w:t>III. THE OUTCOMES OF THE PROCEDURE: THE PRESENTATION OF COMMITMENTS</w:t>
      </w:r>
    </w:p>
    <w:p>
      <w:r>
        <w:t>1) The course of the procedure</w:t>
      </w:r>
    </w:p>
    <w:p>
      <w:r>
        <w:t>3. Based on a complaint from a consumer-user1 and information acquired for the purposes of applying the Consumer Code2, on September 17, 2022, the Municipality of Ragusa, as the manager of the local SII, was notified of the initiation of the PS12083 investigative procedure, hypothesizing the violation of Articles 20, 22, 24, and 25 of the Consumer Code in relation to the conducts outlined above.</w:t>
      </w:r>
    </w:p>
    <w:p>
      <w:r>
        <w:t>4. In this context, the omission character of the conduct related to the evasion of the informational obligations towards consumers provided by specific legislative and regulatory prescriptions was contested, as well as the aggressiveness of the Professional's behavior aimed at the indiscriminate rejection of requests for recognition of the PB – based on opaque/inapplicable/relevant reasons inconsistent with the current PB regulation – as well as the violation of the professional diligence expected from operators in the sector also due to the position of being the sole and direct reference in the territory for users receiving water service provision. Specifically, the Municipality of Ragusa – in addition to failing to provide adequate and exhaustive information/guidance (both general and in the specific invoice) regarding the entry into force of the institution and the possibility for users to raise the prescription of late invoiced credits for past consumption – would have communicated the rejection of the consumer-user's exception regarding credits for consumption in 2018 invoiced two years later, excluding the recognition of the PB based on the interpretation of the institution presented therein, which is not in line with the relevant regulatory and legislative framework3.</w:t>
      </w:r>
    </w:p>
    <w:p>
      <w:r>
        <w:t>1 Document of February 15, 2021, prot. 21046.</w:t>
        <w:br/>
        <w:t>2 This refers to the response of the Professional (document of June 18, 2021, prot. 53546) to the Authority's request for information (document of May 25, 2021, prot. 47852) and some official acquisitions from the Municipality of Ragusa's website www.comune.ragusa.gov.it (three minutes of acquisitions to the records dated September 14, 2021).</w:t>
        <w:br/>
        <w:t>3 In the communication rejecting the biennial prescription exception raised by the reporting user (see attachment to document of February 15, 2021, prot. No. 21046), the Manager stated, among other things, that: “considering that the prescription begins to run from the day on which the right can be asserted (Article 2935 of the Civil Code), the invoices dated January 26, 2021, with a due date of February 25, 2021, are prescribed on January 24, 2022. All this premised and considering that the ARERA regulation cannot affect the civil/contractual relationships between the user and the manager, it is believed that in this case the biennial prescription is not applicable to the water fee for the year 2018, which is instead subject to the regime of short five-year prescription (Article 2948 of the Civil Code). The wording used by the legislator (Law 205/2017), “invoices whose due date is after January 1, 2020” does not represent a valid criterion regarding the years that can be subject to prescription; in fact, it can be peacefully assumed that the right to the amounts accrued and invoiced after this date is prescribed within the biennial term, while this is not clearly expressed regarding previous years. Based on the considerations mentioned above and especially the non-impact on the civil relationship of the ARERA prescriptions and having regard to protecting the legitimate reliance of the creditor subjects, the office considers the issued invoices valid.”</w:t>
      </w:r>
    </w:p>
    <w:p>
      <w:r>
        <w:t>38 BULLETIN NO. 44 OF DECEMBER 12, 2022</w:t>
      </w:r>
    </w:p>
    <w:p>
      <w:r>
        <w:t>5. On October 7, 20214, the responses from the Municipality of Ragusa to the request for information, pursuant to Article 27, paragraphs 3 and 4, of the Consumer Code and Article 12, paragraph 1, of the Regulation, present in the communication initiating the procedure5, were received.</w:t>
      </w:r>
    </w:p>
    <w:p>
      <w:r>
        <w:t>6. The Professional was heard in a hearing both on March 30, 20226 – providing, as a result, the information requested by the Offices7 – and on June 7, 20228.</w:t>
      </w:r>
    </w:p>
    <w:p>
      <w:r>
        <w:t>7. On September 14, 2022, the date of conclusion of the investigative phase was communicated to the Professional pursuant to Article 16, paragraph 1, of the Regulation.</w:t>
      </w:r>
    </w:p>
    <w:p>
      <w:r>
        <w:t>2) The biennial prescription regulation in the water services sector</w:t>
      </w:r>
    </w:p>
    <w:p>
      <w:r>
        <w:t>8. Law No. 205 of December 27, 2017 (so-called 2018 Budget Law), in Article 1, paragraphs 4 and following, introduced a biennial prescription regime for credits held by operators in the utilities sectors, including that of water services: in particular, it was established the right of consumer-users, both domestic and professional and micro-enterprises, to raise the prescription of amounts related to consumption dating back more than two years, indicated in invoices issued from January 1, 2020, where the delay in invoicing was not due to "established responsibility of the user"19.</w:t>
      </w:r>
    </w:p>
    <w:p>
      <w:r>
        <w:t>9. In implementation of the legislative provision10, the sector Regulator-ARERA issued, regarding the water sector, Resolution No. 547/2019 identifying, in the related Annex B, the “measures of</w:t>
      </w:r>
    </w:p>
    <w:p>
      <w:r>
        <w:t>4 Prot. 76853.</w:t>
        <w:br/>
        <w:t>5 The request for information concerned:</w:t>
        <w:br/>
        <w:t>1. number of adjustment invoices, including prescribable consumption (dating back more than two years) – pursuant to the 2018 Budget Law (Law No. 205/2017), as amended by the 2020 Budget Law (Law No. 160/2019) – issued monthly from January 1, 2020, until the end of August 2021;</w:t>
        <w:br/>
        <w:t>2. number of requests for recognition of the biennial prescription presented by users following the issuance of the aforementioned invoices, separately in the year 2020 and until the end of August 2021, specifying both the number of accepted requests and those rejected and indicating, in the latter case, the reasons for rejection;</w:t>
        <w:br/>
        <w:t>3. number of complaints possibly received regarding the biennial prescription from January 1, 2020, until the end of August 2021, indicating the management methods and the related outcomes;</w:t>
        <w:br/>
        <w:t>4. number of users existing as of January 1, 2020, who opted for bank/postal domiciliation or credit card as the method of charging the invoiced credits;</w:t>
        <w:br/>
        <w:t>5. number of users, among those referred to in the previous point, who submitted a request for recognition of the PB against whom the direct debit of credits subject to such prescription was made, specifying how many of them – and in what timeframe – had such requests subsequently accepted;</w:t>
        <w:br/>
        <w:t>6. any other element deemed useful for the evaluation of the case in question.”</w:t>
        <w:br/>
        <w:t>6 See hearing minutes (document of April 1, 2022, prot. 31620).</w:t>
        <w:br/>
        <w:t>7 Document of April 7, 2022, prot. 32899.</w:t>
        <w:br/>
        <w:t>8 See hearing minutes (document of June 9, 2022, prot. 47069).</w:t>
        <w:br/>
        <w:t>9 Paragraph 4 of Article 1 of the 2018 Budget Law provided that “in contracts for the supply of electricity and gas, the right to the consideration is prescribed in two years, both in relationships between domestic users or micro-enterprises, as defined by Recommendation 2003/361/EC of the Commission, of May 6, 2003, or professionals, as defined by Article 3, paragraph 1, letter c), of the Consumer Code, and the seller, and in relationships between the distributor and the seller, as well as in those with the transport operator and with other subjects in the supply chain. In contracts for the supply of water services, relating to the categories referred to in the first period, the right to the consideration is prescribed in two years.” The subsequent paragraph 5 established that “the provisions of paragraph 4 do not apply if the failure or incorrect detection of consumption data is due to established responsibility of the user.”</w:t>
        <w:br/>
        <w:t>10 The aforementioned Article 1 of Law 205/2017 assigned to the sector Regulator the task, among other things, of defining both “the measures regarding billing timelines among operators in the supply chain necessary for the implementation of what is provided in the first and second periods” (paragraph 4), and “the measures to protect consumers determining the forms through which distributors ensure the ascertainment and acquisition of actual consumption data.” Furthermore, the subsequent paragraph 7 of Article 1 established that ARERA “may define, with its own resolution, measures aimed at encouraging self-reading without costs to the user.”</w:t>
      </w:r>
    </w:p>
    <w:p>
      <w:r>
        <w:rPr>
          <w:b/>
        </w:rPr>
        <w:t>[Pages 37–39]</w:t>
      </w:r>
    </w:p>
    <w:p>
      <w:r>
        <w:t>BULLETIN NO. 44 OF DECEMBER 12, 2022 39</w:t>
        <w:br/>
        <w:t>strengthening the protections for end users in cases of billing amounts for water services related to consumption dating back more than two years.” Therefore, with regard to “invoices related to water services issued before January 1, 2020, with a due date after that date, for amounts related to consumption dating back more than two years,” various obligations have been meticulously established for the SII Managers, starting from the transparent communication to the end user – with a distinct and highlighted detail in the invoice or with a separate document – regarding the amounts related to consumption dating back more than two years as well as concerning the right to raise the statute of limitations by completing and sending a specific form in reference.</w:t>
      </w:r>
    </w:p>
    <w:p>
      <w:r>
        <w:t>10. Also in Annex B to Resolution No. 547/19, ARERA expressly provided (in Article 2.3)11, that the PB “begins from the deadline by which the manager is obliged to issue the billing document, as identified by the current regulation,” that is, once 45 days have passed since the expiration of the last day of the reference period.</w:t>
      </w:r>
    </w:p>
    <w:p>
      <w:r>
        <w:t>11. The entry into force of the PB regulation provided for by the 2018 Budget Law was set, for the water sector, at January 1, 2020; the legislator subsequently intervened with Article 1, paragraph 295, of the law of December 27, 2019, No. 160 (2020 Budget Law) which, also effective from January 1, 2020, repealed paragraph 5 of Article 1 of Law No. 205/2017 (which excluded the operation of the PB when the failure/incorrect detection of consumption data was due to the established responsibility of the user).</w:t>
      </w:r>
    </w:p>
    <w:p>
      <w:r>
        <w:t>12. Following this legislative amendment, ARERA adopted a new Resolution (of May 26, 2020, No. 186/2020/R/water) which, in order to adapt the previous regulation to the 2020 Budget Law, provided, among other things12, to modify and update the informational obligations regarding the PB, already imposed on Managers towards users by the aforementioned Resolution No. 547/19, providing for the inclusion of a coherent communication in the invoice regarding the amounts related to consumption dating back more than two years13.</w:t>
      </w:r>
    </w:p>
    <w:p>
      <w:r>
        <w:t>11 “the manager is required to inform the end user, using one or more communication channels suitable to ensure completeness and transparency, of the possibility of raising the statute of limitations, by means of the following textual notice: &lt;&lt;The invoice [specify invoice number] contains amounts for consumption dating back more than two years, which may not be paid if the responsibility for the delay in billing such amounts is not attributable to you, in accordance with the 2018 Budget Law (Law 205/17). We invite you to promptly communicate your intention not to pay such amounts to the contacts listed below [specify contacts]&gt;&gt;” (Resolution 547/2019 IDR – Annex B, Article 3.2).</w:t>
      </w:r>
    </w:p>
    <w:p>
      <w:r>
        <w:t>12 With Resolution No. 186/2020, ARERA also made changes to Annex A to Resolution 311/2019/Water (REMSI), regulating the “establishment of default,” setting updated obligations for Managers, always in line with the amendment made by the 2020 Budget Law. Specifically, in place of paragraph 2-bis of Article 4 of Annex A to Resolution 311/2019/Water, it was established that “if the establishment of default relates to amounts not paid for consumption dating back more than two years for which the end user has not raised the statute of limitations, despite the conditions being met, the manager is required to attach to the communication referred to in the subsequent paragraph 4.5 the following textual notice: &lt;&lt;“Amounts for consumption dating back more than two years may not be paid, in accordance with the 2018 Budget Law (Law 205/17) as amended by the 2020 Budget Law (Law No. 160/19). We invite you to promptly communicate your intention to raise the statute of limitations regarding such amounts, for example by sending the attached statute of limitations exception form to the invoice [indicate invoice number], to the contacts listed below [indicate contacts]&gt;&gt;”.</w:t>
      </w:r>
    </w:p>
    <w:p>
      <w:r>
        <w:t>13 Resolution ARERA No. 186/2020/R/WATER imposed on water service managers the inclusion, within invoices containing amounts subject to the statute of limitations under the new regulation, of the following wording: “This invoice contains amounts for consumption dating back more than two years, which may not be paid in accordance with the 2018 Budget Law (Law No. 205/17) as amended by the 2020 Budget Law (Law No. 160/2019). We invite you to promptly communicate your intention to raise the statute of limitations regarding such amounts, for example by sending the completed form attached to the invoice [indicate invoice number] to the contacts listed below [indicate contacts]”.</w:t>
      </w:r>
    </w:p>
    <w:p>
      <w:r>
        <w:t>40 BULLETIN NO. 44 OF DECEMBER 12, 2022</w:t>
        <w:br/>
        <w:t>13. With Resolution No. 186/2020, ARERA stated that, as a result of the amendment introduced by Law No. 160/2019 (in force from January 1, 2020), “the PB provided for by the 2018 Budget Law is based on the mere passage of time”; it also reiterated the binding nature of the regulation contained in the primary norm on the PB (with reference to the 2018 and 2020 Budget Laws) and the specific and immediately prescriptive content for the operators of this primary regulation, in force, for the water sector, from January 1, 2020.</w:t>
      </w:r>
    </w:p>
    <w:p>
      <w:r>
        <w:t>14. Lastly, in compliance with certain rulings of the Administrative Judge14, ARERA issued Resolution of December 21, 2021, No. 610/2021/R/WATER with which it provided: a) to update its regulation confirming, in general terms, the prescriptive content of Resolution No. 186/2020/R/WATER, redefining the informational obligations as a result of the legislative generalization of the two-year statute of limitations; b) to ensure adequate information to the end user in cases where the manager believes it can bill amounts related to consumption dating back more than two years, asserting, in such cases, the existence of an obstacle to the maturation of the statute of limitations under the relevant primary legislation.</w:t>
      </w:r>
    </w:p>
    <w:p>
      <w:r>
        <w:t>15. Specifically, and to further protect end users, the aforementioned Resolution No. 610/2021 provided, in substantial continuity with previous resolutions, that: i) in cases of billing amounts related to consumption dating back more than two years that may be declared prescribed, the manager shall prepare a standard textual notice to be attached to the invoice informing the end user of the presence of such amounts, indicating the methods for raising the statute of limitations; ii) in cases of billing amounts related to consumption dating back more than two years, but for which the manager believes there is a cause for suspension of the statute of limitations, the manager itself shall adequately communicate to the end user the specific reasons for the (presumed) failure to mature the statute of limitations for the right to payment of the amounts, under the relevant primary and general legislation, as well as the possibility of submitting a written complaint regarding the billing of the aforementioned amounts15.</w:t>
      </w:r>
    </w:p>
    <w:p>
      <w:r>
        <w:t>3) The commitments presented by the professional</w:t>
      </w:r>
    </w:p>
    <w:p>
      <w:r>
        <w:t>16. In order to address the concerns raised by the Authority in the communication initiating the procedure, the Municipality of Ragusa submitted, pursuant to Article 27, paragraph 7, of the Consumer Code and Article 9 of the Regulation, a proposal for commitments on June 21, 202216. Following the assignment, by the Authority, of a deadline for the integration of the proposed commitments17, the Professional transmitted an integrated and consolidated version on September 1 and September 9, 202218.</w:t>
      </w:r>
    </w:p>
    <w:p>
      <w:r>
        <w:t>17. The final version of these commitments – attached to this provision and constituting an integral part thereof – specifically provides for the following measures:</w:t>
      </w:r>
    </w:p>
    <w:p>
      <w:r>
        <w:t>14 Administrative Court of Lombardy, I section, rulings No. 1442, 1443, and 1448 dated June 14, 2021.</w:t>
      </w:r>
    </w:p>
    <w:p>
      <w:r>
        <w:t>15 Also with Resolution No. 610/2021, ARERA proceeded to realign the provisions regarding complaints, default procedures, and minimum content of billing documents as per the previous regulation, with reference, respectively, to Annex A to Resolution No. 655/2015/R/WATER (RQSII), Annex A to Resolution No. 311/2019/R/WATER (REMSI) as well as Annex A to Resolution No. 586/2012/R/WATER.</w:t>
      </w:r>
    </w:p>
    <w:p>
      <w:r>
        <w:t>16 Doc. June 21, 2022, prot. 49301.</w:t>
      </w:r>
    </w:p>
    <w:p>
      <w:r>
        <w:t>17 Doc. of August 4, 2022, prot. 61026.</w:t>
      </w:r>
    </w:p>
    <w:p>
      <w:r>
        <w:t>18 Docs. of September 1, 2022, prot. 66406, and September 9, 2022, prot. No. 68568.</w:t>
      </w:r>
    </w:p>
    <w:p>
      <w:r>
        <w:t>BULLETIN NO. 44 OF DECEMBER 12, 2022 41</w:t>
        <w:br/>
        <w:t>1. “acceptance of requests for the two-year statute of limitations regarding invoices with a due date after 01/01/2020 for billed amounts related to consumption dating back more than two years, giving such users the opportunity to raise the PB obtaining the return of the same amounts possibly already paid, with the attachment, for this purpose, of a copy of the information on the matter intended for the interested parties (form B)”19;</w:t>
      </w:r>
    </w:p>
    <w:p>
      <w:r>
        <w:t>2. “in cases of billing amounts related to consumption dating back more than two years, the Municipality of Ragusa, as the integrated water service manager, even in cases of user responsibility for the delay in billing, is willing to accept requests for the two-year statute of limitations and to return the same amounts, possibly already paid”;</w:t>
      </w:r>
    </w:p>
    <w:p>
      <w:r>
        <w:t>3. in the event of any billing by the manager for consumption dating back more than two years for tariff recoveries, to send appropriate information to consumers regarding the two-year statute of limitations and the possibility of raising such statute of limitations or repeating the amounts already paid (Form A)20. It is expressly committed that such information will be sent together with the invoice issued for tariff recoveries (Form D)21.”</w:t>
      </w:r>
    </w:p>
    <w:p>
      <w:r>
        <w:t>4. “to send to the Authority within thirty days from the date set for the closure of the procedure a report regarding the requests and procedures referred to in commitments 1. and 2.”;</w:t>
      </w:r>
    </w:p>
    <w:p>
      <w:r>
        <w:t>5. “to include the information referred to in Annex D in the invoices related to the 2022 balance, which will be sent by December 31, 2022.”</w:t>
      </w:r>
    </w:p>
    <w:p>
      <w:r>
        <w:t>18. The Professional added to the aforementioned commitments an additional form (C) – already accessible on the Municipality's website22 – for the user's request for recognition of the PB as well as a copy of the press release, published on September 5 of this year on the same site, concerning “two-year statute of limitations for water consumption”23.</w:t>
      </w:r>
    </w:p>
    <w:p>
      <w:r>
        <w:t>19 Attached to the Commitment Form. The information contained therein states, specifically: “Dear user, with reference to the water invoice in question, related to the role &lt;&lt;Water excess year – tariff recoveries&gt;&gt; it is communicated and clarified, pursuant to Articles 1 and 4 of Law 205/2017 and Resolution ARERA of December 17, 2019, No. 547/2018/R/Water (Article 3.2), amended and supplemented by the subsequent Resolution ARERA of May 26, 2020, No. 186/2020/R/Water, that the invoice in question contains amounts for consumption dating back more than two years, which may not need to be paid in accordance with the aforementioned Budget Law (Law 205/2017). We therefore invite you to communicate your possible intention not to pay the requested amounts using the &lt;&lt;two-year statute of limitations&gt;&gt; form attached to this note, to be sent to the following email addresses (…) or by hand to (…). If you have already paid the amount requested in the invoice, you still have the right to raise the statute of limitations and submit a refund request by completing the &lt;&lt;Form A&gt;&gt; attached to this document, also presenting a copy of the receipt certifying the payment made.”</w:t>
      </w:r>
    </w:p>
    <w:p>
      <w:r>
        <w:t>20 Attached to the Commitment Form. The form, entitled “refund request” and pre-addressed to the water office of the Municipality of Ragusa, contains specific spaces where the user can note the personal and supply data necessary to obtain the refund of the amounts indicated in the invoice and raised as prescribed.</w:t>
      </w:r>
    </w:p>
    <w:p>
      <w:r>
        <w:t>21 Attached to the Commitment Form and titled “INFORMATION TO BE INCLUDED IN THE WATER INVOICE.” The text is as follows: “From January 1, 2020, it is possible to raise the two-year statute of limitations for billed amounts related to consumption dating back more than two years. In the event that the invoice contains amounts related to consumption dating back more than two years, the form to request the PB and the form to request the refund of the same amounts, possibly already paid, can be downloaded from the Municipality of Ragusa's website. The forms indicate the address to which to send the request” (bold in the original).</w:t>
      </w:r>
    </w:p>
    <w:p>
      <w:r>
        <w:t>22 At the link file:///D:/Users/agcmcce/Downloads/modulo_prescrizione_biennale%20(5).pdf.</w:t>
      </w:r>
    </w:p>
    <w:p>
      <w:r>
        <w:t>23 The press release No. 477 (accessible at the address https://www.comune.ragusa.it/it/news/114913/prescrizione-biennale-per-i-consumi-idrici) states: “Two-year statute of limitations for water consumption - From January 1, 2020, the statute of limitations for water consumption has changed from 5 to 2 years, in application of the measures introduced by the 2018 Budget Law (Law No. 205/17), as amended by the 2020 Budget Law (Law No. 160/2019). This is communicated by the integrated water service of the Municipality of Ragusa with a note in which it is also specified that the end customer, belonging to one of the categories identified by the law and by ARERA resolutions No. 547/19 and No. 610/21, can raise the statute of limitations regarding</w:t>
      </w:r>
    </w:p>
    <w:p>
      <w:r>
        <w:rPr>
          <w:b/>
        </w:rPr>
        <w:t>[Pages 40–42]</w:t>
      </w:r>
    </w:p>
    <w:p>
      <w:r>
        <w:t>42 BULLETIN NO. 44 OF DECEMBER 12, 2022</w:t>
      </w:r>
    </w:p>
    <w:p>
      <w:r>
        <w:t>IV. OPINION OF THE AUTHORITY FOR ENERGY, NETWORKS AND ENVIRONMENT</w:t>
      </w:r>
    </w:p>
    <w:p>
      <w:r>
        <w:t>19. Since the commercial practice subject to this provision concerns the water services sector, on October 5, 2022, an opinion was requested from the Authority for Energy, Networks and Environment, pursuant to and for the purposes of Article 27, paragraph 1-bis, of the Consumer Code, introduced by Article 1, paragraph 6, letter a), of Legislative Decree No. 21/2014.</w:t>
      </w:r>
    </w:p>
    <w:p>
      <w:r>
        <w:t>20. In the opinion – received on November 17, 2022 – ARERA, after illustrating the "implementation path related to the regulation of enhanced protection for the benefit of end users in cases of billing amounts for consumption dating back more than two years," makes some observations on the individual commitments presented by the Professional.</w:t>
      </w:r>
    </w:p>
    <w:p>
      <w:r>
        <w:t>21. In summary, said Authority, noting the absence of concerns ("with regard to the reference regulation") regarding commitments 2) and 4)24, believes, however, that the wording indicated by the Professional in commitments 1), 3), and 5) – in order to inform its users about certain rights and prerogatives granted by the current PB regulation – is not entirely aligned with the formulation of the standard text notice established in the resolutions for the corresponding hypothesis. Specifically:</w:t>
        <w:br/>
        <w:t>- regarding commitment no. 1)25, the text notice present on Form B) (entitled "NOTICE OF POSSIBILITY TO RAISE THE STATUTE OF LIMITATIONS pursuant to the 2018 Budget Law") attached to the Form submitted by the Professional, would not be entirely consistent with the "standard" set by ARERA in Article 3, paragraph 3.2, of Annex B to Resolution 547/2019/R/IDR as amended by Resolution 610/2021/R/IDR26;</w:t>
        <w:br/>
        <w:t>to such amounts, for invoices with a due date after January 1, 2020. On the website of the Municipality of Ragusa, it is possible to download the form to request the two-year statute of limitations, which indicates the address to which to send the request."</w:t>
      </w:r>
    </w:p>
    <w:p>
      <w:r>
        <w:t>24 Respectively, "accept the requests for the two-year statute of limitations and return to end users any amounts that may have already been paid, even in the case of the same user's responsibility for the billing delay" and "send a report to the Authority within thirty days from the date set for the closure of the procedure regarding the requests and procedures referred to in commitments no. 1 and 2."</w:t>
      </w:r>
    </w:p>
    <w:p>
      <w:r>
        <w:t>25 Concerning "proceeding to accept requests for the two-year statute of limitations in relation to invoices with a due date after 01/01/2020, for billed amounts related to consumption dating back more than two years, giving users the opportunity to raise the statute of limitations and obtain the return of any amounts already paid, with the attachment of a copy of the information on the matter intended for the interested users (Form B)."</w:t>
      </w:r>
    </w:p>
    <w:p>
      <w:r>
        <w:t>26 The two versions of the notice in question are reported in the following comparison table:</w:t>
      </w:r>
    </w:p>
    <w:p>
      <w:r>
        <w:t>Municipality of Ragusa - Form B ARERA – Article 3, paragraph 3.2, of Annex B to Resolution 547/2019/R/IDR as amended by Resolution 610/2021/R/IDR</w:t>
      </w:r>
    </w:p>
    <w:p>
      <w:r>
        <w:t>"Dear user, with reference to the water invoice in question, relating to the role 'Water excess year _ - Tariff recoveries,' it is communicated and clarified, pursuant to Articles 1 and 4 of Law 205/2017 and ARERA resolution of December 17, 2019 no. 547/2018/R/idr (Article 3.2), as amended and supplemented by the subsequent ARERA resolution of May 26, 2020 no. 186/2020/R/idr, that the invoice in question contains amounts for consumption dating back more than two years, which may not need to be paid in application of the 2018 Budget Law (Law no. 160/19). We invite you to promptly communicate your intention to raise the statute of limitations regarding such amounts, for example by sending the completed form 'Two-Year Statute of Limitations' attached to this notice, to the following contacts [indicate the email addresses: ufficio.protocollo@comune.ragusa.it. Or protocollo@pec.comune.ragusa.it. Or by hand to the protocol office located in Ragusa in Corso Italia. If you have already paid the requested amount in the invoice, you still have the right to raise the statute of limitations and submit a refund request by completing the 'Form A' attached to this notice, also presenting a copy of the receipt certifying the payment made."</w:t>
      </w:r>
    </w:p>
    <w:p>
      <w:r>
        <w:t>BULLETIN NO. 44 OF DECEMBER 12, 2022 43</w:t>
      </w:r>
    </w:p>
    <w:p>
      <w:r>
        <w:t>- also with reference to commitments no. 3)27 and no. 5)28, there would not be full adherence between the text notice present on Form D) attached to the Form submitted by the Professional (entitled "Information to be included in the water invoice") and the "standard" set by ARERA in Article 3, paragraph 3.2, of Annex B to Resolution 547/2019/R/IDR29; moreover, the Professional, according to the Regulator, would have failed to highlight "in the additional page to be attached to invoices containing amounts for consumption dating back more than two years (...) a section containing a format that the end user can use to raise the statute of limitations on the billed amounts" in order to allow customers to "effectively exercise the advantageous position provided by the legislator."</w:t>
      </w:r>
    </w:p>
    <w:p>
      <w:r>
        <w:t>V. EVALUATION OF THE COMMITMENTS</w:t>
      </w:r>
    </w:p>
    <w:p>
      <w:r>
        <w:t>22. With the introduction of the 2018 Budget Law, as amended by the 2020 Budget Law, the legislator intended to curb and limit the phenomenon known as "maxi bills" due to the late issuance of adjustment invoices for water consumption by SII managers. It had become evident that due to the previous commercial regime of supplies, characterized by frequent untimely billing and/or adjustment of consumption accompanied by the charge of significant amounts, consumers (as the "weaker" party in the contractual and consumption relationship) were severely penalized, not only by the high amounts of the bills but also in their ability to control their consumption and plan the related expenditure.</w:t>
      </w:r>
    </w:p>
    <w:p>
      <w:r>
        <w:t>23. The aforementioned regulation expressly provided for different entry into force dates of the new discipline considering the peculiarities of the various utility sectors (particularly the water sector, still characterized by a certain territorial fragmentation of Managers and by longstanding organizational and budgetary issues) and in order to allow operators a sufficiently ample time for the adjustment of procedures.</w:t>
      </w:r>
    </w:p>
    <w:p>
      <w:r>
        <w:t>27 Entailing "in the event of billing amounts related to consumption dating back more than two years for tariff recoveries, to send, together with the issued invoices, suitable information to end users regarding the two-year statute of limitations (Annex D), as well as regarding the possibility of raising it or repeating the amounts already paid";</w:t>
      </w:r>
    </w:p>
    <w:p>
      <w:r>
        <w:t>28 "to include the information referred to in Annex D in the invoices relating to the 2022 balance, which will be sent by December 31, 2022."</w:t>
      </w:r>
    </w:p>
    <w:p>
      <w:r>
        <w:t>29 The two versions of the notice in question are reported in the following comparison table:</w:t>
      </w:r>
    </w:p>
    <w:p>
      <w:r>
        <w:t>Municipality of Ragusa - Form D ARERA – Article 3, paragraph 3.2, of Annex B to Resolution 547/2019/R/IDR</w:t>
      </w:r>
    </w:p>
    <w:p>
      <w:r>
        <w:t>"Starting from January 1, 2020, it is possible to raise the statute of limitations for billed amounts related to consumption dating back more than two years. In the event that the invoice contains amounts related to consumption dating back more than two years, on the website of the Municipality of Ragusa it is possible to download the form to request the two-year statute of limitations and the form to request the refund of the same amounts, if already paid. The forms indicate the address to which to send the request."</w:t>
      </w:r>
    </w:p>
    <w:p>
      <w:r>
        <w:t>44 BULLETIN NO. 44 OF DECEMBER 12, 2022</w:t>
      </w:r>
    </w:p>
    <w:p>
      <w:r>
        <w:t>In any case, to date, all SII Managers are indiscriminately called to the correct and complete application of the legislative and regulatory discipline on PB according to the interpretation – referred to above in part III, paragraph 2) – most aligned with the rationale of the norm and oriented towards the protection of users, as the weaker party in the contractual and consumption relationship30.</w:t>
      </w:r>
    </w:p>
    <w:p>
      <w:r>
        <w:t>24. That said, the Authority believes that the commitments presented by the Municipality of Ragusa are suitable to remedy the possible conflicts with the Consumer Code contested in the communication initiating the procedure of September 17, 2021.</w:t>
      </w:r>
    </w:p>
    <w:p>
      <w:r>
        <w:t>25. The measures presented, in fact, have the effect not only of interrupting the aforementioned conduct but also of reinstating, for the affected consumers, the rights due to them under the current PB regulation, with which the legislator intended to equip the user with the ability to raise the statute of limitations on credits related to consumption dating back more than two years from the date of issuance of the invoice, regardless of any direct responsibility for late/timely billing.</w:t>
      </w:r>
    </w:p>
    <w:p>
      <w:r>
        <w:t>26. Specifically, the offered interventions appear to guarantee general and individual information to consumers regarding the entry into force and the operation of the legislative and regulatory discipline on PB and the prerogatives pertaining to invoices bearing amounts for past consumption billed with a delay of more than two years; moreover, users (including those responsible for the billing delay) already affected by the aforementioned discipline are assured the right to raise the two-year statute of limitations and/or request the refund of any amounts unduly paid.</w:t>
      </w:r>
    </w:p>
    <w:p>
      <w:r>
        <w:t>27. Adhering to the correct interpretation and fully incorporating the relevant regulations – in line with the now consolidated orientation of this Authority also in the water services sector31 – the Municipality of Ragusa has first committed to providing its users with complete and transparent information regarding the entry into force and the updated discipline of PB as well as regarding the possibility granted to its users to raise the relevant exception, also through online request forms, concerning the amounts that may be subject to the statute of limitations present in the invoice.</w:t>
      </w:r>
    </w:p>
    <w:p>
      <w:r>
        <w:t>28. In this perspective, therefore, in order to overcome communication-related issues, the Manager has already published a suitable notice on its institutional website directed to the generality of consumers (communication no. 477 of September 5, 2022) and has also committed – specifically with measures no. 3) and 5) – to convey from the next billing cycle to individual recipients of invoices bearing amounts related to consumption dating back more than two years, an information attached to the bill32 intended to alert the user about the existence of claimable credits, the possibility and methods of raising the short statute of limitations as well as requesting the refund of the same amounts where already paid.</w:t>
      </w:r>
    </w:p>
    <w:p>
      <w:r>
        <w:t>30 This interpretation had been supported by this Authority in previous interventions in the energy services sector (https://www.agcm.it/media/comunicati-stampa/2021/1/PS11564-PS11569) and confirmed by the administrative judge (Tar Lazio, section I, rulings dated February 28, 2022, nos. 2302 and 2332)</w:t>
      </w:r>
    </w:p>
    <w:p>
      <w:r>
        <w:t>31 See PS12084 - MUNICIPALITY OF CASSINO-ICA/TWO-YEAR STATUTE OF LIMITATIONS WATER SECTOR – resolution no. 30119 of April 12, 2022; PS12081 - SASI/TWO-YEAR STATUTE OF LIMITATIONS WATER SECTOR, resolution no. 30109 of April 12, 2022; PS11947 - ABBANOA-BILLING ISSUES – resolution no. 30227 of July 5, 2022; PS11743 - E.A.S. SICILIAN AQUEDUCTS ENTITY-TWO-YEAR STATUTE OF LIMITATIONS – resolution no. 30224 of July 5, 2022.</w:t>
      </w:r>
    </w:p>
    <w:p>
      <w:r>
        <w:t>32 The aforementioned "Form D" which states: "Starting from January 1, 2020, it is possible to raise the two-year statute of limitations for billed amounts related to consumption dating back more than two years. In the event that the invoice contains amounts related to consumption dating back more than two years, on the website of the Municipality of Ragusa it is possible to download the form to request the PB and the form to request the refund of the same amounts, if already paid. The forms indicate the address to which to send the request" (bold in the original).</w:t>
      </w:r>
    </w:p>
    <w:p>
      <w:r>
        <w:rPr>
          <w:b/>
        </w:rPr>
        <w:t>[Pages 43–45]</w:t>
      </w:r>
    </w:p>
    <w:p>
      <w:r>
        <w:t>BULLETIN NO. 44 OF DECEMBER 12, 2022 45</w:t>
      </w:r>
    </w:p>
    <w:p>
      <w:r>
        <w:t>29. Regarding ARERA's observations about the non-complete formal identity of the wording used by the Municipality in the B and D forms, with the standard textual notices provided by the sector regulations, the need – highlighted by the Regulator – for strict compliance with said regulations is shared, but it is of primary importance in this context that the communications provided by the SII manager of Ragusa achieve the substantial and directly protective effect for consumer-users, aimed at providing broad and complete information on the existence and current characteristics of the PB institution as well as on the related rights and prerogatives to which they are entitled. This objective informational guarantee should be duly appreciated also within the overall framework of the measures provided by the Manager.</w:t>
      </w:r>
    </w:p>
    <w:p>
      <w:r>
        <w:t>30. As for the application profiles of the regulation in question – specifically regarding the contested indiscriminate rejection of users' requests for recognition of the PB – the Professional, with the aim of facilitating users in presenting the exception and/or requesting a refund in the event of payment made, has prepared two distinct forms (“A” and “C”) that remain accessible and downloadable directly from the Entity's website, in the section dedicated to local water services, and which, once filled out with the necessary data, can be submitted to the Manager electronically or delivered, in paper form, at the dedicated physical counter.</w:t>
      </w:r>
    </w:p>
    <w:p>
      <w:r>
        <w:t>31. Above all, the Municipality has committed – through measure no. 1) and the “Form B” to be sent to the interested parties – to accept all previous requests for recognition of the short prescription concerning invoices with a due date after 01/01/2020 that contain amounts related to consumption over two years old and to refund any amounts already paid to the Manager for the same amounts.</w:t>
      </w:r>
    </w:p>
    <w:p>
      <w:r>
        <w:t>32. On this point, it appears relevant – to support the correct interpretation of the current regulation on PB and its coherent implementation – the commitment no. 2) according to which the Manager “is willing to accept” the prescription exceptions presented by users “even in case of their responsibility” for the delay in billing: this measure, in fact – as specified in the same Form presented by the Municipality – is in proper compliance with the updated regulation of the institution, where Article 1, paragraph 295, of Law No. 160/2019 (2020 Budget Law), repealing paragraph 5 of Article 1 of Law No. 205/201733 (2018 Budget Law), excluded the inadmissibility of the short prescription exception by the Manager even in cases of established user responsibility for failure/delayed billing (except in cases of fraud under Article 2941, no. 8, of the Civil Code).</w:t>
      </w:r>
    </w:p>
    <w:p>
      <w:r>
        <w:t>33. In light of the above considerations, it is believed that the commitments presented meet the requirements set forth in Article 27, paragraph 7, of the Consumer Code.</w:t>
      </w:r>
    </w:p>
    <w:p>
      <w:r>
        <w:t>THEREFORE, it is deemed that the commitments presented by the Municipality of Ragusa, in its capacity as the local Manager of water services, in the terms outlined above, are suitable to eliminate the possible profiles of unfairness of the commercial practice subject to investigation;</w:t>
      </w:r>
    </w:p>
    <w:p>
      <w:r>
        <w:t>IT IS DEEMED appropriate to impose the obligation of the aforementioned commitments on the Municipality of Ragusa, in its capacity as the local Manager of water services;</w:t>
      </w:r>
    </w:p>
    <w:p>
      <w:r>
        <w:t>IT IS DEEMED, therefore, that the procedure can be closed without establishing the infringement;</w:t>
      </w:r>
    </w:p>
    <w:p>
      <w:r>
        <w:t>33 This paragraph stated: “the provisions of paragraph 4 do not apply if the failure or erroneous detection of consumption data is due to established responsibility of the user.”</w:t>
      </w:r>
    </w:p>
    <w:p>
      <w:r>
        <w:t>46 BULLETIN NO. 44 OF DECEMBER 12, 2022</w:t>
      </w:r>
    </w:p>
    <w:p>
      <w:r>
        <w:t>RESOLUTION</w:t>
      </w:r>
    </w:p>
    <w:p>
      <w:r>
        <w:t>a) to make mandatory, towards the Municipality of Ragusa as the local Manager of water services, pursuant to Article 27, paragraph 7, of the Consumer Code and Article 9, paragraph 2, letter a), of the Regulation, the commitments presented by the same Entity on June 21, 2022, subsequently supplemented and consolidated on September 1 and 9, 2022, as described, in the consolidated version, in the declaration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the Municipality of Ragusa in its capacity as the local Manager of water services,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t>BULLETIN NO. 44 OF DECEMBER 12, 2022 47</w:t>
      </w:r>
    </w:p>
    <w:p>
      <w:r>
        <w:t>PS12372 - BUSINESS REGISTER ITALY - DATABASES</w:t>
      </w:r>
    </w:p>
    <w:p>
      <w:r>
        <w:t>Provision No. 30386</w:t>
      </w:r>
    </w:p>
    <w:p>
      <w:r>
        <w:t>THE AUTHORITY FOR COMPETITION AND THE MARKET</w:t>
      </w:r>
    </w:p>
    <w:p>
      <w:r>
        <w:t>IN ITS MEETING of November 22, 2022;</w:t>
      </w:r>
    </w:p>
    <w:p>
      <w:r>
        <w:t>HEARD the Rapporteur, Professor Elisabetta Iossa;</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August 1, 2022, which initiated procedure PS/12372 against MMM S.r.l.s.;</w:t>
      </w:r>
    </w:p>
    <w:p>
      <w:r>
        <w:t>VIEWED the documents of the procedure;</w:t>
      </w:r>
    </w:p>
    <w:p>
      <w:r>
        <w:t>I. THE PARTY</w:t>
      </w:r>
    </w:p>
    <w:p>
      <w:r>
        <w:t>1. MMM S.r.l.s. (hereinafter also MMM) as a professional, pursuant to Article 18, paragraph 1, letter b) of the Consumer Code. The company has as its corporate purpose the provision of IT services.</w:t>
      </w:r>
    </w:p>
    <w:p>
      <w:r>
        <w:t>II. THE COMMERCIAL PRACTICE SUBJECT TO THE PROCEDURE</w:t>
      </w:r>
    </w:p>
    <w:p>
      <w:r>
        <w:t>2. The commercial practice carried out by the professional consists of:</w:t>
      </w:r>
    </w:p>
    <w:p>
      <w:r>
        <w:t>(i) sending via email to newly established micro-enterprises a communication containing a payment request, which implies that it concerns obligations required by the Chamber of Commerce in relation to the recent registration in the Business Register and is therefore a payment due; in reality, the aim is to induce the recipient companies to unwittingly subscribe to a paid IT service consisting of the insertion of certain business data into the platform www.registroimpreseitalia.net;</w:t>
      </w:r>
    </w:p>
    <w:p>
      <w:r>
        <w:t>(ii) opposing obstacles to the exercise of contractual rights.</w:t>
      </w:r>
    </w:p>
    <w:p>
      <w:r>
        <w:t>III. THE OUTCOMES OF THE PROCEDURE</w:t>
      </w:r>
    </w:p>
    <w:p>
      <w:r>
        <w:t>1. The course of the procedure</w:t>
      </w:r>
    </w:p>
    <w:p>
      <w:r>
        <w:t>3. Following reports regarding the above-described practice from the Chamber of Commerce of Padua and several micro-enterprises, on August 1, 2022, the professional was notified of the initiation of the investigative procedure for possible violation of Articles 20, 24, 25, paragraph 1, letter d) and 26, paragraph 1, letter f) of the Consumer Code.</w:t>
      </w:r>
    </w:p>
    <w:p>
      <w:r>
        <w:t>In this context, it was hypothesized that the commercial conduct of the professional was likely to exert undue pressure on the recipient companies, leading them to believe that the</w:t>
      </w:r>
    </w:p>
    <w:p>
      <w:r>
        <w:rPr>
          <w:b/>
        </w:rPr>
        <w:t>[Pages 46–48]</w:t>
      </w:r>
    </w:p>
    <w:p>
      <w:r>
        <w:t>48 BULLETIN NO. 44 OF DECEMBER 12, 2022</w:t>
      </w:r>
    </w:p>
    <w:p>
      <w:r>
        <w:t>the requested payment derived from obligations resulting from the recent registration in the Business Register and hindered their withdrawal.</w:t>
      </w:r>
    </w:p>
    <w:p>
      <w:r>
        <w:t>4. Along with the communication initiating the procedure, a request for information was also sent pursuant to Article 12, paragraph 1, of the Regulation.</w:t>
      </w:r>
    </w:p>
    <w:p>
      <w:r>
        <w:t>5. On August 29, 2022, the defense memorandum of the professional was received.1</w:t>
      </w:r>
    </w:p>
    <w:p>
      <w:r>
        <w:t>6. On September 27, 2022, a request for information concerning the current account relationship held by the professional with Banca Sella S.p.A. was sent, to which the latter responded on September 29, 2022.2</w:t>
      </w:r>
    </w:p>
    <w:p>
      <w:r>
        <w:t>7. On October 17, 2022, the Party was informed of the conclusion date of the investigative phase pursuant to Article 16, paragraph 1, of the Regulation.3</w:t>
      </w:r>
    </w:p>
    <w:p>
      <w:r>
        <w:t>8. The professional did not produce conclusive memoranda.</w:t>
      </w:r>
    </w:p>
    <w:p>
      <w:r>
        <w:t>2. The evidence acquired</w:t>
      </w:r>
    </w:p>
    <w:p>
      <w:r>
        <w:t>9. According to reports received from the Chamber of Commerce of Padua4 and from some micro-enterprises located in various Regions5, starting from the first days of March 2022, MMM sent to the corporate email address of Italian micro-enterprises a communication containing a pre-filled request for payment via bank transfer of the amount of €189.86 and an accompanying note. This communication was sent to the micro-enterprises shortly after their registration or annotation in the business register at the Chambers of Commerce (hereinafter also CCIAA).</w:t>
      </w:r>
    </w:p>
    <w:p>
      <w:r>
        <w:t>10. The payment request prominently features the heading "Registro Imprese Italia" in bold, large characters, preceded by a small reproduction of the Italian flag; followed by the wording "Portale Imprese Camera di Commercio" in smaller characters. Lower down appears the notice: "PAYMENT NOTIFICATION - REG-IMPR" followed by the indication: "COMPANY REGISTERED WITH THE CHAMBER OF COMMERCE, INDUSTRY, AGRICULTURE AND CRAFTS (C.C.I.A.A.)". Subsequently, the following description is provided, in smaller characters: "PAYMENT NOTIFICATION (REG-IMPR-ITALIA) YEAR 2022 FOR REGISTRATION ON THE PLATFORM REGISTROIMPRESEITALIA.NET AS SENDER OF THIS LETTER COMPOSED OF ONE A4 SHEET, FRONT/BACK. THE ABOVE-NAMED PLATFORM IS THE DATABASE OF ITALIAN COMPANIES. AT THE TIME OF PAYMENT, THIS LETTER'S PAGE DISPLAYS ALL THE BUSINESS DATA OF THE RECIPIENT, AMOUNT AND DUE DATE REFERRED TO THE VALIDITY OF THE REQUEST."</w:t>
      </w:r>
    </w:p>
    <w:p>
      <w:r>
        <w:t>11. To the right of the aforementioned description is a QR CODE preceded by the indication "SCAN THE QRCODE AND PAY WITH SEPA TRANSFER".</w:t>
      </w:r>
    </w:p>
    <w:p>
      <w:r>
        <w:t>12. On the back of the payment request, in a merely optional consultation document, there is an accompanying note that also bears the heading "Registro Imprese Italia" in bold, large characters, preceded by a small reproduction of the Italian flag; followed by the wording "Portale Imprese Camera di Commercio" in smaller characters. In this note, centrally positioned, is the following wording: "REGISTRATION 12 MONTHS AT REGISTROIMPRESEITALIA.NET OFFERED TO COMPANIES REGISTERED WITH THE CHAMBER OF COMMERCE, INDUSTRY, AGRICULTURE AND CRAFTS (C.C.I.A.A.) SENDER REGISTRO IMPRESE ITALIA SERVICES TO COMPANIES". The note states, in difficult-to-read characters: "DEAR COMPANY, we are pleased to welcome you to the complex competitive Italian economy and to offer you the opportunity to be part of the website www.registroimpreseitalia.net, a portal reserved for members of the Chamber of Commerce, Industry, Agriculture aimed at providing greater visibility to companies. The market objective, with the creation of a showcase page, is to offer immediate and ready commercial visibility and access to numerous potential customers through an internal search engine. Registroimpreseitalia.net is designed to connect you with people looking for your services and products, so you will not only have an interesting web page but also a number of potential customers on the same portal. If you accept the proposal, you will be able to access your reserved area and customize your profile in the designated web space as you wish. Furthermore, with photos and informational material you send and a text that explains in detail what your business does, along with keywords that will facilitate web searches, you will be able to find potential customers everywhere. The registration method and any other issues related to the acceptance of our proposal will be governed by the general contract conditions set out on page 2. Membership is optional and has exclusively commercial purposes and does not replace in any way the obligations imposed by the Italian State and the Business Register."</w:t>
      </w:r>
    </w:p>
    <w:p>
      <w:r>
        <w:t>13. From the documentation attached to the reports received, it emerges that the payment request is not accompanied by the general contract conditions.</w:t>
      </w:r>
    </w:p>
    <w:p>
      <w:r>
        <w:t>14. From the information provided by Banca Sella6, it appears that the IBAN code IT 54 S 03268 22300052965409710, indicated in the described communications, corresponds to a current account held by MMM S.r.l.s.. The elements in the records7 indicate that the aforementioned account was opened on February 15, 2022, and that between February 21 and March 17, 2022, over 60 transfers of €189.86 were credited to it. Following an express request from the professional, between March 4 and 7, 2022, 40 transfers were reversed. The account was closed on June 24, 2022.</w:t>
      </w:r>
    </w:p>
    <w:p>
      <w:r>
        <w:t>15. It should finally be noted that the portal containing the official data of the Chambers of Commerce, managed by Unioncamere through Infocamere S.C.p.A., is called "registroimprese.it".</w:t>
      </w:r>
    </w:p>
    <w:p>
      <w:r>
        <w:t>IV. THE DEFENSE ARGUMENTS OF THE PROFESSIONAL</w:t>
      </w:r>
    </w:p>
    <w:p>
      <w:r>
        <w:t>16. In his defense, the professional stated that in March 2022, when he began to receive credits of €189.86 on the current account held at Banca Sella, he promptly took action by asking the bank to reverse the amounts received and to block incoming transfers.</w:t>
      </w:r>
    </w:p>
    <w:p>
      <w:r>
        <w:t>V. EVALUATIONS</w:t>
      </w:r>
    </w:p>
    <w:p>
      <w:r>
        <w:t>17. As a preliminary matter, it is noted that the documentation in the records shows that the conduct under examination has involved companies that meet the characteristics referred to in Article 18, paragraph 1, letter d-bis), of the Consumer Code, prejudicing their economic behavior.</w:t>
      </w:r>
    </w:p>
    <w:p>
      <w:r>
        <w:t>18. The commercial practice carried out by MMM consists of: (i) sending to newly established micro-enterprises a communication containing a payment request, which implies that it concerns obligations required by the Chamber of Commerce in relation to the recent registration in the Business Register and is therefore a payment due; in reality, the aim is to induce the unwitting adherence of the recipient companies to a paid IT service represented by the insertion of certain business data into the platform www.registroimpreseitalia.net; (ii) opposing obstacles to the exercise of contractual rights.</w:t>
      </w:r>
    </w:p>
    <w:p>
      <w:r>
        <w:t>19. The commercial proposal of the professional, which was never requested or solicited by the recipients, appears to suggest, due to its coincidence with the recent registration of the recipient micro-enterprises in the Business Register and its overall presentation, that it comes from a Chamber of Commerce and is related to the payment of due chamber fees or other administrative obligations. This deception is compounded by the evident similarity between the name of the portal "Registro imprese", where the official data managed by the Chambers of Commerce are inserted, and "Registro Imprese Italia", the name of the platform indicated in the payment requests sent to the micro-enterprises.</w:t>
      </w:r>
    </w:p>
    <w:p>
      <w:r>
        <w:t>20. In reality, the actual purpose of the communication consists of the offer of a commercial service on the portal called www.registroimpreseitalia.net. The commercial purpose does not appear to be clearly stated from the first contact, as it emerges exclusively in the accompanying note, which is merely an optional consultation document, presented in very small graphic characters, significantly smaller than all other indications contained in the communication itself.</w:t>
      </w:r>
    </w:p>
    <w:p>
      <w:r>
        <w:t>21. The communication, in its overall setting, is therefore suitable to unduly condition the decision-making process of the recipient micro-enterprises, which, believing that the payment request comes from a Chamber of Commerce, are led to think that it is a payment due for the fulfillment of specific obligations imposed by law from which they cannot escape.</w:t>
      </w:r>
    </w:p>
    <w:p>
      <w:r>
        <w:rPr>
          <w:b/>
        </w:rPr>
        <w:t>[Pages 49–51]</w:t>
      </w:r>
    </w:p>
    <w:p>
      <w:r>
        <w:t>BULLETIN NO. 44 OF DECEMBER 12, 2022 51</w:t>
      </w:r>
    </w:p>
    <w:p>
      <w:r>
        <w:t>Such conduct, aimed at exploiting the good faith of newly established microenterprises in relation to the obligations connected to chamber registration, is therefore to be considered in violation of Articles 20 and 24 of the Consumer Code.</w:t>
      </w:r>
    </w:p>
    <w:p>
      <w:r>
        <w:t>22. The initiative of the professional to reverse part of the received bank transfers, although aimed at partially remedying the effects of the conduct, does not exclude the deceptive nature of the communication and the payment request received by the microenterprises and the undue conditioning they suffered.</w:t>
      </w:r>
    </w:p>
    <w:p>
      <w:r>
        <w:t>Indeed, the illicit in question can be framed within the category of mere danger offenses, with the consequence that only the potential injury to the free determination of the recipients, induced to make a commercial decision they would not have otherwise made, should be considered, regardless of any actual prejudice caused to them.8</w:t>
      </w:r>
    </w:p>
    <w:p>
      <w:r>
        <w:t>23. The communication also includes a request for payment of a predetermined amount by a peremptory deadline related to an unsolicited service and thus constitutes an aggressive practice per se under Article 26, paragraph 1, letter f), of the Consumer Code.</w:t>
      </w:r>
    </w:p>
    <w:p>
      <w:r>
        <w:t>24. Finally, the aggressive nature of the practice is also found in the obstacle it poses to the rights of the recipient microenterprises, in violation of Article 25, paragraph 1, letter d), of the Consumer Code. In particular, the omission in the communication of any information regarding the right of withdrawal appears potentially capable of hindering the exercise of such contractually granted right to the enterprises.</w:t>
      </w:r>
    </w:p>
    <w:p>
      <w:r>
        <w:t>25. In conclusion, the conduct of the professional constitutes an unfair commercial practice under Articles 20, 24, 25, paragraph 1, letter d), and 26, paragraph 1, letter f), of the Consumer Code, as it is capable of misleading the recipient microenterprises regarding the origin, purpose of the communication and the payment request, as well as capable of exerting undue conditioning aimed at inducing the microenterprises to pay the amount demanded for the purchase of an unsolicited service and likely to hinder the exercise of the rights of the microenterprises.</w:t>
      </w:r>
    </w:p>
    <w:p>
      <w:r>
        <w:t>VI. QUANTIFICATION OF THE SANCTION</w:t>
      </w:r>
    </w:p>
    <w:p>
      <w:r>
        <w:t>26.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27.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enterprise to eliminate or mitigate the infringement, the personality of the agent, as well as the economic conditions of the professional.</w:t>
      </w:r>
    </w:p>
    <w:p>
      <w:r>
        <w:t>28. With regard to the severity of the violation, in the case at hand, account is taken of the dissemination of the commercial practice across the national territory, as the professional sent their communications to microenterprises located in various Italian Regions.</w:t>
      </w:r>
    </w:p>
    <w:p>
      <w:r>
        <w:t>The severity of the practice is also appreciated when considering the type of means used to contact the microenterprises, consisting of a communication via email capable of directly and personally reaching the recipients; the insidious methods adopted to induce newly established microenterprises to pay the requested amounts by deceiving their good faith, as well as the significant economic harm caused to recipients who show reduced economic-financial dimensions and who have just started their business activity. Moreover, it must be considered that the professional, between March 4 and 7, 2022, reversed part of the received bank transfers, partially remedying the effects of the conduct carried out.</w:t>
      </w:r>
    </w:p>
    <w:p>
      <w:r>
        <w:t>29. Regarding the duration of the violation, from the elements acquired in the records, it appears that the commercial practice was carried out by the professional starting from February 2022 at least until March 20229.</w:t>
      </w:r>
    </w:p>
    <w:p>
      <w:r>
        <w:t>30. Concerning the economic conditions of the professional, it is noted that it is a simplified limited liability company that has not provided any accounting data regarding its activity. However, it appears that during the duration of the practice, over 60 bank transfers of €189.86 were credited to the professional's current account.</w:t>
      </w:r>
    </w:p>
    <w:p>
      <w:r>
        <w:t>31. Based on these elements, given the predominantly deterrent effect attributed to the administrative pecuniary sanction, it is deemed appropriate to set the amount at €15,000 (fifteen thousand euros).</w:t>
      </w:r>
    </w:p>
    <w:p>
      <w:r>
        <w:t>CONSIDERING, therefore, based on the above considerations, that the commercial practice in question is deemed unfair under Articles 20, 24, 25, paragraph 1, letter d), and 26, paragraph 1, letter f), of the Consumer Code, as it is contrary to professional diligence and capable of unduly conditioning the economic behavior of the recipient enterprises, through the unsolicited sending of a commercial communication containing a pre-filled payment request for an amount of €189.86, implying that the requested payment is due due to regulatory obligations arising from the recent registration in the Business Register;</w:t>
      </w:r>
    </w:p>
    <w:p>
      <w:r>
        <w:t>RESOLVES</w:t>
      </w:r>
    </w:p>
    <w:p>
      <w:r>
        <w:t>a) that the commercial practice described in point II of this provision, carried out by the company MMM S.r.l.s., constitutes, for the reasons and limits outlined in the motivation, an unfair commercial practice under Articles 20, 24, 25, paragraph 1, letter d), and 26, paragraph 1, letter f) of the Consumer Code, and prohibits its repetition;</w:t>
      </w:r>
    </w:p>
    <w:p>
      <w:r>
        <w:t>b) to impose on the company MMM S.r.l.s. an administrative pecuniary sanction of €15,000 (fifteen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9 See the aforementioned reports and information transmitted by Banca Sella, from which it emerges that the bank transfers were received by the professional starting from February 21, 2022, and during March 2022.</w:t>
      </w:r>
    </w:p>
    <w:p>
      <w:r>
        <w:t>BULLETIN NO. 44 OF DECEMBER 12, 2022 53</w:t>
      </w:r>
    </w:p>
    <w:p>
      <w:r>
        <w:t>Payment must be made electronically by debiting the professional's bank or postal current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of July 2, 2010, No. 104),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Guido Stazi Roberto Rustichelli</w:t>
      </w:r>
    </w:p>
    <w:p>
      <w:r>
        <w:rPr>
          <w:b/>
        </w:rPr>
        <w:t>[Pages 52–54]</w:t>
      </w:r>
    </w:p>
    <w:p>
      <w:r>
        <w:t>54 BULLETIN NO. 44 OF DECEMBER 12, 2022</w:t>
      </w:r>
    </w:p>
    <w:p>
      <w:r>
        <w:t>PS12418 – BP TESLA HELICOPTERS - LACK OF LICENSE</w:t>
      </w:r>
    </w:p>
    <w:p>
      <w:r>
        <w:t>Notice of initiation of investigative proceedings</w:t>
      </w:r>
    </w:p>
    <w:p>
      <w:r>
        <w:t>ANTITRUST AUTHORITY</w:t>
      </w:r>
    </w:p>
    <w:p>
      <w:r>
        <w:t>Notice of initiation of the investigation, pursuant to Article 6, paragraph 2, and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PS12418.</w:t>
      </w:r>
    </w:p>
    <w:p>
      <w:r>
        <w:t>The publication of this notice, followed by the communication of the initiation of the proceeding, in the weekly Bulletin of the Antitrust Authority, is made pursuant to and for the purposes of Article 6, paragraph 2, and Article 19, paragraph 2, of the Regulation, given the unsuccessful outcome of the attempt to transmit the same initiation communication, made on October 31, 2022, by requesting cooperation from the Embassy of Italy in Bucharest (Romania). The Embassy has indicated that the communication sent was returned to the sender by the Romanian postal authorities due to non-delivery.</w:t>
      </w:r>
    </w:p>
    <w:p>
      <w:r>
        <w:t>For any communication addressed to the Authority regarding the case in question, please refer to Directorate C of the Directorate General for Consumer Protection and the reference PS12418.</w:t>
      </w:r>
    </w:p>
    <w:p>
      <w:r>
        <w:t>_______________________________________________________________</w:t>
      </w:r>
    </w:p>
    <w:p>
      <w:r>
        <w:t>PS12418 – BP TESLA HELICOPTERS - LACK OF LICENSE</w:t>
      </w:r>
    </w:p>
    <w:p>
      <w:r>
        <w:t>Communication of initiation of investigative proceedings</w:t>
      </w:r>
    </w:p>
    <w:p>
      <w:r>
        <w:t>Subject: Communication of initiation of the proceeding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Party</w:t>
      </w:r>
    </w:p>
    <w:p>
      <w:r>
        <w:t>1. BP Tesla S.r.l. (hereinafter also BPT), as a professional, pursuant to Article 18, letter b), of the Consumer Code. The company operates in the air services sector, offering helicopter services for tourism and commercial purposes.</w:t>
      </w:r>
    </w:p>
    <w:p>
      <w:r>
        <w:t>BULLETIN NO. 44 OF DECEMBER 12, 2022</w:t>
      </w:r>
    </w:p>
    <w:p>
      <w:r>
        <w:t>II. The commercial practice</w:t>
      </w:r>
    </w:p>
    <w:p>
      <w:r>
        <w:t>2. Based on reports1 and information acquired from the National Civil Aviation Authority (hereinafter ENAC) for the purposes of applying the Consumer Code, it has emerged that the professional disseminates presumably misleading information on the website www.flytesla.it regarding the services offered. In particular, from the feedback provided by ENAC2, following the request for information dated June 14, 20223, it appears that the professional conducts its activities without the required authorizations.</w:t>
      </w:r>
    </w:p>
    <w:p>
      <w:r>
        <w:t>3. The link "About Us" on the mentioned site leads to the page fly-tesla-helicopter-rental, where the professional states: "Fly-Tesla means choosing the leading helicopter company in Italy for executive passenger transport, better located throughout the national territory and with the most varied fleet. We can transport up to 8 passengers with standard-sized luggage, within the maximum weight limits at takeoff. Fly-Tesla has single-engine and twin-engine helicopters, multi-crew, capable of offering flexibility in services in terms of price and meeting the various needs of customers. Our helicopters are equipped with VIP interiors." (see fig. 1).</w:t>
      </w:r>
    </w:p>
    <w:p>
      <w:r>
        <w:t>fig.1</w:t>
      </w:r>
    </w:p>
    <w:p>
      <w:r>
        <w:t>On the same page, the professional claims to possess "COA certifications (Air Operator Certificate), CAMO (Approval Certificate for the continuous airworthiness management organization), COLA (Air Work Operator Certificate), HOFO (Helicopter Offshore Operations [...])". There is no trace of such certifications at ENAC.</w:t>
      </w:r>
    </w:p>
    <w:p>
      <w:r>
        <w:t>4. The services offered are described in the dedicated section of the site, through a dropdown menu: helitransfer, scenic flights (e.g., over the Island of Elba, the Amalfi Coast, etc.), private events (guided tours, charters, airport transfers, personalized helicopter tours, and VIP helicopter services), wine tours (see fig. 2). The professional, in the "bases" section of the site, also states that it has 10 operational bases located throughout the national territory.</w:t>
      </w:r>
    </w:p>
    <w:p>
      <w:r>
        <w:t>Fig.2</w:t>
      </w:r>
    </w:p>
    <w:p>
      <w:r>
        <w:rPr>
          <w:b/>
        </w:rPr>
        <w:t>[Pages 55–57]</w:t>
      </w:r>
    </w:p>
    <w:p>
      <w:r>
        <w:t>BULLETIN NO. 44 OF DECEMBER 12, 2022 57</w:t>
      </w:r>
    </w:p>
    <w:p>
      <w:r>
        <w:t>5. A section of the website is dedicated to the description of the "fleet" of aircraft, consisting of 4 helicopters and one ultralight aircraft. At the beginning of this section, the professional states, "Fly-Tesla relies on a fleet of helicopters that ensure safety and renowned reliability thanks to aerospace companies that are leaders in the sector."</w:t>
      </w:r>
    </w:p>
    <w:p>
      <w:r>
        <w:t>6. The professional also claims to offer safety and insurance coverage with limits that exceed those required by law (see fig. 3).</w:t>
      </w:r>
    </w:p>
    <w:p>
      <w:r>
        <w:t>fig.3</w:t>
      </w:r>
    </w:p>
    <w:p>
      <w:r>
        <w:t>7. Finally, the professional displays, in the "Partners" section of the homepage, the logos of ENAC and EASA – European Aviation Safety Agency, as well as those of some hotel chains and tourism associations.</w:t>
      </w:r>
    </w:p>
    <w:p>
      <w:r>
        <w:t>III. Possible profiles of unfairness of the commercial practice</w:t>
      </w:r>
    </w:p>
    <w:p>
      <w:r>
        <w:t>8. The behavior described in point II of this communication could constitute a violation of Articles 20, 21, paragraph 1, letter f) and 23, paragraph 1, letter d) of the Consumer Code, as it is likely to induce the average consumer to make commercial decisions that they would not otherwise have made.</w:t>
      </w:r>
    </w:p>
    <w:p>
      <w:r>
        <w:t>58 BULLETIN NO. 44 OF DECEMBER 12, 2022</w:t>
      </w:r>
    </w:p>
    <w:p>
      <w:r>
        <w:t>The advertising of the services offered, without the professional holding the Air Operator Certificate (AOC) and the air transport license, as well as the attribution of the position of "leader," in the absence of supporting data, and the indication of ENAC and EASA as its partners could mislead recipients regarding the nature and qualifications of the operator, in possible violation of Article 21, paragraph 1, letter f) of the Consumer Code.</w:t>
      </w:r>
    </w:p>
    <w:p>
      <w:r>
        <w:t>The unfairness of the practice could also be traced back to Article 23, paragraph 1, letter d) of the Consumer Code, as the overall presentation of the helicopter transport services offered by the professional is likely to imply, contrary to the truth, that the advertised activities are regularly authorized by the competent authorities.</w:t>
      </w:r>
    </w:p>
    <w:p>
      <w:r>
        <w:t>Finally, the promotion of the services in question in the absence of the necessary authorizations appears likely to induce the consumer to purchase under the erroneous belief that the related provision occurs in compliance with the safety requirements guaranteed by the authorizing titles issued by ENAC. This is in contrast to the standard of diligence required from operators in the sector pursuant to Article 20, paragraph 2 of the Consumer Code.</w:t>
      </w:r>
    </w:p>
    <w:p>
      <w:r>
        <w:t>IV. Procedural methods and terms</w:t>
      </w:r>
    </w:p>
    <w:p>
      <w:r>
        <w:t>Based on the above, it is hereby communicated:</w:t>
      </w:r>
    </w:p>
    <w:p>
      <w:r>
        <w:t>a) the initiation of the procedure, pursuant to Article 6 of the Regulation, in order to verify the alleged violations mentioned in point III;</w:t>
      </w:r>
    </w:p>
    <w:p>
      <w:r>
        <w:t>b) that the person responsible for the procedure is Dr. Fabio Massimo Esposito;</w:t>
      </w:r>
    </w:p>
    <w:p>
      <w:r>
        <w:t>c) that the procedure will conclude within 210 days from the date of protocol of this communication, pursuant to Article 7 of the Regulation;</w:t>
      </w:r>
    </w:p>
    <w:p>
      <w:r>
        <w:t>d) that the person responsible for the procedure will communicate, pursuant to Article 16, paragraph 1, of the Regulation, the date of conclusion of the investigative phase;</w:t>
      </w:r>
    </w:p>
    <w:p>
      <w:r>
        <w:t>e) that the person responsible for the procedure will request the opinion from the Authority for Guarantees in Communications, pursuant to Article 16, paragraphs 3 and 4 of the Regulation;</w:t>
      </w:r>
    </w:p>
    <w:p>
      <w:r>
        <w:t>f) that the office where the Parties can access the documents of the procedure, upon written request and telephone contact to establish the access modalities, is Directorate C of the Directorate General for Consumer Protection (tel. 06/85821845). Access may be made directly by the Party or by a person delegated in writing;</w:t>
      </w:r>
    </w:p>
    <w:p>
      <w:r>
        <w:t>g) that the Parties may submit written statements and documents within 30 days from the receipt of this communication.</w:t>
      </w:r>
    </w:p>
    <w:p>
      <w:r>
        <w:t>V. Request for information</w:t>
      </w:r>
    </w:p>
    <w:p>
      <w:r>
        <w:t>In order to acquire useful information for the evaluation of the commercial practice illustrated above, BP Tesla S.r.l. is requested to provide, within 30 days from the receipt of this communication, the following information (accompanied by the relevant documentation, including internal relevance):</w:t>
      </w:r>
    </w:p>
    <w:p>
      <w:r>
        <w:t>1. authorizing titles held, specifying the air transport activities and the services permitted by the obtained title;</w:t>
      </w:r>
    </w:p>
    <w:p>
      <w:r>
        <w:t>2. information on the characteristics and methods of offering the advertised services;</w:t>
      </w:r>
    </w:p>
    <w:p>
      <w:r>
        <w:t>BULLETIN NO. 44 OF DECEMBER 12, 2022 59</w:t>
      </w:r>
    </w:p>
    <w:p>
      <w:r>
        <w:t>3. advertising programming, specifying the methods and means of dissemination (print, television and/or radio broadcasters, billboards…);</w:t>
      </w:r>
    </w:p>
    <w:p>
      <w:r>
        <w:t>4. any other element deemed useful for the evaluation of the case in question.</w:t>
      </w:r>
    </w:p>
    <w:p>
      <w:r>
        <w:t>The requested information and documents, as well as any statements, may also be transmitted on an appropriate electronic medium.</w:t>
      </w:r>
    </w:p>
    <w:p>
      <w:r>
        <w:t>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r>
    </w:p>
    <w:p>
      <w:r>
        <w:t>Pending the requested informational elements, it is reminded that, pursuant to Article 27, paragraph 4, of the Consumer Code, the subjects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t>For the purposes of quantifying any pecuniary sanction referred to in Article 27, paragraph 9, of the Consumer Code, BP Tesla S.r.l. is requested to provide a copy of the last approved financial statement or suitable tax documentation showing the economic results related to the considered financial year.</w:t>
      </w:r>
    </w:p>
    <w:p>
      <w:r>
        <w:rPr>
          <w:b/>
        </w:rPr>
        <w:t>[Pages 58–60]</w:t>
      </w:r>
    </w:p>
    <w:p>
      <w:r>
        <w:t>60 BULLETIN NO. 44 OF DECEMBER 12, 2022</w:t>
      </w:r>
    </w:p>
    <w:p>
      <w:r>
        <w:t>For any communication addressed to the Authority regarding the case in question, please cite Directorate C of the Directorate General for Consumer Protection and reference PS12418. For any clarifications and information, you may contact Dr. Fabio Massimo Esposito at the number 06/85821324, fax 06/85821539; p.e.c.: protocollo.agcm@pec.agcm.it, email: fabiomassimo.esposito@agcm.it.</w:t>
      </w:r>
    </w:p>
    <w:p>
      <w:r>
        <w:t>Attached is the information pursuant to Article 13 of Regulation (EU) 2016/679.</w:t>
      </w:r>
    </w:p>
    <w:p>
      <w:r>
        <w:t>THE PERSON IN CHARGE OF THE PROCEDURE</w:t>
        <w:br/>
        <w:t>_______________________________________________________________</w:t>
      </w:r>
    </w:p>
    <w:p>
      <w:r>
        <w:t>INFORMATION ON THE PROCESSING OF PERSONAL DATA</w:t>
        <w:br/>
        <w:t>- Article 13 of Regulation (EU) 2016/679 -</w:t>
      </w:r>
    </w:p>
    <w:p>
      <w:r>
        <w:t>The Italian Competition Authority, as the data controller (located at Piazza G. Verdi n. 6A, IT-00198, Rome; email-PEC: protocollo.agcm@pec.agcm.it; Switchboard: +39 06858211), will process the personal data provided in compliance with the provisions of Regulation (EU) 2016/679 (hereinafter "Regulation"), particularly for the performance of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r>
    </w:p>
    <w:p>
      <w:r>
        <w:t>The provision of this data is strictly functional to the performance of such activities and the related processing will be carried out, also through IT and telematic tools, in the ways and within the limits necessary to achieve these purposes or otherwise connected to the exercise of its public powers, including the purposes of archiving, historical research, and analysis for statistical purposes.</w:t>
      </w:r>
    </w:p>
    <w:p>
      <w:r>
        <w:t>Personal data will be retained for a period not exceeding the achievement of the purposes for which they are processed and in accordance with the rules on the retention of administrative documentation. Such data may be retained for longer periods exclusively for archiving purposes in the public interest, for scientific or historical research, or for statistical purposes.</w:t>
      </w:r>
    </w:p>
    <w:p>
      <w: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published in the bulletin and on the institutional website of the Authority (www.agcm.it) within the limits permitted by law and regulations.</w:t>
      </w:r>
    </w:p>
    <w:p>
      <w:r>
        <w:t>Data subjects have the right to request from the data controller access to their personal data and the rectification or deletion of the same or the limitation of processing concerning them or to object to the processing (Articles 15 et seq. of the Regulation). The appropriate request is submitted by contacting the Data Protection Officer at the Authority (Italian Competition Authority - Data Protection Officer, Piazza G. Verdi n. 6A, 00198, Rome, email: rpd@agcm.it).</w:t>
      </w:r>
    </w:p>
    <w:p>
      <w:r>
        <w:t>Data subjects, where the conditions are met, also have the right to lodge a complaint with the Data Protection Authority, as the supervisory authority, or to take appropriate legal action.</w:t>
      </w:r>
    </w:p>
    <w:p>
      <w:r>
        <w:t>62 BULLETIN NO. 44 OF DECEMBER 12, 2022</w:t>
      </w:r>
    </w:p>
    <w:p>
      <w:r>
        <w:t>PS12429 - HELIAIR HELICOPTERS - LACK OF LICENSE</w:t>
      </w:r>
    </w:p>
    <w:p>
      <w:r>
        <w:t>Notice of initiation of investigative procedure</w:t>
      </w:r>
    </w:p>
    <w:p>
      <w:r>
        <w:t>ITALIAN COMPETITION AUTHORITY</w:t>
      </w:r>
    </w:p>
    <w:p>
      <w:r>
        <w:t>Notice of initiation of the investigation, pursuant to Article 6, paragraph 2, and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PS12429.</w:t>
      </w:r>
    </w:p>
    <w:p>
      <w:r>
        <w:t>The publication of this notice, followed by the communication of the initiation of the procedure, in the weekly bulletin of the Italian Competition Authority, is carried out pursuant to and for the purposes of Article 6, paragraph 2, and Article 19, paragraph 2, of the Regulation given the unsuccessful outcome of the attempt to transmit the same communication of initiation, carried out on October 27, 2022. The communication sent by registered mail was indeed returned due to non-delivery.</w:t>
      </w:r>
    </w:p>
    <w:p>
      <w:r>
        <w:t>For any communication addressed to the Authority regarding the case in question, please cite Directorate C of the Directorate General for Consumer Protection and reference PS12429.</w:t>
      </w:r>
    </w:p>
    <w:p>
      <w:r>
        <w:t>__________________________________________________________________</w:t>
      </w:r>
    </w:p>
    <w:p>
      <w:r>
        <w:t>PS12429 - HELIAIR HELICOPTERS - LACK OF LICENSE</w:t>
      </w:r>
    </w:p>
    <w:p>
      <w:r>
        <w:t>Communication of initiation of investigative procedure</w:t>
      </w:r>
    </w:p>
    <w:p>
      <w:r>
        <w:t>Subject: Communication of initiation of the procedure pursuant to Article 27, paragraph 3, of Legislative Decree of September 6, 2005, No. 206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Party</w:t>
      </w:r>
    </w:p>
    <w:p>
      <w:r>
        <w:t>1. HELIAIR.IT S.r.l. (hereinafter HELIAIR.IT) as a professional, pursuant to Article 18, letter b), of the Consumer Code.</w:t>
      </w:r>
    </w:p>
    <w:p>
      <w:r>
        <w:t>The company operates in the aerial work sector, offering helicopter services for tourism and commercial purposes.</w:t>
      </w:r>
    </w:p>
    <w:p>
      <w:r>
        <w:rPr>
          <w:b/>
        </w:rPr>
        <w:t>[Pages 61–63]</w:t>
      </w:r>
    </w:p>
    <w:p>
      <w:r>
        <w:t>BULLETIN NO. 44 OF DECEMBER 12, 2022 63</w:t>
      </w:r>
    </w:p>
    <w:p>
      <w:r>
        <w:t>II. The commercial practice</w:t>
      </w:r>
    </w:p>
    <w:p>
      <w:r>
        <w:t>2. Based on reports1 and information acquired from the National Civil Aviation Authority (hereinafter ENAC) for the purposes of applying the Consumer Code, it has emerged that the professional disseminates presumably misleading information on the website www.heliair.it regarding the services offered. In particular, from the feedback provided by ENAC2 following the request for information dated June 14, 2022,3 it appears that the professional conducts their activity without the required authorizations.</w:t>
      </w:r>
    </w:p>
    <w:p>
      <w:r>
        <w:t>3. The homepage of the website in question features photographic representations of a helicopter flying over the Venice lagoon, with the overlay "Helicopter Tour in Venice," "Tour in Venice and the islands," "Venice, the islands and Chioggia," "Tour Venice, the islands and Jesolo."</w:t>
      </w:r>
    </w:p>
    <w:p>
      <w:r>
        <w:t>4. In the "description" section of the aforementioned website, the company presents itself to consumers as "HELIAIR.IT highly specialized helicopter service," "a young company with a specialized team ready to offer you a highly professional service, conveying passion and providing you with emotions."</w:t>
      </w:r>
    </w:p>
    <w:p>
      <w:r>
        <w:t>5. In the "services" section, the helicopter transport services offered by the professional are indicated, consisting of tourist tours over Venice and the lagoon, helitaxi service, and the so-called "aerial work," which includes aerial filming and transport of materials by helicopter. In the same section, the individual tours are listed, namely the helicopter tourist transport services provided over Venice and the lagoon along with the respective prices.</w:t>
      </w:r>
    </w:p>
    <w:p>
      <w:r>
        <w:t>1 See documents no. 1 and 2 of the investigation file.</w:t>
        <w:br/>
        <w:t>2 See documents no. 4 and 5 of the investigation file.</w:t>
        <w:br/>
        <w:t>3 See document no. 3 of the investigation file.</w:t>
      </w:r>
    </w:p>
    <w:p>
      <w:r>
        <w:t>64 BULLETIN NO. 44 OF DECEMBER 12, 2022</w:t>
      </w:r>
    </w:p>
    <w:p>
      <w:r>
        <w:t>III. Possible profiles of unfairness of the commercial practice</w:t>
      </w:r>
    </w:p>
    <w:p>
      <w:r>
        <w:t>6. The behavior described in point II of this communication could constitute a violation of Articles 20, 21, paragraph 1, letter b) and 23, paragraph 1, letter d) of the Consumer Code, as it is likely to induce the average consumer to make commercial decisions that they would not otherwise have made. The advertising of the services offered, without the professional holding the Air Operator Certificate (AOC) and the air transport license, could mislead recipients regarding the nature and qualifications of the operator, in possible violation of Article 21, paragraph 1, letter b) of the Consumer Code. The unfairness of the practice could also be traced back to Article 23, paragraph 1, letter d) of the Consumer Code, as the overall presentation of the helicopter transport services offered by the professional is likely to imply, contrary to the truth, that the advertised activities are regularly authorized by the competent authorities. Finally, the promotion of the services in question in the absence of the necessary authorizations appears likely to induce the average consumer to purchase the services under the mistaken belief that the related provision occurs in compliance with the safety requirements guaranteed by the authorizations issued by ENAC. This is contrary to the standard of diligence required from operators in the sector pursuant to Article 20, paragraph 2 of the Consumer Code.</w:t>
      </w:r>
    </w:p>
    <w:p>
      <w:r>
        <w:t>IV. Investigative procedures and deadlines</w:t>
      </w:r>
    </w:p>
    <w:p>
      <w:r>
        <w:t>Based on the foregoing, it is hereby communicated:</w:t>
      </w:r>
    </w:p>
    <w:p>
      <w:r>
        <w:t>a) the initiation of the procedure, pursuant to Article 6 of the Regulation, in order to verify the alleged violations mentioned in point III;</w:t>
      </w:r>
    </w:p>
    <w:p>
      <w:r>
        <w:t>BULLETIN NO. 44 OF DECEMBER 12, 2022 65</w:t>
      </w:r>
    </w:p>
    <w:p>
      <w:r>
        <w:t>b) that the person responsible for the procedure is Dr. Letizia Razzitti;</w:t>
      </w:r>
    </w:p>
    <w:p>
      <w:r>
        <w:t>c) that the procedure will conclude within 150 days from the date of protocol of this communication, pursuant to Article 7 of the Regulation;</w:t>
      </w:r>
    </w:p>
    <w:p>
      <w:r>
        <w:t>d) that the person responsible for the procedure will communicate, pursuant to Article 16, paragraph 1, of the Regulation, the date of conclusion of the investigative phase;</w:t>
      </w:r>
    </w:p>
    <w:p>
      <w:r>
        <w:t>e) that the person responsible for the procedure will request the opinion from the Authority for Guarantees in Communications, pursuant to Article 16, paragraphs 3 and 4 of the Regulation;</w:t>
      </w:r>
    </w:p>
    <w:p>
      <w:r>
        <w:t>f) that the office where the Parties can access the documents of the procedure, upon written request and telephone contact to establish the access modalities, is Directorate C of the Directorate General for Consumer Protection (tel. 06/85821845). Access may be made directly by the Party or by a person delegated in writing;</w:t>
      </w:r>
    </w:p>
    <w:p>
      <w:r>
        <w:t>g) that the Parties may submit written statements and documents within 30 days from the receipt of this communication.</w:t>
      </w:r>
    </w:p>
    <w:p>
      <w:r>
        <w:t>V. Request for information</w:t>
      </w:r>
    </w:p>
    <w:p>
      <w:r>
        <w:t>In order to acquire useful information for the evaluation of the commercial practice illustrated above, HELIAIR.IT S.r.l. is requested to provide, within 30 days from the receipt of this communication, the following information (accompanied by the relevant documentation, including internal relevance):</w:t>
      </w:r>
    </w:p>
    <w:p>
      <w:r>
        <w:t>1. authorizations held, specifying the air transport activities and the services permitted by the obtained title;</w:t>
      </w:r>
    </w:p>
    <w:p>
      <w:r>
        <w:t>2. information on the characteristics and methods of offering the advertised services;</w:t>
      </w:r>
    </w:p>
    <w:p>
      <w:r>
        <w:t>3. advertising programming, specifying the methods and means of dissemination in addition to the website (print, television and/or radio broadcasters, billboards…);</w:t>
      </w:r>
    </w:p>
    <w:p>
      <w:r>
        <w:t>4. any other element deemed useful for the evaluation of the case in question.</w:t>
      </w:r>
    </w:p>
    <w:p>
      <w:r>
        <w:t>The requested information and documents, as well as any statements, may also be transmitted on an appropriate electronic medium.</w:t>
      </w:r>
    </w:p>
    <w:p>
      <w:r>
        <w:t>Pursuant to Article 11, paragraph 7, of the Regulation, it is possible to indicate the specific information and parts of the documents provided for which confidentiality or secrecy is requested, stating the reasons justifying such request. To this end, it is kindly requested to also transmit a non-confidential version of the documents containing confidential information.</w:t>
      </w:r>
    </w:p>
    <w:p>
      <w:r>
        <w:t>Pending the requested informational elements, it is reminded that, pursuant to Article 27, paragraph 4, of the Consumer Code, the subjects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rPr>
          <w:b/>
        </w:rPr>
        <w:t>[Pages 64–66]</w:t>
      </w:r>
    </w:p>
    <w:p>
      <w:r>
        <w:t>66 BULLETIN NO. 44 OF DECEMBER 12, 2022</w:t>
      </w:r>
    </w:p>
    <w:p>
      <w:r>
        <w:t>For the purpose of quantifying any monetary penalty referred to in Article 27, paragraph 9, of the Consumer Code, HELIAIR.IT S.r.l. is requested to provide a copy of the last approved financial statement or suitable tax documentation showing the economic results related to the considered financial year.</w:t>
      </w:r>
    </w:p>
    <w:p>
      <w:r>
        <w:t>For any communication addressed to the Authority regarding the case in question, please cite Directorate C of the Directorate General for Consumer Protection and reference PS/12429. For any clarifications and information, you may contact Dr. Letizia Razzitti at the number 06/85821246, p.e.c.: protocollo.agcm@pec.agcm.it, email: letizia.razzitti@agcm.it.</w:t>
      </w:r>
    </w:p>
    <w:p>
      <w:r>
        <w:t>Attached is the information pursuant to Article 13 of Regulation (EU) 2016/679.</w:t>
      </w:r>
    </w:p>
    <w:p>
      <w:r>
        <w:t>THE PERSON IN CHARGE OF THE PROCEDURE</w:t>
        <w:br/>
        <w:t>_____________________________________________________________</w:t>
      </w:r>
    </w:p>
    <w:p>
      <w:r>
        <w:t>INFORMATION ON THE PROCESSING OF PERSONAL DATA</w:t>
        <w:br/>
        <w:t>- Article 13 of Regulation (EU) 2016/679 -</w:t>
      </w:r>
    </w:p>
    <w:p>
      <w:r>
        <w:t>The Italian Competition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r>
    </w:p>
    <w:p>
      <w:r>
        <w:t>The provision of this data is strictly functional to the performance of such activities, and the related processing will be carried out, including through IT and telematic tools, in the ways and within the limits necessary to achieve these purposes or otherwise connected to the exercise of its public powers, including purposes of archiving, historical research, and analysis for statistical purposes.</w:t>
      </w:r>
    </w:p>
    <w:p>
      <w:r>
        <w:t>Personal data will be retained for a period not exceeding the achievement of the purposes for which they are processed and in accordance with the rules on the retention of administrative documentation. Such data may be retained for longer periods exclusively for archiving purposes in the public interest, for scientific or historical research, or for statistical purposes.</w:t>
      </w:r>
    </w:p>
    <w:p>
      <w:r>
        <w:t>The data provided will be known by personnel authorized to process it and may be communicated to public entities based on legal or regulatory provisions and possibly to private entities with a legitimate interest in accordance with the regulations on access to administrative documents. The same data may be published in the bulletin and on the Authority's institutional website (www.agcm.it) within the limits permitted by law and regulations.</w:t>
      </w:r>
    </w:p>
    <w:p>
      <w:r>
        <w:t>BULLETIN NO. 44 OF DECEMBER 12, 2022 67</w:t>
      </w:r>
    </w:p>
    <w:p>
      <w:r>
        <w:t>Data subjects have the right to request the data controller access to their personal data and the rectification or deletion of the same or the limitation of processing concerning them or to object to the processing (Articles 15 et seq. of the Regulation). The appropriate request is submitted by contacting the Data Protection Officer at the Authority (Italian Competition Authority - Data Protection Officer, Piazza G. Verdi n. 6A, 00198, Rome, email: rpd@agcm.it).</w:t>
      </w:r>
    </w:p>
    <w:p>
      <w:r>
        <w:t>Data subjects, where the conditions are met, also have the right to lodge a complaint with the Data Protection Authority, as the supervisory authority, or to take appropriate legal action.</w:t>
      </w:r>
    </w:p>
    <w:p>
      <w:r>
        <w:t>Italian Competition Authority Weekly Bulletin</w:t>
        <w:br/>
        <w:t>of Competition and Market Year XXXII - No. 44 - 2022</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