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https://www.agcm.it/dotcmsdoc/bollettini/2024/44-24.pdf</w:t>
      </w:r>
    </w:p>
    <w:p>
      <w:r>
        <w:t>Pages translated : 78</w:t>
      </w:r>
    </w:p>
    <w:p/>
    <w:p>
      <w:r>
        <w:rPr>
          <w:b/>
        </w:rPr>
        <w:t>[Pages 1–3]</w:t>
      </w:r>
    </w:p>
    <w:p>
      <w:r>
        <w:t>Bulletin</w:t>
        <w:br/>
        <w:t>Weekly</w:t>
        <w:br/>
        <w:t>Year XXXIV - No. 44</w:t>
        <w:br/>
        <w:t>Published on the website www.agcm.it</w:t>
        <w:br/>
        <w:t>November 18, 2024</w:t>
      </w:r>
    </w:p>
    <w:p>
      <w:r>
        <w:t>SUMMARY</w:t>
        <w:br/>
        <w:t>AGREEMENTS AND ABUSE OF DOMINANT POSITION 5</w:t>
        <w:br/>
        <w:t>I872 - MSC/MOBY</w:t>
        <w:br/>
        <w:t>Provision No. 31362 5</w:t>
        <w:br/>
        <w:t>REPORTING AND ADVISORY ACTIVITIES 14</w:t>
        <w:br/>
        <w:t>AS2038 - SUPERVISORY AND CONTROL COMMITTEE ON THE MANAGEMENT OF WASTE ELECTRICAL AND ELECTRONIC EQUIPMENT/GRANTING OF ACCESS CREDENTIALS ON THE REGISTER 14</w:t>
        <w:br/>
        <w:t>AS2039 - ATO MARCHE CENTRO MACERATA 3 - ASSIGNMENT OF INTEGRATED WATER SERVICE 17</w:t>
        <w:br/>
        <w:t>AS2040 - CRITICAL ISSUES IN THE MARKET OF MINIMALLY INVASIVE VIDEO-ASSISTED ROBOTIC SURGERY SYSTEMS 22</w:t>
        <w:br/>
        <w:t>UNFAIR COMMERCIAL PRACTICES 31</w:t>
        <w:br/>
        <w:t>PS12792 - VET DISTRIBUTION-AGRARIA PONTIFICIA-FAILURE TO DELIVER</w:t>
        <w:br/>
        <w:t>Provision No. 31358 31</w:t>
        <w:br/>
        <w:t>PS12792 - VET DISTRIBUTION-AGRARIA PONTIFICIA-FAILURE TO DELIVER</w:t>
        <w:br/>
        <w:t>Provision No. 31359 35</w:t>
        <w:br/>
        <w:t>PS12689 - RYANAIR-PRICES OF ANCILLARY SERVICES</w:t>
        <w:br/>
        <w:t>Provision No. 31360 40</w:t>
        <w:br/>
        <w:t>PS12666 - BCUBE AGENCY-SALE OF APPRAISALS</w:t>
        <w:br/>
        <w:t>Notice of adoption of the closure of the proceeding 46</w:t>
        <w:br/>
        <w:t>PS12666 - BCUBE AGENCY-SALE OF APPRAISALS</w:t>
        <w:br/>
        <w:t>Provision No. 31357 47</w:t>
        <w:br/>
        <w:t>VARIOUS 56</w:t>
        <w:br/>
        <w:t>REGULATION ON INSTRUCTION PROCEDURES IN MATTERS OF CONSUMER PROTECTION AND DECEPTIVE AND COMPARATIVE ADVERTISING</w:t>
        <w:br/>
        <w:t>Provision No. 31356 56</w:t>
      </w:r>
    </w:p>
    <w:p>
      <w:r>
        <w:t>BULLETIN NO. 44 OF NOVEMBER 18, 2024 5</w:t>
        <w:br/>
        <w:t>AGREEMENTS AND ABUSE OF DOMINANT POSITION</w:t>
        <w:br/>
        <w:t>I872 - MSC/MOBY</w:t>
        <w:br/>
        <w:t>Provision No. 31362</w:t>
        <w:br/>
        <w:t>THE AUTHORITY FOR THE GUARANTEE OF COMPETITION AND THE MARKET</w:t>
        <w:br/>
        <w:t>IN ITS MEETING of November 5, 2024;</w:t>
        <w:br/>
        <w:t>HEARD the Rapporteur, President Roberto Rustichelli;</w:t>
        <w:br/>
        <w:t>HAVING REGARD TO Article 101 of the Treaty on the Functioning of the European Union (TFEU);</w:t>
        <w:br/>
        <w:t>HAVING REGARD TO Regulation (EC) No. 1/2003 of December 16, 2002;</w:t>
        <w:br/>
        <w:t>HAVING REGARD TO Law No. 287 of October 10, 1990;</w:t>
        <w:br/>
        <w:t>HAVING REGARD TO the Presidential Decree No. 217 of April 30, 1998;</w:t>
        <w:br/>
        <w:t>HAVING REGARD TO the documentation on file;</w:t>
        <w:br/>
        <w:t>CONSIDERED the following</w:t>
        <w:br/>
        <w:t>I. THE PARTIES</w:t>
        <w:br/>
        <w:t>1. SAS Shipping Agencies Services SARL (hereinafter also “SAS”) is a holding company under Luxembourg law, wholly indirectly controlled by MSC Holding; the latter is based in Switzerland and is the holding company of the MSC Group. Through its subsidiaries, SAS and the MSC group are active worldwide in the container terminal sector, logistics, as well as in the maritime transport services sector via ferries and other activities related to the maritime sector in the Mediterranean Sea1.</w:t>
        <w:br/>
        <w:t>In Italy, SAS also operates through the subsidiary Marinvest S.r.l., of which it holds almost the entire share capital.</w:t>
        <w:br/>
        <w:t>The revenue generated by SAS and its subsidiaries in Italy in 2022 exceeded 567 million euros.</w:t>
        <w:br/>
        <w:t>2. Grandi Navi Veloci S.p.A. (hereinafter also “GNV”) is a company active in the coastal navigation sector for the transport of goods - particularly rolling stock - and passengers using Ro-Pax and Ro-Ro ships in the Mediterranean Sea, operating a fleet of twenty-five ships on thirty-one routes in seven countries (Italy, France, Spain, Morocco, Tunisia, Albania, and Malta).</w:t>
        <w:br/>
        <w:t>GNV is controlled by SAS, which holds almost the entire share capital directly and through Marinvest S.r.l.</w:t>
        <w:br/>
        <w:t>In 2023, the company generated revenue of approximately 597 million euros.</w:t>
        <w:br/>
        <w:t>1 In particular, the MSC Group is active in Italy in the transport services of goods and/or passengers on Ro-Ro and/or Ro-Pax ships in cruise services, through MSC Cruises S.A.; in terminal services for cruise ships, through Stazioni Marittime and Roma Cruise Terminal S.r.l.; in port towing services, through the company MedTug S.p.A. (formerly Rimorchiatori Mediterranei S.p.A.).</w:t>
      </w:r>
    </w:p>
    <w:p>
      <w:r>
        <w:rPr>
          <w:b/>
        </w:rPr>
        <w:t>[Pages 4–6]</w:t>
      </w:r>
    </w:p>
    <w:p>
      <w:r>
        <w:t>6 BULLETIN NO. 44 OF NOVEMBER 18, 2024</w:t>
      </w:r>
    </w:p>
    <w:p>
      <w:r>
        <w:t>3. MOBY S.p.A. (hereinafter also "Moby") is a company active in the sector of maritime transport of passengers, with or without vehicles, and goods, with a fleet of ships of various sizes and capacities, operating under the brands Moby, Tirrenia, and Toremar. Moby controls, in addition to the company Compagnia Italiana di Navigazione S.p.A. (hereinafter, "CIN") which holds the Tirrenia brand, a group of companies also active in terminal services, towing, and maritime agency services (hereinafter, "Moby Group"). The control of Moby is held by the company Onorato Armatori S.r.l. (hereinafter, "OA") with a 51% stake. Messrs. Vincenzo Onorato and Achille Onorato hold, respectively, a 60% and a 40% stake in OA. The remaining 49% of Moby's share capital is held by SAS. According to the last approved financial statement in 2022, Moby generated revenues of approximately 285 million euros.</w:t>
      </w:r>
    </w:p>
    <w:p>
      <w:r>
        <w:t>II. THE STRUCTURAL LINK BETWEEN SAS AND MOBY AND THE FINANCING OF DECEMBER 2023</w:t>
      </w:r>
    </w:p>
    <w:p>
      <w:r>
        <w:t>4. Due to a financial difficulty, in 2020 Moby filed for a composition with creditors at the Court of Milan - which was followed in 2021 by the filing of the composition plan with direct business continuity - to reach an agreement with its creditors. Moby's composition plan consisted of a complex restructuring and reorganization operation that also involved CIN, a company 100% controlled by Moby, which initiated a parallel composition procedure to that of its parent company. In this context, MSC committed, at OA's request, to subscribe to a capital increase of Moby up to the amount of 150 million euros, which would result in the acquisition of a minority stake of 49% in Moby, provided that the preventive composition plan was approved by the Court of Milan. This commitment, which did not foresee the acquisition of governance rights in Moby, was incorporated into a multilateral agreement signed in July 2022 between CIN, Tirrenia in Extraordinary Administration (hereinafter, "Tirrenia in AS"), Vincenzo Onorato, Moby, and several creditor financial institutions.</w:t>
      </w:r>
    </w:p>
    <w:p>
      <w:r>
        <w:t>5. In June 2023, the homologation decrees of the compositions of Moby and CIN became definitive; therefore, by virtue of the previous agreements, in July 2023, SAS acquired a minority stake of 49% in Moby, which, however, did not result, by virtue of the agreements reached, in the acquisition of governance rights that would allow SAS to gain control (exclusive or joint) over Moby. Such control remained, in fact, with OA.</w:t>
      </w:r>
    </w:p>
    <w:p>
      <w:r>
        <w:t>6. Moby and Onorato, on one side, and SAS, on the other, subsequently entered into several agreements (hereinafter, "Agreements"), which allowed Moby and Onorato to receive from SAS the financial resources necessary to extinguish their respective debt positions with a particular category of composition creditors (banks and bondholders) and to execute the composition plans early with a saving for Moby compared to the originally expected outcomes. As of now, therefore, all creditors of Moby and CIN have been satisfied, and the composition procedure is closed.</w:t>
      </w:r>
    </w:p>
    <w:p>
      <w:r>
        <w:t>7. The Agreements, which are also under examination by the European Commission, as the potential acquisition of control of Moby by MSC would have been subject to a notification obligation pursuant to Regulation (EC) No. 139/2004, provide in particular:</w:t>
        <w:br/>
        <w:t>a) the transfer by Moby to a company of the MSC group of two ships (the Moby Vinci and the Sherdan) for a consideration of 109 million euros;</w:t>
        <w:br/>
        <w:t>b) a financing contract, entered into between SAS and Moby on December 7, 2023 (hereinafter, "Financing Agreement") which provides for the granting of a loan of an amount equal to € 243 million to Moby by SAS, to be disbursed by December 12, 2023 (the "Bridge Financing").</w:t>
        <w:br/>
        <w:t>[Omissis];</w:t>
        <w:br/>
        <w:t>c) a pledge and option agreement, entered into by SAS and OA concurrently with the Financing Agreement (hereinafter, "Pledge and Option Agreement"), whereby Onorato committed to guarantee, independently and upon first request, the fulfillment of all obligations of Moby arising from the Financing Agreement towards SAS. In particular, the Pledge and Option Agreement provides that Onorato shall pledge in favor of SAS the shares he holds representing 51% of Moby's share capital (hereinafter, "Pledge").</w:t>
      </w:r>
    </w:p>
    <w:p>
      <w:r>
        <w:t>8. The Pledge and Option Agreement does not confer any voting rights to SAS and, more generally, any administrative rights arising from the pledged shares (such rights will continue to be exercised by Onorato). The Pledge and Option Agreement also provides for an option right for the purchase of the Moby shares held by Onorato in favor of SAS (hereinafter, "Option"), subject to a suspensive condition. In particular, the pledge may be enforced and the Option may be exercised only following the non-payment by Moby and Onorato of the amounts due.</w:t>
      </w:r>
    </w:p>
    <w:p>
      <w:r>
        <w:t>9. [Omissis].</w:t>
      </w:r>
    </w:p>
    <w:p>
      <w:r>
        <w:t>10. On June 27, 2024, the European Commission referred to the Italian Authority, pursuant to Article 4, paragraph 4, of Regulation (EC) No. 139/2004, the assessment of the concentration operation that would occur in the event that Moby did not extinguish its debt to SAS within the agreed terms. [Omissis]. [Omissis].</w:t>
      </w:r>
    </w:p>
    <w:p>
      <w:r>
        <w:t>11. On October 2, 2024, the MSC group in hearing [Omissis].</w:t>
      </w:r>
    </w:p>
    <w:p>
      <w:r>
        <w:t>III. EVALUATIONS</w:t>
      </w:r>
    </w:p>
    <w:p>
      <w:r>
        <w:t>Relevant markets</w:t>
      </w:r>
    </w:p>
    <w:p>
      <w:r>
        <w:t>12. The Moby group operates: (i) in the line transport of passengers, vehicles, and rolling goods through Ro-Pax ships, under the Moby and Tirrenia brands (managed by CIN) and (ii) in the provision of towing services and nautical assistance in ports and at sea through tugs, (iii) in the provision of passenger and cargo terminal services. The MSC group also operates in Italy in the same sectors. Considering that the MSC group is currently negotiating the purchase of Moby's Tug Division and that the two groups offer terminal services in areas that are distinct from a geographical and/or commodity perspective, the only sector in which the MSC group and the Moby group operate as competitors is that of passenger and cargo transport by Ro-Pax and Ro-Ro ships.</w:t>
      </w:r>
    </w:p>
    <w:p>
      <w:r>
        <w:t>13. The MSC group operates in the transport of passengers and goods by Ro-Pax and Ro-Ro ships through the companies GNV and SNAV. There are no overlaps in the connections operated by SNAV and by Moby/Tirrenia. The connections in which both GNV and Moby/Tirrenia operate transporting passengers and goods are: Civitavecchia - Olbia; Genoa - Olbia; Genoa - Porto Torres and Naples - Palermo.</w:t>
      </w:r>
    </w:p>
    <w:p>
      <w:r>
        <w:t>14. According to constant community and national practice, the maritime transport service for passengers constitutes a distinct market from that of maritime transport for goods. The Commission has noted that, for passengers without vehicles, air and rail transport could constitute possible substitutes for maritime transport, while leaving the issue open in the most recent decisions.</w:t>
      </w:r>
    </w:p>
    <w:p>
      <w:r>
        <w:t>15. Regarding the transport of goods, the maritime transport service for rolling goods by Ro-Ro ships has been considered substitutable with that carried out by Ro-Pax ships. In national practice, maritime transport of rolling goods has not been deemed substitutable with the short-sea transport service of containerized goods, while at the community level, the Commission has left the issue open, although noting that the available evidence pointed towards distinct markets.</w:t>
      </w:r>
    </w:p>
    <w:p>
      <w:r>
        <w:t>16. The geographical dimension of the markets for maritime transport of goods and passengers is based, at the community and national level, on the concept of "route/bundle of routes," defined by the set of ports served at both ends of the transport service: a "bundle of routes" (or "trade") includes all transport services from a set of interchangeable ports to another set of interchangeable ports. The measure of such substitutability may differ for passengers and for goods, and may be broader for the latter.</w:t>
      </w:r>
    </w:p>
    <w:p>
      <w:r>
        <w:rPr>
          <w:b/>
        </w:rPr>
        <w:t>[Pages 7–9]</w:t>
      </w:r>
    </w:p>
    <w:p>
      <w:r>
        <w:t>BULLETIN NO. 44 OF NOVEMBER 18, 2024</w:t>
      </w:r>
    </w:p>
    <w:p>
      <w:r>
        <w:t>9</w:t>
        <w:br/>
        <w:t>Regarding passenger transport, the Authority in its previous decisions has not considered the ports of Olbia / Golfo Aranci, on one hand, and Porto Torres, on the other hand, to be interchangeable, nor those of Civitavecchia and Livorno.</w:t>
      </w:r>
    </w:p>
    <w:p>
      <w:r>
        <w:t>With reference to the transport of goods on rolling stock, the Authority in its previous decisions has identified distinct markets for the ports of northern Sardinia (Porto Torres, Olbia, Golfo Aranci), the Ligurian ports (Genoa, Savona, Vado Ligure), and the central Italian ports (Livorno, Civitavecchia). However, regarding the ports of Livorno and Civitavecchia, given the current land and sea routes and the current fuel costs, it does not seem convenient to shift from Livorno to Civitavecchia to reach Olbia, while the catchment areas of the two ports appear only partially overlapping; these elements would suggest very limited substitutability between these ports even for freight traffic. Similar considerations would seem to limit the substitutability between the ports of Civitavecchia and Naples on the routes to Palermo.</w:t>
      </w:r>
    </w:p>
    <w:p>
      <w:r>
        <w:t>17. Based on the previous considerations, it seems possible to identify in a first approximation the following relevant markets:</w:t>
      </w:r>
    </w:p>
    <w:p>
      <w:r>
        <w:t>For the transport of rolling goods on Ro-Pax and Ro-Ro ships:</w:t>
        <w:br/>
        <w:t>- the bundle of routes Genoa/Savona/Vado - Northern Sardinia, which includes the routes Genoa – Porto Torres, Genoa - Olbia, Savona - Porto Torres;</w:t>
        <w:br/>
        <w:t>- the bundle of routes connecting Civitavecchia with Northern Sardinia, which includes the routes Civitavecchia - Porto Torres and Civitavecchia - Olbia;</w:t>
        <w:br/>
        <w:t>- the route Naples - Palermo;</w:t>
      </w:r>
    </w:p>
    <w:p>
      <w:r>
        <w:t>For passenger transport on Ro-Pax ships:</w:t>
        <w:br/>
        <w:t>- the bundle of routes Genoa/Savona - Porto Torres, which includes the route Genoa - Porto Torres;</w:t>
        <w:br/>
        <w:t>- the bundle of routes Genoa/Savona - Olbia, which includes the route Genoa - Olbia;</w:t>
        <w:br/>
        <w:t>- the bundle of routes Civitavecchia - Olbia / Golfo Aranci, which includes the route Civitavecchia - Olbia;</w:t>
        <w:br/>
        <w:t>- the route Naples - Palermo.</w:t>
      </w:r>
    </w:p>
    <w:p>
      <w:r>
        <w:t>The position of the Parties in the relevant markets</w:t>
      </w:r>
    </w:p>
    <w:p>
      <w:r>
        <w:t>18. The position of GNV, the Moby group, and its competitors in the markets for the transport of rolling goods is reported in the following table no. 1.</w:t>
      </w:r>
    </w:p>
    <w:p>
      <w:r>
        <w:t>14</w:t>
        <w:br/>
        <w:t>See I743 - Ferry rates to/from Sardinia, provision no. 24405 of June 11, 2013, in Bulletin no. 25/2013; C/12005 Onorato Partecipazioni- NewCo / Moby - Compagnia Italiana di Navigazione, provision no. 25773 of December 10, 2015, in Bulletin no. 47/2015.</w:t>
      </w:r>
    </w:p>
    <w:p>
      <w:r>
        <w:t>15</w:t>
        <w:br/>
        <w:t>See C12586 - Ignazio Messina &amp; C. / Terminal San Giorgio, cited; A487- Compagnia Italiana di Navigazione - Maritime transport of goods to/from Sardinia, provision no. 27053 of February 28, 2018, in Bulletin no. 11/2018.</w:t>
      </w:r>
    </w:p>
    <w:p>
      <w:r>
        <w:t>10 BULLETIN NO. 44 OF NOVEMBER 18, 2024</w:t>
      </w:r>
    </w:p>
    <w:p>
      <w:r>
        <w:t>Table no. 1: market shares by volume in the markets for the transport of rolling goods</w:t>
      </w:r>
    </w:p>
    <w:p>
      <w:r>
        <w:t>Bundle of routes Year Moby GNV Competitors</w:t>
        <w:br/>
        <w:t>GE/SV/Vado - Northern Sardinia 2022 [60-70]% [10-20]% [10-20]% Grimaldi</w:t>
        <w:br/>
        <w:t>Genoa - Porto Torres 2022 [70-80]% [10-20]% [10-20]% Grimaldi</w:t>
        <w:br/>
        <w:t>Civitavecchia - Northern Sardinia 2023 [60-70]% [0 -5]% [20-30]% Grimaldi</w:t>
        <w:br/>
        <w:t>Naples - Palermo 2023 [30-40]% [30-40]% [30-40]% Grimaldi</w:t>
      </w:r>
    </w:p>
    <w:p>
      <w:r>
        <w:t>Sources: final provision C12586, cited for the bundle GE/SV/Vado - Northern Sardinia; internal estimates of the Parties on the other bundles of routes, referring only to transport by Ro-Pax ships, contained in Form RS.</w:t>
      </w:r>
    </w:p>
    <w:p>
      <w:r>
        <w:t>19. Regarding the bundle of routes GE/SV/Vado - Northern Sardinia, the most important route is Genoa - Porto Torres, where all three operators are present. In 2022, Grimaldi also operated the route Savona - Porto Torres and was marginally present on Genoa - Olbia, while today it appears concentrated on Genoa - Porto Torres. The shares reported for this route in 2022 can therefore be considered more representative of the current situation and could, however, overestimate Grimaldi's current position.</w:t>
      </w:r>
    </w:p>
    <w:p>
      <w:r>
        <w:t>On this bundle of routes, Moby appears to hold a position of absolute relevance, while GNV holds a weak position.</w:t>
      </w:r>
    </w:p>
    <w:p>
      <w:r>
        <w:t>20. In the bundle of routes Civitavecchia - Northern Sardinia, the competitor Grimaldi's share is underestimated, as it does not consider the goods transported on the route Civitavecchia - Porto Torres by that company. Moby holds a leadership position, while GNV holds a marginal position.</w:t>
      </w:r>
    </w:p>
    <w:p>
      <w:r>
        <w:t>21. The route Naples-Palermo is characterized, instead, as a symmetric oligopoly of only three operators.</w:t>
      </w:r>
    </w:p>
    <w:p>
      <w:r>
        <w:t>22. The position of GNV, the Moby group, and its competitors in the markets for passenger transport on Ro-Pax ships is reported in the following table no. 2.</w:t>
      </w:r>
    </w:p>
    <w:p>
      <w:r>
        <w:t>Table no. 2: market shares by volume in the markets for passenger transport (2023)</w:t>
      </w:r>
    </w:p>
    <w:p>
      <w:r>
        <w:t>Bundle of routes Moby GNV Competitors</w:t>
        <w:br/>
        <w:t>Genoa/Savona - Porto Torres [60-70]% [30-40]% 0%</w:t>
        <w:br/>
        <w:t>Genoa/Savona - Olbia [60-70]% [30-40]% 0%</w:t>
        <w:br/>
        <w:t>Civitavecchia - Olbia / Golfo Aranci [70-80]% [5-10]% [20-30]% Grimaldi</w:t>
        <w:br/>
        <w:t>Naples - Palermo [30-40]% [40-50]% [10-20]% Grimaldi</w:t>
      </w:r>
    </w:p>
    <w:p>
      <w:r>
        <w:t>Source: internal estimates of the Parties contained in Form RS.</w:t>
      </w:r>
    </w:p>
    <w:p>
      <w:r>
        <w:t>23. The routes Genoa - Olbia and Genoa - Porto Torres are an asymmetric duopoly between Moby and GNV. The former has a higher number of passengers transported than the latter (which, instead, is more used for the transport of rolling goods).</w:t>
      </w:r>
    </w:p>
    <w:p>
      <w:r>
        <w:t>The Genoa-Olbia is a seasonal route, on which Moby operates - at least from the end of June - two daily frequencies from each port. GNV operates, instead, one daily run from each port, doubled on Saturdays. The prices currently charged by the two companies on their respective corporate websites for the weekends of the period June 20 - August 31, 2025 appear significantly correlated; in particular, the price variations from one weekend to the next for departures at similar times are significantly correlated.</w:t>
      </w:r>
    </w:p>
    <w:p>
      <w:r>
        <w:t>The Genoa - Porto Torres is a route subject to public service obligations in the winter period (performed by Moby with Tirrenia ships) and served at market conditions by Tirrenia and GNV in the summer period. Moby/Tirrenia operates one daily run from each port, while GNV operates one daily run from each port that in the upcoming season (summer 2025) will be doubled on Saturdays starting from the end of July for the entire month of August. GNV seems to have therefore reduced the reinforcements compared to the "double runs on weekends" declared in March 2023, despite the arrival of a new ship. The prices currently charged by the two companies on their respective corporate websites for the weekends of the period June 20 - August 31, 2025 appear strongly correlated; in particular, the price variations from one weekend to the next for departures at similar times are strongly correlated.</w:t>
      </w:r>
    </w:p>
    <w:p>
      <w:r>
        <w:t>24. On the Civitavecchia - Olbia route, Moby holds a position of absolute relevance, while GNV has a marginal position.</w:t>
      </w:r>
    </w:p>
    <w:p>
      <w:r>
        <w:t>25. The Naples – Palermo is a restricted oligopoly, where Moby (operating under the Tirrenia brand) and GNV have about [70-80]% of the market, evenly divided between them, with the remainder served by the competitor Grimaldi.</w:t>
      </w:r>
    </w:p>
    <w:p>
      <w:r>
        <w:t>Moby/Tirrenia operates one daily run from each port, which in the upcoming season (summer 2025) in August (starting from August 1) will be doubled on Fridays, Saturdays, and Sundays. GNV operates one daily run from each port, which will be doubled on Saturdays starting from the end of July for the entire month of August. Compared to previous communications from MSC, it seems that during the summer period Moby has reinforced its service and GNV has reduced it.</w:t>
      </w:r>
    </w:p>
    <w:p>
      <w:r>
        <w:t>The prices currently charged by the two companies on their respective corporate websites for the weekends of the period June 20 - August 31, 2025 appear less variable than those of the Sardinian routes, very similar during periods of lower demand (late June / early July, second half of August) and strongly correlated; in particular, the price variations from one weekend to the next for departures at similar times are strongly correlated.</w:t>
      </w:r>
    </w:p>
    <w:p>
      <w:r>
        <w:t>The contested conducts</w:t>
      </w:r>
    </w:p>
    <w:p>
      <w:r>
        <w:t>26. The markets in which Moby and GNV operate are extremely concentrated and characterized by the presence of a small number of companies. They are marked by significant barriers to entry, constituted by the high initial investment in the fleet, by the need to have...</w:t>
      </w:r>
    </w:p>
    <w:p>
      <w:r>
        <w:rPr>
          <w:b/>
        </w:rPr>
        <w:t>[Pages 10–12]</w:t>
      </w:r>
    </w:p>
    <w:p>
      <w:r>
        <w:t>12 BULLETIN NO. 44 OF NOVEMBER 18, 2024</w:t>
      </w:r>
    </w:p>
    <w:p>
      <w:r>
        <w:t>adequate ground spaces for parking and commercially attractive departure and arrival slots, as well as the presence of historical operators who can enjoy a certain consumer loyalty.</w:t>
      </w:r>
    </w:p>
    <w:p>
      <w:r>
        <w:t>27. In this context, the creation of a strong structural link between Moby and GNV, resulting from the acquisition of the 49% stake of SAS in the capital of Moby, as well as the further link created by the substantial financing of SAS to Moby in December 2023, could be suitable to produce a deterioration of competitive dynamics in the affected markets, in violation of Article 101 TFEU. In particular, the acquisition of a minority stake of SAS in Moby could facilitate, also through contacts between the parties, the coordination of their respective commercial policies. Furthermore, in the competitive scenario that arises downstream of the acquisition of the stake, the incentives for competition between GNV and Moby could be further weakened, with the risk - particularly in the relevant markets where these companies do not face significant competitive pressure - that there may be effects of reduced quantities offered and increased prices. The described structural link could indeed reduce GNV's incentive to counteract any price increases by Moby and make it overall less convenient for the controlling shareholder of GNV to adopt an aggressive policy by the latter. In this regard, the observed correlation between the variations in ticket prices already purchasable for the upcoming season on the company websites and the possible reduction in frequencies offered by GNV in the summer season appear prima facie indications of the hypothesized effects of restriction of competition.</w:t>
      </w:r>
    </w:p>
    <w:p>
      <w:r>
        <w:t>28. Lastly, the acquisition of a minority stake of SAS in Moby appears potentially capable of depressing competition also in the relevant markets where GNV and Moby compete with Grimaldi, potentially favoring the emergence of a collusive equilibrium to the detriment of consumers.</w:t>
      </w:r>
    </w:p>
    <w:p>
      <w:r>
        <w:t>The harm to intra-European trade</w:t>
      </w:r>
    </w:p>
    <w:p>
      <w:r>
        <w:t>29. The examined conduct falls within the scope of Article 101 TFEU as it concerns important bundles of routes for the transport of rolling goods on Ro-Pax and Ro-Ro ships and of passengers on Ro-Pax ships in the Italian market, which represent significant parts of the European market, also impacting the potential operations of European companies that may be affected.</w:t>
      </w:r>
    </w:p>
    <w:p>
      <w:r>
        <w:t>30. Consequently, the case subject to this proceeding appears capable of harming trade between the Member States of the European Union and constitutes the elements of a violation of Article 101 TFEU.</w:t>
      </w:r>
    </w:p>
    <w:p>
      <w:r>
        <w:t>CONSIDERING, therefore, that the behaviors carried out by SAS, GNV, and MOBY, for the reasons outlined above, appear to configure a possible violation of Article 101 TFEU;</w:t>
      </w:r>
    </w:p>
    <w:p>
      <w:r>
        <w:t>RESOLVES</w:t>
      </w:r>
    </w:p>
    <w:p>
      <w:r>
        <w:t>a) to initiate the investigation, pursuant to Article 14 of Law No. 287/1990, against SAS Shipping Agencies Services SARL, GNV S.p.A., and MOBY S.p.A. to ascertain the existence of competition violations pursuant to Article 101 TFEU;</w:t>
      </w:r>
    </w:p>
    <w:p>
      <w:r>
        <w:t>BULLETIN NO. 44 OF NOVEMBER 18, 2024 13</w:t>
      </w:r>
    </w:p>
    <w:p>
      <w:r>
        <w:t>b) to set a deadline of sixty days, starting from the date of notification of this provision, for the legal representatives of the parties to exercise their right to be heard, specifying that the request for a hearing must be received by the Transport, Energy and Environment Directorate of the Competition Department 2 of this Authority at least fifteen days before the expiration of the aforementioned deadline;</w:t>
      </w:r>
    </w:p>
    <w:p>
      <w:r>
        <w:t>c) that the person responsible for the procedure is Dr. Fabio Massimo Esposito;</w:t>
      </w:r>
    </w:p>
    <w:p>
      <w:r>
        <w:t>d) that the acts of the procedure can be viewed, at the Transport, Energy and Environment Directorate of the Competition Department 2 of this Authority, by the legal representatives of the Parties or by persons delegated by them;</w:t>
      </w:r>
    </w:p>
    <w:p>
      <w:r>
        <w:t>e) that the procedure must be concluded by March 31, 2026.</w:t>
      </w:r>
    </w:p>
    <w:p>
      <w:r>
        <w:t>This provision will be notified to the interested parties and published in the Bulletin of the Authority for Competition and the Market.</w:t>
      </w:r>
    </w:p>
    <w:p>
      <w:r>
        <w:t>THE SECRETARY GENERAL THE PRESIDENT</w:t>
      </w:r>
    </w:p>
    <w:p>
      <w:r>
        <w:t>Guido Stazi Roberto Rustichelli</w:t>
      </w:r>
    </w:p>
    <w:p>
      <w:r>
        <w:t>14 BULLETIN NO. 44 OF NOVEMBER 18, 2024</w:t>
      </w:r>
    </w:p>
    <w:p>
      <w:r>
        <w:t>REPORTING AND ADVISORY ACTIVITIES</w:t>
      </w:r>
    </w:p>
    <w:p>
      <w:r>
        <w:t>AS2038 - SUPERVISORY AND CONTROL COMMITTEE ON THE MANAGEMENT OF WASTE ELECTRICAL AND ELECTRONIC EQUIPMENT/GRANTING OF ACCESS CREDENTIALS ON THE REGISTER</w:t>
      </w:r>
    </w:p>
    <w:p>
      <w:r>
        <w:t>Rome, October 9, 2024</w:t>
      </w:r>
    </w:p>
    <w:p>
      <w:r>
        <w:t>Supervisory and Control Committee on the management of waste electrical and electronic equipment (WEEE)</w:t>
      </w:r>
    </w:p>
    <w:p>
      <w:r>
        <w:t>With communication dated August 19, 2024, last supplemented on September 25, 2024, this Supervisory and Control Committee requested the Authority to express an opinion on the compatibility with competition law of granting access credentials to the register of Producers of electrical and electronic equipment (hereinafter, "WEEE register") to the Director General of the Coordination Center for waste from electrical and electronic equipment (hereinafter, "CdC RAEE") in order to verify "the accuracy and consistency of the data sent by its consortia [CdC RAEE] (individual companies and their collective management systems)" in light of the confidentiality obligations imposed by the statute on the CdC RAEE and the contractual obligations of the same content on its Director General.</w:t>
      </w:r>
    </w:p>
    <w:p>
      <w:r>
        <w:t>The Authority, in the meeting of October 8, 2024, examined the request received and, in light of Article 22 of Law No. 287/1990, deemed it appropriate to adopt the following opinion.</w:t>
      </w:r>
    </w:p>
    <w:p>
      <w:r>
        <w:t>The Authority considered that the knowledge (through access to the WEEE register) by the Director of the CdC RAEE of the data of consumption input by individual producers of WEEE could be potentially problematic. This is because the CdC RAEE represents a private consortium, to which the legal system has entrusted a mere function of collaboration with the Supervisory and Control Committee established at the Ministry of the Environment and Energy Security for the limited purpose of identifying "objective criteria for quantifying market shares, promoting studies by scientific and research institutes for this purpose" (see Article 33, paragraph 5, letter c), of Legislative Decree No. 49/14); the CdC RAEE, moreover, in fulfilling its tasks, does not have the data of consumption input from all producers, WEEE that adhere to the collective systems of its consortia.</w:t>
      </w:r>
    </w:p>
    <w:p>
      <w:r>
        <w:t>The same Supervisory and Control Committee has, in fact, highlighted in the request for an opinion that the data contained in the WEEE register, "and, in particular, those relating to the quantities of equipment</w:t>
      </w:r>
    </w:p>
    <w:p>
      <w:r>
        <w:rPr>
          <w:b/>
        </w:rPr>
        <w:t>[Pages 13–15]</w:t>
      </w:r>
    </w:p>
    <w:p>
      <w:r>
        <w:t>BULLETIN NO. 44 OF NOVEMBER 18, 2024 15</w:t>
      </w:r>
    </w:p>
    <w:p>
      <w:r>
        <w:t>electrical and electronic equipment placed on the national market by product type, with details of weight and number of units, constitute commercially sensitive information or information that is nonetheless relevant for commercial purposes” (emphasis added).</w:t>
      </w:r>
    </w:p>
    <w:p>
      <w:r>
        <w:t>It is noted, in fact, that the WEEE Coordination Center, for the performance of its tasks, holds only aggregated data for each individual collective system it is associated with (the data for each individual producer are only those communicated by the individual management systems, which represent the exception to the collective management systems of WEEE) and, therefore, could not verify the accuracy of the data transmitted by the individual producer to the WEEE register because it would not be able to compare them with the data in its possession.</w:t>
      </w:r>
    </w:p>
    <w:p>
      <w:r>
        <w:t>The comparison could only take place after aggregating the individual data extracted from the WEEE register to recreate an overall figure that associates all producers belonging to the same collective system in order to make the comparison with the data in its possession.</w:t>
      </w:r>
    </w:p>
    <w:p>
      <w:r>
        <w:t>In conclusion, therefore, it would only be possible to compare the aggregated data and possibly identify which collective system the producer or producers that provided inconsistent data between the belonging collective system (which then transmits the data of the consumption placed by all its members to the WEEE Coordination Center) and the WEEE register belong to.</w:t>
      </w:r>
    </w:p>
    <w:p>
      <w:r>
        <w:t>Such verification activity, however, appears to be more appropriately exercised by the Supervisory and Control Committee itself, an organ called to perform an institutional role and independent third party in this sector, which includes the collection of data on consumption placed by producers of electrical and electronic equipment and the calculation of market shares of producers pursuant to Article 35, paragraph 1, letters b) and c), of Legislative Decree No. 49 of March 14, 2014.</w:t>
      </w:r>
    </w:p>
    <w:p>
      <w:r>
        <w:t>In this regard, in fact, the legislator reserves a role of mere methodological support for the Supervisory and Control Committee in defining objective criteria for quantifying market shares.</w:t>
      </w:r>
    </w:p>
    <w:p>
      <w:r>
        <w:t>Nor does this Authority see any issue of confidentiality in the possible transmission to the Supervisory Committee of information, by the WEEE Coordination Center, concerning the aggregated data in its possession, both because as aggregated data, by definition, they are less commercially sensitive, and because, in any case, the Supervisory Committee and its members have access to the individual data contained in the WEEE register and, therefore, the possible aggregations of individual data on consumption placed by producers of electrical and electronic equipment do not constitute, for that body and its members, confidential information. The verification of accuracy, even in this case, can only take place in an aggregated form (except for producers who have established individual management systems).</w:t>
      </w:r>
    </w:p>
    <w:p>
      <w:r>
        <w:t>In the proposed solution, however, sensitive data of individual producers of electrical and electronic equipment, which the Director General of a private consortium does not know or receive from the collective systems of its members, is avoided being made available for the fulfillment of the tasks assigned to the WEEE Coordination Center.</w:t>
      </w:r>
    </w:p>
    <w:p>
      <w:r>
        <w:t>16 BULLETIN NO. 44 OF NOVEMBER 18, 2024</w:t>
      </w:r>
    </w:p>
    <w:p>
      <w:r>
        <w:t>This opinion will be published in the Bulletin of the Authority for the Guarantee of Competition and the Market. Any confidentiality needs must be communicated to the Authority within thirty days of receiving this opinion, specifying the reasons.</w:t>
      </w:r>
    </w:p>
    <w:p>
      <w:r>
        <w:t>THE PRESIDENT</w:t>
      </w:r>
    </w:p>
    <w:p>
      <w:r>
        <w:t>Roberto Rustichelli</w:t>
      </w:r>
    </w:p>
    <w:p>
      <w:r>
        <w:t>BULLETIN NO. 44 OF NOVEMBER 18, 2024 17</w:t>
      </w:r>
    </w:p>
    <w:p>
      <w:r>
        <w:t>AS2039 - ATO MARCHE CENTRO MACERATA 3 - ASSIGNMENT OF THE INTEGRATED WATER SERVICE</w:t>
      </w:r>
    </w:p>
    <w:p>
      <w:r>
        <w:t>Rome, October 10, 2024</w:t>
      </w:r>
    </w:p>
    <w:p>
      <w:r>
        <w:t>Optimal Territorial Assembly No. 3 “Marche Centro Macerata”</w:t>
      </w:r>
    </w:p>
    <w:p>
      <w:r>
        <w:t>With reference to the request for an opinion made by the Optimal Territorial Assembly No. 3 “Marche Centro Macerata” (hereinafter “ATO”) in view of the new assignment of the integrated water service in the reference territory, the Authority for the Guarantee of Competition and the Market, in its meeting of October 8, 2024, deemed it appropriate to make the following considerations, pursuant to Article 22 of Law No. 287/1990.</w:t>
      </w:r>
    </w:p>
    <w:p>
      <w:r>
        <w:t>Preliminarily, it is noted that the clarifications requested by the ATO tend to refer in part to issues that fall outside the Authority's area of competence, such as the interpretation of the rules of the Public Contracts Code or the validity of titles for carrying out the activity of local electricity distribution. Therefore, it is deemed useful to relate and summarize the issues raised to the following two themes, which should nonetheless facilitate this entity in deciding on the choice of the management form of the service in question: (i) the applicable regulations for the assignment of the integrated water service and (ii) the conditions for the in-house assignment of the integrated water service.</w:t>
      </w:r>
    </w:p>
    <w:p>
      <w:r>
        <w:t>On the applicable regulations for the assignment of the integrated water service</w:t>
      </w:r>
    </w:p>
    <w:p>
      <w:r>
        <w:t>As for the applicable regulations for the assignment of the integrated water service, it is useful to preliminarily distinguish between the regulations relating to the assignment of the integrated water service “to” the manager and the regulations relating to public contracts awarded for the purchase of works, goods, and services “by” the service manager (including the in-house manager).</w:t>
      </w:r>
    </w:p>
    <w:p>
      <w:r>
        <w:t>The regulatory framework for the assignment of the integrated water service “to” the manager originates from Article 149-bis of Legislative Decree No. 152/2006 (containing Environmental Regulations, hereinafter “TUA”), which provides that the governing body of the area - in compliance with the area plan and the principle of uniqueness of management for each optimal territorial area - decides on the form of management among those provided for by European legislation, consequently proceeding with the assignment of the service in compliance with national regulations on the organization of local public services of economic relevance, specifying that “[t]he direct assignment may be made in favor of wholly public companies, meeting the requirements prescribed by European legislation for in-house management, however participated by local authorities falling within the optimal territorial area” (paragraph 1 of Article 149-bis of the TUA).</w:t>
      </w:r>
    </w:p>
    <w:p>
      <w:r>
        <w:rPr>
          <w:b/>
        </w:rPr>
        <w:t>[Pages 16–18]</w:t>
      </w:r>
    </w:p>
    <w:p>
      <w:r>
        <w:t>18 BULLETIN NO. 44 OF NOVEMBER 18, 2024</w:t>
      </w:r>
    </w:p>
    <w:p>
      <w:r>
        <w:t>According to the European legislation referred to in Article 149-bis of the TUA, now transposed into Article 14 of Legislative Decree No. 201/2022 (which reorganizes the regulation of local public services of economic relevance), local authorities and other competent entities can organize local public services of general economic interest, including the integrated water service, solely through one of the following management methods: (i) outsourcing the service to third parties through a public procurement procedure; (ii) awarding to a mixed public-private company, with the selection of the private partner through a double-object tender; (iii) in-house management, provided that the relevant requirements established by European law are met; and (iv) limited to services other than those provided through networks (a circumstance that does not pertain to the case at hand), management in-house or through special companies.</w:t>
      </w:r>
    </w:p>
    <w:p>
      <w:r>
        <w:t>With specific reference to the in-house awarding of such services, Article 7, paragraph 3, of Legislative Decree No. 36/2023 (which contains the Public Contracts Code, hereinafter "CCP") indicates that the relevant regulation is contained in the aforementioned Legislative Decree No. 201/2022. Specifically, the awarding is subject to the fulfillment of the conditions indicated in Article 17 of Legislative Decree No. 201/2022, as well as in Article 16 of Legislative Decree No. 175/2016 (which contains the Consolidated Text on public participation companies, hereinafter "TUSPP"), as further illustrated below.</w:t>
      </w:r>
    </w:p>
    <w:p>
      <w:r>
        <w:t>Conversely, the CCP does not apply to the awarding of the integrated water service "to" the service manager, but rather to the contracts awarded "by" the service manager for the purchase of works, goods, and services, instrumental and preordained to the execution of the service itself.</w:t>
      </w:r>
    </w:p>
    <w:p>
      <w:r>
        <w:t>Moreover, Article 16, paragraph 7, of the TUSPP, regarding in-house companies, confirms the framework just described when it states that "[t]he companies referred to in this article are required to purchase works, goods, and services according to the regulation provided for by Legislative Decree No. 50 of 2016 [now Legislative Decree No. 36/2023]."</w:t>
      </w:r>
    </w:p>
    <w:p>
      <w:r>
        <w:t>In light of the above, it is believed that in the case at hand, concerning the awarding of the integrated water service to the new manager, only the regulations of the TUA and Legislative Decree No. 201/2022 apply, according to which the integrated water service, as a local public service of economic relevance, can be awarded through one of the following management methods: (i) outsourcing the service to third parties through a public procurement procedure; (ii) awarding to a mixed public-private company, with the selection of the private partner through a double-object tender; (iii) awarding to in-house companies.</w:t>
      </w:r>
    </w:p>
    <w:p>
      <w:r>
        <w:t>In this context, Article 142 of the CCP invoked by the ATO excludes from the application of the CCP - in favor of the operation of direct awards - the intra-group awards for activities related to special sectors, on the assumption that such awards actually constitute internal organizational methods for managing intra-group instrumental activities, where each company plays a specialized role within the economic group, and therefore do not raise particular competitive concerns.</w:t>
      </w:r>
    </w:p>
    <w:p>
      <w:r>
        <w:t>See also the opinion of ANAC No. 26 of 24/05/2024: "The possibility of proceeding with in-house awarding, as highlighted above, must be considered subject to the fulfillment of the conditions indicated by Article 7, paragraph 2, of Legislative Decree No. 36/2023, as well as by Articles 4 and 16 of Legislative Decree No. 175/2016. Furthermore, in this case, in-house bodies, pursuant to Article 17, paragraph 6, of Legislative Decree No. 175/2016, are required to purchase works, goods, and services according to the regulations set forth by the Public Contracts Code. [...] Moreover, where in-house companies operate in so-called special sectors, they are also required to apply the provisions contained in Book III of Legislative Decree No. 36/2023, for purchases "instrumental" to the special activity sector, without prejudice to the obligation for them - as contracting authorities - to apply the ordinary regulations set forth by Legislative Decree No. 36/2023 itself, for purchases not falling within those instrumental to the relevant special sector."</w:t>
      </w:r>
    </w:p>
    <w:p>
      <w:r>
        <w:t>BULLETIN NO. 44 OF NOVEMBER 18, 2024</w:t>
      </w:r>
    </w:p>
    <w:p>
      <w:r>
        <w:t>On the conditions for in-house awarding of the integrated water service</w:t>
      </w:r>
    </w:p>
    <w:p>
      <w:r>
        <w:t>Regarding the conditions for in-house awarding of the integrated water service and, in particular, the possibility of making an in-house award in favor of a company with a private partner, it is first necessary to recall that the requirements for in-house companies are dictated by Article 16 of the TUSPP, which provides that "in-house companies receive direct awards of public contracts from the administrations that exercise analogous control over them or from each of the administrations that exercise joint analogous control only if there is no participation of private capital, except for that prescribed by law and occurring in forms that do not entail control or veto power, nor the exercise of a decisive influence on the controlled company."</w:t>
      </w:r>
    </w:p>
    <w:p>
      <w:r>
        <w:t>Consistently, at a formal level, it is required that the statutes of in-house companies expressly provide that "[...] more than 80% of their turnover is generated in the performance of the tasks entrusted to them by the public entity or by the public partner entities" (Article 16, paragraph 3, of the TUSPP). The remaining turnover can also be directed to different purposes, provided that it allows for achieving economies of scale or other efficiency recoveries on the overall main activity of the company (Article 16, paragraph 3-bis, of the TUSPP).</w:t>
      </w:r>
    </w:p>
    <w:p>
      <w:r>
        <w:t>The legislator is, therefore, clear in enumerating the three requirements required for in-house awarding: (i) the entirely public capital of the in-house company, which is allowed to have private partners only if prescribed by law; (ii) the control exercised by the participating entity analogous to that exercised over its own offices; (iii) the functional requirement of the predominant activity carried out by the in-house company in favor of the partner entity.</w:t>
      </w:r>
    </w:p>
    <w:p>
      <w:r>
        <w:t>These requirements - developed by the jurisprudence of the Court of Justice (starting from the Teckal ruling C-107/98) and subsequently transformed into legislative text with the entry into force of Directives 2014/23/EU, 2014/24/EU, and 2014/25/EU on public procurement and concessions - are also placed to protect competition. In fact, the direct awarding of a public service to an entity subjectively distinct from the contracting authority, as an alternative to the tender system, is allowed on the condition that such an external subject presents characteristics that can qualify it as a derivation, or a longa manus, of the entity itself. The limit on the activity in the free market of in-house bodies aims, therefore, to prevent "a subject, who performs administrative activities, from simultaneously engaging in business activities, benefiting from the privileges it may enjoy as a public administration." At the same time, the participation of a private partner in the share capital of the in-house company is only permitted if required as mandatory by the regulations (and provided that it does not entail control or veto power and does not confer a decisive influence on the decisions of the controlled entity), otherwise the awarding of a service without any competitive procedure would offer the private partner an undue competitive advantage over competitors.</w:t>
      </w:r>
    </w:p>
    <w:p>
      <w:r>
        <w:t>An additional clarification must be made regarding the determination of the predominant activity in the case of corporate groups, given that the regulations do not specify how turnover should be calculated in the case of an in-house company holding shares in other controlled or affiliated companies.</w:t>
      </w:r>
    </w:p>
    <w:p>
      <w:r>
        <w:t>The Authority has already clarified what should be understood as "turnover" in the case of public holdings that are also operational as in-house bodies, specifying that this requirement must also be verified with regard to the turnover of the companies controlled by them pursuant to Article 2359 of the Civil Code, while the revenues from non-controlling or merely financial participations are irrelevant in this computation.</w:t>
      </w:r>
    </w:p>
    <w:p>
      <w:r>
        <w:t>Administrative jurisprudence has also confirmed that in-house companies, while presenting a legal personality formally distinct from the public partner entity, by virtue of the functional approach that characterizes the institution, can be considered an organizational articulation of the latter in all sectors in which they operate, even through their controlled companies in a position of control pursuant to Article 2359 of the Civil Code. This, in turn, justifies the direct awarding in-house and the lack of competitive comparison for the selection of the service provider. It follows that, with specific regard to the requirement of the predominant activity, the turnover at the consolidated level should be considered and not just that produced by the sole awarding parent in-house.</w:t>
      </w:r>
    </w:p>
    <w:p>
      <w:r>
        <w:t>On the critical issues encountered in the case at hand</w:t>
      </w:r>
    </w:p>
    <w:p>
      <w:r>
        <w:t>Given the conditions prescribed by the regulations for in-house awarding, in the case at hand, Centro Marche Acque S.c.r.l. and its operating company Astea S.p.A. currently appear not to meet the requirement of entirely public capital, nor that of predominant activity.</w:t>
      </w:r>
    </w:p>
    <w:p>
      <w:r>
        <w:t>In fact, Astea S.p.A., the operating company partially responsible for the in-house management of the integrated water service and which should become part of the newly established consortium company, is participated both by the Municipalities (indirectly, through the holding company responsible for managing the service Centro Marche Acque S.c.r.l., which holds 78.68% of the share capital) and by private entities, since the GPO Consortium, which holds 21.32% of the share capital, is in turn 62.35% owned by the private company IRETI S.p.A.</w:t>
      </w:r>
    </w:p>
    <w:p>
      <w:r>
        <w:t>Furthermore, from the consolidated financial statements of Centro Marche Acque S.c.r.l., it appears that the group headed by the company also includes the financial statements "of the companies directly and indirectly controlled through Astea S.p.A.", which also operate in economic sectors other than the management of the integrated water service in which Centro Marche Acque S.c.r.l. is active and not always exclusively in favor of the public partner entities (as in the case of electricity distribution). In this context, the turnover derived from the activity related to the integrated water service in 2023 amounts to about 41% of the group's turnover, while the remaining turnover refers to electricity distribution activities (about 29% of the consolidated turnover), integrated waste cycle (about 17% of the consolidated turnover), production of electricity and thermal energy (about 6% of the consolidated turnover), and gas distribution (about 6% of the consolidated turnover).</w:t>
      </w:r>
    </w:p>
    <w:p>
      <w:r>
        <w:rPr>
          <w:b/>
        </w:rPr>
        <w:t>[Pages 19–21]</w:t>
      </w:r>
    </w:p>
    <w:p>
      <w:r>
        <w:t>BULLETIN NO. 44 OF NOVEMBER 18, 2024</w:t>
      </w:r>
    </w:p>
    <w:p>
      <w:r>
        <w:t>Finally, notwithstanding all the above, it is recalled that pursuant to Legislative Decree No. 201/2022, before the awarding procedure, the competent authority must account, in a specific report, for the outcomes of the evaluation regarding the choice of management mode (Article 14, paragraphs 2 and 3) and, in the case of in-house awarding exceeding the thresholds of European relevance, must adopt the resolution for the service award based on a qualified motivation that expressly accounts for the reasons for not resorting to the market for the efficient management of the service, as well as develop a specific economic-financial plan (Article 17).</w:t>
      </w:r>
    </w:p>
    <w:p>
      <w:r>
        <w:t>This opinion will be published in the Bulletin of the Authority for the Guarantee of Competition and the Market. Any confidentiality needs must be communicated to the Authority within thirty days of receiving this opinion, specifying the reasons.</w:t>
      </w:r>
    </w:p>
    <w:p>
      <w:r>
        <w:t>THE PRESIDENT</w:t>
        <w:br/>
        <w:t>Roberto Rustichelli</w:t>
      </w:r>
    </w:p>
    <w:p>
      <w:r>
        <w:t>AS2040 - CRITICAL ISSUES IN THE MARKET FOR VIDEO ASSISTED MINIMALLY INVASIVE ROBOTIC SURGERY</w:t>
      </w:r>
    </w:p>
    <w:p>
      <w:r>
        <w:t>Rome, November 12, 2024</w:t>
      </w:r>
    </w:p>
    <w:p>
      <w:r>
        <w:t>Ministry of Health</w:t>
        <w:br/>
        <w:t>Region of Abruzzo</w:t>
        <w:br/>
        <w:t>Region of Basilicata</w:t>
        <w:br/>
        <w:t>Region of Calabria</w:t>
        <w:br/>
        <w:t>Region of Campania</w:t>
        <w:br/>
        <w:t>Region of Emilia Romagna</w:t>
        <w:br/>
        <w:t>Autonomous Region of Friuli Venezia Giulia</w:t>
        <w:br/>
        <w:t>Region of Lazio</w:t>
        <w:br/>
        <w:t>Region of Liguria</w:t>
        <w:br/>
        <w:t>Region of Lombardy</w:t>
        <w:br/>
        <w:t>Region of Marche</w:t>
        <w:br/>
        <w:t>Region of Molise</w:t>
        <w:br/>
        <w:t>Region of Piedmont</w:t>
        <w:br/>
        <w:t>Region of Apulia</w:t>
        <w:br/>
        <w:t>Autonomous Region of Sardinia</w:t>
        <w:br/>
        <w:t>Autonomous Region of Sicily</w:t>
        <w:br/>
        <w:t>Region of Tuscany</w:t>
        <w:br/>
        <w:t>Region of Umbria</w:t>
        <w:br/>
        <w:t>Autonomous Region of Aosta Valley</w:t>
        <w:br/>
        <w:t>Region of Veneto</w:t>
        <w:br/>
        <w:t>Autonomous Province of Bolzano</w:t>
        <w:br/>
        <w:t>Autonomous Province of Trento</w:t>
      </w:r>
    </w:p>
    <w:p>
      <w:r>
        <w:t>Within the framework of the collaboration provided for by Article 2 of the Memorandum of Understanding between the National Anti-Corruption Authority (hereinafter, "ANAC") and the Authority for the Guarantee of Competition and the Market (hereinafter, "AGCM") dated July 30, 2024, the opportunity has arisen to provide joint indications, pursuant to Article 22 of Law No. 287 of October 10, 1990 and Article 222, paragraphs 2 and 3, of Legislative Decree No. 36 of March 31, 2023, regarding possible limitations to competition arising from the procurement procedures by public contracting authorities of the national and regional healthcare system for innovative robotic systems.</w:t>
      </w:r>
    </w:p>
    <w:p>
      <w:r>
        <w:t>Premise</w:t>
      </w:r>
    </w:p>
    <w:p>
      <w:r>
        <w:t>Robotic laparoscopic surgery represents a significant technological evolution in the field of minimally invasive laparoscopic surgery. Surgical robots allow for procedures to be performed through robotic arms controlled remotely from a console and offer significant advantages including improved surgical outcomes for patients, reduced complications, faster recovery times, cost-effectiveness, and enhanced surgeon experience. The adoption and dissemination of such tools is, therefore, an important objective of the national healthcare system and regional healthcare systems, as it enables more precise surgical interventions.</w:t>
      </w:r>
    </w:p>
    <w:p>
      <w:r>
        <w:t>The market for the production and commercialization of innovative robotic systems is a market that is experiencing significant competitive evolution, favored by the expiration of exclusive rights on the patents of the involved technologies, but which is still characterized by high concentration: following the presence of a single operator from 2000 to 2018, new alternative robotic systems have entered the market, which, however, still face obstacles to their dissemination and adoption in healthcare facilities.</w:t>
      </w:r>
    </w:p>
    <w:p>
      <w:r>
        <w:t>In fact, in recent years, critical issues have emerged in the market for the production and commercialization of innovative robotic systems that, from the demand side, concern the purchasing methods of these systems by public hospital facilities.</w:t>
      </w:r>
    </w:p>
    <w:p>
      <w:r>
        <w:t>Robotic systems for minimally invasive surgery</w:t>
      </w:r>
    </w:p>
    <w:p>
      <w:r>
        <w:t>Robotic surgery introduces a technological interface between the surgeon and the patient. These robotic systems consist of: i) a surgical console, through which the physician controls the robotic arms and the fiber optic (the so-called patient cart); ii) the robotic arms, mobile components of the robot that perform the required actions during the procedure and manipulate specialized surgical instruments (forceps, scissors, or electrosurgical devices); iii) the endoscope, a thin flexible tube equipped with a camera at its end; iv) the electronic control system, which manages communication between the surgeon's console, the robotic arms, and other components of the system; v) the patient cart, composed of the robotic arms and fiber optic; and vi) the viewer, or viewer cart, containing the monitor for image processing. Furthermore, for each use, the robot is equipped with a new set of instruments, single-use and reusable, the so-called "consumables" (or "consumable material") that can, in any case, be used for a limited number of procedures.</w:t>
      </w:r>
    </w:p>
    <w:p>
      <w:r>
        <w:t>Training and the availability of robotic systems at medical training centers appear to be a decisive element in the subsequent adoption and dissemination of specific robotic systems. Therefore, the availability of alternative systems in healthcare centers can also influence the future dynamics of the market for the production and commercialization of innovative robotic systems.</w:t>
      </w:r>
    </w:p>
    <w:p>
      <w:r>
        <w:rPr>
          <w:b/>
        </w:rPr>
        <w:t>[Pages 22–24]</w:t>
      </w:r>
    </w:p>
    <w:p>
      <w:r>
        <w:t>24 BULLETIN NO. 44 OF NOVEMBER 18, 2024</w:t>
      </w:r>
    </w:p>
    <w:p>
      <w:r>
        <w:t>The identified critical issues</w:t>
      </w:r>
    </w:p>
    <w:p>
      <w:r>
        <w:t>1. The methods of acquiring surgical robots</w:t>
      </w:r>
    </w:p>
    <w:p>
      <w:r>
        <w:t>As illustrated in the introduction, in recent years, there has been an emergence of robotic systems for minimally invasive surgery that are alternative and competitive with each other. Although these systems differ in the technologies used and operational characteristics, they appear to be overlapping within the surgical specialties for which they have received CE marking.</w:t>
      </w:r>
    </w:p>
    <w:p>
      <w:r>
        <w:t>In this context, the AGCM and ANAC have noted the existence of practices by many Companies and Entities of the National Health Service that result in restricting access to tender procedures for producers of new robotic surgery devices. Such practices consist of the requirement, within the tender documentation, for technical specifications attributable exclusively to a specific robotic system (without, moreover, allowing for an assessment of functional equivalence) or in the awarding without tender of supply contracts to the manufacturer of the first robotic system used, following merely formal verification regarding its non-substitutability with respect to the needs to be met.</w:t>
      </w:r>
    </w:p>
    <w:p>
      <w:r>
        <w:t>These practices have been criticized on several occasions by ANAC, as they evade competitive comparison and the necessity to ensure maximum market openness, while also highlighting the need to provide some indications to contracting authorities for the correct setting of procedures for the acquisition of the aforementioned robotic surgery systems.</w:t>
      </w:r>
    </w:p>
    <w:p>
      <w:r>
        <w:t>ANAC has recalled that in the market in question, the tool of preliminary market consultations, now regulated by Article 77 of Legislative Decree No. 36/2023 (hereinafter also "Code" or "Public Contracts Code"; previously by Article 66 of Legislative Decree No. 50/2016, containing the previous Public Contracts Code), is particularly useful, through which contracting authorities can engage with economic operators before the start of any awarding procedure, in order to acquire information, consultations, and documents or, more generally, to achieve a better understanding of the responses that the market is able to offer to best meet public needs.</w:t>
      </w:r>
    </w:p>
    <w:p>
      <w:r>
        <w:t>On this point, with specific regard to the calling of tenders to be carried out through negotiated procedures without prior publication of a notice, the AGCM, in various reporting interventions, has also highlighted the importance of conducting adequate preliminary market consultations.</w:t>
      </w:r>
    </w:p>
    <w:p>
      <w:r>
        <w:t>However, this is a tool that, although optional, must be used in accordance with the exploratory and knowledge-gathering purpose that characterizes it. On several occasions, ANAC has instead noted a distorted use of consultations preparatory to the calling of negotiated procedures without a notice for the supply of new robotic systems or consumables for robots already in use, as they are aimed not at verifying, according to objective criteria, the existence in the market of suppliers or alternative solutions suitable to meet similar needs or functional requirements, but at seeking the supplier of a system with identical technical requirements.</w:t>
      </w:r>
    </w:p>
    <w:p>
      <w:r>
        <w:t>Similarly, the AGCM in various economic sectors has identified similar critical issues, indicating that market consultations based on the technical requirements of the good/service in question had the effect of disproportionately favoring, unjustifiably and unnecessarily, a specific economic operator to the detriment of the degree of contestability of the market.</w:t>
      </w:r>
    </w:p>
    <w:p>
      <w:r>
        <w:t>Preliminary market consultations, as highlighted in ANAC Guidelines No. 14, drafted based on the previous Code, represent a useful tool to bridge the knowledge gap of contracting authorities, inviting economic operators to suggest and demonstrate the feasibility of alternative solutions to those that would lead to the conclusion of the existence of a single supplier.</w:t>
      </w:r>
    </w:p>
    <w:p>
      <w:r>
        <w:t>Therefore, their scope cannot be a priori limited by indicating a single reference parameter (the system already in use), as this inevitably leads to narrowing the investigation towards a single system, excluding those based on equivalent or alternative technologies, taking into account the needs or technical and/or organizational solutions suitable to meet the functional requirements of the contracting authority.</w:t>
      </w:r>
    </w:p>
    <w:p>
      <w:r>
        <w:t>ANAC has also criticized the widespread practice among contracting authorities of calling negotiated procedures without prior publication of a notice motivated by reasons of non-substitutability that are not subjected to rigorous verification and ascertainment. In particular, reference is made to cases in which contracting authorities request technical specifications of robotic systems of specific brands already in use at the same facilities (for example, the following technical requirements are requested in the notices of preliminary investigations: "presence of an adequate number of operational arms included in a single 'patient console' capable of allowing the use of at least 3 operational instruments and an optical system (equipped with lenses of different angles) interchangeably"; "the system must integrate a generator for mono and bipolar instrumentation with the possibility of performing vascular synthesis and allowing the interfacing of endoscopic instruments"; "subsystem for virtual surgery simulation"), effectively preventing operators other than the supplier of the first robotic system from having the opportunity to be invited to the selection, demonstrating the functional equivalence of their device, which is not even evaluated by the Administrations from a technical and health perspective.</w:t>
      </w:r>
    </w:p>
    <w:p>
      <w:r>
        <w:t>5 See ANAC Resolutions No. 83 of January 27, 2021, and No. 537 of November 16, 2022, in which the conduct of contracting authorities using preliminary market consultations, limiting the scope of investigation to products with the same technical characteristics as robots already in use, was deemed non-compliant with sector regulations.</w:t>
      </w:r>
    </w:p>
    <w:p>
      <w:r>
        <w:t>6 See AGCM reports AS1849 - Abbanoa SpA - Awarding of the service for the delivery of bills and payment reminders for its water service users of July 11, 2022, in Bulletin No. 28/2022 and AS1896 - Municipality of Cinisi (PA) - Notice of market investigation for the awarding of the service of notification by mail of judicial acts and fines for the Local Police Command of May 8, 2023, in Bulletin No. 28/2023.</w:t>
      </w:r>
    </w:p>
    <w:p>
      <w:r>
        <w:t>7 ANAC Resolution No. 161 of March 6, 2019, Guidelines No. 14 containing indications on preliminary market consultations, which, although repealed, contain still valid indications.</w:t>
      </w:r>
    </w:p>
    <w:p>
      <w:r>
        <w:t>8 In Resolution No. 50 of February 8, 2023, it was recalled to conduct market investigations according to the assumptions stated in ANAC Guidelines No. 8, ensuring that the lock-in phenomenon does not occur "due solely to the economic and managerial gravity of the change of operator, and that for this reason it is necessary, should the need arise to introduce the robotic system in question in other hospital facilities or structures belonging to the current [...], to proceed with a renewed evaluation of the solutions proposed by the reference market, based on the assumptions and principles outlined above, without repeatedly resorting to the procedure provided for complementary supplies, which would end up indefinitely removing a qualitatively significant segment of the market for health supplies from competition."</w:t>
      </w:r>
    </w:p>
    <w:p>
      <w:r>
        <w:t>26 BULLETIN NO. 44 OF NOVEMBER 18, 2024</w:t>
      </w:r>
    </w:p>
    <w:p>
      <w:r>
        <w:t>ANAC has, on numerous occasions, noted that the actual non-substitutability of a product or service must be rigorously ascertained by the contracting authority, with reference to the specific case, evaluating the actual non-existence in the market of goods and solutions suitable to meet the needs of the Administration. This does not occur when contracting authorities, for example, proceed to publish a notice of market investigation that describes the precise technical characteristics of the requested robotic system, without illustrating the public needs to be met.</w:t>
      </w:r>
    </w:p>
    <w:p>
      <w:r>
        <w:t>2. The loan for use of the main good</w:t>
      </w:r>
    </w:p>
    <w:p>
      <w:r>
        <w:t>Another critical issue concerns the practice of resorting to the loan for use. Specifically, it appears that many contracting authorities sign loan for use contracts for only the main good (the robotic system) while simultaneously providing for a spending commitment for the consumable materials necessary for their operation. This onerous supply of consumable materials occurs with multiple types of awarding, such as, for example, resorting to negotiated procedures without prior publication of a notice, motivated by issues of non-substitutability or urgency.</w:t>
      </w:r>
    </w:p>
    <w:p>
      <w:r>
        <w:t>This aspect also concerns the acceptance, by contracting authorities, of a second or third robot (in the phase of replacing the first robot or in the phase of expanding the interventions to be carried out) always in ways that exclude a true competitive comparison.</w:t>
      </w:r>
    </w:p>
    <w:p>
      <w:r>
        <w:t>Indeed, it is noted in many hospitals the practice of accepting in loan for use such additional system (the main good) without calling any tender, as it is apparently free of charge. Even in this circumstance, the system implies a monetary outlay for the purchase of consumables that occurs with resolutions motivated by urgency and non-substitutability regarding the consumables, sometimes even resorting to the so-called fifth of obligation (Article 120, paragraph 9, of Legislative Decree No. 36/2023) on previously signed contracts.</w:t>
      </w:r>
    </w:p>
    <w:p>
      <w:r>
        <w:t>It is therefore the acquisition of a robotic system for surgery that is only apparently free, as its operation - in particular, for the performance of each individual surgical operation - requires the use of dedicated consumable material, sold exclusively by the manufacturer of the robotic system, the economic significance of which is considerable. There is a risk, therefore, of creating a long-term bond with the same supplier without allowing market access to alternative suppliers.</w:t>
      </w:r>
    </w:p>
    <w:p>
      <w:r>
        <w:t>Assessments</w:t>
      </w:r>
    </w:p>
    <w:p>
      <w:r>
        <w:t>The AGCM and ANAC believe that the indicated procurement methods constitute an evasion of the rules set forth by the Public Contracts Code, not allowing for adequate competitive comparison between robotic systems and altering the correct functioning of the market for the production and marketing of innovative robotic systems.</w:t>
      </w:r>
    </w:p>
    <w:p>
      <w:r>
        <w:t>In fact, based on the provisions of the Public Contracts Code, in its previous as well as in its current formulation, in line with the consolidated jurisprudential orientation.</w:t>
      </w:r>
    </w:p>
    <w:p>
      <w:r>
        <w:rPr>
          <w:b/>
        </w:rPr>
        <w:t>[Pages 25–27]</w:t>
      </w:r>
    </w:p>
    <w:p>
      <w:r>
        <w:t>BULLETIN NO. 44 OF NOVEMBER 18, 2024</w:t>
      </w:r>
    </w:p>
    <w:p>
      <w:r>
        <w:t>27</w:t>
        <w:br/>
        <w:t>national9 and supranational10, the recourse to the negotiated procedure is exceptional compared to the obligation of contracting authorities to identify their contractor through competitive comparison, so that the choice of this method requires particular rigor in identifying the justificatory prerequisites, to be interpreted restrictively11.</w:t>
      </w:r>
    </w:p>
    <w:p>
      <w:r>
        <w:t>The new Public Contracts Code, moreover, places greater value on the knowledge tool of preliminary market consultations, in the preparatory phase for the announcement of a negotiated procedure without a call for tenders, in Article 76, paragraph 1, last sentence, where it is established that “For these purposes, contracting authorities take into account the outcomes of any market consultations carried out, aimed also at analyzing European markets or, if applicable, non-European ones.” From a procedural perspective, the express provision for the use of the outcomes of preliminary market consultations for the purpose of choosing the type of procurement procedure to be announced and for evaluating the prerequisites for resorting to the option of a negotiated procedure without a call for tenders, allows us to consider that today - with particular reference to sectors (such as the one in question) characterized by the presence of multiple operators but with a former monopolist still in a position of absolute prominence - the tool of preliminary consultations, as a moment of “real” and “effective” confrontation with the market, represents an indispensable step for resorting to the negotiated procedure without a call for tenders due to the non-fungibility of the supplier (Article 76, paragraph 2, letter b), of Legislative Decree No. 36/2023).</w:t>
      </w:r>
    </w:p>
    <w:p>
      <w:r>
        <w:t>The AGCM and ANAC consider the conduct of an adequate preliminary market consultation essential in cases where the supply is characterized by non-fungibility, as also stated in ANAC Guidelines No. 8. In particular, since this is a derogation from the general principle of publicity and maximum competitiveness typical of the open procedure, non-fungibility must be ascertained rigorously and duly justified in the contracting resolution of the Administration, avoiding artificial descriptions of the product that could unjustifiably limit the participation of economic operators, as such a provision, by preemptively limiting competitive comparison, contradicts the very purpose of market consultation.</w:t>
      </w:r>
    </w:p>
    <w:p>
      <w:r>
        <w:t>With specific reference to supplies awarded following a negotiated procedure without prior publication of a tender notice justified for reasons of urgency, it is reiterated that such urgency must unavoidably derive from unpredictable events and in no case attributable to the contracting authority, which make it impossible to comply with the deadlines for open procedures or for restricted procedures or for competitive procedures with negotiation. To this end, the importance of meticulous planning by the Administrations of their needs is recalled, in order to prevent situations of urgency that frequently represent the means through which the Administration justifies resorting to negotiated procedures without prior publication of the tender.</w:t>
      </w:r>
    </w:p>
    <w:p>
      <w:r>
        <w:t>The importance of preserving competitive procedures in the field of robotic surgery for the Italian healthcare system is crucial both for controlling public spending and for promoting technological development in the sector. Considering that, on average during the period 2021-2023, about 70% of robots for surgical operations have been allocated to public facilities, the expenditure for the purchase and maintenance of robotic systems has a direct impact on the budgets of healthcare facilities and, in particular, the estimated value of the annual expenditure of the Public Administration for such systems amounts to approximately 87 million euros. It is also highlighted that this expenditure does not exclusively include the cost of the machinery but mainly refers to the dedicated instruments, which represent over 50% of the total expenditure12. To date, it is estimated that at least two hundred robotic systems are operational in Italy, of which one hundred and forty are located in public hospital facilities13.</w:t>
      </w:r>
    </w:p>
    <w:p>
      <w:r>
        <w:t>These costs are closely linked to the level of competition among suppliers: where tenders have been open and transparent, a positive effect on cost reduction has been observed. For example, from a comparative analysis between contracts awarded through negotiated procedures without prior publication and open procedures, a significant saving on the overall costs of the robotic system and its consumables has been observed (estimated at least 20%).</w:t>
      </w:r>
    </w:p>
    <w:p>
      <w:r>
        <w:t>Another aspect considered particularly relevant in this market is the use of loan agreements. Analyses conducted have shown that this procedure, concerning only the robotic system, involves an apparent gratuity of the proposal, arising from the necessity to purchase the essential consumable materials for its operation, the cost of which appears to be, in some cases, of significant magnitude, to the point of configuring a true contractual consideration.</w:t>
      </w:r>
    </w:p>
    <w:p>
      <w:r>
        <w:t>In this regard, it is worth noting that, although the new Public Contracts Code recognizes and reiterates the general power of Administrations to enter into gratuitous contracts14, as an expression of the contractual autonomy of public authorities (Article 8 of Legislative Decree No. 36/2023), it does not exempt them from the application of the general principles of public contracting. Article 8, paragraph 3, of the Code excludes from the obligation of tender only donations of goods or services made in a spirit of generosity and in accordance with public interest, while Article 13, paragraph 2, although excluding from the application of the code “contracts for no consideration, even if they offer opportunities for economic gain, even indirect,” in paragraph 5 prescribes that the awarding of these latter contracts where “they offer opportunities for economic gain, even indirect, takes place taking into account the principles set forth in Articles 1, 2, and 3.”</w:t>
      </w:r>
    </w:p>
    <w:p>
      <w:r>
        <w:t>ANAC has highlighted that from the aforementioned provisions it emerges that “the provision for exclusion from the scope of application of the code of contracts for no consideration cannot be said to be unconditional, as the general principles, including those of European origin, that regulate the actions of contracting authorities in the field of public evidence and the use of public resources must still apply”15. In particular, the principles of result (Article 1), trust (Article 2), and access to the market (Article 3) apply; the latter imposes on contracting authorities to adopt positive measures that, with reference to the specific market and its concrete peculiarities, are aimed at effectively determining market openness allowing the</w:t>
      </w:r>
    </w:p>
    <w:p>
      <w:r>
        <w:t xml:space="preserve">12 Source CONSIP. </w:t>
        <w:br/>
        <w:t xml:space="preserve">13 Source CONSIP. </w:t>
        <w:br/>
        <w:t xml:space="preserve">14 Article 2, paragraph 1, letter g) of Annex I.1 to the Code defines contracts for no consideration as those in which “the obligation of performance or the economic sacrifices directly provided for in the contract burden only one or some of the contracting parties.” </w:t>
        <w:br/>
        <w:t>15 See the Communication from the President of ANAC of June 5, 2024, Guidelines for contracting authorities regarding the regulation of the awarding of contracts for no consideration.</w:t>
      </w:r>
    </w:p>
    <w:p>
      <w:r>
        <w:t>29</w:t>
        <w:br/>
        <w:t>broadest participation of economic operators (including certainly the obligation to provide for a public and transparent selection, to require access requirements for selection and non-discriminatory technical specifications, to divide the award into lots, and to prepare tender documentation to allow the participation of small and medium-sized enterprises). Furthermore, the principles of competition, impartiality, non-discrimination, publicity, transparency, and proportionality also apply to gratuitous contracts, as well as the necessity to carry out checks on the existence of general requirements on the operators.</w:t>
      </w:r>
    </w:p>
    <w:p>
      <w:r>
        <w:t>Regarding the stipulation of loan agreements for robotic systems, it is important to draw the attention of contracting authorities to the respect of the principles set forth in Articles 1, 2, and 3 of Legislative Decree No. 36/2023, as per the combined provisions of paragraphs 2 and 5 of Article 13. Therefore, it is necessary that the Administrations, at the time of evaluating the stipulation of a gratuitous loan agreement, carry out a careful assessment of both their needs and the sustainability of the offer in the medium and long term, evaluating ex ante (and providing adequate justifications in the contracting resolution) the reasons related to the economic advantage obtained by the contracting authority as a result of the supply received as well as the advantage, even indirect, obtained by the economic operator following the supply. For the legitimacy of the gratuity of the performance, attention must be focused on the following aspects.</w:t>
      </w:r>
    </w:p>
    <w:p>
      <w:r>
        <w:t>From the perspective of the necessary respect for the principle of economy (of which the principle of result is an expression, applicable also to gratuitous contracts), contracting authorities must carry out an economic evaluation on the long-term purchase, also considering the costs related to the operation of the system and the consumable materials as well as the risk of possible diseconomies for the Administration. To this end, it must be kept in mind that if the resolution for the acquisition of a supply in gratuitous loan provides for a spending commitment for the subsequent purchase of consumable materials, guaranteeing a profit to the operator, the compensation will transform the contract from gratuitous to commutative, configuring itself as a contractual consideration in exchange for a service or supply, from which derives the application not only of the principles set forth in Articles 1, 2, and 3 of the Code, but of the entire codified discipline regarding the selection of the contractor16.</w:t>
      </w:r>
    </w:p>
    <w:p>
      <w:r>
        <w:t>Under the principle of guaranteeing access to the market, it must be considered that the acceptance in gratuitous loan (of the first as well as of any subsequent other robots) of robotic systems carried out without a prior consideration of the expenses for the consumable material used in the interventions, compatible exclusively with robots of the same brand, which is de facto imposed for subsequent purchases, would compromise from the outset the gratuity of the loan itself and would therefore involve an evasion or even a violation of the regulations on public procurement.</w:t>
      </w:r>
    </w:p>
    <w:p>
      <w:r>
        <w:t>In particular, the acceptance of the gratuitous loan avoids the conduct of competitive comparison between robotic systems and, therefore, an overall technical-economic evaluation of the system and the materials necessary for its operation. The absence of a correct competitive comparison creates significant risks for competition in the market of production and</w:t>
      </w:r>
    </w:p>
    <w:p>
      <w:r>
        <w:t>16 The Council of State has clarified that even the awarding concerning services for no consideration configures a contract for consideration, subject to the discipline of the public contracts code of the previous Legislative Decree No. 50/2016, “the guarantee of seriousness and reliability, intrinsic to the economic reason for contracting, in fact, does not necessarily find its foundation in a financial consideration of the contractual performance, which remains in any case the responsibility of the contracting authority, but can have an analogous reason also in another type of utility, still economically appreciable, that arises or is imagined to be generated by the concrete contract” (see Council of State, section V, ruling of October 3, 2017, No. 4614).</w:t>
      </w:r>
    </w:p>
    <w:p>
      <w:r>
        <w:rPr>
          <w:b/>
        </w:rPr>
        <w:t>[Pages 28–30]</w:t>
      </w:r>
    </w:p>
    <w:p>
      <w:r>
        <w:t>30 BULLETIN NO. 44 OF NOVEMBER 18, 2024</w:t>
      </w:r>
    </w:p>
    <w:p>
      <w:r>
        <w:t>the marketing of innovative robotic systems, with significant consequences in terms of health and containment of healthcare spending. Furthermore, it is necessary to observe the long-term implications arising from the permanence of a single robotic system, given that the acceptance of robotic systems on loan from a single manufacturer implies the training of doctors and future doctors on a single instrument, generating a technological lock-in to the further detriment of competition and with negative long-term effects on the development of new technologies or systems that may be less expensive while ensuring equivalent performance.</w:t>
      </w:r>
    </w:p>
    <w:p>
      <w:r>
        <w:t>It is indeed noteworthy that the choice of the robotic system conditions the choice of the supplier of consumables, due to the absence of alternative suppliers of the same. Therefore, the acceptance of a principal good on loan (whether it is the first or others over time) that, however, implies the payment for accessory goods (the consumables whose costs, as mentioned above, can also be equal to 50% of the average cost per intervention) cannot be classified as a gift and should instead occur according to open and transparent procedures that allow multiple operators to offer the system.</w:t>
      </w:r>
    </w:p>
    <w:p>
      <w:r>
        <w:t>Finally, even in cases where there is real gratuitousness of the proposal, that is, in cases of loan for use that includes both robotic systems and consumables, greater transparency in the market is hoped for, and the possibility for multiple suppliers to have their systems tested by healthcare facilities should be provided. In this way, a level playing field among economic operators would be guaranteed, and the training of doctors would not be limited to a single robotic system, with long-term implications for competition in the reference market.</w:t>
      </w:r>
    </w:p>
    <w:p>
      <w:r>
        <w:t>The Authorities hope that the considerations made here can represent a guideline and a warning for the Administrations and Entities of the national and regional healthcare system to act in a manner more compliant with competitive principles, in order to achieve greater long-term economies and not to introduce unjustified obstacles to technological innovation in the field of minimally invasive robotic surgery.</w:t>
      </w:r>
    </w:p>
    <w:p>
      <w:r>
        <w:t>THE SECRETARY GENERAL THE PRESIDENT</w:t>
        <w:br/>
        <w:t>Guido Stazi Roberto Rustichelli</w:t>
      </w:r>
    </w:p>
    <w:p>
      <w:r>
        <w:t>BULLETIN NO. 44 OF NOVEMBER 18, 2024</w:t>
      </w:r>
    </w:p>
    <w:p>
      <w:r>
        <w:t>31 UNFAIR COMMERCIAL PRACTICES</w:t>
      </w:r>
    </w:p>
    <w:p>
      <w:r>
        <w:t>PS12792 - VET DISTRIBUTION - AGRARIA PONTIFICIA - FAILURE TO DELIVER</w:t>
      </w:r>
    </w:p>
    <w:p>
      <w:r>
        <w:t>Provision No. 31358</w:t>
      </w:r>
    </w:p>
    <w:p>
      <w:r>
        <w:t>THE ANTITRUST AUTHORITY</w:t>
      </w:r>
    </w:p>
    <w:p>
      <w:r>
        <w:t>IN ITS MEETING of October 29, 2024;</w:t>
      </w:r>
    </w:p>
    <w:p>
      <w:r>
        <w:t>HEARD the Rapporteur, Saverio Valentino;</w:t>
      </w:r>
    </w:p>
    <w:p>
      <w:r>
        <w:t>VIEWED Part II, Title III of Legislative Decree No. 206 of September 6, 2005,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45211 of April 1, 2015;</w:t>
      </w:r>
    </w:p>
    <w:p>
      <w:r>
        <w:t>VIEWED the documents of the proceeding;</w:t>
      </w:r>
    </w:p>
    <w:p>
      <w:r>
        <w:t>VIEWED the subjective and objective integration of the communication initiating proceeding PS12792 of October 23, 2024, aimed at verifying the existence of unfair commercial practices in violation of Articles 20, paragraph 2, 21, 22, 24, 25, paragraph 1, letter d), 49, and 61 of the Consumer Code, against the company El Perro Gordo S.r.l.s. (hereinafter also "Professional" or "Company");</w:t>
      </w:r>
    </w:p>
    <w:p>
      <w:r>
        <w:t>CONSIDERED the following:</w:t>
      </w:r>
    </w:p>
    <w:p>
      <w:r>
        <w:t>I. FACT</w:t>
      </w:r>
    </w:p>
    <w:p>
      <w:r>
        <w:t>1. According to information acquired for the application of the Consumer Code, also following the service of a well-known television broadcast, the company El Perro Gordo S.r.l.s. (hereinafter also "El Perro Gordo") would have engaged, through the website https://agrariapontificia.com/ (hereinafter also "Site"), in unfair commercial practices consisting of the failure to deliver products sold through the Site, the failure to refund amounts paid by consumers, inadequate after-sales assistance, as well as the omission of information required as mandatory for websites selling online in violation of Articles 20, paragraph 2, 21, 22, 24, 25, paragraph 1, letter d), and in violation of Articles 49 and 61 of the Consumer Code.</w:t>
      </w:r>
    </w:p>
    <w:p>
      <w:r>
        <w:t>2. In particular, the company El Perro Gordo S.r.l.s., based on consumer reports received starting in July 2024 as well as numerous reviews present on sites such as Trustpilot.it and Altroconsumo - acquired in the case file, would have engaged in the offer of products for sale online through the website https://agrariapontificia.com/, in some commercial practices consisting of the failure to deliver products ordered and paid for by consumers, the failure to refund amounts paid by consumers following a complaint for non-delivery or the exercise of the right of withdrawal, as well as the omission of information required as mandatory for websites selling online.</w:t>
      </w:r>
    </w:p>
    <w:p>
      <w:r>
        <w:t>3. El Perro Gordo would also have published incorrect company identification data on the website https://agrariapontificia.com/ and would have failed to provide after-sales services, given that the phone number and email address, apparently made available to customers, would be inactive or, in any case, useless as their use would not result in any response from the Professional.</w:t>
      </w:r>
    </w:p>
    <w:p>
      <w:r>
        <w:t>4. From the aforementioned consumer review sites, it emerges that the aforementioned conduct does not represent episodic cases, but rather widespread and systematic, as demonstrated by the numerous complaints from consumers reporting strongly negative reviews of the Site https://agrariapontificia.com/.</w:t>
      </w:r>
    </w:p>
    <w:p>
      <w:r>
        <w:t>5. The described conduct could constitute unfair practices under Articles 24, 25, paragraph 1, letter d), of the Consumer Code, as they are capable of configuring undue conditioning by the professional consisting of the imposition of extra-contractual obstacles to consumers' ability to exercise their rights of withdrawal and refund as well as to turn to another professional.</w:t>
      </w:r>
    </w:p>
    <w:p>
      <w:r>
        <w:t>6. In particular, the failure to deliver products purchased online constitutes a violation of Article 61 of the Consumer Code, which establishes a precise and specific obligation of delivery on the part of sellers operating online.</w:t>
      </w:r>
    </w:p>
    <w:p>
      <w:r>
        <w:t>7. Finally, the website https://agrariapontificia.com/ violates Article 49 of the Consumer Code to the extent that it indicates false company contact details and methods of contact.</w:t>
      </w:r>
    </w:p>
    <w:p>
      <w:r>
        <w:t>8. In summary, the behaviors subject to contestation consist of the failure to deliver products sold through the website https://agrariapontificia.com/, the failure to refund amounts paid by consumers, inadequate after-sales assistance, as well as the omission of information required as mandatory for websites selling online.</w:t>
      </w:r>
    </w:p>
    <w:p>
      <w:r>
        <w:t>II. EVALUATIONS</w:t>
      </w:r>
    </w:p>
    <w:p>
      <w:r>
        <w:t>9. From the perspective of fumus boni iuris, the elements described above lead to the conclusion that the serious conduct described, in violation of Articles 20, paragraph 2, 21, 22, 24, 25, paragraph 1, letter d), 49, and 61 of the Consumer Code, exists prima facie, as they present profiles of aggressiveness specifically concerning the conduct consisting of the failure to deliver products sold online as well as the failure to recognize/obstruct the exercise of rights of withdrawal and refund, as well as manifest profiles of misleadingness concerning the indication of product availability, delivery times, and violation of the obligation to indicate actual and functioning company contact details.</w:t>
      </w:r>
    </w:p>
    <w:p>
      <w:r>
        <w:t>10. Moreover, in light of the reports, the behavior of the Professional is characterized by particular seriousness and unfairness, as it continues to collect payment for goods sold online at the time of the order, and then fails to deliver the ordered products, nor does it refund amounts paid by consumers, causing evident economic harm to them, omitting any refund or after-sales assistance.</w:t>
      </w:r>
    </w:p>
    <w:p>
      <w:r>
        <w:rPr>
          <w:b/>
        </w:rPr>
        <w:t>[Pages 31–33]</w:t>
      </w:r>
    </w:p>
    <w:p>
      <w:r>
        <w:t>BULLETIN NO. 44 OF NOVEMBER 18, 2024</w:t>
      </w:r>
    </w:p>
    <w:p>
      <w:r>
        <w:t>11. The factual elements in the records therefore attest, prima facie, to the existence of significant issues regarding the management of purchases made by consumers and the refund requests submitted by them due to the non-delivery of products ordered online. The factual evidence that also emerges from reports appearing on review sites or those of consumer associations demonstrates that these are not isolated behaviors attributable to misunderstandings or business inefficiencies, but rather a commercial conduct carried out systematically with the aim of profiting from the non-delivery of products paid for by consumers.</w:t>
      </w:r>
    </w:p>
    <w:p>
      <w:r>
        <w:t>12. From the perspective of periculum in mora, it is worth noting that the described conduct is characterized by a high degree of offensiveness, as the website https://agrariapontificia.com/ is still active and, as such, is capable, during the proceedings, also considering the exponential growth of online sales, of reaching a large number of consumers who, attracted by the characteristics of the offer advertised by the Professional through the Site, could purchase the products, pay the price, not receive the goods, and subsequently be unable to obtain a refund of the amounts paid.</w:t>
      </w:r>
    </w:p>
    <w:p>
      <w:r>
        <w:t>13. In consideration of the entirety of the arguments presented and taking into account the seriousness and immediacy of the unlawful conduct described, such conduct appears capable, during the proceedings, of inducing consumers to make a commercial decision that they would not otherwise make, such as purchasing from the website https://agrariapontificia.com/, without then receiving the purchased products or being able to obtain the corresponding refund.</w:t>
      </w:r>
    </w:p>
    <w:p>
      <w:r>
        <w:t>THEREFORE CONSIDERED, that from the examination of the acts of the proceedings, elements emerge that support the necessity to act with particular urgency, pursuant to Article 27, paragraphs 3 and 3-bis, of the Consumer Code, in order to prevent the above-described commercial practices, consisting of the misleading representation of the availability of products, the non-delivery of sold goods, and the failure to refund amounts paid and the failure to provide after-sales services, from continuing to be carried out during the course of the investigative proceedings;</w:t>
      </w:r>
    </w:p>
    <w:p>
      <w:r>
        <w:t>ORDERS</w:t>
      </w:r>
    </w:p>
    <w:p>
      <w:r>
        <w:t>pursuant to Article 27, paragraph 3, of the Consumer Code and Article 8, paragraph 1, of the Regulation, that the company El Perro Gordo S.r.l.s.:</w:t>
      </w:r>
    </w:p>
    <w:p>
      <w:r>
        <w:t>a) suspend any activity aimed at the marketing and sale of products in the manner indicated above;</w:t>
      </w:r>
    </w:p>
    <w:p>
      <w:r>
        <w:t>b) within seven days from the communication of this provision, submit written statements and documents for the purpose of confirming the aforementioned measure;</w:t>
      </w:r>
    </w:p>
    <w:p>
      <w:r>
        <w:t>c) within five days from the communication of this provision, inform the Authority of the execution of this suspension provision and the related methods, sending a detailed report in which the measures adopted are illustrated;</w:t>
      </w:r>
    </w:p>
    <w:p>
      <w:r>
        <w:t>d) that pursuant to Article 27, paragraph 3-bis, of the Consumer Code, in order to avoid the risk of serious harm to Italian consumers, access to the website https://agrariapontificia.com/ be inhibited;</w:t>
      </w:r>
    </w:p>
    <w:p>
      <w:r>
        <w:t>e) that, for the purposes of the inhibition referred to in the previous letter d), pursuant to Article 27, paragraphs 2 and 3-bis, of the Consumer Code and Article 3, paragraph 1, of Legislative Decree No. 68 of March 19, 2001 (concerning "Adjustment of the tasks of the Guardia di Finanza"), the Authority, for the execution of this provision, shall avail itself of the Special Antitrust Unit of the Guardia di Finanza.</w:t>
      </w:r>
    </w:p>
    <w:p>
      <w:r>
        <w:t>Pursuant to Article 8, paragraph 3, of the Regulation, the College, having assessed the defensive arguments of the Parties, may confirm the provisional suspension of the commercial practice.</w:t>
      </w:r>
    </w:p>
    <w:p>
      <w:r>
        <w:t>Pursuant to Article 27, paragraph 12, of the Consumer Code, in case of non-compliance with this resolution, the Authority applies an administrative pecuniary sanction from €10,000 to €10,000,000. In cases of repeated non-compliance, the Authority may order the suspension of business activity for a period not exceeding thirty days.</w:t>
      </w:r>
    </w:p>
    <w:p>
      <w:r>
        <w:t>This provision will be communicated to the interested parties and published in the Bulletin of the Authority for Competition and the Market.</w:t>
      </w:r>
    </w:p>
    <w:p>
      <w:r>
        <w:t>Against this provision, an appeal may be submitted to the TAR of Lazio, pursuant to Article 135, paragraph 1, letter b), of the Administrative Procedure Code (Legislative Decree No. 104 of July 2, 2010), within sixty days from the date of communication of the provision itself, without prejudice to the longer terms referred to in Article 41, paragraph 5, of the Administrative Procedure Code, or an extraordinary appeal may be proposed to the President of the Republic, pursuant to Article 8 of the Decree of the President of the Republic No. 1199 of November 24, 1971, within one hundred and twenty days from the date of communication of the provision itself.</w:t>
      </w:r>
    </w:p>
    <w:p>
      <w:r>
        <w:t>It is reminded that, pursuant to Article 8, paragraph 4, of the Regulation, this decision to suspend must be immediately executed by the professionals and that the appeal against the suspension provision of the Authority does not suspend its execution.</w:t>
      </w:r>
    </w:p>
    <w:p>
      <w:r>
        <w:t>THE SECRETARY GENERAL THE PRESIDENT</w:t>
      </w:r>
    </w:p>
    <w:p>
      <w:r>
        <w:t>Guido Stazi Roberto Rustichelli</w:t>
      </w:r>
    </w:p>
    <w:p>
      <w:r>
        <w:t>BULLETIN NO. 44 OF NOVEMBER 18, 2024</w:t>
      </w:r>
    </w:p>
    <w:p>
      <w:r>
        <w:t>PS12792 - VET DISTRIBUTION - AGRARIA PONTIFICIA - NON-DELIVERY</w:t>
      </w:r>
    </w:p>
    <w:p>
      <w:r>
        <w:t>Provision No. 31359</w:t>
      </w:r>
    </w:p>
    <w:p>
      <w:r>
        <w:t>THE AUTHORITY FOR COMPETITION AND THE MARKET</w:t>
      </w:r>
    </w:p>
    <w:p>
      <w:r>
        <w:t>IN ITS MEETING of October 29, 2024;</w:t>
      </w:r>
    </w:p>
    <w:p>
      <w:r>
        <w:t>HEARD the Rapporteur, Saverio Valentino;</w:t>
      </w:r>
    </w:p>
    <w:p>
      <w:r>
        <w:t>VIEWED Part II, Title III, of Legislative Decree No. 206 of September 6, 2005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VIEWED the communication initiating the procedure PS12792 of October 3, 2024, aimed at verifying the existence of unfair commercial practices in violation of Articles 20, paragraph 2, 21, 22, 24, 25, paragraph 1, letter d), 49, and 61 of the Consumer Code, carried out by the company VET Distribuzione S.r.l.s. (hereinafter also "Professional" or "Company");</w:t>
      </w:r>
    </w:p>
    <w:p>
      <w:r>
        <w:t>VIEWED, in particular, its provision of October 8, 2024, with which the provisional suspension of commercial practices consisting of the misleading representation of the availability of products, the non-delivery of sold goods, and the failure to refund amounts paid and the failure to provide after-sales services, carried out by the company VET Distribuzione S.r.l.s., was decided;</w:t>
      </w:r>
    </w:p>
    <w:p>
      <w:r>
        <w:t>VIEWED the acts of the proceedings;</w:t>
      </w:r>
    </w:p>
    <w:p>
      <w:r>
        <w:t>CONSIDERED the following:</w:t>
      </w:r>
    </w:p>
    <w:p>
      <w:r>
        <w:t>I. FACT</w:t>
      </w:r>
    </w:p>
    <w:p>
      <w:r>
        <w:t>1. According to information acquired for the application of the Consumer Code, reports received since May 20241 as well as evaluations published by consumers on major online review sites, the Professional would have engaged in commercial practices in the offer of products online - sold at particularly convenient prices through the website https://happy-vet.com/ (hereinafter also "Site") - consisting of the non-delivery of products ordered and paid for by consumers, the failure to refund the amount paid by the consumer following a complaint or the exercise of the right of withdrawal.</w:t>
      </w:r>
    </w:p>
    <w:p>
      <w:r>
        <w:t>2. Furthermore, the Professional would have hindered after-sales service, given that the phone number and email address made available to customers would be inactive or, in any case, useless as their use would not result in any response from the Professional.</w:t>
      </w:r>
    </w:p>
    <w:p>
      <w:r>
        <w:t>1 There are 63 consumer reports in the case file.</w:t>
      </w:r>
    </w:p>
    <w:p>
      <w:r>
        <w:rPr>
          <w:b/>
        </w:rPr>
        <w:t>[Pages 34–36]</w:t>
      </w:r>
    </w:p>
    <w:p>
      <w:r>
        <w:t>36 BULLETIN NO. 44 OF NOVEMBER 18, 2024</w:t>
      </w:r>
    </w:p>
    <w:p>
      <w:r>
        <w:t>3. These critical issues have been the subject of numerous and continuous complaints from consumers, all of a similar nature, as emerges from the reports on file.</w:t>
      </w:r>
    </w:p>
    <w:p>
      <w:r>
        <w:t>4. Consumer review sites (for example, Trustpilot, whose pages have been acquired for the file and from which a total of six hundred and ten reviews and a score of 1.2 out of 5 emerge) also report an absolutely negative judgment of the website https://happy-vet.com/, given the numerous complaints and criticisms arising from the systematic failure to deliver products purchased by consumers. The same complaints regarding the non-delivery of products purchased online on the website https://happy-vet.com/ can be found on the complaints portal of the consumer association Altroconsumo.</w:t>
      </w:r>
    </w:p>
    <w:p>
      <w:r>
        <w:t>5. In summary, the contested behaviors consist of: the failure to deliver products sold through the Site; the failure to refund amounts paid by consumers; inadequate after-sales assistance and the omission of information required as mandatory for websites selling online.</w:t>
      </w:r>
    </w:p>
    <w:p>
      <w:r>
        <w:t>6. It is also noteworthy that the Professional failed to respond to the request for information sent by the Authority on May 20, 2024, nor does it appear from the information provided by the Guardia di Finanza that the Company is actually present at the address communicated to the Chamber of Commerce and indicated as its registered office.</w:t>
      </w:r>
    </w:p>
    <w:p>
      <w:r>
        <w:t>7. Furthermore, on August 8, 2024, the Authority requested the company GoDaddy.com LLC - as the registrar of the domain https://happy-vet.com/ - to activate the abuse complaints procedure for the revocation of the aforementioned domain. The lack of cooperation from GoDaddy.com LLC is noteworthy in this case.</w:t>
      </w:r>
    </w:p>
    <w:p>
      <w:r>
        <w:t>II. AUTHORITY'S PROVISION OF OCTOBER 8, 2024</w:t>
      </w:r>
    </w:p>
    <w:p>
      <w:r>
        <w:t>8. The Authority, with a resolution adopted at its meeting on October 8, 2024, ordered that, pursuant to Article 27, paragraph 3, of the Consumer Code and Article 8, paragraph 3, of the Regulation, the company VET Distribuzione S.r.l.s. suspend all activities aimed at the marketing and sale of products in the manner indicated above.</w:t>
      </w:r>
    </w:p>
    <w:p>
      <w:r>
        <w:t>9. In particular, the Authority considered, from the perspective of fumus boni iuris, that the elements described above lead to the conclusion that the serious behaviors described exist prima facie, in violation of Articles 20, paragraph 2, 21, 22, 24, 25, paragraph 1, letter d), 49, and 61 of the Consumer Code, as they present profiles of aggressiveness specifically regarding behaviors that consist of the failure to deliver products sold online, the failure to recognize/obstruct the exercise of withdrawal and refund rights, as well as manifest profiles of misleadingness with reference to the indication of product availability, delivery times, and violation of the obligation to provide actual and functioning contact references.</w:t>
      </w:r>
    </w:p>
    <w:p>
      <w:r>
        <w:t>10. From the perspective of periculum in mora, the Authority considered that the behaviors described above are characterized by a high degree of offensiveness as the website https://happy-vet.com/, at the time of adoption of the precautionary measure, was active and as such capable of reaching a large number of consumers who, attracted by the characteristics of the offer advertised by the Professional through the Site (alleged immediate availability of products, at heavily discounted prices, as well as delivery times indicated as "24 - 48 hours"), could purchase the products, pay the price, not receive the goods, and subsequently be unable to obtain a refund of the amounts paid.</w:t>
      </w:r>
    </w:p>
    <w:p>
      <w:r>
        <w:t>11. That being said, the Authority considered that there are extreme gravity, urgency, and non-deferrable needs that justify the adoption of the precautionary measure, even without acquiring the memory of the Party, pursuant to Article 27, paragraph 3, of the Consumer Code and Article 8, paragraph 3, of the Regulation. In particular, these consist of the failure to deliver products ordered and paid for by consumers through the website https://happy-vet.com/, the failure to refund the amount paid by the consumer following a complaint or the exercise of the right of withdrawal.</w:t>
      </w:r>
    </w:p>
    <w:p>
      <w:r>
        <w:t>III. THE MEMORY OF THE PARTY</w:t>
      </w:r>
    </w:p>
    <w:p>
      <w:r>
        <w:t>12. The Company, within the seven-day period assigned in the precautionary measure, did not send defensive memories, despite having received the communication of the initiation of the procedure and the precautionary measure, as evidenced by the receipts of delivery and acceptance of the certified electronic mail box.</w:t>
      </w:r>
    </w:p>
    <w:p>
      <w:r>
        <w:t>IV. EVALUATIONS</w:t>
      </w:r>
    </w:p>
    <w:p>
      <w:r>
        <w:t>13. The company VET Distribuzione S.r.l.s., following the notification of the precautionary measure of October 8, 2024, did not present any defensive memory, but above all did not communicate to the Authority the suspension of the contested commercial practice and, among other things, the website https://happy-vet.com/ as of October 15, 2024, was still active.</w:t>
      </w:r>
    </w:p>
    <w:p>
      <w:r>
        <w:t>14. Consequently, on October 15, 2024, the collaboration of the Guardia di Finanza was requested, pursuant to Article 27, paragraph 3-bis, of the Consumer Code, in order to execute the suspension order adopted by the Authority in the precautionary measure of October 8, 2024, so as to inhibit access for Italian consumers to the website https://happy-vet.com/ which, as of October 21, 2024, is indeed unreachable.</w:t>
      </w:r>
    </w:p>
    <w:p>
      <w:r>
        <w:t>15. From the above, it emerges that the conditions that led the Authority to adopt the aforementioned precautionary measure still exist, which therefore requires confirmation to prevent consumers from continuing to suffer the aforementioned unfair commercial practice during the course of this proceeding.</w:t>
      </w:r>
    </w:p>
    <w:p>
      <w:r>
        <w:t>16. In fact, the existence of widespread unfair commercial practices, in violation of Articles 20, paragraph 2, 21, 22, 24, 25, paragraph 1, letter d), 49, and 61 of the Consumer Code, is confirmed.</w:t>
      </w:r>
    </w:p>
    <w:p>
      <w:r>
        <w:t>17. In particular, from the examination of the documents of the proceeding, elements emerge that support the necessity to confirm the precautionary measure adopted in the meeting of October 8, 2024, in order to prevent the described commercial practices, consisting of the failure to deliver products ordered and paid for by consumers through the website https://happy-vet.com/, the failure to refund the amount paid by the consumer following a complaint or the exercise of the right of withdrawal, from continuing to be carried out during the course of the substantive proceeding.</w:t>
      </w:r>
    </w:p>
    <w:p>
      <w:r>
        <w:t>18. In terms of the current nature of the unfair commercial practice, it is noted that complaints continue to arrive from consumers who report the non-delivery of products ordered and paid for through the website https://happy-vet.com/, the failure to refund the amount paid, and obstacles to after-sales service, as well as numerous reviews that continue to be published on sites such as Trustpilot.it and Altroconsumo.</w:t>
      </w:r>
    </w:p>
    <w:p>
      <w:r>
        <w:t>19. These elements thus attest to the existence of serious critical issues in the management of purchases made by consumers and the refund requests submitted by them in the face of the non-delivery of products ordered online. The factual evidence that also emerges from the reports appearing on review sites or those of consumer associations demonstrates that these are not isolated behaviors attributable to misunderstandings or business inefficiencies, but rather a commercial behavior carried out systematically with the aim of profiting from the non-delivery of products paid for by consumers.</w:t>
      </w:r>
    </w:p>
    <w:p>
      <w:r>
        <w:t>THEREFORE, CONSIDERING that the acquired elements confirm the existence of the conditions indicated in the resolution of October 8, 2024, which justify the suspension of the cited commercial practice;</w:t>
      </w:r>
    </w:p>
    <w:p>
      <w:r>
        <w:t>RESOLVES</w:t>
      </w:r>
    </w:p>
    <w:p>
      <w:r>
        <w:t>a) to confirm the provisional suspension of all activities carried out by the company VET Distribuzione S.r.l.s. consisting of the failure to deliver products ordered and paid for by consumers through the website https://happy-vet.com/, the failure to refund the amount paid by the consumer following a complaint or the exercise of the right of withdrawal, pursuant to Article 27, paragraph 3, of the Consumer Code and Article 8, paragraph 3, of the Regulation;</w:t>
      </w:r>
    </w:p>
    <w:p>
      <w:r>
        <w:t>b) to request the company VET Distribuzione S.r.l.s. to communicate to the Authority the execution of this suspension measure and the related modalities within five days from the receipt of this measure.</w:t>
      </w:r>
    </w:p>
    <w:p>
      <w:r>
        <w:t>Pursuant to Article 27, paragraph 12, of the Consumer Code, in case of non-compliance with this resolution, the Authority applies an administrative pecuniary sanction from €10,000 to €10,000,000. In cases of repeated non-compliance, the Authority may order the suspension of business activity for a period not exceeding thirty days.</w:t>
      </w:r>
    </w:p>
    <w:p>
      <w:r>
        <w:t>This measure will be communicated to the interested parties and published in the Bulletin of the Authority for Competition and the Market.</w:t>
      </w:r>
    </w:p>
    <w:p>
      <w:r>
        <w:rPr>
          <w:b/>
        </w:rPr>
        <w:t>[Pages 37–39]</w:t>
      </w:r>
    </w:p>
    <w:p>
      <w:r>
        <w:t>BULLETIN NO. 44 OF NOVEMBER 18, 2024</w:t>
      </w:r>
    </w:p>
    <w:p>
      <w:r>
        <w:t>39</w:t>
        <w:br/>
        <w:t>Against this provision, an appeal may be submitted to the TAR of Lazio, pursuant to Article 135, paragraph 1, letter b), of the Administrative Procedure Code (Legislative Decree No. 104 of July 2, 2010), within sixty days from the date of communication of the provision itself, without prejudice to the longer terms provided for in Article 41, paragraph 5, of the Administrative Procedure Code, or an extraordinary appeal may be proposed to the President of the Republic, pursuant to Article 8 of the Decree of the President of the Republic No. 1199 of November 24, 1971, within one hundred and twenty days from the date of communication of the provision itself.</w:t>
      </w:r>
    </w:p>
    <w:p>
      <w:r>
        <w:t>It is reminded that, pursuant to Article 8, paragraph 4, of the Regulation, this decision of suspension must be immediately executed by the professional and that the appeal against the suspension provision of the Authority does not suspend its execution.</w:t>
      </w:r>
    </w:p>
    <w:p>
      <w:r>
        <w:t>THE SECRETARY GENERAL THE PRESIDENT</w:t>
        <w:br/>
        <w:t>Guido Stazi Roberto Rustichelli</w:t>
      </w:r>
    </w:p>
    <w:p>
      <w:r>
        <w:t>40 BULLETIN NO. 44 OF NOVEMBER 18, 2024</w:t>
      </w:r>
    </w:p>
    <w:p>
      <w:r>
        <w:t>PS12689 - RYANAIR-PRICES OF ACCESSORY SERVICES</w:t>
      </w:r>
    </w:p>
    <w:p>
      <w:r>
        <w:t>Provision No. 31360</w:t>
      </w:r>
    </w:p>
    <w:p>
      <w:r>
        <w:t>THE AUTHORITY FOR COMPETITION AND MARKET</w:t>
      </w:r>
    </w:p>
    <w:p>
      <w:r>
        <w:t>IN ITS MEETING of November 5, 2024;</w:t>
      </w:r>
    </w:p>
    <w:p>
      <w:r>
        <w:t>HEARD the Rapporteur Professor Elisabetta Iossa;</w:t>
      </w:r>
    </w:p>
    <w:p>
      <w:r>
        <w:t>VIEWED Part II, Title III, of Legislative Decree No. 206 of September 6, 2005,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VIEWED the communication, received on January 29, 2024, as subsequently supplemented on August 21, 2024, whereby Ryanair DAC submitted commitments pursuant to Article 27, paragraph 7, of the Consumer Code and Article 9 of the Regulation;</w:t>
      </w:r>
    </w:p>
    <w:p>
      <w:r>
        <w:t>VIEWED its provisions of June 18 and July 30, 2024, whereby, pursuant to Article 7, paragraph 3, of the Regulation, the deadline for concluding the procedure was extended to ensure adequate contradiction with the Party;</w:t>
      </w:r>
    </w:p>
    <w:p>
      <w:r>
        <w:t>VIEWED the acts of the procedure;</w:t>
      </w:r>
    </w:p>
    <w:p>
      <w:r>
        <w:t>I. THE PARTY</w:t>
      </w:r>
    </w:p>
    <w:p>
      <w:r>
        <w:t>1. Ryanair DAC (hereinafter, Ryanair or the Company), as a professional, pursuant to Article 18, letter b), of the Consumer Code, with its registered office in Ireland, is a low-cost airline whose main object is the operation of air connections for the transport of persons and goods in Italy, between Italy and foreign countries and in foreign countries.</w:t>
      </w:r>
    </w:p>
    <w:p>
      <w:r>
        <w:t>II. THE CONDUCT SUBJECT TO THE PROCEDURE</w:t>
      </w:r>
    </w:p>
    <w:p>
      <w:r>
        <w:t>2. Based on some reports, as well as information acquired for the application of the Consumer Code, two commercial practices were contested against the Professional for alleged violations of Articles 21 and 22 of the Consumer Code.</w:t>
      </w:r>
    </w:p>
    <w:p>
      <w:r>
        <w:t>3. Firstly, the Professional allegedly did not provide adequate information to consumers during the booking process on its website regarding the time window within which to check in online for free, which is set within two hours before the flight departure, after which the only alternative is check-in at the airport.</w:t>
      </w:r>
    </w:p>
    <w:p>
      <w:r>
        <w:t>4. The Professional also allegedly did not provide adequate information regarding the existence of an additional fee of fifty-five euros, applicable in the event of check-in at the airport after the closure of the online check-in time window.</w:t>
      </w:r>
    </w:p>
    <w:p>
      <w:r>
        <w:t>5. In this regard, it was noted that even in the email sent by the Company to summarize the customer's booking order, there is no indication regarding the timing of online check-in and the additional costs for check-in at the airport. Similarly, in the automatically sent email reminding customers to check in online, there is no mention of the time limit within which this free option is available.</w:t>
      </w:r>
    </w:p>
    <w:p>
      <w:r>
        <w:t>6. The two-hour time limit is indicated only in Article 6.2.2 of the Terms &amp; Conditions and in the FAQs on the Company's website, which are accessible outside the booking process. The cost of the check-in service, on the other hand, is explicitly stated in a separate document called the Optional Supplements Table, to which Article 6.2.4 of the Terms &amp; Conditions and the FAQs refer.</w:t>
      </w:r>
    </w:p>
    <w:p>
      <w:r>
        <w:t>7. Secondly, the Professional was contested for, during the booking process on its website, when the service called priority and hand luggage is selected, the system automatically applies this selection for both the outbound and return flights, without making it immediately evident and without showing the difference in the applicable fare for the same service for the outbound and return flights.</w:t>
      </w:r>
    </w:p>
    <w:p>
      <w:r>
        <w:t>8. Specifically, in the case of a round-trip booking, once the Basic fare is chosen and the priority and hand luggage service is added, this preference is automatically selected for both flights, without displaying the individual cost applied to this option for each leg, but only the total amount charged. The indication of the service costs for outbound and return appeared only at the time of payment when the site provides a summary of the booking, highlighting the final price and the individual cost items for each flight, including those arising from additional services.</w:t>
      </w:r>
    </w:p>
    <w:p>
      <w:r>
        <w:t>III. THE OUTCOMES OF THE PROCEDURE: THE PRESENTATION OF COMMITMENTS</w:t>
      </w:r>
    </w:p>
    <w:p>
      <w:r>
        <w:t>1) The procedure process</w:t>
      </w:r>
    </w:p>
    <w:p>
      <w:r>
        <w:t>9. Based on the elements in the records, on December 14, 2023, Ryanair was notified of the initiation of investigative procedure No. PS/126893 in relation to the commercial practices described above, in possible violation of Articles 21 and 22 of the Consumer Code, as characterized by misleading and omission profiles and deemed capable of appreciably distorting the economic behavior of the average consumer, in relation to the online check-in service and the additional priority and hand luggage service in the case of round-trip travel.</w:t>
      </w:r>
    </w:p>
    <w:p>
      <w:r>
        <w:t>10. Ryanair had access to the case records on December 20, 2023, and July 8, 2024. On February 1, 2024, Ryanair submitted its response to the request for information made during the communication of the initiation of the investigative procedure.</w:t>
      </w:r>
    </w:p>
    <w:p>
      <w:r>
        <w:t>11. On January 29, 2024, Ryanair submitted a proposal for commitments, supplemented on March 26 and July 22, 2024. A consolidated version was provided on August 21, 2024.</w:t>
      </w:r>
    </w:p>
    <w:p>
      <w:r>
        <w:rPr>
          <w:b/>
        </w:rPr>
        <w:t>[Pages 40–42]</w:t>
      </w:r>
    </w:p>
    <w:p>
      <w:r>
        <w:t>42 BULLETIN NO. 44 OF NOVEMBER 18, 2024</w:t>
      </w:r>
    </w:p>
    <w:p>
      <w:r>
        <w:t>12. On February 14 and July 9, 2024, hearings were held with the Professional, who was requested to provide additional information, which was provided on March 26 and July 22, 2024, respectively.</w:t>
      </w:r>
    </w:p>
    <w:p>
      <w:r>
        <w:t>13. On September 10, 2024, the Party was informed of the conclusion date of the investigation phase, pursuant to Article 16, paragraph 1, of the Regulation.</w:t>
      </w:r>
    </w:p>
    <w:p>
      <w:r>
        <w:t>14. On October 11, 2024, the opinion of the Authority for Communications Guarantees was received, requested on September 24, 2024, pursuant to Article 27, paragraph 6, of the Consumer Code.</w:t>
      </w:r>
    </w:p>
    <w:p>
      <w:r>
        <w:t>2) The Commitments</w:t>
      </w:r>
    </w:p>
    <w:p>
      <w:r>
        <w:t>15. The commitments presented by the Company – which in their final version are attached to this provision and constitute an integral part thereof – provide for:</w:t>
        <w:br/>
        <w:t>1) the modification of the information provided to consumers on the Ryanair website and app regarding the time window within which to check in online for free and regarding the costs related to the check-in service at the airport. Both pieces of information will be included on the webpage related to flight selection. Additionally, in the section of the website dedicated to fare selection, the comparison table between the services included in each of the offered fares will indicate both the duration of the time window during which the online check-in service is available for free and the costs associated with performing check-in at the airport. Finally, both pieces of information will be included on the webpage summarizing all products included in the booking. The modification of the webpage will be implemented within 2-4 weeks from the date of notification to the Professional of this provision, while that of the app will be within 4-6 weeks from the notification;</w:t>
      </w:r>
    </w:p>
    <w:p>
      <w:r>
        <w:t>2) the adjustment of the booking confirmation email sent to consumers, by including the indication of the closing time for online check-in and the applicable surcharge for airport check-in. The adjustment will be implemented within 2-4 weeks from the notification;</w:t>
      </w:r>
    </w:p>
    <w:p>
      <w:r>
        <w:t>3) the modification of the webpage and the Ryanair app dedicated to the purchase of the priority and carry-on baggage service. In particular, during the online purchasing process, in the case of round-trip bookings, it will be possible to make an immediate separate selection for each leg, also displaying the respective price of the service. The modification of the webpage will be implemented within 2-4 weeks from the notification, while the modification of the app will be within 4-6 weeks from the notification;</w:t>
      </w:r>
    </w:p>
    <w:p>
      <w:r>
        <w:t>4) a refund of fifty-five euros, corresponding to the surcharge paid for the airport check-in service, to all consumers who, during the period 2021-2023, submitted a complaint to the Company stating that they were unaware of the deadline applied to online check-in or the existence of a surcharge for airport check-in. The refund will be implemented within 10-12 weeks from the notification;</w:t>
      </w:r>
    </w:p>
    <w:p>
      <w:r>
        <w:t>5) a refund of fifteen euros to all consumers from the [100,000–200,000]* bookings for which, during the period 2021-2023, check-in was performed at the airport with the payment of the related surcharge, while allowing those consumers to convert this monetary refund into a voucher worth twenty euros usable for purchasing Ryanair services on the Company's website. The aforementioned passengers will be sent a communication via email to the address used at the time of booking, presenting the dual alternative between cash compensation and that via voucher. After one year, in the absence of a choice, Ryanair will grant the consumer the cash compensation. The refund will be implemented within 10-12 weeks from the notification;</w:t>
      </w:r>
    </w:p>
    <w:p>
      <w:r>
        <w:t>6) a refund to all consumers who submitted a complaint regarding the prices applied to the priority and carry-on baggage service for a round-trip flight. The refund will be equal to the price difference paid between the two legs. The refund will be implemented within 10-12 weeks from the notification.</w:t>
      </w:r>
    </w:p>
    <w:p>
      <w:r>
        <w:t>IV. OPINION OF THE AUTHORITY FOR COMMUNICATIONS GUARANTEES</w:t>
      </w:r>
    </w:p>
    <w:p>
      <w:r>
        <w:t>16. Since the commercial practice subject to this provision was disseminated via the internet, on September 24, 2024, an opinion was requested from the Authority for Communications Guarantees, pursuant to Article 27, paragraph 6, of the Consumer Code.</w:t>
      </w:r>
    </w:p>
    <w:p>
      <w:r>
        <w:t>17. With an opinion received on October 11, 2024, the aforementioned Authority considered that Ryanair's use of the internet is suitable to develop a significant impact on consumers who, based on the information read on the site/app used by the professional, could be induced to make a commercial decision that they otherwise would not have made, thus concretely developing the full potential of the promotional and sales methods used.</w:t>
      </w:r>
    </w:p>
    <w:p>
      <w:r>
        <w:t>V. EVALUATION OF THE COMMITMENTS</w:t>
      </w:r>
    </w:p>
    <w:p>
      <w:r>
        <w:t>18. The Authority believes that the commitments proposed by the professional, consisting of a series of easily monitorable and verifiable measures and interventions, are suitable to remedy the possible profiles of illegitimacy contested in the initiation communication of December 14, 2023.</w:t>
      </w:r>
    </w:p>
    <w:p>
      <w:r>
        <w:t>19. Overall, the proposed measures provide consumers with adequate awareness regarding the characteristics of the services offered by Ryanair and the costs associated with them.</w:t>
      </w:r>
    </w:p>
    <w:p>
      <w:r>
        <w:t>20. In this sense, the commitments no. 1, 2, and 3 are particularly relevant as they allow overcoming the critical issues due to the lack of information regarding the online check-in service and the additional priority and carry-on baggage service.</w:t>
      </w:r>
    </w:p>
    <w:p>
      <w:r>
        <w:t>21. Regarding online check-in, the proposed corrections are suitable to make visible and clear the information related to both the existence and duration of the time window within which consumers can check in online, as well as the cost associated with the airport check-in service. The webpage related to flight selection will immediately specify to consumers the information regarding the time limit within which to check in online for free and the related surcharge for airport check-in, once the online service is no longer accessible. The same information will also be clearly accessible at the time of fare selection among those proposed by the Company. Subsequently, before proceeding with the confirmation of the booking, the information will be reiterated in the cost summary phase.</w:t>
      </w:r>
    </w:p>
    <w:p>
      <w:r>
        <w:t>22. Regarding the additional priority and carry-on baggage service in the case of flights that include round trips, the proposed measures allow the user to make a separate selection based on the leg, as well as to immediately know the unit price applicable to the service respectively for the outbound and return journey. The proposed corrections make the information regarding the cost of the service for each single leg immediately visible to consumers. In this way, during the online booking phase, consumers learn what the price associated with the service is for each single leg.</w:t>
      </w:r>
    </w:p>
    <w:p>
      <w:r>
        <w:t>23. As for the compensatory commitment, it is positioned in a perspective of full protection and safeguarding of the consumer and appears suitable to compensate all consumers directly affected by the contested practices. In fact, the proposed measure is not limited to just the complainants, but to all those who have been charged a surcharge for having performed check-in at the airport. A similar measure – consisting of the refund of the price difference between the two legs – is also contemplated in favor of consumers who have complained about the lack of clarity in the pricing of the additional priority and carry-on baggage service.</w:t>
      </w:r>
    </w:p>
    <w:p>
      <w:r>
        <w:t>24. In light of the above considerations, it is believed that the commitments presented meet the requirements set forth in Article 27, paragraph 7, of the Consumer Code.</w:t>
      </w:r>
    </w:p>
    <w:p>
      <w:r>
        <w:t>THEREFORE, it is deemed that the commitments presented by Ryanair DAC, in the terms outlined above, are suitable to eliminate the possible profiles of illegality of the conduct subject to investigation;</w:t>
      </w:r>
    </w:p>
    <w:p>
      <w:r>
        <w:t>IT IS DEEMED appropriate to make the aforementioned commitments mandatory for Ryanair DAC;</w:t>
      </w:r>
    </w:p>
    <w:p>
      <w:r>
        <w:t>IT IS DEEMED, therefore, that the procedure can be closed without establishing the infringement;</w:t>
      </w:r>
    </w:p>
    <w:p>
      <w:r>
        <w:t>RESOLVES</w:t>
      </w:r>
    </w:p>
    <w:p>
      <w:r>
        <w:t>a) to make mandatory, for Ryanair DAC, pursuant to Article 27, paragraph 7, of the Consumer Code and Article 9, paragraph 2, letter a), of the Regulation, the commitments proposed by the aforementioned professional, as described in the form attached to this provision, which constitutes an integral part thereof;</w:t>
      </w:r>
    </w:p>
    <w:p>
      <w:r>
        <w:t>b) to close the procedure without establishing the infringement, pursuant to Article 27, paragraph 7, of the Consumer Code and Article 9, paragraph 2, letter a), of the Regulation;</w:t>
      </w:r>
    </w:p>
    <w:p>
      <w:r>
        <w:t>c) that Ryanair DAC, within ninety days from the date of notification of this resolution, informs the Authority of the implementation of the commitments.</w:t>
      </w:r>
    </w:p>
    <w:p>
      <w:r>
        <w:rPr>
          <w:b/>
        </w:rPr>
        <w:t>[Pages 43–45]</w:t>
      </w:r>
    </w:p>
    <w:p>
      <w:r>
        <w:t>BULLETIN NO. 44 OF NOVEMBER 18, 2024 45</w:t>
      </w:r>
    </w:p>
    <w:p>
      <w:r>
        <w:t>Pursuant to Article 9, paragraph 3, of the Regulation, the procedure may be reopened ex officio, where:</w:t>
        <w:br/>
        <w:t>a) the Professional does not implement the commitments;</w:t>
        <w:br/>
        <w:t>b) the factual situation changes with respect to one or more elements on which the decision is based;</w:t>
        <w:br/>
        <w:t>c) the decision to accept commitments is based on information provided by the Party that is incomplete, inaccurate, or misleading.</w:t>
      </w:r>
    </w:p>
    <w:p>
      <w:r>
        <w:t>Pursuant to Article 27, paragraph 12, of the Consumer Code, in the event of non-compliance with this decision, the Authority applies an administrative pecuniary sanction from €10,000 to €10,000,000. In cases of repeated non-compliance, the Authority may order the suspension of business activity for a period not exceeding thirty days.</w:t>
      </w:r>
    </w:p>
    <w:p>
      <w:r>
        <w:t>This provision will be notified to the interested parties and published in the Bulletin of the Authority for Competition and Market.</w:t>
      </w:r>
    </w:p>
    <w:p>
      <w:r>
        <w:t>THE SECRETARY GENERAL THE PRESIDENT</w:t>
        <w:br/>
        <w:t>Guido Stazi Roberto Rustichelli</w:t>
      </w:r>
    </w:p>
    <w:p>
      <w:r>
        <w:t>46 BULLETIN NO. 44 OF NOVEMBER 18, 2024</w:t>
      </w:r>
    </w:p>
    <w:p>
      <w:r>
        <w:t>PS12666 - BCUBE AGENCY - SALE OF INTERACTIONS</w:t>
      </w:r>
    </w:p>
    <w:p>
      <w:r>
        <w:t>Notice of adoption of the decision to close the procedure</w:t>
      </w:r>
    </w:p>
    <w:p>
      <w:r>
        <w:t>AUTHORITY FOR COMPETITION AND MARKET</w:t>
      </w:r>
    </w:p>
    <w:p>
      <w:r>
        <w:t>Notice of adoption of the decision to close the procedure, pursuant to Article 19,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no. 25411, in relation to procedure PS12666.</w:t>
      </w:r>
    </w:p>
    <w:p>
      <w:r>
        <w:t>The publication of this notice in the weekly Bulletin of the Authority for Competition and Market is carried out pursuant to and for the effects of Article 19, paragraph 2, of the Regulation, given the negative outcome of the communication of the decision made by international courier on November 7. In this case, in fact, BCUBE Agency S.A.R.L. was found to be unreachable at the physical address (40 Bd Jean Moulin, 83700 Saint-Raphael, France) still indicated on its website (https://www.bcubeagency.com/it/) as well as in the Registre National Des Enterprises (https://data.inpi.fr/).</w:t>
      </w:r>
    </w:p>
    <w:p>
      <w:r>
        <w:t>For any communication addressed to the Authority regarding the case in question, please refer to the Digital Platforms and Communications Directorate of the Consumer Protection Department - 1 and the reference PS12666.</w:t>
      </w:r>
    </w:p>
    <w:p>
      <w:r>
        <w:t>BULLETIN NO. 44 OF NOVEMBER 18, 2024 47</w:t>
      </w:r>
    </w:p>
    <w:p>
      <w:r>
        <w:t>PS12666 - BCUBE AGENCY - SALE OF INTERACTIONS</w:t>
      </w:r>
    </w:p>
    <w:p>
      <w:r>
        <w:t>Decision no. 31357</w:t>
      </w:r>
    </w:p>
    <w:p>
      <w:r>
        <w:t>THE AUTHORITY FOR COMPETITION AND MARKET</w:t>
      </w:r>
    </w:p>
    <w:p>
      <w:r>
        <w:t>IN ITS MEETING of October 29, 2024;</w:t>
      </w:r>
    </w:p>
    <w:p>
      <w:r>
        <w:t>HEARD the Rapporteur, Professor Elisabetta Iossa;</w:t>
      </w:r>
    </w:p>
    <w:p>
      <w:r>
        <w:t>VIEWED Part II, Title III, of Legislative Decree September 6, 2005, no. 206,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no. 25411;</w:t>
      </w:r>
    </w:p>
    <w:p>
      <w:r>
        <w:t>VIEWED the communication of December 5, 2023, which initiated procedure PS12666 against BCube Agency S.A.R.L.;</w:t>
      </w:r>
    </w:p>
    <w:p>
      <w:r>
        <w:t>VIEWED the documents of the procedure;</w:t>
      </w:r>
    </w:p>
    <w:p>
      <w:r>
        <w:t>I. THE PARTIES</w:t>
      </w:r>
    </w:p>
    <w:p>
      <w:r>
        <w:t>1. BCube Agency S.A.R.L., as a professional, pursuant to Article 18, paragraph 1, letter b), of the Consumer Code. The company, based in France, provides social media marketing services. The balance sheet for the 2022 financial year shows a turnover of approximately €941,000.</w:t>
      </w:r>
    </w:p>
    <w:p>
      <w:r>
        <w:t>II. THE CONDUCT SUBJECT TO THE PROCEDURE</w:t>
      </w:r>
    </w:p>
    <w:p>
      <w:r>
        <w:t>2. The procedure concerns the alleged unlawfulness of the conduct carried out by BCube Agency S.A.R.L. (hereinafter also "BCube") in the context of the services provided on its website https://www.bcubeagency.com/it/ (of which there are also other language versions: www.bcubeagency.com, https://www.bcubeagency.com/es/, https://www.bcubeagency.com/de).</w:t>
      </w:r>
    </w:p>
    <w:p>
      <w:r>
        <w:t>3. The professional is indeed found to offer - in exchange for a fee - various forms of "interactions"/"appreciations" consisting of followers, likes, views, subscribers, retweets, viewers, and listens, intended to be used by those who purchase them on digital platforms, especially social media (Instagram, Facebook, YouTube, X, Threads, TikTok, Twitch, Spotify).</w:t>
      </w:r>
    </w:p>
    <w:p>
      <w:r>
        <w:t>III. THE FINDINGS OF THE PROCEDURE</w:t>
      </w:r>
    </w:p>
    <w:p>
      <w:r>
        <w:t>III.1 The course of the procedure</w:t>
      </w:r>
    </w:p>
    <w:p>
      <w:r>
        <w:t>4. On December 5, 2023, the initiation of the investigative procedure PS12666 against BCube was communicated, hypothesizing that the conduct consisting of the sale, through its website https://www.bcubeagency.com/it/, of "interactions"/"appreciations" among users, intended for the majority</w:t>
      </w:r>
    </w:p>
    <w:p>
      <w:r>
        <w:rPr>
          <w:b/>
        </w:rPr>
        <w:t>[Pages 46–48]</w:t>
      </w:r>
    </w:p>
    <w:p>
      <w:r>
        <w:t>48 BULLETIN NO. 44 OF NOVEMBER 18, 2024</w:t>
      </w:r>
    </w:p>
    <w:p>
      <w:r>
        <w:t xml:space="preserve">most of the digital social media platforms, could constitute an unfair commercial practice, in possible violation of Articles 20 and 23, letter bb-quater), of the Consumer Code.  </w:t>
        <w:br/>
        <w:t xml:space="preserve">5. On January 18, 2024, a communication was received on behalf of the professional from an Italian lawyer, who, however, was found to be without a valid power of attorney. On January 30, 2024, this lawyer transmitted a power of attorney, which, however, lacked the indication of the name of the grantor or their specific function/position, bore an illegible signature, and, finally, did not contain any proof of the representation of the company BCube Agency and the reference to the investigative procedure PS126662. This was represented in a letter dated February 1, 2024, which also specified that, in the event of failure to supplement the power of attorney or provide a new valid power of attorney within the established deadline, any act related to the procedure would be addressed directly to BCube, at its headquarters in France.  </w:t>
        <w:br/>
        <w:t xml:space="preserve">6. Following this communication, no supplement or new valid power of attorney was produced in replacement of the previous one. Therefore, on February 16, 2024, a letter was sent directly to the French headquarters of BCube in which, stating the invalidity of the power of attorney submitted, a detailed request for information and documentation was made.  </w:t>
        <w:br/>
        <w:t xml:space="preserve">7. In response to this request for information, the same Italian lawyer sent, on May 8, 2024, a brief communication.  </w:t>
        <w:br/>
        <w:t xml:space="preserve">8. Considering that no responses were received from the company BCube to the request for information of February 16, 2024 - given the non-attributability to said company of the statements produced by the lawyer without a valid power of attorney - by act of May 3, 2024, the professional was requested, pursuant to Article 27, paragraph 5, of the Consumer Code, and Article 15 of the Regulation, to provide evidence regarding the material accuracy of the factual data related to the commercial practice under investigation.  </w:t>
        <w:br/>
        <w:t xml:space="preserve">9. The communication assigning the burden of proof was therefore published in the Authority's Bulletin No. 21/2024, of May 27, 2024, pursuant to and for the effects of Article 19, paragraph 2, of the Regulation, given the failure to receive responses to the attempt to transmit the same, carried out on May 3, 2024, by postal system via international courier. In this case, in fact, BCube was found to be unreachable at the physical address indicated on its website as well as in the Registre National Des Enterprises, although the previous communications - also sent via international courier to the same physical address - were correctly delivered.  </w:t>
        <w:br/>
        <w:t xml:space="preserve">10. BCube did not provide any response within the deadline set in the communication assigning the burden of proof, failing to fulfill this procedural obligation.  </w:t>
        <w:br/>
        <w:t xml:space="preserve">11. On June 26, 2024, a sixty-day extension of the deadline for concluding the procedure was ordered, for the completion of further procedural obligations. The communication regarding the extension was sent via international courier on July 1, 2024, and was delivered on July 12, 2024. Given the previous unavailability of the professional, the notice regarding the extension was in any case published in the Authority's Bulletin No. 26/2024 of July 1, 2024.  </w:t>
        <w:br/>
        <w:t>2 In the power of attorney, it was only stated “I, the undersigned, in my capacity as temporary legal representative of BCube Agency Sarl, 838762862, with registered office at Bd Jean Moulin n. 40 – St. Raphael, delegate to represent and defend me (…) regarding the dispute to be initiated against the Authority for Competition and Market (…)”.</w:t>
      </w:r>
    </w:p>
    <w:p>
      <w:r>
        <w:t xml:space="preserve">BULLETIN NO. 44 OF NOVEMBER 18, 2024 49  </w:t>
        <w:br/>
        <w:t xml:space="preserve">12. On July 11, 2024, a request for participation in the procedure was received from Jules Verne APS, accepted with a letter dated July 15, 2024, sent by mail to BCube on July 16, 2024, and published in the Authority's Bulletin No. 29/2024 of July 22, 2024.  </w:t>
        <w:br/>
        <w:t xml:space="preserve">13. On July 16, 2024, BCube was notified of the conclusion date of the investigative phase, pursuant to Article 16, paragraph 1, of the Regulation. This communication was also published in the Authority's Bulletin No. 29/2024 of July 22, 2024, and notified to Jules Verne APS on July 23, 2024.  </w:t>
        <w:br/>
        <w:t xml:space="preserve">14. On August 7, 2024, BCube was informed of the extension of the deadline for the procedure, also published in the Authority's Bulletin No. 32/2024 of August 12, 2024, and notified to Jules Verne on August 13, 2024.  </w:t>
        <w:br/>
        <w:t xml:space="preserve">15. On September 11, 2024, an opinion was requested from the Authority for Communications Guarantees pursuant to Article 16, paragraphs 3 and 4, of the Regulation, which was received on October 11, 2024.  </w:t>
        <w:br/>
        <w:t xml:space="preserve">III.2. The evidence acquired  </w:t>
        <w:br/>
        <w:t xml:space="preserve">16. The professional sells through its website https://www.bcubeagency.com/it/ various forms of “interactions”/“appreciations” consisting of followers, likes, views, subscribers, retweets, viewers, and listens, intended to be used by those who purchase them on digital platforms, especially social media (Instagram, Facebook, YouTube, X, Threads, TikTok, Twitch, Spotify).  </w:t>
        <w:br/>
        <w:t xml:space="preserve">17. The interactions are offered for sale in the form of different “packages” containing various types of “interactions” (fans/likes, likes, followers, video/reels/stories views, friends, etc.) and “comments,” even in combination with each other (followers + likes), starting from 10 units (posts or comments) up to 50,000 units.  </w:t>
        <w:br/>
        <w:t xml:space="preserve">18. From the information contained in the Registre National Des Enterprises, it appears that the company has been active since April 1, 2018.  </w:t>
        <w:br/>
        <w:t xml:space="preserve">III.3. The defensive arguments of the Party  </w:t>
        <w:br/>
        <w:t xml:space="preserve">19. The professional did not submit any defensive memorandum or document.  </w:t>
        <w:br/>
        <w:t xml:space="preserve">III.4. The burden of proof pursuant to Article 27, paragraph 5, of the Consumer Code and Article 15 of the Regulation  </w:t>
        <w:br/>
        <w:t xml:space="preserve">20. Considering that no responses were received from the company BCube to the request for information of February 16, 2024 - given the non-attributability to said company of the statements produced by the lawyer without a valid power of attorney - by act of May 3, 2024, the professional was communicated, pursuant to Article 27, paragraph 5, of the Consumer Code and Article 15 of the Regulation, the assignment of the burden of proof to him.  </w:t>
        <w:br/>
        <w:t xml:space="preserve">21. To this end, the professional was invited to produce suitable documentation aimed at demonstrating the truthfulness of the indications present in the messages, disseminated via the internet on its website, regarding the authentic and “real” nature of the various interactions sold (followers, fans, likes, views, “personalized” comments, etc.) and the accounts from which they originate.  </w:t>
        <w:br/>
        <w:t>3 See doc. 13 of the investigative file. In particular, the professional was asked for documentation aimed at demonstrating the following statements: “Our viral marketing techniques comply with the current policies of Facebook, Twitter, YouTube, Instagram. The fans, followers, views are executed by users with real and active profiles on various social media”; - “All the traffic for the different profiles obtained is completely legitimate. We do not use spamming or other activities aimed at obtaining traffic. What you will get are only real visitors, targeted to the content of your website selected at the time of the order”; - “Real Profiles - All interactions we provide with our packages come from real profiles, equipped with photos and descriptions,” “All the services we offer, through our packages come from real profiles,” “Quality Social - All interactions we offer and that we provide (fans, likes, comments, views, etc.) come from profiles of real users” and “BCube provides only real and high-quality followers and likes”; - “Many websites that offer services similar to ours attract customers with rock-bottom prices guaranteeing thousands of fans for a few euros. In reality, what they really do is use a BOT that increases the number of visible likes but not real fans, or use fake profiles devoid of any value. BCube achieves the increase of real and unique fans thanks to a combined marketing service...”; - “REAL FOLLOWERS AND LIKES” and “QUALITY OVER QUANTITY - Followers and likes from real profiles ... BCUBE Agency advises you to avoid companies that sell fake or low-quality followers ... Associating your social profile with real followers to fake ones significantly affects the perception of your image, seriousness, and above all your reputation”; - “BUY REAL ITALIAN INSTAGRAM FOLLOWERS AND LIKES” and “BUY REAL ITALIAN INSTAGRAM FOLLOWERS - EXCLUSIVE PRODUCT - The only Italian agency to make this service available. We offer an exclusive service that allows you to buy real Italian Instagram followers, active people who will choose to follow you of their own free will”; - “BUY REAL ITALIAN TIKTOK FOLLOWERS AND LIKES” and “Get real Italian TikTok followers for your profile and increase your notoriety. The only European agency to offer this service”; - “BUY REAL ITALIAN FOLLOWERS FOR X (EX TWITTER)” and “Buy Italian and foreign followers for your X profile”; - “BUY REAL YOUTUBE VIEWS AND SUBSCRIBERS” and “Buy Real Italian YouTube views: select the number of views you want to receive from real people living in Italy and increase the visibility of your videos”; - “BUY REAL TWITCH FOLLOWERS AND VIEWERS”.</w:t>
      </w:r>
    </w:p>
    <w:p>
      <w:r>
        <w:rPr>
          <w:b/>
        </w:rPr>
        <w:t>[Pages 49–51]</w:t>
      </w:r>
    </w:p>
    <w:p>
      <w:r>
        <w:t>BULLETIN NO. 44 OF NOVEMBER 18, 2024</w:t>
      </w:r>
    </w:p>
    <w:p>
      <w:r>
        <w:t>51</w:t>
        <w:br/>
        <w:t>identifiable the owner through the documents of the case or the results of the business register.</w:t>
      </w:r>
    </w:p>
    <w:p>
      <w:r>
        <w:t>27. On the merits, the procedure concerns the commercial practice carried out by BCube consisting of the offer - in exchange for a fee - of various forms of "interactions"/"appreciations" consisting of followers, likes, views, subscribers, retweets, viewers, and listens, intended to be used by those who purchase them on digital platforms, especially social media, through its website https://www.bcubeagency.com/it/ as well as through a network of "affiliates" (who advertise this service on third-party sites in exchange for a commission).</w:t>
      </w:r>
    </w:p>
    <w:p>
      <w:r>
        <w:t>28. The interactions are suitable to allow those who purchase them to exploit the functionalities of social networks dedicated to the most successful accounts and, when used to support advertising for the sale of products and services, can increase the hook effect of the promotions themselves.</w:t>
      </w:r>
    </w:p>
    <w:p>
      <w:r>
        <w:t>29. In this context, Directive (EU) 2019/2161 (the so-called Omnibus) and Legislative Decree of March 7, 2023, No. 26, implementing the same, have given considerable importance to the necessary authenticity of interactions on social media, typifying a new type of practice that is in any case misleading, namely that of "sending, or commissioning another legal or natural person to send, false consumer reviews or false appreciations or providing false information regarding consumer reviews or appreciations on social media, in order to promote products," as per Article 23, letter bb-quater), of the Consumer Code.</w:t>
      </w:r>
    </w:p>
    <w:p>
      <w:r>
        <w:t>30. Particularly relevant in this regard are the considerations expressed by the European Commission in its Guidelines on the interpretation and application of Directive 2005/29/EC, last updated on December 29, 2021, where it is clarified that "The notion of 'appreciations' should be interpreted broadly and should also include practices related to fake followers, reactions, and views."</w:t>
      </w:r>
    </w:p>
    <w:p>
      <w:r>
        <w:t>31. Furthermore, Recital 49 of the Omnibus Directive expressly mentions "likes" among the relevant interactions for consumer protection regulations, providing that: "Professionals should also be prohibited from publishing false consumer reviews and recommendations, for example by posting 'likes' on social media or commissioning third parties to do so, to promote their products, as well as manipulating consumer reviews and recommendations (...)".</w:t>
      </w:r>
    </w:p>
    <w:p>
      <w:r>
        <w:t>32. Again, in the aforementioned Guidelines, the Commission emphasized that reviews (and appreciations), whose definition should be understood broadly to include all practices related to expressed judgments, must describe the experiences of real consumers. Therefore, according to the understanding of the European Commission, professionals who use non-authentic reviews/interactions engage in practices that distort consumer choices. The prohibition in Article 23, letter bb-quater) is therefore "aimed at ensuring that consumer reviews [and appreciations] reflect the opinions, judgments, beliefs, and experiences of real consumers."</w:t>
      </w:r>
    </w:p>
    <w:p>
      <w:r>
        <w:t>33. According to the cited Guidelines, "the directive applies (...) to any professional organizing the provision of reviews for the benefit of other professionals" and therefore the role that the seller of appreciations may play as a mere intermediary between platforms providing interactions and users placing orders is irrelevant.</w:t>
      </w:r>
    </w:p>
    <w:p>
      <w:r>
        <w:t>34. Furthermore, it is now established jurisprudence that: "The professional who avails himself of the work of third parties is required, in compliance with the diligence standard expected from operators in the sector, to exercise constant and timely attention to the conduct of such subjects. It is not (...) admissible, as a defense against liability, to invoke an autonomous operational sphere (...) as a decisive argument to exclude any attribution to the principal of the actions and/or omissions carried out to the detriment of the clientele." On the other hand, "Where the benefits of the conduct can be traced back to the 'professional' identified by the AGCM (...) it does not matter that the sanctioned activity was materially carried out by third parties" and therefore "no defense can be found in the quality of 'mere reseller,' since even the latter is generally required to exercise due oversight over the correct marketing of a product."</w:t>
      </w:r>
    </w:p>
    <w:p>
      <w:r>
        <w:t>35. The sale of non-genuine interactions/appreciations must be considered prohibited under the Consumer Code even when carried out towards customers who do not regularly engage in economic activity, as even such users, if they have a significant following, can promote goods and services on social media (the so-called influencer marketing phenomenon), and are therefore comparable to professionals. The purchase, by influencers, of non-genuine interactions thus amplifies their own popularity and consequently the hook effect of their promotions.</w:t>
      </w:r>
    </w:p>
    <w:p>
      <w:r>
        <w:t>36. In any case, according to the constant orientation of the Authority, confirmed also by administrative jurisprudence, for the configuration of the consumer offense, an analysis of the effects produced by the conduct is not necessary, as it is sufficient that, based on a prognostic judgment, it is deemed capable of significantly limiting consumer choices, being a danger offense.</w:t>
      </w:r>
    </w:p>
    <w:p>
      <w:r>
        <w:t>37. As for the professional's ability to offer "packages" instantly, this implies and presupposes that the interactions are prepared in such a way that he has them readily available whenever a buyer requests them. Such interactions would not indeed be obtainable with the same ease and speed by collecting them from real users or from users who have had real experiences of interaction/purchase. In this regard, the same professional guarantees on his website the completion of the order within a time frame of 72 hours.</w:t>
      </w:r>
    </w:p>
    <w:p>
      <w:r>
        <w:t>38. In any case, considering the breadth of the packages of interactions sold, this would be incompatible with a collection in the promised times from real users or from users who have had real experiences of interaction/purchase.</w:t>
      </w:r>
    </w:p>
    <w:p>
      <w:r>
        <w:t>39. On the other hand, the achievement of specific numerical targets of interactions, promised by BCube on its website, fundamentally differentiates the activity of this professional from services such as Facebook Ads, which do not quantify in advance the results achievable through the offered ads.</w:t>
      </w:r>
    </w:p>
    <w:p>
      <w:r>
        <w:t>40. Furthermore, in the advertising messages disseminated on the professional's website, it is highlighted that, alongside interactions defined as "real," in the case of Instagram, there is also the possibility of purchasing "automatic likes," in the sense that "instead of uploading a photo and then purchasing likes, you can decide in advance how many likes you want to obtain for each photo you upload."</w:t>
      </w:r>
    </w:p>
    <w:p>
      <w:r>
        <w:t>41. Additionally, with particular reference to the possibility of purchasing "comments," the professional's website specifies that the user can select the number of Facebook comments they wish to receive for their post (photo, video, status update, etc.) and can "also decide what type of comments to receive. You just need to tell us 'the phrase/text' you want to obtain."</w:t>
      </w:r>
    </w:p>
    <w:p>
      <w:r>
        <w:t>42. Moreover, it should be added that the speed and breadth of the supplies of interactions have been the subject of a specific request for information and attribution of the burden of proof, aimed at verifying their genuineness. However, the burden of proof has not been fulfilled. Therefore, the indications present on the professional's website regarding the "authentic" and "real" nature of the interactions sold must be considered inaccurate, pursuant to Article 27, paragraph 5, of the Consumer Code and Article 15 of the Regulation.</w:t>
      </w:r>
    </w:p>
    <w:p>
      <w:r>
        <w:t>VI. QUANTIFICATION OF THE SANCTION</w:t>
      </w:r>
    </w:p>
    <w:p>
      <w:r>
        <w:t>43. Pursuant to Article 27, paragraph 9, of the Consumer Code, with the provision that prohibits the unfair commercial practice, the Authority orders the application of an administrative pecuniary sanction from €5,000 to €10,000,000, taking into account the severity and duration of the violation.</w:t>
      </w:r>
    </w:p>
    <w:p>
      <w:r>
        <w:t>44. Regarding the quantification of the sanction, account must be taken, as applicable, of the criteria identified by Article 11 of Law No. 689/1981,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45. With regard to the severity of the violation, account is taken in the case at hand of the nature of the violation, as appreciations constitute a constitutive element of the specificity of the social media sector for the purpose of achieving, precisely, sociality and visibility.</w:t>
      </w:r>
    </w:p>
    <w:p>
      <w:r>
        <w:rPr>
          <w:b/>
        </w:rPr>
        <w:t>[Pages 52–54]</w:t>
      </w:r>
    </w:p>
    <w:p>
      <w:r>
        <w:t>54 BULLETIN NO. 44 OF NOVEMBER 18, 2024</w:t>
      </w:r>
    </w:p>
    <w:p>
      <w:r>
        <w:t>therefore, the lack of genuineness of the same compromises the proper functioning of such a means of communication.</w:t>
      </w:r>
    </w:p>
    <w:p>
      <w:r>
        <w:t>46. It must also be taken into account the pervasiveness of the means of communication used by BCube for the promotion and sale of interaction packages (its website and its various language versions), capable of reaching a considerable number of consumers17, as well as the fact that such interactions are by definition intended to be used on the same medium (and, in particular, on the major social media: Instagram, Facebook, YouTube, X, Threads, TikTok, Twitch, Spotify), with the consequent suitability to mislead the users of such platforms.</w:t>
      </w:r>
    </w:p>
    <w:p>
      <w:r>
        <w:t>47. With reference to the importance of the professional, he states on the homepage of his website that he is: “The number 1 portal in Europe for growth on social networks”18.</w:t>
      </w:r>
    </w:p>
    <w:p>
      <w:r>
        <w:t>48. Furthermore, the economic dimension of the professional is taken into account. In fact, in the fiscal year 2022, BCube achieved a turnover of approximately €941,000 and an operating profit of €193,000. Also for the fiscal year 2022, the balance sheet shows an EBITDA of approximately €260,00019.</w:t>
      </w:r>
    </w:p>
    <w:p>
      <w:r>
        <w:t>49. Regarding the duration of the violation, from the available evidence, it appears that the conduct in question has been carried out at least since November 29, 202320, and is still ongoing.</w:t>
      </w:r>
    </w:p>
    <w:p>
      <w:r>
        <w:t>50. In light of these elements, it is deemed appropriate to determine the amount of the applicable administrative pecuniary sanction at €30,000 (thirty thousand euros).</w:t>
      </w:r>
    </w:p>
    <w:p>
      <w:r>
        <w:t>CONSIDERING, therefore, that the commercial practice consisting of the sale - through its website https://www.bcubeagency.com/it/ and its various language versions (www.bcubeagency.com, https://www.bcubeagency.com/es/, https://www.bcubeagency.com/de/) - of “interactions”/“appreciations” between users that cannot be traced back to real users and/or real consumption experiences, based on the above considerations and taking into account the opinion of the Authority for Communications Guarantees, is deemed incorrect pursuant to Articles 20 and 23, letter bb-quater), of the Consumer Code;</w:t>
      </w:r>
    </w:p>
    <w:p>
      <w:r>
        <w:t>RESOLVES</w:t>
      </w:r>
    </w:p>
    <w:p>
      <w:r>
        <w:t>a) that the commercial practice described in point II of this provision, relating to the sale - through its website https://www.bcubeagency.com/it/ and its various language versions (www.bcubeagency.com, https://www.bcubeagency.com/es/, https://www.bcubeagency.com/de/) - of “interactions”/“appreciations” between users that cannot be traced back to real users and/or real consumption experiences, carried out by the company BCube S.A.R.L., constitutes, for the reasons and within the limits stated in the motivation, an unfair commercial practice pursuant to Articles 20 and 23, letter bb-quater), of the Consumer Code, and prohibits its continuation;</w:t>
      </w:r>
    </w:p>
    <w:p>
      <w:r>
        <w:t>17 TAR Lazio, May 2, 2019, no. 5523, PS10766 – Volagratis – Online travel services, confirmed by the Council of State, October 15, 2020, no. 6232.</w:t>
      </w:r>
    </w:p>
    <w:p>
      <w:r>
        <w:t>18 Cf. doc. 1 of the investigation file.</w:t>
      </w:r>
    </w:p>
    <w:p>
      <w:r>
        <w:t>19 Cf. docs. 5 and 15 of the investigation file.</w:t>
      </w:r>
    </w:p>
    <w:p>
      <w:r>
        <w:t>20 Cf. doc. 1 of the investigation file.</w:t>
      </w:r>
    </w:p>
    <w:p>
      <w:r>
        <w:t>BULLETIN NO. 44 OF NOVEMBER 18, 2024 55</w:t>
      </w:r>
    </w:p>
    <w:p>
      <w:r>
        <w:t>b) to impose an administrative pecuniary sanction of €30,000 (thirty thousand euros) on the company BCube S.A.R.L.;</w:t>
      </w:r>
    </w:p>
    <w:p>
      <w:r>
        <w:t>c) that the professional shall communicate to the Authority, within ninety days from the notification of this provision, the initiatives taken in compliance with the injunction referred to in point a).</w:t>
      </w:r>
    </w:p>
    <w:p>
      <w:r>
        <w:t>The imposed administrative sanction must be paid within thirty days from the notification of this provision, via bank transfer (in euros) to the Treasury, using the IBAN code IT04A0100003245348018359214 (BIC code: BITAITRRENT), which corresponds to the accounting number 18/3592/14.</w:t>
      </w:r>
    </w:p>
    <w:p>
      <w: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689/1981, the amount due for the imposed sanction is increased by one-tenth for each semester starting from the day after the payment deadline until the role is transmitted to the collector for collection; in this case, the increase absorbs the late interest accrued in the same period.</w:t>
      </w:r>
    </w:p>
    <w:p>
      <w:r>
        <w:t>Immediate communication of the payment must be given to the Authority by sending the documentation certifying the payment made.</w:t>
      </w:r>
    </w:p>
    <w:p>
      <w:r>
        <w:t>This provision will be notified to the interested parties and published in the Bulletin of the Authority for Competition and the Market.</w:t>
      </w:r>
    </w:p>
    <w:p>
      <w:r>
        <w:t>Pursuant to Article 27, paragraph 12, of the Consumer Code, in case of non-compliance with the provision, the Authority applies an administrative pecuniary sanction from €10,000 to €10,000,000. In cases of repeated non-compliance, the Authority may order the suspension of business activity for a period not exceeding thirty days.</w:t>
      </w:r>
    </w:p>
    <w:p>
      <w:r>
        <w:t>Against this provision, an appeal may be submitted to the TAR of Lazio, pursuant to Article 135, paragraph 1, letter b), of the Administrative Procedure Code (Legislative Decree July 2, 2010, no. 104), within sixty days from the date of notification of the provision itself, without prejudice to the longer terms referred to in Article 41, paragraph 5, of the Administrative Procedure Code, or an extraordinary appeal may be proposed to the President of the Republic, pursuant to Article 8 of the Decree of the President of the Republic November 24, 1971, no. 1199, within one hundred and twenty days from the date of notification of the provision itself.</w:t>
      </w:r>
    </w:p>
    <w:p>
      <w:r>
        <w:t>THE SECRETARY GENERAL THE PRESIDENT</w:t>
      </w:r>
    </w:p>
    <w:p>
      <w:r>
        <w:t>Guido Stazi Roberto Rustichelli</w:t>
      </w:r>
    </w:p>
    <w:p>
      <w:r>
        <w:t>56 BULLETIN NO. 44 OF NOVEMBER 18, 2024</w:t>
      </w:r>
    </w:p>
    <w:p>
      <w:r>
        <w:t>VARIOUS</w:t>
      </w:r>
    </w:p>
    <w:p>
      <w:r>
        <w:t>REGULATION ON INVESTIGATIVE PROCEDURES IN MATTERS OF CONSUMER PROTECTION AND DECEPTIVE AND COMPARATIVE ADVERTISING</w:t>
      </w:r>
    </w:p>
    <w:p>
      <w:r>
        <w:t>Provision no. 31356</w:t>
      </w:r>
    </w:p>
    <w:p>
      <w:r>
        <w:t>THE AUTHORITY FOR COMPETITION AND THE MARKET</w:t>
      </w:r>
    </w:p>
    <w:p>
      <w:r>
        <w:t>IN ITS MEETING of November 5, 2024;</w:t>
      </w:r>
    </w:p>
    <w:p>
      <w:r>
        <w:t>HAVING REGARD to Law October 10, 1990, no. 287, containing “Rules for the protection of competition and the market,” and in particular Article 10, which establishes the Authority for Competition and the Market, granting it, in paragraph 6, the power to deliberate the rules concerning its own organization and functioning;</w:t>
      </w:r>
    </w:p>
    <w:p>
      <w:r>
        <w:t>HAVING REGARD to Legislative Decree September 6, 2005, no. 206, containing “Consumer Code”;</w:t>
      </w:r>
    </w:p>
    <w:p>
      <w:r>
        <w:t>HAVING REGARD to Legislative Decree August 2, 2007, no. 145, containing “Implementation of Article 14 of Directive 2005/29/EC on misleading advertising”;</w:t>
      </w:r>
    </w:p>
    <w:p>
      <w:r>
        <w:t>HAVING REGARD to the “Regulation on investigative procedures in matters of misleading and comparative advertising, unfair commercial practices, violation of consumer rights in contracts, violation of the prohibition of discrimination and unfair clauses,” adopted by the Authority with resolution of April 1, 2015, no. 25411;</w:t>
      </w:r>
    </w:p>
    <w:p>
      <w:r>
        <w:t>CONSIDERING that, following the amendments to the aforementioned regulatory framework, the violations whose ascertainment falls within the Authority's competencies have been expanded and the applicable sanctioning regime has been modified;</w:t>
      </w:r>
    </w:p>
    <w:p>
      <w:r>
        <w:t>CONSIDERING the need to amend the rules of the aforementioned Regulation on investigative procedures, in order to update the relevant discipline and provide for a single procedure for the investigations under the Authority's jurisdiction;</w:t>
      </w:r>
    </w:p>
    <w:p>
      <w:r>
        <w:t>HAVING REGARD to the observations received following the public consultation on the draft Regulation held from May 28, 2024, to June 27, 2024, considering that the relationship between consultation and the quality of regulation is valued even at the European level, as shared regulation allows for better application of the rules;</w:t>
      </w:r>
    </w:p>
    <w:p>
      <w:r>
        <w:t>RESOLVES</w:t>
      </w:r>
    </w:p>
    <w:p>
      <w:r>
        <w:t>to approve the “Regulation on investigative procedures in matters of consumer protection and misleading and comparative advertising,” with the related two forms, the text of which is attached and is an integral part of this provision.</w:t>
      </w:r>
    </w:p>
    <w:p>
      <w:r>
        <w:rPr>
          <w:b/>
        </w:rPr>
        <w:t>[Pages 55–57]</w:t>
      </w:r>
    </w:p>
    <w:p>
      <w:r>
        <w:t>BULLETIN NO. 44 OF NOVEMBER 18, 2024 57</w:t>
        <w:br/>
        <w:t>This provision will be published in the Bulletin of the Authority for Competition and the Market and in the Official Gazette.</w:t>
        <w:br/>
        <w:t>THE SECRETARY GENERAL THE PRESIDENT</w:t>
        <w:br/>
        <w:t>Guido Stazi Roberto Rustichelli</w:t>
        <w:br/>
        <w:t>______________________________________________________________________________</w:t>
      </w:r>
    </w:p>
    <w:p>
      <w:r>
        <w:t>58 BULLETIN NO. 44 OF NOVEMBER 18, 2024</w:t>
        <w:br/>
        <w:t>REGULATION ON INQUIRY PROCEDURES IN MATTERS OF CONSUMER PROTECTION AND DECEPTIVE AND COMPARATIVE ADVERTISING</w:t>
        <w:br/>
        <w:t>Title I</w:t>
        <w:br/>
        <w:t>GENERAL PROVISIONS</w:t>
        <w:br/>
        <w:t>Article 1</w:t>
        <w:br/>
        <w:t>Definitions</w:t>
        <w:br/>
        <w:t>For the purposes of this regulation, the following definitions apply:</w:t>
        <w:br/>
        <w:t>a) “decree on deceptive advertising”: Legislative Decree No. 145 of August 2, 2007;</w:t>
        <w:br/>
        <w:t>b) “Consumer Code”: Legislative Decree No. 206 of September 6, 2005, and subsequent amendments;</w:t>
        <w:br/>
        <w:t>c) “Authority”: the Authority for Competition and the Market, as referred to in Article 10 of Law No. 287 of October 10, 1990;</w:t>
        <w:br/>
        <w:t>d) “College”: the President and the Members of the Authority;</w:t>
        <w:br/>
        <w:t>e) “offices”: the organizational units established pursuant to Article 10, paragraph 6, of Law No. 287 of October 10, 1990;</w:t>
        <w:br/>
        <w:t>f) “consumer”: the subjects referred to in Articles 3, paragraph 1, letter a), and 18, paragraph 1, letter a), of the Consumer Code;</w:t>
        <w:br/>
        <w:t>g) “professional”: the subjects referred to in Article 2, paragraph 1, letter e), of the decree on deceptive advertising, as well as the subjects referred to in Articles 3, paragraph 1, letter b), and 18, paragraph 1, letter b), of the Consumer Code;</w:t>
        <w:br/>
        <w:t>h) “micro-enterprises”: the subjects referred to in Article 18, paragraph 1, letter d-bis), of the Consumer Code;</w:t>
        <w:br/>
        <w:t>i) “commercial practices”: the commercial practices between professionals and consumers, referred to in Article 18, paragraph 1, letter d), of the Consumer Code, as well as between professionals and micro-enterprises;</w:t>
        <w:br/>
        <w:t>j) “deceptive and unlawful comparative advertising”: the cases referred to in the decree on deceptive advertising;</w:t>
        <w:br/>
        <w:t>k) “consumer rights in contracts”: the rights of consumers in contracts concluded between a professional and a consumer, as referred to in Sections I to IV of Chapter I of Title III of Part III of the Consumer Code;</w:t>
        <w:br/>
        <w:t>l) “unfair clauses”: the clauses included in contracts between professionals and consumers that are concluded by adherence to general contract conditions or by signing forms, models, or templates referred to in Article 37-bis, paragraph 1, of the Consumer Code, which are deemed unfair pursuant to Articles 33, 34, 35, and 36, paragraph 2, of the Consumer Code;</w:t>
        <w:br/>
        <w:t>m) “prohibition of discrimination”: the prohibition referred to in Article 29 of Legislative Decree No. 59 of March 26, 2010, implementing Directive 2006/123/EC on services in the internal market;</w:t>
        <w:br/>
        <w:t>n) “traveler rights in contracts concerning package travel and related tourist services”: the rights of travelers in contracts concluded between a professional and a traveler, as referred to in Sections I to VI of Chapter I of Title VI of Legislative Decree No. 79 of May 23, 2011, containing the Code of State regulations on the organization and market of tourism;</w:t>
      </w:r>
    </w:p>
    <w:p>
      <w:r>
        <w:t>BULLETIN NO. 44 OF NOVEMBER 18, 2024 59</w:t>
        <w:br/>
        <w:t>o) “prohibitions on unjustified geo-blocking and other forms of discrimination based on nationality, place of residence, or place of establishment of customers within the internal market”: the prohibitions referred to in Articles 3, 4, and 5 of Regulation (EU) No. 2018/302;</w:t>
        <w:br/>
        <w:t>p) “prohibitions regarding payment and credit services”: the prohibitions referred to in Articles 3, paragraph 4, and 32-quater, paragraph 1, of Legislative Decree No. 11 of January 27, 2010;</w:t>
        <w:br/>
        <w:t>q) “prohibitions on parasitic activities”: the prohibitions referred to in Articles 10 and 11 of Law Decree No. 16 of March 11, 2020, converted with amendments by Law No. 31 of May 8, 2020;</w:t>
        <w:br/>
        <w:t>r) “IBAN discrimination”: the prohibition referred to in Article 9 of Regulation (EU) No. 260/2012;</w:t>
        <w:br/>
        <w:t>s) “violations of information obligations regarding currency conversion fees related to card-based transactions”: violations of the obligations referred to in Article 4 of Regulation (EU) 2021/1230;</w:t>
        <w:br/>
        <w:t>t) “prohibition on the use of automated procedures for determining rates based on user web profiling activities or the type of electronic devices used for bookings”: the prohibition referred to in Article 1, paragraph 3, of Law Decree No. 104 of August 10, 2023, converted with amendments by Law No. 136 of October 9, 2023;</w:t>
        <w:br/>
        <w:t>u) “conduct”: any behavior that constitutes a violation of the rules falling within this regulation;</w:t>
        <w:br/>
        <w:t>v) “institutional website”: the website www.agcm.it;</w:t>
        <w:br/>
        <w:t>w) “Bulletin”: the Bulletin of the Authority for Competition and the Market, published on the institutional website.</w:t>
        <w:br/>
        <w:t>Article 2</w:t>
        <w:br/>
        <w:t>Scope of Application</w:t>
        <w:br/>
        <w:t>1. This regulation applies to the Authority's proceedings regarding unfair commercial practices, violations of consumer rights in contracts, unfair clauses, violations of traveler rights in contracts concerning package travel and related tourist services, as well as to the violations and prohibitions referred to in letters t), u), and v) of Article 1 of this regulation.</w:t>
        <w:br/>
        <w:t>2. The proceedings related to the prohibitions on deceptive and comparative advertising, parasitic activities, prohibitions regarding payment and credit services, and prohibitions on unjustified geo-blocking and other forms of discrimination based on nationality, place of residence, or place of establishment of customers within the internal market, are governed by the provisions of this regulation, as far as compatible.</w:t>
        <w:br/>
        <w:t>Article 3</w:t>
        <w:br/>
        <w:t>Responsible for the Procedure</w:t>
        <w:br/>
        <w:t>1. The responsible party for the procedure is the head of the office competent in the matter or another official appointed by them.</w:t>
        <w:br/>
        <w:t>2. The responsible party for the procedure acquires all useful elements for the assessment of the case. To this end, they may request information and documents from any public or private entity. If the professional is not known, the responsible party for the procedure requests from anyone in possession of it any element suitable for identifying them and may carry out, with the authorization of the College,</w:t>
      </w:r>
    </w:p>
    <w:p>
      <w:r>
        <w:rPr>
          <w:b/>
        </w:rPr>
        <w:t>[Pages 58–60]</w:t>
      </w:r>
    </w:p>
    <w:p>
      <w:r>
        <w:t>60 BULLETIN NO. 44 OF NOVEMBER 18, 2024</w:t>
      </w:r>
    </w:p>
    <w:p>
      <w:r>
        <w:t>sample purchases of goods and/or services, even anonymously, in order to identify violations referred to in Article 2 of this regulation.</w:t>
      </w:r>
    </w:p>
    <w:p>
      <w:r>
        <w:t>3. Except in cases of particular severity, in the presence of well-founded reasons leading to believe that violations referred to in Article 2 of this regulation exist, the responsible party, after informing the Board, may invite the professional, in writing, to remove the profiles of possible illegality (moral suasion).</w:t>
      </w:r>
    </w:p>
    <w:p>
      <w:r>
        <w:t>4. If the prerequisites are met, the initiation of the procedure is communicated, and the responsible party takes care of the necessary actions for conducting the investigative activity.</w:t>
      </w:r>
    </w:p>
    <w:p>
      <w:r>
        <w:t>Title II</w:t>
      </w:r>
    </w:p>
    <w:p>
      <w:r>
        <w:t>INVESTIGATIVE PROCEDURES</w:t>
      </w:r>
    </w:p>
    <w:p>
      <w:r>
        <w:t>Article 4</w:t>
      </w:r>
    </w:p>
    <w:p>
      <w:r>
        <w:t>Request for intervention</w:t>
      </w:r>
    </w:p>
    <w:p>
      <w:r>
        <w:t>1. Any subject referred to in Article 1, paragraph 1, letters f), g), h), of this regulation, or organization with an interest, may request, through communication in electronic format (webform or PEC), the intervention of the Authority in cases where they believe one of the violations referred to in the previous Article 2 exists.</w:t>
      </w:r>
    </w:p>
    <w:p>
      <w:r>
        <w:t>2. The Chambers of Commerce or their unions may file complaints with the Authority pursuant to Article 37-bis, paragraph 1, of the Consumer Code, particularly within the scope of the powers attributed to them by Article 2, paragraph 2, letter c), of Law No. 580/1993 and subsequent amendments.</w:t>
      </w:r>
    </w:p>
    <w:p>
      <w:r>
        <w:t>3. The request referred to in paragraph 1 contains:</w:t>
        <w:br/>
        <w:t>a) name, surname, designation or company name, residence, domicile or headquarters of the requester as well as telephone contacts, email address, and, where available, certified email;</w:t>
        <w:br/>
        <w:t>b) elements suitable for allowing a precise identification of the professional, the conduct subject to the request (in particular, date or period of dissemination of the conduct, means of communication used, place and manner of implementation), as well as the good or service concerned;</w:t>
        <w:br/>
        <w:t>c) any element deemed useful for the Authority's assessment, including, where available, copies of any complaints already submitted to the professional and their outcome, copies of correspondence exchanged with the same professional and/or contractual documentation indicating the specific clauses subject to the report, copies of messages or documentation subject to the request for intervention and an indication of the value of the transaction, information regarding any pending judgments.</w:t>
      </w:r>
    </w:p>
    <w:p>
      <w:r>
        <w:t>4. The request for intervention indicates any confidentiality needs. In this case, the notifier also transmits a non-confidential version of the request for intervention, the assessment of which is carried out according to the methods indicated in Article 12, paragraph 7, of this regulation.</w:t>
      </w:r>
    </w:p>
    <w:p>
      <w:r>
        <w:t>5. The elements referred to in paragraph 3, letter b), of this Article, as well as the identifying data of the reporting subject, constitute essential elements of the request for intervention, in the absence of which the head of the competent organizational unit finds the request inadmissible, informing the Board, without prejudice to the possibility for the notifier to resubmit the request for intervention in complete form. In any case, the Authority retains the possibility to proceed ex officio with further investigations for the purpose of a possible initiation of an investigation pursuant to Article 6.</w:t>
      </w:r>
    </w:p>
    <w:p>
      <w:r>
        <w:t>6. In matters of violation of the prohibition of discrimination and prohibitions on unjustified geographical blocking and other forms of discrimination based on nationality, place of residence, or place of establishment of customers within the internal market, the European Consumer Centre for Italy, in the event of a negative outcome of the exercise of its powers, may request the intervention of the Authority by sending it a detailed report on the activities carried out also through the network of European Consumer Centres (ECC-Net), accompanied by all collected documentation and any other useful information, pursuant to Article 30, paragraph 1-bis, of Legislative Decree No. 59 of March 26, 2010.</w:t>
      </w:r>
    </w:p>
    <w:p>
      <w:r>
        <w:t>Upon receipt of the report referred to in the first sentence of this paragraph, the Authority evaluates it for the possible exercise of its pre-investigative or investigative powers. In the same matters indicated in the first sentence of this paragraph, pursuant to Article 30, paragraph 1-bis, of Legislative Decree No. 59 of March 26, 2010, requests for intervention addressed directly to the Authority are inadmissible and will be sent by it to the European Consumer Centre for Italy for the performance of its activities.</w:t>
      </w:r>
    </w:p>
    <w:p>
      <w:r>
        <w:t>The Authority, following the receipt of the report, may request from the European Consumer Centre for Italy any information useful for the assessment of the reported conducts. If, after sending the report, the European Consumer Centre for Italy becomes aware of elements that may affect the ascertainment and evaluation of the conducts, it communicates them promptly to the Authority.</w:t>
      </w:r>
    </w:p>
    <w:p>
      <w:r>
        <w:t>Article 5</w:t>
      </w:r>
    </w:p>
    <w:p>
      <w:r>
        <w:t>Pre-investigative measures</w:t>
      </w:r>
    </w:p>
    <w:p>
      <w:r>
        <w:t>1. The pre-investigative phase may be closed for one of the following reasons:</w:t>
        <w:br/>
        <w:t>a) inadmissibility pursuant to Article 4, paragraphs 5 and 6;</w:t>
        <w:br/>
        <w:t>b) archiving for inapplicability of the law due to the absence of the prerequisites required by the legislative decree on misleading advertising or by the Consumer Code;</w:t>
        <w:br/>
        <w:t>c) archiving for manifest groundlessness due to the absence of factual elements suitable to justify further investigations;</w:t>
        <w:br/>
        <w:t>d) archiving following the removal by the professional of the profiles of possible illegality referred to in Article 3, paragraph 3 (moral suasion). The outcome of this intervention, which will be communicated to the professional, may be reported by the Authority using appropriate informative methods and evaluating any confidentiality needs reasonably represented by the professional;</w:t>
        <w:br/>
        <w:t>e) archiving for manifest inadequacy of the conduct to appreciably distort the economic behavior of the average consumer to whom it is directed, also due to the minimal dissemination of a message or contractual clause or the circumscribed localization of a conduct (de minimis);</w:t>
        <w:br/>
        <w:t>f) no action to be taken for requests for intervention that do not merit further investigation, as they relate to conducts of limited scope and impact or not falling within the Authority's intervention priorities, due to the objectives of rationalization, effectiveness, and cost-effectiveness of administrative action. The Authority may identify by specific act the intervention priorities it intends to pursue.</w:t>
      </w:r>
    </w:p>
    <w:p>
      <w:r>
        <w:t>2. If the procedure is not initiated within 180 days from the receipt of the request for intervention, the pre-investigative phase is deemed closed with no action to be taken pursuant to letter f) of the previous paragraph. For this purpose, the offices periodically inform the Board of the proceedings concluded pursuant to this paragraph. The Authority's right to subsequently acquire the request for intervention for the purpose of proceeding ex officio with an investigative deepening, based on subsequent elements or a different assessment of intervention priorities, remains unaffected.</w:t>
      </w:r>
    </w:p>
    <w:p>
      <w:r>
        <w:t>3. It is within the Authority's discretion to send a communication regarding the archiving or closure of the pre-investigative procedure.</w:t>
      </w:r>
    </w:p>
    <w:p>
      <w:r>
        <w:t>Article 6</w:t>
      </w:r>
    </w:p>
    <w:p>
      <w:r>
        <w:t>Initiation of the investigation</w:t>
      </w:r>
    </w:p>
    <w:p>
      <w:r>
        <w:t>1. The responsible party, having evaluated the elements in its possession and those brought to its attention with the request for intervention referred to in Article 4, initiates the investigation to verify the existence of the violations referred to in Article 2 of this regulation.</w:t>
      </w:r>
    </w:p>
    <w:p>
      <w:r>
        <w:t>2. The responsible party communicates the initiation of the investigation to the Parties and informs other interested subjects who have submitted a request for intervention pursuant to Article 4. Due to the high number of requests for intervention, this communication may also be carried out through a notice in the bulletin published on the Authority's official website. If communications cannot take place, they are made by publication in the same bulletin. The initiation of the investigation may also be communicated through the dissemination of a press release, informing the Board.</w:t>
      </w:r>
    </w:p>
    <w:p>
      <w:r>
        <w:t>3. The communication of initiation referred to in paragraph 2 indicates the subject of the procedure and the essential elements regarding the alleged infringements acquired ex officio or contained in the request for intervention, the deadline for the conclusion of the procedure, the office and the person responsible for the procedure, the office where access to the documents can be made, the possibility of submitting written statements or documents, the deadline by which statements and documents can be submitted, as well as the deadline within which it is possible to exercise the right to be heard before the offices.</w:t>
      </w:r>
    </w:p>
    <w:p>
      <w:r>
        <w:t>Article 7</w:t>
      </w:r>
    </w:p>
    <w:p>
      <w:r>
        <w:t>Public consultation on unfair clauses</w:t>
      </w:r>
    </w:p>
    <w:p>
      <w:r>
        <w:t>1. Within thirty days from the initiation of the investigation, or sixty days if the professional resides, is domiciled, or has headquarters abroad, the responsible party - having informed the Authority - proceeds to publish, in the appropriate section of the Authority's official website, a notice for the consultation referred to in Article 37-bis, paragraph 1, of the Consumer Code. The notice indicates, among other things, the clause, the specific economic sector affected by the investigation, and other useful information for the consultation.</w:t>
      </w:r>
    </w:p>
    <w:p>
      <w:r>
        <w:t>Representatives of professional associations at the national level and the Chambers of Commerce or their unions that are interested in the clauses subject to the procedure, due to their specific experience in the sector, may participate in the consultation. They may also...</w:t>
      </w:r>
    </w:p>
    <w:p>
      <w:r>
        <w:rPr>
          <w:b/>
        </w:rPr>
        <w:t>[Pages 61–63]</w:t>
      </w:r>
    </w:p>
    <w:p>
      <w:r>
        <w:t>BULLETIN NO. 44 OF NOVEMBER 18, 2024 63</w:t>
      </w:r>
    </w:p>
    <w:p>
      <w:r>
        <w:t>consumer associations representative at the national level recognized and registered in the list referred to in Article 137 of the Consumer Code may also participate in the consultation. For the purpose of participation in the consultation, the interested parties provide the information indicated in the aforementioned section of the website regarding their qualification and the existence of interest in the consultation. Within the peremptory term of thirty days from the publication of the notice, the parties having the characteristics mentioned above may send their written comments to the Authority via a dedicated email box for the consultation (mandatory consultation).</w:t>
      </w:r>
    </w:p>
    <w:p>
      <w:r>
        <w:t>Article 8</w:t>
        <w:br/>
        <w:t>Procedural Terms</w:t>
      </w:r>
    </w:p>
    <w:p>
      <w:r>
        <w:t>1. The term for the conclusion of the procedure is one hundred eighty days, starting from the date of protocol of the communication of initiation.</w:t>
        <w:br/>
        <w:t>2. In the case of infringements referred to in Regulation (EU) No. 2394/2017 or if the professional is resident, domiciled, or has a registered office abroad, the term for the conclusion of the procedure is two hundred forty days starting from the date of protocol of the communication of initiation. In the case of widespread infringements and widespread infringements having a Union dimension pursuant to Article 3, paragraphs 3 and 4, of Regulation (EU) No. 2394/2017, the term is suspended from the initiation of the coordinated action, pursuant to Article 17, until its closure, pursuant to Article 22 of the same regulation and for a maximum of one year.</w:t>
        <w:br/>
        <w:t>3. The term referred to in paragraphs 1 and 2 is extended by thirty days when opinions referred to in Article 17, paragraphs 2 and 3, are requested.</w:t>
        <w:br/>
        <w:t>4. The Authority may extend the term by a maximum of sixty days, in the presence of particular investigative needs, as well as in the case of subjective or objective extension of the procedure. The Authority may also extend the term, by a maximum of sixty days, in the event that the professional has submitted commitments or new investigative needs arise. If necessary, the acquisition of essential information for the assessment of the case from other institutions or public bodies may be ordered, with a deadline not exceeding 30 days for the response. The term for concluding the procedure is consequently extended by a maximum of 30 days.</w:t>
      </w:r>
    </w:p>
    <w:p>
      <w:r>
        <w:t>Article 9</w:t>
        <w:br/>
        <w:t>Precautionary Measures</w:t>
      </w:r>
    </w:p>
    <w:p>
      <w:r>
        <w:t>1. In cases of particular urgency, pursuant to Article 8, paragraph 3, of the legislative decree on misleading advertising and Article 27, paragraph 3, of the Consumer Code, the Authority may order, ex officio and with a reasoned act, the suspension of the conduct deemed unlawful.</w:t>
        <w:br/>
        <w:t>2. The person responsible for the procedure, in the communication of the initiation of the investigation or subsequently with a specific communication, identifies the profiles of severity of the conduct deemed unlawful and the urgency of the intervention and assigns the parties a term of no less than five days to submit written statements and documents. After this term, the person responsible for the procedure submits the acts to the College for decision.</w:t>
      </w:r>
    </w:p>
    <w:p>
      <w:r>
        <w:t>64 BULLETIN NO. 44 OF NOVEMBER 18, 2024</w:t>
      </w:r>
    </w:p>
    <w:p>
      <w:r>
        <w:t>3. The College may order, with a reasoned act, the provisional suspension of the conduct deemed unlawful even without acquiring the statements of the parties when there are particular needs for the urgency of the intervention. Within seven days from the receipt of the provision with which the precautionary measure was adopted, the interested professional may submit written statements and documents. After evaluating the arguments of the professional, the College decides on the confirmation or revocation of the provisional suspension of the conduct within 30 days from the notification of the precautionary provision.</w:t>
        <w:br/>
        <w:t>4. The provision of the Authority suspending the conduct deemed unlawful is immediately executed by the professional. The appeal against the Authority's suspension provision does not suspend its execution. The professional shall notify the Authority of the execution of the suspension provision within five days from the receipt of the provision itself.</w:t>
        <w:br/>
        <w:t>5. The provisions of this article also apply in the cases provided for by Article 27, paragraph 3-bis, of the Consumer Code.</w:t>
      </w:r>
    </w:p>
    <w:p>
      <w:r>
        <w:t>Article 10</w:t>
        <w:br/>
        <w:t>Commitments</w:t>
      </w:r>
    </w:p>
    <w:p>
      <w:r>
        <w:t>1. Within forty-five days from the receipt of the communication of initiation of the procedure, the professional may submit commitments that eliminate the profiles of illegitimacy of the conduct or clause subject to the procedure. The commitments are submitted using a specific form (Annex 1 to this regulation). In the case of integration, the professional is required to submit to the Authority a consolidated text of the commitments. It is the responsibility of the professional, if claiming confidentiality needs, to also submit a non-confidential and non-restricted version of the commitments.</w:t>
        <w:br/>
        <w:t>2. The Authority evaluates the commitments and:</w:t>
        <w:br/>
        <w:t>a) if it considers them suitable to eliminate the profiles of illegitimacy of the conduct or clause subject to the procedure, after possibly acquiring the required opinions in accordance with the procedures referred to in Article 17 of this regulation, orders their acceptance by provision, making them mandatory for the professional, closing the procedure without ascertaining the infringement;</w:t>
        <w:br/>
        <w:t>b) if it considers them partially suitable, sets a deadline for the professional for possible integration of the commitments;</w:t>
        <w:br/>
        <w:t>c) if it considers it has an interest in ascertaining the contested violation or in cases of serious and manifest misleading, unfairness, unlawfulness of a conduct, as well as in the case of unsuitability of the commitments, decides to reject them, promptly communicating this to the Party.</w:t>
        <w:br/>
        <w:t>3. Following the decision to accept commitments, the procedure may be reopened ex officio, where:</w:t>
        <w:br/>
        <w:t>a) the professional does not implement the commitments undertaken;</w:t>
        <w:br/>
        <w:t>b) the factual situation changes regarding one or more elements on which the decision is based;</w:t>
        <w:br/>
        <w:t>c) the decision to accept commitments is based on information transmitted by the parties that is incomplete, inaccurate, or misleading.</w:t>
      </w:r>
    </w:p>
    <w:p>
      <w:r>
        <w:t>BULLETIN NO. 44 OF NOVEMBER 18, 2024 65</w:t>
      </w:r>
    </w:p>
    <w:p>
      <w:r>
        <w:t>Article 11</w:t>
        <w:br/>
        <w:t>Participation in the Investigation</w:t>
      </w:r>
    </w:p>
    <w:p>
      <w:r>
        <w:t>1. Subjects representing public or private interests, as well as representatives of widespread interests constituted in associations or committees, who may suffer direct, immediate, and current harm from the infringements subject to the investigation or from the measures adopted as a result thereof, may request to intervene in the ongoing procedure by submitting a specific act, duly signed, containing:</w:t>
        <w:br/>
        <w:t>a) name, surname, denomination or company name, residence, domicile or registered office of the applicant as well as telephone, email, and certified email contacts, if available;</w:t>
        <w:br/>
        <w:t>b) indication of the procedure in which they intend to intervene;</w:t>
        <w:br/>
        <w:t>c) adequate motivation regarding the specific interest in intervening, with particular reference to the contribution that the applicant can provide to the investigation.</w:t>
        <w:br/>
        <w:t>2. The person responsible for the procedure, having assessed the regularity and completeness of the participation request, informs the applicant that they may:</w:t>
        <w:br/>
        <w:t>a) access the documents of the procedure pursuant to the following Article 12;</w:t>
        <w:br/>
        <w:t>b) submit written statements, documents, deductions, and opinions.</w:t>
      </w:r>
    </w:p>
    <w:p>
      <w:r>
        <w:t>Article 12</w:t>
        <w:br/>
        <w:t>Access to Documents, Confidentiality of Information, and Official Secrets</w:t>
      </w:r>
    </w:p>
    <w:p>
      <w:r>
        <w:t>1. The right of access to documents formed or permanently held by the Authority in the procedures referred to in this regulation is recognized during the investigation of the same procedures to the subjects who have been notified of the initiation of the procedure, pursuant to Article 6, paragraph 2, as well as to the subjects admitted to intervene pursuant to Article 11.</w:t>
        <w:br/>
        <w:t>2. If the documents referred to in paragraph 1 contain confidential information of a personal, commercial, industrial, and financial nature, the right of access is allowed, in whole or in part, to the extent necessary to ensure the adversarial process.</w:t>
        <w:br/>
        <w:t>3. Documents containing trade secrets are exempt from access. If they provide evidence of an infringement or essential elements for the defense of a professional, the offices allow access, limited to such elements.</w:t>
        <w:br/>
        <w:t>4. In allowing access in the cases referred to in paragraphs 2 and 3 and in compliance with the criteria contained therein, the offices take into account, adopting all necessary precautions, the interest of individuals and professionals that confidential information or trade secrets are not disclosed.</w:t>
        <w:br/>
        <w:t>5. Notes, proposals, and any other elaboration of the offices with the function of studying and preparing the content of acts are exempt from access.</w:t>
        <w:br/>
        <w:t>6. Minutes of the meetings of the College, as well as documents relating to relations between the Authority and the institutions of the European Union, as well as between the Authority and the bodies of other States or other international organizations, for which disclosure has not been authorized, may be exempt from access, in whole or in part.</w:t>
        <w:br/>
        <w:t>7. Subjects who intend to safeguard the confidentiality or secrecy of the information provided submit to the offices, at the time of document production or within the terms assigned for this purpose by the offices themselves, a specific request indicating the documents or parts of documents that they believe should be exempt from access, specifying the reasons and providing</w:t>
      </w:r>
    </w:p>
    <w:p>
      <w:r>
        <w:rPr>
          <w:b/>
        </w:rPr>
        <w:t>[Pages 64–66]</w:t>
      </w:r>
    </w:p>
    <w:p>
      <w:r>
        <w:t>66 BULLETIN NO. 44 OF NOVEMBER 18, 2024</w:t>
      </w:r>
    </w:p>
    <w:p>
      <w:r>
        <w:t xml:space="preserve">the non-confidential version of the documents that are believed to be partially exempt from access. If the interested parties do not proceed according to the methods indicated above, the offices may presume that the documents do not contain confidential information.  </w:t>
        <w:br/>
        <w:t xml:space="preserve">8. The offices, if they do not consider the elements of confidentiality or secrecy put forward to justify the requests referred to in paragraph 7 to be valid, shall provide reasoned communication to the interested parties. If they provide evidence of an infringement or essential elements for the defense of a business, the offices shall allow access, limited to such elements.  </w:t>
        <w:br/>
        <w:t xml:space="preserve">9. The offices may reasonedly defer access to the documents until their relevance for the proof of infringements is ascertained and in any case no later than the communication of the date of conclusion of the investigative phase referred to in Article 17.  </w:t>
        <w:br/>
        <w:t xml:space="preserve">10. The information contained in the documentation acquired in the exercise of the powers referred to in Article 2 of this regulation is protected by official secrecy even with regard to public administrations, without prejudice to the reporting obligations referred to in Article 331 of the Code of Criminal Procedure, of loyal cooperation with the Judicial Authority and those of cooperation referred to in Regulation (EU) No. 2017/2394.  </w:t>
        <w:br/>
        <w:t xml:space="preserve">11. The right of access is exercised by means of a written and reasoned request, which the person responsible for the procedure shall address within thirty days.  </w:t>
        <w:br/>
        <w:t xml:space="preserve">Article 13  </w:t>
        <w:br/>
        <w:t xml:space="preserve">Request for information and hearings  </w:t>
        <w:br/>
        <w:t xml:space="preserve">1. The person responsible for the procedure acquires all useful elements for the assessment of the case during the investigation. To this end, he may request information and documents from any public or private entity.  </w:t>
        <w:br/>
        <w:t xml:space="preserve">2. The person responsible for the procedure, if necessary for the collection or evaluation of the investigative elements, or if requested by one of the parties, may order that the parties or third parties be heard in special hearings in compliance with the principle of contradiction, setting a deadline for their conduct.  </w:t>
        <w:br/>
        <w:t xml:space="preserve">3. The hearings set pursuant to paragraph 2 are presided over by the person responsible for the procedure or his deputy. The parties may be represented by a lawyer with appropriate documentation justifying the power of representation or may be assisted by consultants of their choice.  </w:t>
        <w:br/>
        <w:t xml:space="preserve">4. A record of the hearings is drawn up, containing the main statements of the individuals who participated in the hearings. The record is signed, at the end of the hearing, also digitally, by the person responsible for the procedure and by the individuals present, or by individuals to whom they have granted a specific power of attorney. When any of the parties does not wish or is unable to sign the record, this is noted in the record itself with an indication of the reason. A copy of the hearing record is provided to the individuals present who request it.  </w:t>
        <w:br/>
        <w:t>5. For the sole purpose of preparing the record, a recording may be made, on any medium deemed suitable, of the hearings.</w:t>
      </w:r>
    </w:p>
    <w:p>
      <w:r>
        <w:t xml:space="preserve">BULLETIN NO. 44 OF NOVEMBER 18, 2024 67  </w:t>
        <w:br/>
        <w:t xml:space="preserve">Article 14  </w:t>
        <w:br/>
        <w:t xml:space="preserve">Expert assessments, statistical and economic analyses, and consultations with experts  </w:t>
        <w:br/>
        <w:t xml:space="preserve">1. For the purpose of evaluating any relevant element for the investigation, the Board may authorize expert assessments and statistical and economic analyses, as well as consultations with experts, proposed by the person responsible for the procedure.  </w:t>
        <w:br/>
        <w:t xml:space="preserve">2. Universities, research centers, or scientific institutes appointed by the Authority shall designate the experts and consultants deemed professionally most suitable to carry out the required technical assessment.  </w:t>
        <w:br/>
        <w:t xml:space="preserve">3. In the event that the Authority orders expert assessments and consultations, the parties to the procedure shall be informed.  </w:t>
        <w:br/>
        <w:t xml:space="preserve">4. The results of the expert assessments and consultations are communicated by the person responsible for the procedure to the parties.  </w:t>
        <w:br/>
        <w:t xml:space="preserve">5. The individuals who have been informed of the initiation of the procedure and those who have intervened pursuant to Article 11 may appoint, notifying the person responsible for the procedure, a consultant of their own, who may assist in the operations carried out by the Authority's consultant and submit, within fifteen days from the communication referred to in paragraph 4, writings and documents in which to make observations on the results of the technical investigations.  </w:t>
        <w:br/>
        <w:t xml:space="preserve">Article 15  </w:t>
        <w:br/>
        <w:t xml:space="preserve">Inspections  </w:t>
        <w:br/>
        <w:t xml:space="preserve">1. The Board authorizes inspections proposed by the person responsible for the procedure at any entity deemed to be in possession of business documents useful for the investigation. Prior to this, public administrations are requested to exhibit the documents.  </w:t>
        <w:br/>
        <w:t xml:space="preserve">2. The officials of the Authority exercise their powers after notifying the inspection order. This order specifies the subject of the assessment and the penalties for refusal, omission, or delay, without justified reason, in providing information and exhibiting documents requested during the inspection, as well as in cases where untruthful information and documents are provided.  </w:t>
        <w:br/>
        <w:t xml:space="preserve">3. In any case, the following do not constitute a justified reason for refusal or omission, for the purposes of the penalties provided for in Article 8, paragraph 4, of the legislative decree on misleading advertising or Article 27, paragraph 4, of the Consumer Code:  </w:t>
        <w:br/>
        <w:t xml:space="preserve">a) the opposition of confidentiality or competence constraints imposed by company regulations or internal provisions, even oral;  </w:t>
        <w:br/>
        <w:t xml:space="preserve">b) the need for self-protection from the risk of tax or administrative penalties;  </w:t>
        <w:br/>
        <w:t xml:space="preserve">c) the need to protect business or industrial secrets.  </w:t>
        <w:br/>
        <w:t xml:space="preserve">4. For the purposes of this regulation, a document is understood to mean any graphic, photographic, electromagnetic representation, or of any other kind of the content of acts, including internal and informal ones, created and used for the purposes of the business activity, regardless of the level of responsibility and representativeness of the author of the document, on any form of support or device.  </w:t>
        <w:br/>
        <w:t>5. The officials referred to in paragraph 2 have the following powers:</w:t>
      </w:r>
    </w:p>
    <w:p>
      <w:r>
        <w:t xml:space="preserve">68 BULLETIN NO. 44 OF NOVEMBER 18, 2024  </w:t>
        <w:br/>
        <w:t xml:space="preserve">a) access to all premises, land, and means of transport used by the subject under investigation in the context of its commercial, industrial, artisanal, or professional activity, excluding places of residence or domicile unrelated to the business activity under investigation;  </w:t>
        <w:br/>
        <w:t xml:space="preserve">b) check, consult, select, take, or obtain copies of information, data, or documents, regardless of their storage medium;  </w:t>
        <w:br/>
        <w:t xml:space="preserve">c) acquire information, data, or documents for the necessary period and to the extent appropriate for the conduct of the inspection;  </w:t>
        <w:br/>
        <w:t xml:space="preserve">d) request information and explanations, including oral ones, regarding the facts, information, data, or documents related to the subject of the investigation and record the responses.  </w:t>
        <w:br/>
        <w:t xml:space="preserve">6. During inspections, the interested parties may be assisted by consultants of their choice, provided that the exercise of this right does not result in the suspension of the inspection.  </w:t>
        <w:br/>
        <w:t xml:space="preserve">7. A record is drawn up of all activities carried out during the inspection, with particular reference to the statements and documents acquired.  </w:t>
        <w:br/>
        <w:t xml:space="preserve">8. In carrying out the inspection activity, the Authority may avail itself of the collaboration of the Guardia di Finanza, which acts with the powers attributed to it for the assessment of value-added tax and income tax.  </w:t>
        <w:br/>
        <w:t xml:space="preserve">Article 16  </w:t>
        <w:br/>
        <w:t xml:space="preserve">Burden of proof  </w:t>
        <w:br/>
        <w:t xml:space="preserve">1. If the person responsible for the procedure orders, pursuant to Article 8, paragraph 5, of the legislative decree on misleading advertising or Article 27, paragraph 5, of the Consumer Code, that the professional provide evidence regarding the accuracy of the factual data related to the conduct, commercial practice, or advertising, he shall communicate this procedural burden to the parties, indicating the requested evidence elements, the motivation for the request, and the deadline for producing the evidence.  </w:t>
        <w:br/>
        <w:t xml:space="preserve">Article 17  </w:t>
        <w:br/>
        <w:t xml:space="preserve">Closure of the investigation and request for opinions  </w:t>
        <w:br/>
        <w:t xml:space="preserve">1. The person responsible for the procedure, when he considers the case sufficiently instructed, transmits to the parties the communication of the charges and indicates a deadline, not less than twenty days, within which they may submit written counterarguments to the Board in response to the charges.  </w:t>
        <w:br/>
        <w:t xml:space="preserve">2. Before submitting the documents to the Board for the adoption of the final provision, the person responsible for the procedure: a) requests, where provided, the opinion referred to in Article 27, paragraph 1-bis, of the Consumer Code; b) requests the opinion from the Authority for Communications Guarantees in cases referred to in Article 8, paragraph 6, of the legislative decree on misleading advertising or Article 27, paragraph 6, of the Consumer Code.  </w:t>
        <w:br/>
        <w:t>The consulted Authority communicates its opinion within thirty days of receiving the request. If it has indicated investigative needs, the deadline for concluding the procedure is suspended for a maximum period of thirty days, from the date of receipt by it of the requested information and documents until the date on which the relevant opinion is received.</w:t>
      </w:r>
    </w:p>
    <w:p>
      <w:r>
        <w:rPr>
          <w:b/>
        </w:rPr>
        <w:t>[Pages 67–69]</w:t>
      </w:r>
    </w:p>
    <w:p>
      <w:r>
        <w:t>BULLETIN NO. 44 OF NOVEMBER 18, 2024</w:t>
      </w:r>
    </w:p>
    <w:p>
      <w:r>
        <w:t>3. Upon the expiration of the deadline for the issuance of opinions, the Authority may adopt the measure within its competence, regardless of the acquisition of opinions.</w:t>
      </w:r>
    </w:p>
    <w:p>
      <w:r>
        <w:t>4. Once the opinions referred to in paragraph 2 have been requested, where applicable, the person responsible for the procedure submits the documents to the Board for the adoption of the final measure.</w:t>
      </w:r>
    </w:p>
    <w:p>
      <w:r>
        <w:t>5. In the event of the submission of commitments, where the Authority does not consider the commercial practice to be manifestly serious and unfair pursuant to Article 27, paragraph 7, of the Consumer Code, or does not consider the proposed commitments to be manifestly inadequate, pursuant to Article 10, paragraph 2, letter a), of this regulation, the deadline for issuing the opinion referred to in Article 27, paragraph 1-bis, of the Consumer Code is forty-five days from the receipt of the request, and the deadline for the procedure is extended by fifteen days. If the deadline for issuing the opinion expires without a response, the Antitrust Authority may adopt the measure within its competence.</w:t>
      </w:r>
    </w:p>
    <w:p>
      <w:r>
        <w:t>6. During the investigation concerning unfair clauses, the person responsible for the procedure may request the regulatory or supervisory authorities of the sectors involved in the investigation to express an opinion regarding the subject of the procedure. The aforementioned authorities shall transmit their opinion within 30 days from the request (optional consultation).</w:t>
      </w:r>
    </w:p>
    <w:p>
      <w:r>
        <w:t>Article 18</w:t>
        <w:br/>
        <w:t>Decision of the Authority</w:t>
      </w:r>
    </w:p>
    <w:p>
      <w:r>
        <w:t>1. At the conclusion of the investigation, the Board resolves to adopt one of the following final measures:</w:t>
        <w:br/>
        <w:t>a) decision of non-illegality/unfairness or closure of the procedure due to insufficient evidence, or for one of the reasons referred to in Article 5, paragraph 1, if the prerequisites for adoption emerged only during the investigation;</w:t>
        <w:br/>
        <w:t>b) decision to ascertain the existence of violations referred to in Article 2 of this regulation, accompanied by a warning and a monetary sanction and possibly by the publication of an excerpt of the measure and/or a corrective statement and/or the assignment of a deadline for the adjustment of the product packaging;</w:t>
        <w:br/>
        <w:t>c) decision to accept commitments that make them mandatory for the professional, without ascertaining the alleged infringement at the start of the procedure;</w:t>
        <w:br/>
        <w:t>d) no action due to the lack of prerequisites for the adoption of the decision.</w:t>
      </w:r>
    </w:p>
    <w:p>
      <w:r>
        <w:t>2. The final measure of the Authority contains the indication of the deadline and the subject to whom it is possible to appeal.</w:t>
      </w:r>
    </w:p>
    <w:p>
      <w:r>
        <w:t>3. The final measure of the Authority is communicated to the parties and to any subjects that may have intervened in the procedure and is published, within twenty days from its adoption, in the bulletin published on the institutional website of the Authority. In order to ensure the widest knowledge of its institutional activities, the Authority may also make its decisions known through press releases.</w:t>
      </w:r>
    </w:p>
    <w:p>
      <w:r>
        <w:t>4. In the proceedings referred to in Article 37-bis, paragraphs 1 and 2, of the Consumer Code, the measure that ascertains the unfairness is also published, within twenty days from its adoption, even in excerpt, in a specific section of the institutional website of the Authority, as well as, within twenty days from the communication of its adoption, at the expense and care of the operator who adopted the clause deemed unfair, on the operator's own website and by any other means that the Authority deems appropriate and suitable to fully inform consumers.</w:t>
      </w:r>
    </w:p>
    <w:p>
      <w:r>
        <w:t>5. In the case of violations still in existence at the date of adoption of the ascertainment decision, the professional, within the term established in the measure, provides the Authority with a detailed and documented report of compliance with the warning.</w:t>
      </w:r>
    </w:p>
    <w:p>
      <w:r>
        <w:t>Article 19</w:t>
        <w:br/>
        <w:t>Publication of the measure or a corrective statement</w:t>
      </w:r>
    </w:p>
    <w:p>
      <w:r>
        <w:t>1. The Authority, with the measure declaring the existence of a violation referred to in Article 2 of this regulation, may order the publication of the ruling, in full or in excerpt, or of a corrective statement, at the expense and care of the professional, pursuant to Article 8, paragraph 8, of the legislative decree on misleading advertising or Article 27, paragraph 8, of the Consumer Code. The Authority may also order the publication of the commitments obtained from the professional at the expense and care of the same. In such cases, the Authority determines the means and methods of such compliance and the deadline within which to carry them out. A copy of the measure ordering the publication of the ruling, in full or in excerpt, or of a corrective statement, or of the commitments, is sent to the owner of the means through which the publication must be made. The corrective statement may be ordered in the form of personal communication when the conduct is directed personally to the recipients and these are identifiable.</w:t>
      </w:r>
    </w:p>
    <w:p>
      <w:r>
        <w:t>2. Following the publication of the ruling or the corrective statement or the commitments referred to in paragraph 1, the professional shall immediately notify the Authority, transmitting a copy of what has been published or the list of recipients to whom the individual communication has been addressed when, pursuant to paragraph 1, it must be personally addressed to the recipients of the conduct.</w:t>
      </w:r>
    </w:p>
    <w:p>
      <w:r>
        <w:t>Article 20</w:t>
        <w:br/>
        <w:t>Communications</w:t>
      </w:r>
    </w:p>
    <w:p>
      <w:r>
        <w:t>1. The communications provided for in this regulation are made via certified electronic mail or another certified electronic delivery service or, in case of impossibility, through another delivery service with written confirmation of receipt.</w:t>
      </w:r>
    </w:p>
    <w:p>
      <w:r>
        <w:t>2. In the case of transmission via electronic mail, documents are considered to have been received by the recipient on the same day they were sent, unless proven otherwise. Communications to the professional are made at the last known residence, domicile, or registered office or otherwise resulting from public registers. If communications cannot take place, they are made by publishing a notice in the bulletin published on the institutional website of the Authority.</w:t>
      </w:r>
    </w:p>
    <w:p>
      <w:r>
        <w:t>3. The initiation of the non-compliance procedure is communicated in the manner provided for in paragraphs 1 and 2 of this article.</w:t>
      </w:r>
    </w:p>
    <w:p>
      <w:r>
        <w:t>Article 21</w:t>
        <w:br/>
        <w:t>Self-regulation</w:t>
      </w:r>
    </w:p>
    <w:p>
      <w:r>
        <w:t>1. Subjects who, pursuant to Article 9 of the legislative decree on misleading advertising or Article 27-ter of the Consumer Code, request the suspension of the procedure before the Authority, submit a specific request, providing proof of the existence of the procedure before the self-regulatory body, with the appropriate indications to identify such body and the subject of the procedure itself.</w:t>
      </w:r>
    </w:p>
    <w:p>
      <w:r>
        <w:t>2. The person responsible for the procedure, upon receiving the suspension request referred to in paragraph 1 of this article, communicates it to the parties, setting a deadline for the submission of observations. The person responsible for the procedure communicates to the parties the ruling of the Board on the request. The person responsible for the procedure also promptly informs the parties of the cessation of the cause for suspension.</w:t>
      </w:r>
    </w:p>
    <w:p>
      <w:r>
        <w:t>3. If the Board orders the suspension of the procedure, the deadlines referred to in paragraph 1 of Article 8 of this regulation are suspended pending the ruling of the self-regulatory body and, in any case, for a period not exceeding thirty days, established by the Board.</w:t>
      </w:r>
    </w:p>
    <w:p>
      <w:r>
        <w:t>Article 22</w:t>
        <w:br/>
        <w:t>Inquiry regarding unfair clauses</w:t>
      </w:r>
    </w:p>
    <w:p>
      <w:r>
        <w:t>1. Businesses directly interested may inquire in advance with the Authority regarding the unfairness of the clauses they intend to use in contracts with consumers that are concluded by adherence to general contract conditions or by signing forms, models, or templates. Under penalty of inadmissibility, the inquiry is requested through communication in electronic format (PEC), using the appropriate form (Annex 2 to this regulation), completed in all its parts.</w:t>
      </w:r>
    </w:p>
    <w:p>
      <w:r>
        <w:t>2. For the purposes of producing the effects referred to in paragraph 3 of Article 37-bis of the Consumer Code, the business requesting the inquiry fully indicates the reasons and objectives that motivate the inclusion of the individual clause, its non-unfairness also in relation to the possible relevance of other clauses contained in the same contract or in another contract to which the first is connected or from which it depends, as well as the methods and circumstances in which the negotiation and conclusion of the contract will take place.</w:t>
      </w:r>
    </w:p>
    <w:p>
      <w:r>
        <w:t>3. The person responsible for the procedure may order that the requester of the inquiry be heard in a hearing.</w:t>
      </w:r>
    </w:p>
    <w:p>
      <w:r>
        <w:t>4. From the date of receipt of the form referred to in paragraph 1, the Authority shall rule on the inquiry within a period of one hundred and twenty days. In the case of seriously inaccurate, incomplete, or untruthful information, or of an extension of the subject of the inquiry, the person responsible for the procedure informs the Board and the party. In such cases, the deadline restarts from the receipt of the information that completes the inquiry or of the request that extends the subject.</w:t>
      </w:r>
    </w:p>
    <w:p>
      <w:r>
        <w:t>5. The person responsible for the procedure may request the regulatory or supervisory authorities of the sectors concerned by the clause subject to inquiry, as well as the chambers of commerce or their unions, to express an opinion on the clause within thirty days from the request. The Authority is informed,</w:t>
      </w:r>
    </w:p>
    <w:p>
      <w:r>
        <w:rPr>
          <w:b/>
        </w:rPr>
        <w:t>[Pages 70–72]</w:t>
      </w:r>
    </w:p>
    <w:p>
      <w:r>
        <w:t>72 BULLETIN NO. 44 OF NOVEMBER 18, 2024</w:t>
      </w:r>
    </w:p>
    <w:p>
      <w:r>
        <w:t xml:space="preserve">the aforementioned consultation may also take place through the methods indicated in Article 7 of this regulation. In these cases, the term referred to in the previous paragraph 4 is extended by thirty days.  </w:t>
        <w:br/>
        <w:t xml:space="preserve">6. Where, following the inquiry, the unfairness of the clause is not found, the Authority may also refrain from adopting a formal and reasoned response. Upon the expiration of the terms referred to in paragraphs 4 and 5, the clause is deemed approved.  </w:t>
        <w:br/>
        <w:t xml:space="preserve">7. It is at the discretion of the Authority to publish responses to inquiries in a specific section of its website and/or in its bulletin, subject to any confidentiality needs duly represented by the professional.  </w:t>
        <w:br/>
        <w:t>8. Access to the file is permitted upon conclusion of the inquiry procedure for the purposes of protection in judicial proceedings.</w:t>
      </w:r>
    </w:p>
    <w:p>
      <w:r>
        <w:t xml:space="preserve">Title III  </w:t>
        <w:br/>
        <w:t>FINAL AND TRANSITIONAL PROVISIONS</w:t>
      </w:r>
    </w:p>
    <w:p>
      <w:r>
        <w:t xml:space="preserve">Article 23  </w:t>
        <w:br/>
        <w:t xml:space="preserve">Final provisions  </w:t>
        <w:br/>
        <w:t xml:space="preserve">1. This regulation comes into force the day after its publication in the Official Gazette.  </w:t>
        <w:br/>
        <w:t>2. From the date of entry into force of this regulation, the regulation on investigative procedures concerning misleading and comparative advertising, unfair commercial practices, violation of consumer rights in contracts, violation of the prohibition of discrimination, and unfair clauses as per resolution of April 1, 2015, no. 25411 (Official Gazette of April 25, 2015, no. 94) shall no longer apply.</w:t>
      </w:r>
    </w:p>
    <w:p>
      <w:r>
        <w:t>BULLETIN NO. 44 OF NOVEMBER 18, 2024</w:t>
      </w:r>
    </w:p>
    <w:p>
      <w:r>
        <w:t xml:space="preserve">Annex 1  </w:t>
        <w:br/>
        <w:t xml:space="preserve">FORM FOR THE SUBMISSION OF COMMITMENTS PURSUANT TO ART. 27, PARAGRAPH 7, OF THE CONSUMER CODE, ART. 8, PARAGRAPH 7, OF LEGISLATIVE DECREE 145/2007 AND ART. 10 OF THIS REGULATION  </w:t>
        <w:br/>
        <w:t xml:space="preserve">1) Number of the procedure, date of receipt of the communication of the initiation of the procedure by the professional  </w:t>
        <w:br/>
        <w:t xml:space="preserve">2) Professional submitting the commitments  </w:t>
        <w:br/>
        <w:t xml:space="preserve">NAME OR BUSINESS NAME OF THE COMPANY (surname and name in the case of a natural person)  </w:t>
        <w:br/>
        <w:t xml:space="preserve">REGISTERED OFFICE:  </w:t>
        <w:br/>
        <w:t xml:space="preserve">City______________Street___________________________________________________ No.____  </w:t>
        <w:br/>
        <w:t xml:space="preserve">Postal Code______________  </w:t>
        <w:br/>
        <w:t xml:space="preserve">3) Conduct or clause subject to the communication of the initiation of the procedure  </w:t>
        <w:br/>
        <w:t xml:space="preserve">4) Textual content of the proposed commitments and any validity period in relation to the individual profiles subject to the communication of the initiation of the procedure  </w:t>
        <w:br/>
        <w:t xml:space="preserve">5) Considerations regarding the admissibility and suitability of the commitments to remove the profiles of illegitimacy contested in the initiation of the investigation  </w:t>
        <w:br/>
        <w:t>6) Any non-confidential and non-private version of the commitments</w:t>
      </w:r>
    </w:p>
    <w:p>
      <w:r>
        <w:t>BULLETIN NO. 44 OF NOVEMBER 18, 2024</w:t>
      </w:r>
    </w:p>
    <w:p>
      <w:r>
        <w:t xml:space="preserve">Annex 2  </w:t>
        <w:br/>
        <w:t xml:space="preserve">FORM FOR PREVENTIVE INQUIRY REGARDING UNFAIR CLAUSES  </w:t>
        <w:br/>
        <w:t xml:space="preserve">(pursuant to Article 37-bis, paragraph 3, of the Consumer Code)  </w:t>
        <w:br/>
        <w:t xml:space="preserve">1. GENERAL DATA OF THE COMPANY REQUESTING THE INQUIRY  </w:t>
        <w:br/>
        <w:t xml:space="preserve">(a) NAME OR BUSINESS NAME OF THE COMPANY (surname and name in the case of a natural person)  </w:t>
        <w:br/>
        <w:t xml:space="preserve">_______________________________________________________________________________  </w:t>
        <w:br/>
        <w:t xml:space="preserve">(b) LEGAL FORM________________________________________________________  </w:t>
        <w:br/>
        <w:t xml:space="preserve">(c) BUSINESS ACTIVITY__________________________________________________  </w:t>
        <w:br/>
        <w:t xml:space="preserve">(d) TAX CODE_________________ C.C.I.A.A. registration number_______________________  </w:t>
        <w:br/>
        <w:t xml:space="preserve">(e) REGISTERED OFFICE: City_____________Street__________________ No.____ Postal Code______________  </w:t>
        <w:br/>
        <w:t xml:space="preserve">(f) ADMINISTRATIVE OFFICE: City___________Street_________________No.__ Postal Code__________  </w:t>
        <w:br/>
        <w:t xml:space="preserve">(g) Legal representative:  </w:t>
        <w:br/>
        <w:t xml:space="preserve">Name________________________________Surname__________________________________  </w:t>
        <w:br/>
        <w:t xml:space="preserve">Address________________________________________________________________________  </w:t>
        <w:br/>
        <w:t xml:space="preserve">(h) CONTACT PERSON:  </w:t>
        <w:br/>
        <w:t xml:space="preserve">Name______________________Surname____________________Phone__________________  </w:t>
        <w:br/>
        <w:t xml:space="preserve">Fax____________Email______________Postal Address_______________________________  </w:t>
        <w:br/>
        <w:t xml:space="preserve">2. SUBJECT OF THE INQUIRY  </w:t>
        <w:br/>
        <w:t xml:space="preserve">(a) Type of contract in which the clauses subject to inquiry are included  </w:t>
        <w:br/>
        <w:t xml:space="preserve">(N.B. The clauses subject to inquiry must necessarily be included in general terms and conditions of contract or in forms, models, or templates and concern contracts intended to be concluded between a professional and a consumer. Contracts between professionals are excluded)  </w:t>
        <w:br/>
        <w:t xml:space="preserve">- form □  </w:t>
        <w:br/>
        <w:t xml:space="preserve">- template □  </w:t>
        <w:br/>
        <w:t xml:space="preserve">- standard contract/model □  </w:t>
        <w:br/>
        <w:t>- general terms and conditions of contract □</w:t>
      </w:r>
    </w:p>
    <w:p>
      <w:r>
        <w:rPr>
          <w:b/>
        </w:rPr>
        <w:t>[Pages 73–75]</w:t>
      </w:r>
    </w:p>
    <w:p>
      <w:r>
        <w:t>BULLETIN NO. 44 OF NOVEMBER 18, 2024 75</w:t>
      </w:r>
    </w:p>
    <w:p>
      <w:r>
        <w:t>(b) Subject of the contract</w:t>
        <w:br/>
        <w:t>- good (indicate the type)________________________________________________________</w:t>
        <w:br/>
        <w:t>- service (indicate the type) _____________________________________________________</w:t>
        <w:br/>
        <w:t>(c) Date from which the contract will be used ___/_____/_________</w:t>
        <w:br/>
        <w:t>(Note: The inquiry can only be requested with reference to contracts not yet proposed to consumers)</w:t>
        <w:br/>
        <w:t>(d) Place where the contract will be concluded</w:t>
        <w:br/>
        <w:t>- at the commercial premises of the proposing company □</w:t>
        <w:br/>
        <w:t>- at the commercial premises of a company other than the proposing company □</w:t>
        <w:br/>
        <w:t>- outside commercial premises □</w:t>
        <w:br/>
        <w:t>(specify)_____________________________________________________________________</w:t>
        <w:br/>
        <w:t>- At a distance:</w:t>
        <w:br/>
        <w:t>1. online □</w:t>
        <w:br/>
        <w:t>2. door-to-door sales □</w:t>
        <w:br/>
        <w:t>3. by telephone □</w:t>
        <w:br/>
        <w:t>- other (specify) _______________________________________________________________</w:t>
        <w:br/>
        <w:t>(e) Method by which the contract is intended to be concluded</w:t>
        <w:br/>
        <w:t>- contractual proposal conveyed by an employee of the company □</w:t>
        <w:br/>
        <w:t>- contractual proposal conveyed by an agent registered in a professional register, broker, or other subject □</w:t>
        <w:br/>
        <w:t>(specify the qualification)___________________________________________________________</w:t>
        <w:br/>
        <w:t>(f) Circumstances and context of the conclusion of the contract</w:t>
        <w:br/>
        <w:t>- signing the proposal at the time of purchasing another good or service □</w:t>
        <w:br/>
        <w:t>- good or service sold on order or request of the consumer □</w:t>
        <w:br/>
        <w:t>- specify any other element useful to define the context in which the conclusion of the contract will occur</w:t>
        <w:br/>
        <w:t>_______________________________________________________________________________</w:t>
      </w:r>
    </w:p>
    <w:p>
      <w:r>
        <w:t>76 BULLETIN NO. 44 OF NOVEMBER 18, 2024</w:t>
        <w:br/>
        <w:t>(g) Contractual clauses subject to inquiry (transcribe the full text of each clause submitted for examination by the Authority. It is reminded that written clauses must always be drafted clearly and understandably (art. 35, paragraph 1, Consumer Code)</w:t>
        <w:br/>
        <w:t>1._____________________________________________________________________________</w:t>
        <w:br/>
        <w:t>_______________________________________________________________________________</w:t>
        <w:br/>
        <w:t>2._____________________________________________________________________________</w:t>
        <w:br/>
        <w:t>_______________________________________________________________________________</w:t>
        <w:br/>
        <w:t>3._____________________________________________________________________________</w:t>
        <w:br/>
        <w:t>_______________________________________________________________________________</w:t>
        <w:br/>
        <w:t>4._____________________________________________________________________________</w:t>
        <w:br/>
        <w:t>_______________________________________________________________________________</w:t>
        <w:br/>
        <w:t>(h) Purpose of the clause subject to inquiry and its non-abusiveness</w:t>
        <w:br/>
        <w:t>Clearly and exhaustively indicate the following:</w:t>
        <w:br/>
        <w:t>1. Reasons that led to the inclusion of the clause in the contract (in case of multiple clauses indicate the respective numerical reference)</w:t>
        <w:br/>
        <w:t>_______________________________________________________________________________</w:t>
        <w:br/>
        <w:t>_______________________________________________________________________________</w:t>
        <w:br/>
        <w:t>_______________________________________________________________________________</w:t>
        <w:br/>
        <w:t>_______________________________________________________________________________</w:t>
        <w:br/>
        <w:t>_______________________________________________________________________________</w:t>
        <w:br/>
        <w:t>_______________________________________________________________________________</w:t>
        <w:br/>
        <w:t>__________________________________________</w:t>
        <w:br/>
        <w:t>2. Objective intended to be achieved with the inclusion of the clause (in case of multiple clauses indicate the respective numerical reference)</w:t>
        <w:br/>
        <w:t>_______________________________________________________________________________</w:t>
        <w:br/>
        <w:t>_______________________________________________________________________________</w:t>
        <w:br/>
        <w:t>_______________________________________________________________________________</w:t>
        <w:br/>
        <w:t>_______________________________________________________________________________</w:t>
        <w:br/>
        <w:t>_______________________________________________________________________________</w:t>
        <w:br/>
        <w:t>_______________________________________________________________________________</w:t>
        <w:br/>
        <w:t>_______________________________________________________________________________</w:t>
        <w:br/>
        <w:t>_________________________________________________</w:t>
      </w:r>
    </w:p>
    <w:p>
      <w:r>
        <w:t>BULLETIN NO. 44 OF NOVEMBER 18, 2024 77</w:t>
        <w:br/>
        <w:t>3. Reasons why the company requesting the inquiry believes that the clause that constitutes its subject is not abusive pursuant to Articles 33, 34, 35, and 36, paragraph 2, of the Consumer Code (in case of multiple clauses indicate for each of them the specific reasons for their non-abusiveness, if applicable, overcoming the presumptions of abusiveness provided by law)</w:t>
        <w:br/>
        <w:t>_______________________________________________________________________________</w:t>
        <w:br/>
        <w:t>_______________________________________________________________________________</w:t>
        <w:br/>
        <w:t>_______________________________________________________________________________</w:t>
        <w:br/>
        <w:t>_______________________________________________________________________________</w:t>
        <w:br/>
        <w:t>_______________________________________________________________________________</w:t>
        <w:br/>
        <w:t>_______________________________________________________________________________</w:t>
        <w:br/>
        <w:t>_______________________________________________________________________________</w:t>
        <w:br/>
        <w:t>_______________________________________________________________________________</w:t>
        <w:br/>
        <w:t>(i) Other clauses relevant for the inquiry request</w:t>
        <w:br/>
        <w:t>1. contained in the same contract (transcribe the full text of each clause)</w:t>
        <w:br/>
        <w:t>_______________________________________________________________________________</w:t>
        <w:br/>
        <w:t>_______________________________________________________________________________</w:t>
        <w:br/>
        <w:t>_______________________________________________________________________________</w:t>
        <w:br/>
        <w:t>______________________________________________________________________________</w:t>
        <w:br/>
        <w:t>2. contained in another related contract or from which the contract containing the clauses subject to this inquiry depends (transcribe the full text of each clause)</w:t>
        <w:br/>
        <w:t>_______________________________________________________________________________</w:t>
        <w:br/>
        <w:t>_______________________________________________________________________________</w:t>
        <w:br/>
        <w:t>_______________________________________________________________________________</w:t>
        <w:br/>
        <w:t>_______________________________________________________________________________</w:t>
        <w:br/>
        <w:t>3. Relevance of such clauses in terms of excluding the abusiveness of the clauses contained in the main contract subject to this inquiry (specify, justifying, the reasons or objectives that led to their inclusion)</w:t>
        <w:br/>
        <w:t>_______________________________________________________________________________</w:t>
        <w:br/>
        <w:t>_______________________________________________________________________________</w:t>
        <w:br/>
        <w:t>_______________________________________________________________________________</w:t>
        <w:br/>
        <w:t>_______________________________________________________________________________</w:t>
        <w:br/>
        <w:t>_______________________________________________________________________________</w:t>
        <w:br/>
        <w:t>_______________________________________________________________________________</w:t>
      </w:r>
    </w:p>
    <w:p>
      <w:r>
        <w:rPr>
          <w:b/>
        </w:rPr>
        <w:t>[Pages 76–78]</w:t>
      </w:r>
    </w:p>
    <w:p>
      <w:r>
        <w:t>78 BULLETIN NO. 44 OF NOVEMBER 18, 2024</w:t>
      </w:r>
    </w:p>
    <w:p>
      <w:r>
        <w:t>(l) Sources of the clause subject to inquiry, if different from the free elaboration of the proposing professional</w:t>
        <w:br/>
        <w:t>1. □ chamber system (specify) __________________________________________________</w:t>
        <w:br/>
        <w:t>2. □ trade association (specify) ________________________________________________</w:t>
        <w:br/>
        <w:t>3. □ regulatory authority or other entity (specify) __________________________________</w:t>
        <w:br/>
        <w:t>4. □ national legislative or regulatory provisions or implementing provisions of community sources (specify) _______________________________________________________________________________</w:t>
        <w:br/>
        <w:t>5. □ implementing provisions of principles contained in international conventions to which EU member states are parties (specify) _______________________________________________________________________________</w:t>
        <w:br/>
        <w:t>6. □ other documents referred to in the contract</w:t>
      </w:r>
    </w:p>
    <w:p>
      <w:r>
        <w:t>3. DOCUMENTS TO ATTACH</w:t>
        <w:br/>
        <w:t>The following documents are attached:</w:t>
        <w:br/>
        <w:t>1. full copy of the contract (forms, models, templates) containing the clauses subject to inquiry □</w:t>
        <w:br/>
        <w:t>2. general contract conditions containing the clauses subject to inquiry □</w:t>
        <w:br/>
        <w:t>3. information sheets delivered to the contracting party or other pre-contractual documentation □</w:t>
        <w:br/>
        <w:t>4. other documents referred to in the contract (specify) ____________________________________</w:t>
        <w:br/>
        <w:t>5. suitable documentation on the sources of the clause subject to inquiry [cf. sec. 2, lett. l) □</w:t>
      </w:r>
    </w:p>
    <w:p>
      <w:r>
        <w:t>BULLETIN NO. 44 OF NOVEMBER 18, 2024</w:t>
      </w:r>
    </w:p>
    <w:p>
      <w:r>
        <w:t>4. INFORMATION ON THE PROCESSING OF PERSONAL DATA (art. 13, Legislative Decree June 30, 2003, no. 196).</w:t>
        <w:br/>
        <w:t>It is informed that the personal data acquired by the Antitrust Authority (data controller) will be used solely for the performance of the activities entrusted to it by Article 37-bis of the Consumer Code. The provision of this data is strictly functional to the performance of such activities and the related processing will be carried out, also through IT tools, in the ways and within the limits necessary to pursue these purposes. The data provided will be known by personnel in charge of processing and may be used in accordance with the provisions of law and regulation on the Authority's procedures. The same data may be published in the Bulletin and on the Authority's institutional website (www.agcm.it) within the limits permitted by law and by the Regulation on investigative procedures regarding misleading and comparative advertising, unfair commercial practices, and unfair clauses.</w:t>
        <w:br/>
        <w:t>It is also noted that pursuant to the provisions of Articles 37-bis, paragraph 5, of the Consumer Code and 24, paragraph 5 of the aforementioned Regulation, the Authority may arrange for a consultation - also through its website www.agcm.it - on the clauses subject to inquiry, safeguarding the confidentiality of the party that requested the inquiry. If the requesting company identifies elements of confidentiality, it is required to provide a non-confidential version of the clauses subject to inquiry, sufficiently clear and complete, so as to allow public consultation.</w:t>
      </w:r>
    </w:p>
    <w:p>
      <w:r>
        <w:t>5. REQUESTING PARTY OF THE INQUIRY</w:t>
        <w:br/>
        <w:t>The company declares that the information provided and the data supplied in this form are correct, complete, and truthful.</w:t>
        <w:br/>
        <w:t>Name____________________________Surname_____________________________________</w:t>
        <w:br/>
        <w:t>Position___________________________</w:t>
        <w:br/>
        <w:t>Date___________________________</w:t>
        <w:br/>
        <w:t>Signature__________________________________________</w:t>
      </w:r>
    </w:p>
    <w:p>
      <w:r>
        <w:t>Antitrust Authority Weekly Bulletin</w:t>
        <w:br/>
        <w:t>of Competition and Market Year XXXIV- No. 44 - 2024</w:t>
        <w:br/>
        <w:t>Editorial Coordination Giulia Antenucci</w:t>
        <w:br/>
        <w:t>Editorial Staff Angela D’Auria, Valerio Ruocco, Manuela Villani</w:t>
        <w:br/>
        <w:t>Antitrust Authority</w:t>
        <w:br/>
        <w:t>Document Management, Protocol, and Statistical Services</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