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Italian</w:t>
      </w:r>
    </w:p>
    <w:p>
      <w:r>
        <w:t>Source URL       : https://www.agcm.it/dotcmsDOC/bollettini/45-17.pdf</w:t>
      </w:r>
    </w:p>
    <w:p>
      <w:r>
        <w:t>Pages translated : 63</w:t>
      </w:r>
    </w:p>
    <w:p/>
    <w:p>
      <w:r>
        <w:rPr>
          <w:b/>
        </w:rPr>
        <w:t>[Pages 1–3]</w:t>
      </w:r>
    </w:p>
    <w:p>
      <w:r>
        <w:t>Bulletin</w:t>
        <w:br/>
        <w:t>Weekly</w:t>
        <w:br/>
        <w:t>Year XXVII - No. 45</w:t>
        <w:br/>
        <w:t>Published on the website www.agcm.it</w:t>
        <w:br/>
        <w:t>November 27, 2017</w:t>
      </w:r>
    </w:p>
    <w:p>
      <w:r>
        <w:t>SUMMARY</w:t>
        <w:br/>
        <w:t>CONCENTRATION OPERATIONS 5</w:t>
        <w:br/>
        <w:t>C12112 - BNP PARIBAS CARDIF/CARGEAS ASSICURAZIONI</w:t>
        <w:br/>
        <w:t>Decision No. 26841 5</w:t>
        <w:br/>
        <w:t>C12113 - ITALCEMENTI/CEMENTIR ITALIA</w:t>
        <w:br/>
        <w:t>Decision No. 26842 9</w:t>
        <w:br/>
        <w:t>C12123 - LIBRERIE FELTRINELLI-EMMELIBRI-ARGO/JV</w:t>
        <w:br/>
        <w:t>Decision No. 26843 25</w:t>
        <w:br/>
        <w:t>REPORTING AND CONSULTATIVE ACTIVITIES 38</w:t>
        <w:br/>
        <w:t>AS1450 – CONSIP – CALL FOR TENDER FOR THE AWARD OF ELECTRONIC MAIL AND CERTIFIED MAIL SERVICES – FIRST EDITION 38</w:t>
        <w:br/>
        <w:t>AS1451 – LAW DECREE 50/2017 - SHORT-TERM RENTAL AND TOURIST OFFER 39</w:t>
        <w:br/>
        <w:t>AS1452 – MEASURES CONTAINED IN THE CONVERSION TEXT OF LAW DECREE 148/2017 (FISCAL DECREE) 42</w:t>
        <w:br/>
        <w:t>UNFAIR TRADE PRACTICES 49</w:t>
        <w:br/>
        <w:t>IP277 - TELECOM - AMENDMENTS TO CONTRACTUAL CLAUSES</w:t>
        <w:br/>
        <w:t>Decision No. 26844 49</w:t>
        <w:br/>
        <w:t>PS10731 - INARREDO - RIGHT OF WITHDRAWAL</w:t>
        <w:br/>
        <w:t>Decision No. 26846 54</w:t>
      </w:r>
    </w:p>
    <w:p>
      <w:r>
        <w:t>BULLETIN NO. 45 OF NOVEMBER 27, 2017 5</w:t>
        <w:br/>
        <w:t>CONCENTRATION OPERATIONS</w:t>
        <w:br/>
        <w:t>C12112 - BNP PARIBAS CARDIF/CARGEAS ASSICURAZIONI</w:t>
        <w:br/>
        <w:t>Decision No. 26841</w:t>
        <w:br/>
        <w:t>THE ANTITRUST AUTHORITY</w:t>
        <w:br/>
        <w:t>IN ITS MEETING of November 8, 2017;</w:t>
        <w:br/>
        <w:t>HEARD the Rapporteur Dr. Gabriella Muscolo;</w:t>
        <w:br/>
        <w:t>HAVING REGARD TO Law No. 287 of October 10, 1990;</w:t>
        <w:br/>
        <w:t>HAVING REGARD TO the Presidential Decree No. 217 of April 30, 1998;</w:t>
        <w:br/>
        <w:t>HAVING REGARD TO the communication from BNP Paribas Cardif S.A., received on September 21, 2017;</w:t>
        <w:br/>
        <w:t>HAVING REGARD TO the opinion of IVASS, received on October 24, 2017, following the request pursuant to Article 20, paragraph 4, of Law No. 287/90;</w:t>
        <w:br/>
        <w:t>CONSIDERING the following:</w:t>
        <w:br/>
        <w:t>I. THE PARTIES</w:t>
        <w:br/>
        <w:t>1. BNP Paribas Cardif Société Anonyme (hereinafter also BNPPC or Cardif) is part of the BNP Paribas group and is active in the creation, development, and distribution of insurance products in the life and non-life sectors. Currently, BNPPC holds joint control, with Ageas Insurance International N.V. (hereinafter also Ageas), over Cargeas Assicurazioni S.p.A. (hereinafter also Cargeas). The BNP Paribas group is active in Italy in the non-life sectors both through Cargeas and through other companies in the group.</w:t>
        <w:br/>
        <w:t>The turnover of the BNP Paribas Group, considered pursuant to Article 16, paragraphs 1 and 2 of Law No. 287/90, was approximately [200-300]* billion euros worldwide in 2016, of which approximately [100-200] billion euros were generated in Europe and [10-20] billion in Italy.</w:t>
        <w:br/>
        <w:t>2. Cargeas is exclusively active in Italy in the non-life insurance sector and does not hold control over any company, either under Italian or foreign law. Cargeas is subject to joint control by Ageas (50% +1 of the share capital) and BNPPC (50% - 1 of the share capital).</w:t>
        <w:br/>
        <w:t>The turnover generated, entirely in Italy, to be considered pursuant to Article 16, paragraph 2, of Law No. 287/90, was approximately [100-492] million euros in 2016.</w:t>
        <w:br/>
        <w:t>* In this version, some data are omitted, as it was deemed that there were elements of confidentiality or secrecy of the information.</w:t>
      </w:r>
    </w:p>
    <w:p>
      <w:r>
        <w:rPr>
          <w:b/>
        </w:rPr>
        <w:t>[Pages 4–6]</w:t>
      </w:r>
    </w:p>
    <w:p>
      <w:r>
        <w:t>6 BULLETIN NO. 45 OF NOVEMBER 27, 2017</w:t>
      </w:r>
    </w:p>
    <w:p>
      <w:r>
        <w:t>II. DESCRIPTION OF THE TRANSACTION</w:t>
      </w:r>
    </w:p>
    <w:p>
      <w:r>
        <w:t>3. The communicated transaction consists of the transition from joint control by BNPPC and Ageas to exclusive control by BNPPC over Cargeas through the acquisition of 31,550,001 shares, equal to 50%+1 of the share capital, held by Ageas.</w:t>
      </w:r>
    </w:p>
    <w:p>
      <w:r>
        <w:t>4. The agreement through which the transaction is realized also includes an obligation on the part of Ageas for a duration of 36 months, not to solicit job offers or collaboration from any individual who holds the role of consultant and/or broker for Cargeas.</w:t>
      </w:r>
    </w:p>
    <w:p>
      <w:r>
        <w:t>III. QUALIFICATION OF THE TRANSACTION</w:t>
      </w:r>
    </w:p>
    <w:p>
      <w:r>
        <w:t>5. The transaction in question, as it involves the acquisition of control over a company, constitutes a concentration pursuant to Article 5, paragraph 1, letter b), of Law No. 287/90. It falls within the scope of application of Law No. 287/90, as the conditions set out in Article 1 of EC Regulation No. 139/04 do not apply, and it is subject to the obligation of prior notification provided for by Article 16, paragraph 1, of the same law, as the total turnover achieved in the last financial year at the national level by the group of companies involved was over 492 million euros and the turnover achieved individually at the national level by at least two of the companies involved was over 30 million euros.</w:t>
      </w:r>
    </w:p>
    <w:p>
      <w:r>
        <w:t>6. The non-solicitation agreement is to be evaluated similarly to a non-competition clause and constitutes an ancillary restriction to the transaction as it is strictly functional to safeguarding the value of the acquired company. In particular, this obligation on the part of Ageas benefits the acquirer and responds to the need to ensure that BNPPC receives the actual value of the acquisition, provided that it has a limited duration, not exceeding a period of two years from the date of completion of this transaction.</w:t>
      </w:r>
    </w:p>
    <w:p>
      <w:r>
        <w:t>IV. THE OPINION OF IVASS</w:t>
      </w:r>
    </w:p>
    <w:p>
      <w:r>
        <w:t>7. In an opinion received on October 24, 2017, IVASS did not highlight any elements in the transaction that could alter the competitive structure in the insurance markets.</w:t>
      </w:r>
    </w:p>
    <w:p>
      <w:r>
        <w:t>V. EVALUATIONS</w:t>
      </w:r>
    </w:p>
    <w:p>
      <w:r>
        <w:t>8. The transaction primarily concerns various markets of non-life insurance. In particular, through this transaction, BNPPC, which already operates in Italy both through Cargeas - over which it holds joint control - and through other companies of the BNP Paribas Group, will acquire exclusive control of the latter.</w:t>
      </w:r>
    </w:p>
    <w:p>
      <w:r>
        <w:t>With reference to the non-life insurance markets, according to established guidelines of the Authority, each branch of the non-life insurance sector represents a distinct market. This distinction regarding individual insurance branches is based mainly on the subject matter of the service provided, the risks assumed, and the insurance coverage objective expressed by the demand for each individual branch.</w:t>
      </w:r>
    </w:p>
    <w:p>
      <w:r>
        <w:t>9. More specifically, the transaction concerns the markets for the production of non-life insurance products corresponding to each damage branch in which Cargeas operates, namely the branches of Accidents, Health, Land Vehicle Bodies, Fire and Natural Elements, Other Damage to Property, General Liability, Various Financial Losses, and Assistance. In all these markets, Cargeas holds shares of less than 1%, with the only exceptions being the Accident Branch and the Health Branch, in which Cargeas still holds shares significantly below 5%. Furthermore, in all the relevant markets, the aggregate value of the shares of the Parties, considering also the activity of the BNP Paribas Group carried out in Italy with companies other than Cargeas, is always below 5%.</w:t>
      </w:r>
    </w:p>
    <w:p>
      <w:r>
        <w:t>10. With reference to the distribution markets of the non-life branches at the provincial level, the following observations are made. Cargeas distributes insurance products in numerous provinces across the entire national territory and, in each provincial area, holds market shares that are always significantly below 5%, with the only exception of Bergamo, where a share is recorded that is still below 10%. The aggregate market share of the parties, considering also the activity of the BNP Paribas Group carried out in Italy with companies other than Cargeas, is always below 5%, with the only exception of Bergamo, where an aggregate share is recorded that is still below 10%.</w:t>
      </w:r>
    </w:p>
    <w:p>
      <w:r>
        <w:t>11. In conclusion, based on the considerations outlined above, it is not believed that the concentration in question is likely to significantly alter the competitive structure in any of the relevant markets involved.</w:t>
      </w:r>
    </w:p>
    <w:p>
      <w:r>
        <w:t>IT IS THEREFORE CONSIDERED that the transaction in question does not result, pursuant to Article 6, paragraph 1, of Law No. 287/90, in the establishment or strengthening of a dominant position in the relevant markets, such as to eliminate or substantially and durably reduce competition;</w:t>
      </w:r>
    </w:p>
    <w:p>
      <w:r>
        <w:t>IT IS ALSO CONSIDERED that the non-solicitation agreement is ancillary to the transaction within the limits described above and that the Authority reserves the right to evaluate, where the conditions exist, this contractual provision to the extent that it is realized beyond what is indicated therein;</w:t>
      </w:r>
    </w:p>
    <w:p>
      <w:r>
        <w:t>RESOLVES</w:t>
      </w:r>
    </w:p>
    <w:p>
      <w:r>
        <w:t>not to initiate the investigation referred to in Article 16, paragraph 4, of Law No. 287/90.</w:t>
      </w:r>
    </w:p>
    <w:p>
      <w:r>
        <w:t>The above conclusions will be communicated, pursuant to Article 16, paragraph 4, of Law No. 287/90, to the companies involved and to the Ministry of Economic Development.</w:t>
      </w:r>
    </w:p>
    <w:p>
      <w:r>
        <w:t>This provision will be published in the Bulletin of the Antitrust Authority.</w:t>
      </w:r>
    </w:p>
    <w:p>
      <w:r>
        <w:t>THE SECRETARY GENERAL THE PRESIDENT</w:t>
      </w:r>
    </w:p>
    <w:p>
      <w:r>
        <w:t>Roberto Chieppa Giovanni Pitruzzella</w:t>
      </w:r>
    </w:p>
    <w:p>
      <w:r>
        <w:rPr>
          <w:b/>
        </w:rPr>
        <w:t>[Pages 7–9]</w:t>
      </w:r>
    </w:p>
    <w:p>
      <w:r>
        <w:t>BULLETIN NO. 45 OF NOVEMBER 27, 2017</w:t>
      </w:r>
    </w:p>
    <w:p>
      <w:r>
        <w:t xml:space="preserve">C12113 - ITALCEMENTI/CEMENTIR ITALIA  </w:t>
        <w:br/>
        <w:t xml:space="preserve">Provision No. 26842  </w:t>
        <w:br/>
        <w:t>THE ANTITRUST AUTHORITY</w:t>
      </w:r>
    </w:p>
    <w:p>
      <w:r>
        <w:t xml:space="preserve">IN ITS MEETING of November 8, 2017;  </w:t>
        <w:br/>
        <w:t xml:space="preserve">HEARD the Rapporteur Dr. Gabriella Muscolo;  </w:t>
        <w:br/>
        <w:t xml:space="preserve">HAVING REGARD to Law No. 287 of October 10, 1990;  </w:t>
        <w:br/>
        <w:t xml:space="preserve">HAVING REGARD to Presidential Decree No. 217 of April 30, 1998;  </w:t>
        <w:br/>
        <w:t xml:space="preserve">HAVING REGARD to the communication from Italcementi S.p.A., received on September 21, 2017;  </w:t>
        <w:br/>
        <w:t xml:space="preserve">HAVING REGARD to its resolution of October 4, 2017, which initiated an investigation, pursuant to Article 16, paragraph 4, of Law No. 287/90, against Italcementi S.p.A.;  </w:t>
        <w:br/>
        <w:t xml:space="preserve">HAVING REGARD to the communication from Italcementi S.p.A. of October 26, 2017, in which the company presented corrective measures;  </w:t>
        <w:br/>
        <w:t xml:space="preserve">HAVING REGARD to the documentation on file;  </w:t>
        <w:br/>
        <w:t>CONSIDERED the following:</w:t>
      </w:r>
    </w:p>
    <w:p>
      <w:r>
        <w:t xml:space="preserve">I. THE PARTIES  </w:t>
        <w:br/>
        <w:t xml:space="preserve">1. Italcementi S.p.A. (hereinafter also Italcementi) is a company active, in Italy and abroad, in the production and sale of cement, concrete, and aggregates, directly or through controlled companies. In 2016, Italcementi achieved a worldwide turnover of approximately 558 million euros, of which approximately [100-492]1 million was generated in Italy2.  </w:t>
        <w:br/>
        <w:t xml:space="preserve">Since July 1, 2016, Italcementi has been part of the HeidelbergCement group (hereinafter HC), which is also active in the construction materials sector3.  </w:t>
        <w:br/>
        <w:t xml:space="preserve">In 2016, the HeidelbergCement group achieved a worldwide turnover of approximately 15 billion euros.  </w:t>
        <w:br/>
        <w:t xml:space="preserve">2. Cementir Italia S.p.A. (hereinafter also Cementir) is a company active in the production and sale of cement, concrete, and aggregates, also through its subsidiaries CementirSacci S.p.A. and Betontir S.p.A..  </w:t>
        <w:br/>
        <w:t>Cementir Italia S.p.A. is controlled by Cementir Holding S.p.A. (hereinafter also CH), a company active worldwide in the production and sale of cement, concrete, and inert materials as well as in the treatment and management of urban and industrial waste. Cementir Holding S.p.A., in turn, is controlled by Caltagirone S.p.A., a company at the head of the Caltagirone group, active in various other sectors, including construction and large works. In 2016, Cementir achieved a worldwide turnover of approximately 102 million euros, of which approximately [30-100] million was generated in Italy.</w:t>
      </w:r>
    </w:p>
    <w:p>
      <w:r>
        <w:t xml:space="preserve">II. DESCRIPTION OF THE OPERATION  </w:t>
        <w:br/>
        <w:t xml:space="preserve">3. The operation consists of the acquisition of exclusive control of Cementir by Italcementi, through the acquisition of the relevant shares from CH. In this way, Italcementi will acquire all the plants (and appurtenances) aimed at the production of cement and concrete, currently belonging to Cementir. In particular, through the operation, Italcementi will acquire control of five fully integrated cement production plants (located in Spoleto, Maddaloni, Testi-Greve in Chianti, Cagnano Amiterno, and Tavernola), two grinding centers, which are active in the final phase of the cement production chain (located in Arquata Scrivia and Taranto), a terminal for the handling of cement (located in Reggio Calabria), and numerous concrete plants (of which 16 have been operational in the last 3 financial years)4.  </w:t>
        <w:br/>
        <w:t>4. The operation is accompanied by a non-compete agreement whereby the seller CH commits, for a period of five years from the date of closing (as well as, with the exception of the same sold companies, during the period between the signing and the closing itself) not to engage in activities in competition with the buyer Italcementi in the Italian territory (coinciding with the operational scope of the sold companies). Furthermore, the Parties have established a non-solicitation obligation, whereby CH commits not to attempt to lure away, through targeted offers, the current employees of the companies subject to the sale until the date of closing and for the three years following that date (extended to five years for any type of hiring concerning certain company figures specifically identified by the Parties).</w:t>
      </w:r>
    </w:p>
    <w:p>
      <w:r>
        <w:t xml:space="preserve">III. QUALIFICATION OF THE OPERATION  </w:t>
        <w:br/>
        <w:t xml:space="preserve">5. The operation in question, as it involves the acquisition of exclusive control of a company, constitutes a concentration pursuant to Article 5, paragraph 1, letter b), of Law No. 287/90. It falls within the scope of application of Law No. 287/90, as the conditions set out in Article 1 of Regulation (EC) No. 139/04 do not apply, and is subject to the obligation of prior notification provided for by Article 16, paragraph 1, of the same law, as the total turnover achieved in the last financial year at the national level by the group of interested companies exceeded 492 million euros and the total turnover achieved individually in Italy in the last financial year by at least two of the interested companies exceeded 30 million euros.  </w:t>
        <w:br/>
        <w:t>6. The non-compete agreement that binds the selling company CH not to engage in activities in competition with the buyer and not to solicit the departure of current employees from the sold companies can be configured as an ancillary restriction to the operation limited to a period of three years5.</w:t>
      </w:r>
    </w:p>
    <w:p>
      <w:r>
        <w:t xml:space="preserve">IV. INITIATION OF THE INVESTIGATION AND CONDUCTED INVESTIGATION  </w:t>
        <w:br/>
        <w:t xml:space="preserve">7. On October 4, 2017, the Authority initiated, pursuant to Article 16, paragraph 4, of Law No. 287/90, the investigation against Italcementi. In particular, in the initiation provision, the Authority identified the possibility that the operation could lead to the establishment or strengthening of a dominant position of Italcementi in certain local geographic markets for cement (also due to the presence of the Parties in the downstream concrete market), as well as the risk that the operation could facilitate coordination among competing cement groups, especially in light of certain existing contractual relationships between the Parties and third operators.  </w:t>
        <w:br/>
        <w:t>8. During the Procedure, for which no participation requests were received from third parties, Italcementi was heard in a hearing on October 18, 2017. On that date, the representatives of the company expressed its willingness to adopt corrective measures in order to allay the competitive concerns contained in the aforementioned initiation provision, producing a draft letter of commitments, followed by a formal communication of similar content, sent on October 26, 2017.</w:t>
      </w:r>
    </w:p>
    <w:p>
      <w:r>
        <w:t xml:space="preserve">V. EVALUATION OF THE CONCENTRATION  </w:t>
        <w:br/>
        <w:t xml:space="preserve">9. The possible competitive issues identified by the Authority in the initiation provision concern the possibility that Italcementi may hold a dominant position in certain local competitive areas related to the production and marketing of cement, as well as the risk that the operation may facilitate coordination among independent cement groups. To these elements is added, finally, the circumstance that the merged entity will also be vertically integrated in the ready-mixed concrete sector.  </w:t>
        <w:br/>
        <w:t xml:space="preserve">The strengthening of Italcementi in the affected local competitive markets  </w:t>
        <w:br/>
        <w:t xml:space="preserve">The market for the production and marketing of cement  </w:t>
        <w:br/>
        <w:t xml:space="preserve">10. Cement is derived from the crushing of certain raw materials (limestone, marl, etc.) and from their homogenization and firing, from which the semi-finished product known as clinker6 is obtained. This semi-finished product, with the addition of appropriate additives, is then ground to obtain cement in its various types, differing in chemical composition and physical/mechanical characterization. While the production of the semi-finished clinker can only occur in so-called "integrated" plants, the grinding of the same and the production of cement can also take place in plants authorized to carry out only this final phase of the production cycle, defined as "grinding centers."  </w:t>
        <w:br/>
        <w:t xml:space="preserve">5 See European Commission, Communication from the Commission on restrictions directly related and necessary to concentrations (2005/C 56/03), paras. 20 and 26.  </w:t>
        <w:br/>
        <w:t>6 The production process transforms inert materials, stone, and clay with two fine grindings and one high-temperature firing. The cost of energy represents, in this context, over half of the total production cost. The thermal energy requirement is predominantly met through the use of coal. See the 2016 Annual Report Aitec, pp. 39 and 40.</w:t>
      </w:r>
    </w:p>
    <w:p>
      <w:r>
        <w:rPr>
          <w:b/>
        </w:rPr>
        <w:t>[Pages 10–12]</w:t>
      </w:r>
    </w:p>
    <w:p>
      <w:r>
        <w:t>BULLETIN NO. 45 OF NOVEMBER 27, 2017</w:t>
      </w:r>
    </w:p>
    <w:p>
      <w:r>
        <w:t>11. Despite the existence of different types of cement, it remains a substantially homogeneous product. The demand for cement is mainly constituted by concrete producers and the construction industry, in which cement is used as a hydraulic binder.</w:t>
      </w:r>
    </w:p>
    <w:p>
      <w:r>
        <w:t>12. Foreign trade in cement is limited and is, in any case, largely connected to the availability of terminals for the reception and storage of cement transported in bulk by sea to Italy.</w:t>
      </w:r>
    </w:p>
    <w:p>
      <w:r>
        <w:t>13. Due to the high weight-to-price ratio of cement, transportation costs have a significant impact compared to unit production costs. Because of this factor, which makes land transportation over long distances uneconomical, it is possible to identify the relevant geographic markets as the areas centered on each plant or terminal subject to acquisition and such as to include the plants, terminals, or storage sites of cement within a road travel radius of approximately 250 km (isodistances of 250 km). The definition of the boundary of the relevant geographic markets through isodistances, rather than the geodetic radius, allows for a more accurate consideration of the orography of the territory and to more precisely identify the area that can be economically served by the plant/terminal subject to acquisition, given the transportation costs.</w:t>
      </w:r>
    </w:p>
    <w:p>
      <w:r>
        <w:t>14. In this case, the relevant geographic markets, in which there is an overlap between the activities of the Parties, are identified based on road isodistances of approximately 250 km centered, respectively, on the production plants belonging to Cementir and CementirSacci still active in the last three years. In particular, the Parties provided an estimate of the market shares in the areas identified based on the described criterion and centered on the plants of the companies acquired that are still active, namely those in Tavernola (BG), Greve in Chianti (FI), Cagnano Amiterno (AQ), Spoleto (PG), Maddaloni (CE), Arquata Scrivia (AL), and Taranto (TA), as well as the terminal in Reggio Calabria (RC).</w:t>
      </w:r>
    </w:p>
    <w:p>
      <w:r>
        <w:t>15. Within these areas (the so-called catchment areas), the Parties provided an estimate of the market size, their actual sales, and those of competitors, thus arriving at an estimate of the market shares held by them in terms of volumes.</w:t>
      </w:r>
    </w:p>
    <w:p>
      <w:r>
        <w:t>7 In 2016, in Italy, 70.4% of production concerned Portland cement of mixed type and 12% Portland cement, with a prevalence of high and very high strength cements (classes 42.5 and 52.5). 80.3% of cement was sold in bulk (rather than in bags).</w:t>
      </w:r>
    </w:p>
    <w:p>
      <w:r>
        <w:t>8 See the Annual Report 2016 Aitec, p. 35 "For the cement sector, road transport represents a fundamentally important element, the cost of which reaches a significant percentage of the value of the delivered product (up to 25-30%)."</w:t>
      </w:r>
    </w:p>
    <w:p>
      <w:r>
        <w:t>9 See the community case COMP(M.7252) – Holcim/Lafarge C(2014) 9962final, of December 15, 2014, in which a broad market analysis highlighted how most cement sales (approximately 70%) are made to customers located within a geodetic radius of 150 km from the production plant/terminal. In the case examined, it was verified that, regarding the geographical areas around the plants and terminals subject to acquisition, a linear radius of 150 km corresponds to a road travel distance of approximately 220-250 km. See also C12016 - Buzzi Unicem/Branch of Sacci, December 16, 2015, in Boll. 48/2015.</w:t>
      </w:r>
    </w:p>
    <w:p>
      <w:r>
        <w:t>10 The Parties stated that they were unable to provide an estimate in value of the same market shares. In any case, since cement is a substantially homogeneous product, estimates of market positions based on volumes sold are sufficiently representative. The Parties did not produce an estimate of market shares in the areas around the Castelraimondo (MC) and Civitavecchia (RM) plants, inactive since 2015. Each of these plants, however, is included in several of the catchment areas centered on the active plants (Spoleto, Cagnano, and Greve in Chianti, in both cases). Finally, regarding the Livorno plant and the terminals in Ravenna, Vasto, and Manfredonia, they have been inactive for more than three years. These plants have long been without a market share and a related customer base and are therefore considered to have limited potential to generate revenue in the future. In any case, the terminal in Ravenna and the Livorno plant are included in the geographic market centered on the Greve in Chianti (FI) plant, and the terminal in Vasto is included in the geographic market centered on the Cagnano Amiterno (AQ) plant.</w:t>
      </w:r>
    </w:p>
    <w:p>
      <w:r>
        <w:t>BULLETIN NO. 45 OF NOVEMBER 27, 2017</w:t>
      </w:r>
    </w:p>
    <w:p>
      <w:r>
        <w:t>Effects of the operation in the local markets of cement production and marketing</w:t>
      </w:r>
    </w:p>
    <w:p>
      <w:r>
        <w:t>16. In the tables that follow (Tables 1-8), the market shares attributable to Italcementi, to Cementir (including its subsidiary CementirSacci), as well as the cumulative market share that Italcementi would hold following the concentration operation are reported for each of the identified catchment areas.</w:t>
      </w:r>
    </w:p>
    <w:p>
      <w:r>
        <w:t>Table 1 – c.a. Arquata - market shares 2014-2016</w:t>
        <w:br/>
        <w:t>2014 2015 2016</w:t>
        <w:br/>
        <w:t>Italcementi [20-25%] [20-25%] [25-30%]</w:t>
        <w:br/>
        <w:t>Cementir [10-15%] [10-15%] [10-15%]</w:t>
        <w:br/>
        <w:t>Italcementi + Cementir [35-40%] [35-40%] [35-40%]</w:t>
        <w:br/>
        <w:t>Main competitors (1) Buzzi ([20-25%])</w:t>
        <w:br/>
        <w:t>Main competitors (2) LafargeHolcim ([10-15%])</w:t>
        <w:br/>
        <w:t>Main competitors (3) Colacem ([5-10%])</w:t>
        <w:br/>
        <w:t>Main competitors (4) Rossi ([5-10%])</w:t>
        <w:br/>
        <w:t>Source: estimate of the Parties.</w:t>
      </w:r>
    </w:p>
    <w:p>
      <w:r>
        <w:t>Table 2 – c.a. Cagnano - market shares 2014-2016</w:t>
        <w:br/>
        <w:t>2014 2015 2016</w:t>
        <w:br/>
        <w:t>Italcementi [15-20%] [15-20%] [15-20%]</w:t>
        <w:br/>
        <w:t>Cementir [25-30%] [25-30%] [25-30%]</w:t>
        <w:br/>
        <w:t>Italcementi + Cementir [45-50%] [45-50%] [40-45%]</w:t>
        <w:br/>
        <w:t>Main competitors (1) Colacem ([15-20%])</w:t>
        <w:br/>
        <w:t>Main competitors (2) Buzzi ([15-20%])</w:t>
        <w:br/>
        <w:t>Main competitors (3) Barbetti ([5-10%])</w:t>
        <w:br/>
        <w:t>Main competitors (4) Others</w:t>
        <w:br/>
        <w:t>Source: estimate of the Parties.</w:t>
      </w:r>
    </w:p>
    <w:p>
      <w:r>
        <w:t>Table 3 – c.a. Maddaloni - market shares 2014-2016</w:t>
        <w:br/>
        <w:t>2014 2015 2016</w:t>
        <w:br/>
        <w:t>Italcementi [20-25%] [20-25%] [20-25%]</w:t>
        <w:br/>
        <w:t>Cementir [20-25%] [20-25%] [20-25%]</w:t>
        <w:br/>
        <w:t>Italcementi + Cementir [40-45%] [40-45%] [40-45%]</w:t>
        <w:br/>
        <w:t>Main competitors (1) Buzzi ([15-20%])</w:t>
        <w:br/>
        <w:t>Main competitors (2) Costantinopoli ([10-15%])</w:t>
        <w:br/>
        <w:t>Main competitors (3) Colacem ([10-15%])</w:t>
        <w:br/>
        <w:t>Main competitors (4) Moccia ([5-10%])</w:t>
        <w:br/>
        <w:t>Source: estimate of the Parties.</w:t>
      </w:r>
    </w:p>
    <w:p>
      <w:r>
        <w:t>Table 4 – c.a. Spoleto - market shares 2014-2016</w:t>
        <w:br/>
        <w:t>2014 2015 2016</w:t>
        <w:br/>
        <w:t>Italcementi [15-20%] [15-20%] [15-20%]</w:t>
        <w:br/>
        <w:t>Cementir [20-25%] [20-25%] [20-25%]</w:t>
        <w:br/>
        <w:t>Italcementi + Cementir [40-45%] [35-40%] [35-40%]</w:t>
        <w:br/>
        <w:t>Main competitors (1) Colacem ([20-25%])</w:t>
        <w:br/>
        <w:t>Main competitors (2) Buzzi ([20-25%])</w:t>
        <w:br/>
        <w:t>Main competitors (3) Barbetti ([10-15%])</w:t>
        <w:br/>
        <w:t>Main competitors (4) Others</w:t>
        <w:br/>
        <w:t>Source: estimate of the Parties.</w:t>
      </w:r>
    </w:p>
    <w:p>
      <w:r>
        <w:t>Table 5 – c.a. Taranto - market shares 2014-2016</w:t>
        <w:br/>
        <w:t>2014 2015 2016</w:t>
        <w:br/>
        <w:t>Italcementi [25-30%] [25-30%] [25-30%]</w:t>
        <w:br/>
        <w:t>Cementir [10-15%] [10-15%] [10-15%]</w:t>
        <w:br/>
        <w:t>Italcementi + Cementir [40-45%] [40-45%] [35-40%]</w:t>
        <w:br/>
        <w:t>Main competitors (1) Buzzi ([20-25%])</w:t>
        <w:br/>
        <w:t>Main competitors (2) Costantinopoli ([15-20%])</w:t>
        <w:br/>
        <w:t>Main competitors (3) Colacem ([10-15%])</w:t>
        <w:br/>
        <w:t>Main competitors (4) Others</w:t>
        <w:br/>
        <w:t>Source: estimate of the Parties.</w:t>
      </w:r>
    </w:p>
    <w:p>
      <w:r>
        <w:rPr>
          <w:b/>
        </w:rPr>
        <w:t>[Pages 13–15]</w:t>
      </w:r>
    </w:p>
    <w:p>
      <w:r>
        <w:t>BULLETIN NO. 45 OF NOVEMBER 27, 2017</w:t>
      </w:r>
    </w:p>
    <w:p>
      <w:r>
        <w:t>Table 6 – Tavernola - market shares 2014-2016</w:t>
        <w:br/>
        <w:t>2014 2015 2016</w:t>
        <w:br/>
        <w:t>Italcementi [20-25%] [20-25%] [20-25%]</w:t>
        <w:br/>
        <w:t>Cementir [10-15%] [10-15%] [10-15%]</w:t>
        <w:br/>
        <w:t>Italcementi + Cementir [30-35%] [30-35%] [30-35%]</w:t>
        <w:br/>
        <w:t>Main competitors (1) Buzzi ([10-15%])</w:t>
        <w:br/>
        <w:t>Main competitors (2) LafargeHolcim ([10-15%])</w:t>
        <w:br/>
        <w:t>Main competitors (3) Rossi ([10-15%])</w:t>
        <w:br/>
        <w:t>Main competitors (4) Zillo ([5-10%])</w:t>
        <w:br/>
        <w:t>* Zillo was recently acquired by Buzzi.</w:t>
        <w:br/>
        <w:t>Source: estimate by the Parties.</w:t>
      </w:r>
    </w:p>
    <w:p>
      <w:r>
        <w:t>Table 7 – Testi-Greve in Chianti - market shares 2014-2016</w:t>
        <w:br/>
        <w:t>2014 2015 2016</w:t>
        <w:br/>
        <w:t>Italcementi [15-20%] [15-20%] [15-20%]</w:t>
        <w:br/>
        <w:t>Cementir [10-15%] [10-15%] [10-15%]</w:t>
        <w:br/>
        <w:t>Italcementi + Cementir [25-30%] [25-30%] [30-35%]</w:t>
        <w:br/>
        <w:t>Main competitors (1) Buzzi ([20-25%])</w:t>
        <w:br/>
        <w:t>Main competitors (2) Colacem ([15-20%])</w:t>
        <w:br/>
        <w:t>Main competitors (3) Barbetti ([10-15%])</w:t>
        <w:br/>
        <w:t>Main competitors (4) Zillo* ([5-10%])</w:t>
        <w:br/>
        <w:t>* Zillo was recently acquired by Buzzi.</w:t>
        <w:br/>
        <w:t>Source: estimate by the Parties.</w:t>
      </w:r>
    </w:p>
    <w:p>
      <w:r>
        <w:t>Table 8 – Reggio Calabria - market shares 2014-2016</w:t>
        <w:br/>
        <w:t>2014 2015 2016</w:t>
        <w:br/>
        <w:t>Italcementi [40-45%] [40-45%] [35-40%]</w:t>
        <w:br/>
        <w:t>Cementir [5-10%] [5-10%] [5-10%]</w:t>
        <w:br/>
        <w:t>Italcementi + Cementir [45-50%] [45-50%] [45-50%]</w:t>
        <w:br/>
        <w:t>Main competitors (1) Buzzi ([15-20%])</w:t>
        <w:br/>
        <w:t>Main competitors (2) Calme ([15-20%])</w:t>
        <w:br/>
        <w:t>Main competitors (3) Costantinopoli ([5-10%])</w:t>
        <w:br/>
        <w:t>Main competitors (4) Colacem ([5-10%])</w:t>
        <w:br/>
        <w:t>Source: estimate by the Parties.</w:t>
      </w:r>
    </w:p>
    <w:p>
      <w:r>
        <w:t>17. As emerges from tables 1-8, and as already noted in the initiation provision, in all the relevant local markets considered, the operation would allow Italcementi to become or consolidate itself as the leading operator in the area, although the most significant effects would occur in the catchment areas of Cagnano, Maddaloni, and Reggio Calabria, in which the post-merger entity would hold a joint market share exceeding 40%.</w:t>
      </w:r>
    </w:p>
    <w:p>
      <w:r>
        <w:t>18. In particular, it can be considered that in five of the eight catchment areas identified as local competitive domains where the concentration leads to horizontal overlaps, namely in those of Arquata, Tavernola, Testi-Greve in Chianti, Spoleto, and Taranto, the share that the Parties would acquire, even when compared to the share held individually by the main competitors, is not such as to indicate the establishment or strengthening of a dominant position for Italcementi. In these areas, in fact, Italcementi would hold a market share that was, in 2016, in any case below 40%. In light of these values, which are not extremely high in themselves, there are competitors in four of these areas (Arquata, Spoleto, Taranto, and Testi-Greve in Chianti) that individually hold a market share greater than 20% and, therefore, also possess a significant position of strength in the local market, which allows for the exclusion of the risk of the establishment of a dominant position for Italcementi. As for the catchment area of Tavernola, although there are no competitors exceeding 20%, Italcementi's market share following the operation would still be relatively contained, being below 35% (given the presence of three competitors each holding a market share between 10% and 15%).</w:t>
      </w:r>
    </w:p>
    <w:p>
      <w:r>
        <w:t>19. In the remaining local areas, namely those of Reggio Calabria, Cagnano Amiterno, and Maddaloni, the analysis of market shares shows that Italcementi would hold, following the operation, a position likely to lead to a dominant position. In fact, in this case, the company would acquire market shares well above 40% and sometimes close to 50%, against competitors characterized by a degree of fragmentation that appears not lower – and indeed slightly higher – than that of the other mentioned catchment areas. This characteristic suggests the need to develop further considerations regarding the aforementioned local areas.</w:t>
      </w:r>
    </w:p>
    <w:p>
      <w:r>
        <w:t>20. As already noted at the start of the investigation, where the estimate of the market share within the aforementioned catchment areas does not allow for the exclusion of the possibility that the operation could indeed lead to the establishment or strengthening of a dominant position, such verification must be supplemented with considerations of another nature.</w:t>
      </w:r>
    </w:p>
    <w:p>
      <w:r>
        <w:t>21. In this sense, an assessment of the possible effects of the concentration – and the possibility that the resulting company increases its market power – requires questioning the degree of competition mutually exercised by the merging parties. Since cement is a substantially homogeneous product, the main element of differentiation between the plants is represented by their location and the consequent logistical advantage they hold in supplying a specific customer base. In other words, the degree of substitutability between different suppliers for customers largely depends on the distance between the customers themselves and the plants (or in any case the terminals or sales points) of the various cement companies. Therefore, it is reasonable to expect that, among the different plants that make sales within a given catchment area, plants that are very close to each other will experience the highest degree of overlap of their respective customer bases, thus representing a very important competitive constraint, unlike plants that make their sales in different areas of the catchment area.</w:t>
      </w:r>
    </w:p>
    <w:p>
      <w:r>
        <w:t>22. In this specific case, with reference to the three local areas (Cagnano, Maddaloni, and Reggio Calabria) for which the estimate of the market positions of the companies does not allow for the exclusion of the possibility that the concentration in question determines the establishment or strengthening of a dominant position, it is observed that the operation leads to a single decision-making center of plants that are quite close to each other which, therefore, likely share a good part of the clientele and represent an important competitive constraint on each other.</w:t>
      </w:r>
    </w:p>
    <w:p>
      <w:r>
        <w:t>23. In particular, an analysis of the distances between plants seems to indicate a significant overlap between plants – and therefore reasonably a wide coincidence of their respective customer bases – especially with reference to the areas of Maddaloni and Reggio Calabria.</w:t>
      </w:r>
    </w:p>
    <w:p>
      <w:r>
        <w:t>24. In fact, regarding the area of Maddaloni, Italcementi has two plants located only 90 km away from Cementir's Maddaloni plant (where the latter is 63 km from Colacem's plant, but 180 km from Costantinopoli's plant and almost 200 km from the nearest Buzzi plant). Regarding substitutability in the area of Reggio Calabria, the Cementir terminal located in the center of the area is only 50 km away from the Gioia Tauro terminal (belonging to HC, the parent company of Italcementi), representing the closest among the plants belonging to the main operators in the area.</w:t>
      </w:r>
    </w:p>
    <w:p>
      <w:r>
        <w:t>25. In conclusion, the analysis of the market shares held jointly by the Parties, supplemented by an analysis of the distances between the plants – which likely reflects even more precisely the level of overlap of their customer bases and therefore the substitutability between them – is compatible with the possibility that the buyer may hold, following the operation, a dominant position in some of these markets (particularly those of Reggio Calabria, Maddaloni, and Cagnano).</w:t>
      </w:r>
    </w:p>
    <w:p>
      <w:r>
        <w:t>The risk of coordination with other cement companies</w:t>
      </w:r>
    </w:p>
    <w:p>
      <w:r>
        <w:t>26. As already highlighted in the initiation provision, the proposed operation raises certain concerns related to the possibility that it may facilitate coordination among the cement companies operating in the Italian market.</w:t>
      </w:r>
    </w:p>
    <w:p>
      <w:r>
        <w:t>27. Firstly, it is observed that the sector of cement production and marketing is characterized by elements – sometimes intrinsic – that are favorable to coordination among operators. Among these elements are the homogeneity of the product and the presence of significant barriers to entry (due, for example, to the need to make substantial investments to start operating in the sector). In this context, the elimination of an independent operator – present, moreover, in many of the local competitive domains that make up the national territory – and thus the reduction in the number of operators, represents a market change that is suitable, in abstract terms, to further favor such coordination.</w:t>
      </w:r>
    </w:p>
    <w:p>
      <w:r>
        <w:t>28. Moreover, in this specific case, as already noted in the initiation provision, Cementir has existing supply contracts for clinker with leading competing operators in which the company assumes, in specific locations, the role of buyer or, conversely, supplier of such product. In this way, Cementir sometimes finds itself being both a supplier and a buyer of clinker with respect to the same entity, in different locations.</w:t>
      </w:r>
    </w:p>
    <w:p>
      <w:r>
        <w:rPr>
          <w:b/>
        </w:rPr>
        <w:t>[Pages 16–18]</w:t>
      </w:r>
    </w:p>
    <w:p>
      <w:r>
        <w:t>18 BULLETIN NO. 45 OF NOVEMBER 27, 2017</w:t>
      </w:r>
    </w:p>
    <w:p>
      <w:r>
        <w:t>29. [Omitted].</w:t>
        <w:br/>
        <w:t>30. [Omitted].</w:t>
        <w:br/>
        <w:t>31. [Omitted]. The presence of such relationships, [omitted], certainly constitutes an element that tends to reduce the intensity of competitive confrontation among the interested groups.</w:t>
      </w:r>
    </w:p>
    <w:p>
      <w:r>
        <w:t>The effects in the market for the production and marketing of ready-mixed concrete and possible vertical effects</w:t>
      </w:r>
    </w:p>
    <w:p>
      <w:r>
        <w:t>32. Concrete is a semi-finished product obtained from the mixing of cement, aggregates such as gravel and sand, water, and any additives. Cement is in any case the main input for the production of concrete and is not substitutable with other materials.</w:t>
      </w:r>
    </w:p>
    <w:p>
      <w:r>
        <w:t>33. Geographically, the concrete market has a local dimension due to the limited transportability of the product and its easy perishability, to the point that marketing beyond a certain distance becomes uneconomical. In particular, a limited radius area (approximately thirty kilometers) centered on the location of the concrete production plant is generally considered, although the overlap between the catchment areas of individual production plants is conceivable, with a homogenizing effect on competitive conditions in a broader geographical area.</w:t>
      </w:r>
    </w:p>
    <w:p>
      <w:r>
        <w:t>34. With reference to the operation in question, the Parties have identified four areas or sets of areas with a linear radius of thirty km, in which there is an overlap between their activities:</w:t>
        <w:br/>
        <w:t>catchment area Alba Adriatica – Ascoli Piceno – Notaresco (“Northern Abruzzo”);</w:t>
        <w:br/>
        <w:t>catchment area Colle Corvino – San Giovanni Teatino – Torrevecchia Teatina (“Southern Abruzzo”);</w:t>
        <w:br/>
        <w:t>catchment area Province of Rome;</w:t>
        <w:br/>
        <w:t>catchment area Tarquinia plant.</w:t>
      </w:r>
    </w:p>
    <w:p>
      <w:r>
        <w:t>35. In these catchment areas, as already highlighted in the initiation provision, the operation does not seem to raise horizontal overlaps in the ready-mixed concrete market that could in themselves highlight competitive criticalities in this market. In fact, the merged entity would hold, following the operation, a share of less than 15% in three of the four identified catchment areas (namely Northern Abruzzo, Southern Abruzzo, and the Province of Rome), while in the fourth (Tarquinia) the market share is between 30% and 35% for 2015, but is less than 20% for the year 2016. In light of this, moreover, there are qualified competing operators in these areas holding market shares of similar or often greater magnitude. Therefore, in none of these areas can the presence of the Parties be framed as a dominant position.</w:t>
      </w:r>
    </w:p>
    <w:p>
      <w:r>
        <w:t>36. This also implies that, for the same reasons, it does not seem plausible that the horizontal overlaps caused by the operation in the concrete sector could lead to adverse competitive effects in the upstream cement production sector (in particular a foreclosure to the detriment of competing cement groups active in these locations), for which concrete constitutes the main commercial outlet. Additionally, it should be noted that the Cementir group, in the last year, for its concrete production, has exclusively used cement from the same group. Therefore, even before the operation, it did not rely on third-party cement suppliers (who could be the subjects excluded from a hypothetical foreclosure of the downstream market).</w:t>
      </w:r>
    </w:p>
    <w:p>
      <w:r>
        <w:t>37. As for the possibility that the operation could lead, at least in some local markets, to foreclosure effects on competing operators active in the downstream concrete market, for which cement constitutes an essential input, it should be considered that the likelihood of incentives in this regard for the merging parties depends crucially on the level of market power held in the upstream market and the circumstance that no dominant positions are established therein.</w:t>
      </w:r>
    </w:p>
    <w:p>
      <w:r>
        <w:t>38. It is also noted that the locations where the Parties increase their market share in the concrete sector, located in central Italy, appear to be substantially devoid of vertical connections with five of the eight catchment areas in which the operation strengthens the Parties in the cement sector (namely those of Arquata Scrivia, Tavernola, Greve in Chianti, Taranto, and Reggio Calabria), due to the limited geographical extent of the cement market.</w:t>
      </w:r>
    </w:p>
    <w:p>
      <w:r>
        <w:t>39. In light of the above, it can be concluded that the vertical implications of the operation do not require further in-depth analysis since, given the level of market shares in the concrete sector, the geographical distribution of the areas in which the operation strengthens the Parties in the concrete sector, and the actual existing supply relationships, they can be overcome without establishing dominant positions in the cement market.</w:t>
      </w:r>
    </w:p>
    <w:p>
      <w:r>
        <w:t>VI. THE MEASURES PROPOSED DURING THE PROCEEDING</w:t>
      </w:r>
    </w:p>
    <w:p>
      <w:r>
        <w:t>40. As already noted, Italcementi on October 18, 2017, while not sharing the competitive concerns expressed by the Authority in the initiation provision, expressed the willingness to adopt corrective measures in order to fundamentally dispel the aforementioned concerns, producing a draft commitment letter, followed by a formal communication of similar content on October 26, 2017. The aforementioned commitments consist of both structural measures and behavioral measures.</w:t>
      </w:r>
    </w:p>
    <w:p>
      <w:r>
        <w:t>The structural measures</w:t>
      </w:r>
    </w:p>
    <w:p>
      <w:r>
        <w:t>41. With reference to the structural measures, the company commits to sell, in a single solution or in several tranches, one of the following alternative combinations of assets:</w:t>
        <w:br/>
        <w:t>a) the production plant in Cagnano Amiterno (L’Aquila) and the terminal in Reggio Calabria;</w:t>
        <w:br/>
        <w:t>b) the production plant in Maddaloni (Caserta) and the terminal in Reggio Calabria;</w:t>
        <w:br/>
        <w:t>c) the production plant in Spoleto, the terminal in Reggio Calabria, and the production plant in Salerno.</w:t>
      </w:r>
    </w:p>
    <w:p>
      <w:r>
        <w:t>42. The business branches sold include all material and immaterial activities, contracts, and relevant personnel, which are necessary to ensure the industrial efficiency and competitiveness of the same. Italcementi will identify the combination of assets to be sold to one or more third-party buyers and the identity of the latter within a period of [omitted] from the date of closing of this operation. Following this selection, the identity of the buyer or buyers (who must possess the authorizations, resources, and skills to effectively operate the business branches in question), as well as the draft agreement that Italcementi intends to enter into with them, will be submitted for the Authority's approval.</w:t>
      </w:r>
    </w:p>
    <w:p>
      <w:r>
        <w:t>43. From the moment it receives the Authority's approval on the identity of the potential buyer, Italcementi must conclude a binding agreement with the same within a further period of [omitted]. Furthermore, as soon as it receives the aforementioned approval from the Authority, the company [omitted]. At the same time, Italcementi reserves the possibility of subjecting the conclusion of the binding agreement to the condition of obtaining the necessary consent for the transfer of the concessions from the competent authorities, which may therefore be granted even after the expiration of the second period without this constituting a violation of the obligations undertaken by the company.</w:t>
      </w:r>
    </w:p>
    <w:p>
      <w:r>
        <w:t>44. If the second period mentioned above expires without success, [omitted] Italcementi will appoint, subject to the Authority's authorization, a trustee responsible for the sale of the business branches, who will be tasked with identifying buyers to conclude the sale of the same business branches within [omitted], without indicating a minimum price (it being understood that the price cannot be negative). Italcementi also commits to [omitted].</w:t>
      </w:r>
    </w:p>
    <w:p>
      <w:r>
        <w:t>The behavioral commitments</w:t>
      </w:r>
    </w:p>
    <w:p>
      <w:r>
        <w:t>45. In addition to the divestiture plan discussed above, Italcementi has committed, in essence, to terminate the ongoing contracts [omitted], concerning cross-supply relationships of the semi-finished product clinker.</w:t>
      </w:r>
    </w:p>
    <w:p>
      <w:r>
        <w:t>46. In particular, the currently effective relationships are:</w:t>
        <w:br/>
        <w:t>[omitted].</w:t>
      </w:r>
    </w:p>
    <w:p>
      <w:r>
        <w:t>47. With reference to these agreements, Italcementi [omitted].</w:t>
      </w:r>
    </w:p>
    <w:p>
      <w:r>
        <w:t>48. Furthermore, Italcementi commits for a period of three years following the date of closing not to negotiate new clinker supply agreements with [omitted] having the same subject matter as the aforementioned agreements, [omitted].</w:t>
      </w:r>
    </w:p>
    <w:p>
      <w:r>
        <w:t>VII. EVALUATION OF THE PROPOSED MEASURES AND IDENTIFICATION OF THE MEASURES TO CONDITION THE AUTHORIZATION OF THE OPERATION</w:t>
      </w:r>
    </w:p>
    <w:p>
      <w:r>
        <w:t>49. Within the limits and under the conditions expressed below, coinciding largely with what is provided by Italcementi, it is believed that the proposed corrective measures are overall suitable to avoid the anticompetitive effects that the operation could have caused in the affected markets.</w:t>
      </w:r>
    </w:p>
    <w:p>
      <w:r>
        <w:t>50. With reference to the structural measures, in fact, it is observed that once implemented, they will be suitable to fundamentally remove the concern regarding the possibility that Italcementi...</w:t>
      </w:r>
    </w:p>
    <w:p>
      <w:r>
        <w:rPr>
          <w:b/>
        </w:rPr>
        <w:t>[Pages 19–21]</w:t>
      </w:r>
    </w:p>
    <w:p>
      <w:r>
        <w:t>BULLETIN NO. 45 OF NOVEMBER 27, 2017</w:t>
      </w:r>
    </w:p>
    <w:p>
      <w:r>
        <w:t>21. It will hold a dominant position in the local markets of Reggio Calabria, Maddaloni, and Cagnano Amiterno. In fact, for any of the asset combinations indicated by Italcementi, following the divestiture, the company will reduce its post-concentration market share below 40% in all three cited catchment areas, namely those of Cagnano, Maddaloni, and Reggio Calabria.</w:t>
      </w:r>
    </w:p>
    <w:p>
      <w:r>
        <w:t>51. With reference to these areas, in fact, based on the estimate provided by the Parties, the market shares following the divestitures will in any case not exceed [35-40%] and [35-40%], respectively for the catchment areas of Cagnano Amiterno and Maddaloni. Furthermore, the divestiture of the terminal in Reggio Calabria, present in all three combinations proposed by Italcementi, will eliminate any overlap effects in the respective catchment area regardless.</w:t>
      </w:r>
    </w:p>
    <w:p>
      <w:r>
        <w:t>52. The same divestitures will also have the additional side effect of slightly reducing Italcementi's market share in other local areas not far from those mentioned: in particular, the divestitures may lead (based on the chosen combination) to a reduction of Italcementi's market position in the catchment areas of Taranto, Spoleto, and Testi-Greve in Chianti.</w:t>
      </w:r>
    </w:p>
    <w:p>
      <w:r>
        <w:t>53. Finally, the elimination of the risk that Italcementi will hold, through the concentration under examination, a dominant position in certain local cement markets is also suitable to eliminate potential competitive issues arising from possible vertical effects of the operation, associated with the circumstance that both Parties are present in the downstream market for ready-mixed concrete.</w:t>
      </w:r>
    </w:p>
    <w:p>
      <w:r>
        <w:t>54. With reference to the behavioral measures, it is noted that once implemented, they will be suitable to dispel the main concerns raised in the initiation decision regarding the possibility that the operation under examination may facilitate coordination among independent cement groups, as they will lead to the cessation of existing cross-supply relationships of clinker between the merged entity and [omissis].</w:t>
      </w:r>
    </w:p>
    <w:p>
      <w:r>
        <w:t>CONSIDERING, therefore, that the operation under examination is likely to result, pursuant to Article 6 of Law No. 287/90, in the creation or strengthening of a dominant position in the markets for the production and marketing of cement such as to eliminate or substantially and durably reduce competition in the same markets;</w:t>
      </w:r>
    </w:p>
    <w:p>
      <w:r>
        <w:t>CONSIDERING it necessary to prescribe to Italcementi S.p.A., pursuant to Article 6, paragraph 2, of Law No. 287/90, measures aimed at preventing such consequences, eliminating the distorting effects caused by the concentration under examination;</w:t>
      </w:r>
    </w:p>
    <w:p>
      <w:r>
        <w:t>CONSIDERING, furthermore, that the non-competition agreement and the non-solicitation agreement are ancillary to the operation within the limits described above and that the Authority reserves the right to evaluate, where the prerequisites exist, such contractual provisions to the extent that they are realized beyond what is indicated therein;</w:t>
      </w:r>
    </w:p>
    <w:p>
      <w:r>
        <w:t>RESOLVES</w:t>
      </w:r>
    </w:p>
    <w:p>
      <w:r>
        <w:t>to authorize the communicated concentration operation, prescribing, pursuant to Article 6, paragraph 2, of Law No. 287/90, to Italcementi S.p.A. full compliance with the following conditions:</w:t>
      </w:r>
    </w:p>
    <w:p>
      <w:r>
        <w:t>22. The divestiture in a single solution or in several tranches, of one of the following alternative combinations of assets:</w:t>
        <w:br/>
        <w:t>I) the production plant in Cagnano Amiterno (L'Aquila) and the terminal in Reggio Calabria, currently owned by Cementir;</w:t>
        <w:br/>
        <w:t>II) the production plant in Maddaloni (Caserta) and the terminal in Reggio Calabria, currently owned by Cementir;</w:t>
        <w:br/>
        <w:t>III) the production plant in Spoleto, the terminal in Reggio Calabria (both currently owned by Cementir) and the production plant in Salerno (owned by Italcementi).</w:t>
      </w:r>
    </w:p>
    <w:p>
      <w:r>
        <w:t>With respect to these divestitures, the following is specified:</w:t>
        <w:br/>
        <w:t>a. The business branches to be divested must include all activities and personnel that contribute to the current operation or are necessary to ensure the industrial efficiency and competitiveness of the assets in question, in particular: all tangible assets; all intangible assets (including intellectual property rights, but excluding the trade names Cementir and CementirSacci); all licenses, permits, and authorizations issued by any governmental or local organization for the benefit of the Business Branches; all contracts, leases, commitments, and customer orders of the Business Branches as well as other activities related to or necessary for the operation of the Business Branches; and the personnel;</w:t>
      </w:r>
    </w:p>
    <w:p>
      <w:r>
        <w:t>b. From the date of closing of the transaction with Cementir (hereinafter also referred to as closing) until the completion of the divestitures, Italcementi must preserve the economic profitability, marketability, and competitiveness of the aforementioned business branches, in accordance with good commercial practices and minimize the risk of loss of competitive potential; in particular, Italcementi must i) not undertake actions that could have a significant negative impact on the value, management, or competitiveness of the Business Branches or that could alter the nature and scope of activities, industrial or commercial strategy, or investment policy of the business branches; ii) provide sufficient resources for the development of the business branches, based on existing business plans; iii) undertake all reasonable measures, including appropriate incentive schemes (based on industrial practice), to encourage all key employees to remain with the business branches and not to transfer any personnel to Italcementi's remaining activities;</w:t>
      </w:r>
    </w:p>
    <w:p>
      <w:r>
        <w:t>c. Italcementi must identify one or more buyers based on a private negotiation or a bidding procedure that must conclude with the receipt of an offer for the purchase of the aforementioned business branches by [omissis] from the closing and lead to a binding agreement with the buyer by [omissis] (hereinafter, "second period") from the Authority's approval on the identity of the potential buyer. Italcementi must allow the potential buyer or potential buyers to assess the value of the business branches and give them the opportunity to visit them and access the documentation in a dedicated data room before submitting the binding offer;</w:t>
      </w:r>
    </w:p>
    <w:p>
      <w:r>
        <w:t>d. Upon receiving the Authority's approval on the identity of the potential buyer, and pending the conclusion with the buyer of a binding agreement for the sale of the business branches, Italcementi must [omissis];</w:t>
      </w:r>
    </w:p>
    <w:p>
      <w:r>
        <w:t>e. If the second period mentioned above expires without success, Italcementi must appoint, with the Authority's prior authorization, a trustee tasked with the divestiture of the Business Branches that the company will have previously identified, and will confer upon them at its own expense an irrevocable and exclusive mandate, also subject to prior sharing with the Authority, to identify one or more buyers and conclude a binding agreement with them, without indicating a minimum price, albeit not negative, within [omissis] from the date of appointment;</w:t>
      </w:r>
    </w:p>
    <w:p>
      <w:r>
        <w:t>f. [omissis].</w:t>
      </w:r>
    </w:p>
    <w:p>
      <w:r>
        <w:t>g. Italcementi will ensure that the buyer or buyers of the business branches meet the following criteria: i) have no structural ties with Italcementi and its subsidiaries (an assessment that will take into account the situation following the divestiture); ii) be actual or potential competitors of the Parties, in the sense that they possess the necessary authorizations, financial resources, and proven expertise to operate effectively the business branches as competitors of the Parties and other competitors; iii) the purchase will not be likely to create prima facie competitive concerns and, where the divestiture is subject to a separate obligation of prior notification, the buyers must reasonably expect to receive the necessary approvals from the Authority (to which the divestitures will in any case be subject); iv) the identity of the potential buyer or buyers will in any case be subject to the Authority's approval, as well as the text of the agreement with them prior to the final stipulation, in order to verify the existence of the aforementioned criteria, the compliance of the divestitures with these conditions as well as the achievement of the objective of persistently altering the market structure in the catchment areas of Reggio Calabria, Maddaloni, and Cagnano Amiterno;</w:t>
      </w:r>
    </w:p>
    <w:p>
      <w:r>
        <w:t>2. Italcementi [omissis], the following contracts:</w:t>
        <w:br/>
        <w:t>[omissis].</w:t>
      </w:r>
    </w:p>
    <w:p>
      <w:r>
        <w:t>Furthermore, Italcementi must not negotiate new clinker supply contracts with [omissis] having the same subject matter as the previously mentioned contracts [omissis], neither on an exclusive nor on a non-exclusive basis, for a period of three years following the closing date [omissis];</w:t>
      </w:r>
    </w:p>
    <w:p>
      <w:r>
        <w:t>3. Italcementi, for a period of ten years after the divestitures referred to in point 1, must not acquire, directly or indirectly, the ability to exert influence over the business branches or part of them, except with the express authorization of the Authority, in response to a reasoned request from the company;</w:t>
      </w:r>
    </w:p>
    <w:p>
      <w:r>
        <w:t>4. These measures will come into effect from the date of adoption of the authorization decision for the concentration and will remain in effect until the Authority adopts a decision to revoke or expressly modify them, upon the occurrence of a change in the competitive scenario;</w:t>
      </w:r>
    </w:p>
    <w:p>
      <w:r>
        <w:t>5. Italcementi must submit to the Authority, within two months from the closing date, an initial report on the implementation of these measures; the company must also keep the Authority adequately informed in order to allow it to monitor compliance with the measures listed in this decision by subsequently sending appropriate illustrative reports of the activities carried out regarding the structural divestitures as well as the behavioral measures, at least on each of the deadlines provided for in points 1c), 1d), 1e), and 1f). Finally, the company must inform the Authority of the completion of the divestitures referred to in point 1, as well as the termination of the contracts referred to in point 2;</w:t>
      </w:r>
    </w:p>
    <w:p>
      <w:r>
        <w:rPr>
          <w:b/>
        </w:rPr>
        <w:t>[Pages 22–24]</w:t>
      </w:r>
    </w:p>
    <w:p>
      <w:r>
        <w:t>24 BULLETIN NO. 45 OF NOVEMBER 27, 2017</w:t>
      </w:r>
    </w:p>
    <w:p>
      <w:r>
        <w:t>6. Italcementi must, finally, [omissis]. This provision will be notified to the interested parties and published in the Bulletin of the Antitrust Authority.</w:t>
      </w:r>
    </w:p>
    <w:p>
      <w:r>
        <w:t>Against this provision, an appeal may be filed with the TAR of Lazio, pursuant to Article 135, paragraph 1, letter b), of the Code of Administrative Procedure (Legislative Decree of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of November 24, 1971, no. 1199, within one hundred and twenty days from the date of notification of the provision itself.</w:t>
      </w:r>
    </w:p>
    <w:p>
      <w:r>
        <w:t>THE SECRETARY GENERAL THE PRESIDENT</w:t>
        <w:br/>
        <w:t>Roberto Chieppa Giovanni Pitruzzella</w:t>
      </w:r>
    </w:p>
    <w:p>
      <w:r>
        <w:t>BULLETIN NO. 45 OF NOVEMBER 27, 2017</w:t>
      </w:r>
    </w:p>
    <w:p>
      <w:r>
        <w:t>C12123 - LIBRERIE FELTRINELLI-EMMELIBRI-ARGO/JV</w:t>
        <w:br/>
        <w:t>Provision no. 26843</w:t>
        <w:br/>
        <w:t>THE ANTITRUST AUTHORITY</w:t>
      </w:r>
    </w:p>
    <w:p>
      <w:r>
        <w:t>IN ITS MEETING of November 8, 2017;</w:t>
      </w:r>
    </w:p>
    <w:p>
      <w:r>
        <w:t>HEARD the Rapporteur Dr. Gabriella Muscolo;</w:t>
      </w:r>
    </w:p>
    <w:p>
      <w:r>
        <w:t>HAVING REGARD TO Law No. 287 of October 10, 1990;</w:t>
      </w:r>
    </w:p>
    <w:p>
      <w:r>
        <w:t>HAVING REGARD TO the D.P.R. No. 217 of April 30, 1998;</w:t>
      </w:r>
    </w:p>
    <w:p>
      <w:r>
        <w:t>HAVING REGARD TO the communication from the companies Librerie Feltrinelli S.r.l., Emmelibri S.r.l. and Argo S.r.l., received on October 12, 2017 and supplemented on October 27 and November 6, 2017;</w:t>
      </w:r>
    </w:p>
    <w:p>
      <w:r>
        <w:t>HAVING REGARD TO the documentation on file;</w:t>
      </w:r>
    </w:p>
    <w:p>
      <w:r>
        <w:t>CONSIDERED the following:</w:t>
      </w:r>
    </w:p>
    <w:p>
      <w:r>
        <w:t>I. THE PARTIES</w:t>
      </w:r>
    </w:p>
    <w:p>
      <w:r>
        <w:t>1. Librerie Feltrinelli S.r.l. (hereinafter, Librerie Feltrinelli) is the operational sub-holding of the Feltrinelli Group (hereinafter, also just Feltrinelli) that controls the retail sale activities, both in physical bookstores and online, of editorial products (mainly books, but also music, home video, e-books, and video games as well as stationery and office supplies). Librerie Feltrinelli holds 100% of the company LaFeltrinelli.com S.r.l. (hereinafter, LaFeltrinelli.com) which operates in the online sale of books and other editorial products through the website lafeltrinelli.it.</w:t>
      </w:r>
    </w:p>
    <w:p>
      <w:r>
        <w:t>2. Librerie Feltrinelli is 100% owned by EFFE 2005 Gruppo Feltrinelli S.p.A. (hereinafter, Effe 2005), which is itself 100% owned by Andegari S.r.l., controlled by the Feltrinelli family, the holding company of the eponymous group. Feltrinelli is active not only in the retail sale of editorial products but also in book publishing, in the distribution of books and e-books through the joint ventures EmmeEffe Libri S.p.A. (hereinafter, EmmeEffe) and Edigita Editoria Digitale Italiana S.r.l. (hereinafter, Edigita), both jointly controlled with the Messaggerie Group, in book promotion, and in the television sector. In 2016, the Feltrinelli Group achieved, [omissis], a consolidated turnover of 374.5 million euros.</w:t>
      </w:r>
    </w:p>
    <w:p>
      <w:r>
        <w:t>3. Emmelibri S.r.l. (hereinafter, Emmelibri) is the industrial sub-holding of the Messaggerie Group (hereinafter, also just Messaggerie) that controls companies active in wholesale distribution (to bookstores and large-scale distribution) and in retail sale (mainly) of books, also through the internet channel, as well as in services for publishing. Emmelibri controls, holding 94.8% of the share capital, Internet Bookshop Italia S.r.l. (hereinafter, IBS). IBS operates in the online sale of "various" books and other editorial products through the website ibs.it, and of school and "various" books related to the education segment, both new and used, as well as reminders, through the website libraccio.it. Recently, a marketplace service was launched on the ibs.it website, still in the start-up phase. Conversely, IBS undertook a process in November 2014 to exit the business of selling books and other editorial products in physical bookstores. This process will conclude with the demerger of the business branches constituted by the bookstores in Novara and Treviso, which will occur before the execution of the communicated transaction.</w:t>
      </w:r>
    </w:p>
    <w:p>
      <w:r>
        <w:t>4. Emmelibri is wholly owned by Messaggerie Italiane di Giornali, Riviste e Libri S.p.A., at the top of the Messaggerie Group, which operates throughout the entire book supply chain. Messaggerie is active in book publishing through Gruppo Editoriale Mauri Spagnol S.p.A. and the companies under its control, and in the distribution and sale of books, through Emmelibri and the companies controlled by it. With specific reference to distribution, Emmelibri established a partnership in 2014 with the Feltrinelli Group by creating the joint venture EmmeEffe, which includes Messaggerie Libri (distribution to bookstores), MF Ingrosso, which operates in the wholesale sale of books (through the Fastbook division) and in the distribution of books to large-scale distribution (through the Opportunity division), and Opportunity Service, which provides commercial and marketing services to large-scale distribution. In 2016, the Messaggerie Group achieved, [omissis], a consolidated turnover of 490.9 million euros.</w:t>
      </w:r>
    </w:p>
    <w:p>
      <w:r>
        <w:t>5. Argo S.r.l. (hereinafter, Argo) offers consulting services to companies operating in the book, publishing, and related sectors as well as IT consulting and advertising services. Argo is the owner of the "libraccio" brand, which it licenses to companies operating in the sale of school and "various" books, both new and used. Argo is also directly active, through controlled bookstores, in the sale of books, both new and used, as well as stationery products. To a minimal extent, Argo is active in the publishing of "various" through the company Libraccio Editore S.r.l., which is 100% owned. Argo holds 5.2% of IBS.</w:t>
      </w:r>
    </w:p>
    <w:p>
      <w:r>
        <w:t>6. Argo is controlled by D.M.B. S.r.l. (hereinafter, DMB) whose share capital is owned by individuals. DMB carries out wholesale book sales almost entirely to bookstores under the "libraccio" brand and, to a marginal extent, to IBS and some third-party operators located in Lombardy. DMB also offers consulting services in commercial, IT, and organizational areas to bookstores under the "libraccio" brand. In 2016, Argo and DMB jointly achieved a turnover of 34.6 million euros, [omissis].</w:t>
      </w:r>
    </w:p>
    <w:p>
      <w:r>
        <w:t>II. DESCRIPTION OF THE OPERATION</w:t>
      </w:r>
    </w:p>
    <w:p>
      <w:r>
        <w:t>The communicated operation</w:t>
      </w:r>
    </w:p>
    <w:p>
      <w:r>
        <w:t>7. The operation consists of the establishment of a joint venture (hereinafter, also JV or Holding) to which the entirety of the shares of IBS, currently held 94.8% by Emmelibri and the remaining 5.2% by Argo, and the entirety of the shares of LaFeltrinelli.com will be contributed.</w:t>
      </w:r>
    </w:p>
    <w:p>
      <w:r>
        <w:rPr>
          <w:b/>
        </w:rPr>
        <w:t>[Pages 25–27]</w:t>
      </w:r>
    </w:p>
    <w:p>
      <w:r>
        <w:t>BULLETIN NO. 45 OF NOVEMBER 27, 2017</w:t>
      </w:r>
    </w:p>
    <w:p>
      <w:r>
        <w:t>27</w:t>
        <w:br/>
        <w:t>hereafter, IBS and LaFeltrinelli.com will also be jointly referred to as Operating Companies). Prior to the execution of the transaction, Emmelibri and Argo will proceed with the demerger from IBS of the business branches related to the bookstores in Novara and Treviso and of any other asset and liability not pertaining to the online sale of editorial products, for the benefit of a newly established company. Therefore, JV will serve as an industrial holding and will be active, through the Operating Companies, in the online sale of "various" and educational books, new and used, as well as e-books and other editorial products (home video and music) through the websites ibs.it, libraccio.it (currently controlled and managed by IBS) and lafeltrinelli.it (currently belonging to LaFeltrinelli.com).</w:t>
      </w:r>
    </w:p>
    <w:p>
      <w:r>
        <w:t>8. Librerie Feltrinelli, Emmelibri, and Argo will hold shares in Holding amounting to 50.1%, 46.9%, and 3%, respectively. The aforementioned parent companies will enter into a shareholders' agreement to define, among other things, the governance of Holding and the Operating Companies.</w:t>
      </w:r>
    </w:p>
    <w:p>
      <w:r>
        <w:t>9. The shareholders' agreement will also provide for a non-competition obligation on the part of Librerie Feltrinelli and Emmelibri for the benefit of the Operating Companies.</w:t>
      </w:r>
    </w:p>
    <w:p>
      <w:r>
        <w:t>10. Finally, the framework agreement agreed upon between Librerie Feltrinelli, Emmelibri, and Argo provides for a series of arrangements between the aforementioned companies and Holding and/or IBS and LaFeltrinelli.com, specifically:</w:t>
        <w:br/>
        <w:t>- a license agreement for the distinctive signs "libraccio";</w:t>
        <w:br/>
        <w:t>- a framework agreement for the supply of new and used educational texts and used "various" texts;</w:t>
        <w:br/>
        <w:t>- a framework supply agreement for editorial products between Feltrinelli and IBS;</w:t>
        <w:br/>
        <w:t>- a service supply agreement between Feltrinelli and IBS;</w:t>
        <w:br/>
        <w:t>- a service supply agreement between Feltrinelli and Holding;</w:t>
        <w:br/>
        <w:t>- a service supply agreement between Emmelibri and IBS.</w:t>
      </w:r>
    </w:p>
    <w:p>
      <w:r>
        <w:t>The governance of Holding and the Operating Companies</w:t>
      </w:r>
    </w:p>
    <w:p>
      <w:r>
        <w:t>11. The boards of directors of Holding and the Operating Companies will consist of eight members, four designated by Librerie Feltrinelli, three by Emmelibri, and one by Argo. Librerie Feltrinelli will designate the president, Emmelibri the vice president, with control functions. The boards of directors will deliberate by simple majority of those present, except for qualified matters, referred to as relevant matters, among which is the stipulation [omissis] of contracts that entail a substantial modification of the assumptions of the industrial plan. For relevant matters, a qualified majority (six votes) is required, a procedure for resolving deadlocks, and, in case of failure of the latter, a casting vote mechanism whereby in case of a tie, the vote of the president will prevail. The adoption of a decision in Holding using the casting vote mechanism triggers a put option, recognized by Librerie Feltrinelli to Emmelibri, concerning the entire shareholding held by Emmelibri in Holding.</w:t>
      </w:r>
    </w:p>
    <w:p>
      <w:r>
        <w:t>12. Librerie Feltrinelli, Emmelibri, and Argo will contribute to appointing the delegated advisors of Holding and the Operating Companies, as follows:</w:t>
        <w:br/>
        <w:t>- Librerie Feltrinelli will express, in the first boards of directors, [omissis];</w:t>
        <w:br/>
        <w:t>- Emmelibri will express, in the first boards of directors of the Operating Companies, [omissis];</w:t>
        <w:br/>
        <w:t>- Argo will express, in IBS, [omissis] and, in LaFeltrinelli.com, [omissis]; this for the entire duration of the license agreement for the "libraccio" brand, that is until [omissis].</w:t>
      </w:r>
    </w:p>
    <w:p>
      <w:r>
        <w:t>The non-competition agreement on the part of Librerie Feltrinelli and Emmelibri</w:t>
      </w:r>
    </w:p>
    <w:p>
      <w:r>
        <w:t>13. Librerie Feltrinelli and Emmelibri shall not, in any way, engage in the online retail sale of books in competition with the Operating Companies in Italy, even through intermediaries or affiliated, associated, controlled, or controlling companies, directly or indirectly, on their own or on behalf of third parties, for a fee or free of charge.</w:t>
      </w:r>
    </w:p>
    <w:p>
      <w:r>
        <w:t>Other arrangements related to the concentration operation</w:t>
      </w:r>
    </w:p>
    <w:p>
      <w:r>
        <w:t>14. Once the concentration operation is completed, DMB (licensor) and Holding (licensee) will sign a license agreement for the distinctive signs (trademark and domain names) "libraccio". This agreement, which will remain effective until [omissis], will provide for [omissis].</w:t>
      </w:r>
    </w:p>
    <w:p>
      <w:r>
        <w:t>15. DMB and some bookstores under the "libraccio" brand, on one side, and IBS and LaFeltrinelli.com, on the other, will enter into a framework agreement for the supply of new educational books, extracurricular books, and dictionaries, and used educational and "various" books for sale on the website libraccio.it and on the websites ibs.it and lafeltrinelli.it (in the latter two cases with the wording "powered by libraccio.it"). IBS and LaFeltrinelli.com will commit to [omissis]. Likewise, IBS will commit to [omissis]. The framework supply agreement will last until [omissis].</w:t>
      </w:r>
    </w:p>
    <w:p>
      <w:r>
        <w:t>16. IBS and Librerie Feltrinelli will conclude a framework agreement for the supply of editorial products. The content of this agreement is still being defined. In any case, the agreement in question will not provide for minimum purchase obligations on the part of IBS.</w:t>
      </w:r>
    </w:p>
    <w:p>
      <w:r>
        <w:t>17. Service contracts will be entered into between Librerie Feltrinelli and IBS and between Librerie Feltrinelli and Holding as well as between Emmelibri and IBS. The license agreement for the use of the trademark and domain names "Feltrinelli" between EFFE 2005 and LaFeltrinelli.com, the service contracts between Librerie Feltrinelli and LaFeltrinelli.com, and between EFFE 2005 and LaFeltrinelli.com will remain in force.</w:t>
      </w:r>
    </w:p>
    <w:p>
      <w:r>
        <w:t>Acquisition of control by Librerie Feltrinelli, Emmelibri, and Argo</w:t>
      </w:r>
    </w:p>
    <w:p>
      <w:r>
        <w:t>18. Librerie Feltrinelli, Emmelibri, and Argo will jointly control Holding, and thus IBS and LaFeltrinelli.com. This derives from the governance rules defined in the shareholders' agreement that grant each parent company powers suitable to configure a control situation. In the case of Argo, these powers relate to determining the high-level structure for a significant period of time. Furthermore, with reference to Argo, the contribution to the industrial project of JV in terms of know-how for educational and used books, which constitute one of the categories of books marketed by the Operating Companies, and in terms of distinctive signs ("libraccio") licensed is highlighted.</w:t>
      </w:r>
    </w:p>
    <w:p>
      <w:r>
        <w:t>19. The governance rules outlined above imply, in fact, that:</w:t>
        <w:br/>
        <w:t>- the vote of the (four) directors designated by Librerie Feltrinelli is necessary to reach the majority (five out of eight) in the boards of directors of Holding and the Operating Companies;</w:t>
        <w:br/>
        <w:t>- the vote of the (three) directors designated by Emmelibri is necessary to reach the required qualified majority (six out of eight) for the matters referred to as relevant, among which is the stipulation [omissis] of contracts that entail a substantial modification of the assumptions of the industrial plan;</w:t>
        <w:br/>
        <w:t>- each parent company has the right to appoint members of the boards of directors of Holding and the Operating Companies with management delegations; it is worth noting that Argo will have the right to appoint in the boards of directors of IBS and LaFeltrinelli.com the directors with delegations concerning [omissis] until [omissis];</w:t>
        <w:br/>
        <w:t>- the preponderant vote of Librerie Feltrinelli can only be exercised after a series of attempts at agreement and will give rise to a put option for Emmelibri, likely to determine a significant modification of the ownership structure of Holding, imposing a heavy financial burden on Librerie Feltrinelli.</w:t>
      </w:r>
    </w:p>
    <w:p>
      <w:r>
        <w:t>20. Regarding Argo's contribution, the distinctive signs "libraccio" and the know-how related to the sale of educational and used books are considered essential for the realization of the operation. This assessment rests on the current and prospective importance of sales on the website libraccio.it and on the recognition of the libraccio brand by consumers interested in educational and used books.</w:t>
      </w:r>
    </w:p>
    <w:p>
      <w:r>
        <w:t>The nature of Holding as an autonomous economic entity</w:t>
      </w:r>
    </w:p>
    <w:p>
      <w:r>
        <w:t>21. Holding will consistently exercise all functions of an autonomous economic entity with respect to the parent companies. In fact, Holding will be equipped with the necessary resources to operate independently and durably in the market as it will fully receive the online sales activities of books and other editorial products from IBS and LaFeltrinelli.com; the service supply contracts from the parent companies will concern services normally managed at the group level. Furthermore, through the Operating Companies, Holding will carry out its activities entirely in the market through the websites ibs.it, lafeltrinelli.it, and libraccio.it while no sales of goods or service provision will be conducted towards the parent companies.</w:t>
      </w:r>
    </w:p>
    <w:p>
      <w:r>
        <w:t>22. Regarding purchases from the parent companies, it is worth highlighting that the very nature of the activity that will be carried out by the Operating Companies, the retail trade of books and other editorial products, together with the structural and competitive conditions of the publishing markets (see infra), allows us to conclude that the aforementioned companies will rely for a substantial part of their supplies on third parties. In particular, concerning "various" books (thus excluding educational books), a small share ([omissis]) of the sales made by IBS and LaFeltrinelli.com concerns publishers of the Feltrinelli and Messaggerie groups. The supply agreement from DMB and some bookstores under the "libraccio" brand to the Operating Companies concerns only specific types of books (new educational books, extracurricular books, and dictionaries, and used educational and "various" books). It constitutes an extension to LaFeltrinelli.com of the procurement methods already in place for IBS; moreover, neither...</w:t>
      </w:r>
    </w:p>
    <w:p>
      <w:r>
        <w:rPr>
          <w:b/>
        </w:rPr>
        <w:t>[Pages 28–30]</w:t>
      </w:r>
    </w:p>
    <w:p>
      <w:r>
        <w:t>BULLETIN NO. 45 OF NOVEMBER 27, 2017</w:t>
      </w:r>
    </w:p>
    <w:p>
      <w:r>
        <w:t>Feltrinelli and Messaggerie are not active in the distribution of the aforementioned types of books. The book supply agreement that will be concluded between Librerie Feltrinelli and IBS will not provide for minimum purchase obligations.</w:t>
      </w:r>
    </w:p>
    <w:p>
      <w:r>
        <w:t>23. No risks of coordination are perceived among the parent companies connected with the operation in question. In fact, the parent companies will carry out the online sale of books and other editorial products exclusively through the Holding and the Operating Companies, so they will not be competitors in that market. Furthermore, the parent companies hold market shares in the publishing markets, upstream of the one in which the joint venture will operate, such that it allows for the exclusion of appreciable risks of coordination.</w:t>
      </w:r>
    </w:p>
    <w:p>
      <w:r>
        <w:t>III. QUALIFICATION OF THE OPERATION</w:t>
      </w:r>
    </w:p>
    <w:p>
      <w:r>
        <w:t>24. The operation in question, as it involves the establishment, by Librerie Feltrinelli S.r.l., Emmelibri S.r.l., and Argo S.r.l., of a full-function joint venture, jointly controlled by them, constitutes a concentration pursuant to Article 5, paragraph 1, letter c), of Law No. 287/90.</w:t>
      </w:r>
    </w:p>
    <w:p>
      <w:r>
        <w:t>25. It falls within the scope of application of Law No. 287/90, as the conditions set out in Article 1 of EC Regulation No. 139/04 are not met, and it is subject to the obligation of prior notification provided for by Article 16, paragraph 1, of the same law, as amended by Article 1, paragraph 177, of Law No. 124 of August 4, 2017, since the total turnover achieved in the last financial year at the national level by the group of companies involved was over 492 million euros and the turnover achieved individually at the national level by at least two of the companies involved was over 30 million euros.</w:t>
      </w:r>
    </w:p>
    <w:p>
      <w:r>
        <w:t>26. The non-compete agreement concerning Librerie Feltrinelli and Emmelibri described above can be qualified as accessory to the notified concentration operation as it is instrumental in allowing the joint venture to fully realize the value of the assets that will be transferred to it and to enable the start of its activities in the market. The obligations in question are limited in terms of product and geographical scope to the activities of the operating companies that will be transferred.</w:t>
      </w:r>
    </w:p>
    <w:p>
      <w:r>
        <w:t>27. The licensing agreement described above concerning the trademark and the domain names "libraccio" can be considered accessory to the concentration operation as it is functional to the online sale of books on the website libraccio.it or on the websites ibs.it and lafeltrinelli.it with the wording "powered by libraccio."</w:t>
      </w:r>
    </w:p>
    <w:p>
      <w:r>
        <w:t>28. The framework agreement for the supply of school, extracurricular, and new dictionary books and used books between DMB, some bookstores under the "libraccio" brand, IBS, and LaFeltrinelli.com can be considered accessory to the concentration operation as it aims to ensure the supply of essential products for the online sales activity of the Operating Companies, provided that its duration does not exceed five years.</w:t>
      </w:r>
    </w:p>
    <w:p>
      <w:r>
        <w:t>BULLETIN NO. 45 OF NOVEMBER 27, 2017</w:t>
      </w:r>
    </w:p>
    <w:p>
      <w:r>
        <w:t>IV. RELEVANT MARKETS</w:t>
      </w:r>
    </w:p>
    <w:p>
      <w:r>
        <w:t>29. Considering the activity that will be carried out by the joint venture to be established, the notified operation will affect the market for the online retail sale of editorial products (books, e-books, music, and audiovisuals) in which the parent companies will operate exclusively through the joint venture.</w:t>
      </w:r>
    </w:p>
    <w:p>
      <w:r>
        <w:t>30. Due to the activities carried out by the parent companies, also through their respective publishing groups, the operation will also affect the markets, upstream of the online retail market, indicated below:</w:t>
        <w:br/>
        <w:t>- the market for the distribution of "varia" books to bookstores, both physical and online, in which Messaggerie and Feltrinelli operate through the joint company EmmeEffe, and Argo (exclusively towards physical bookstores), through the parent company DMB;</w:t>
        <w:br/>
        <w:t>- the market for the distribution of e-books, in which Messaggerie and Feltrinelli operate through the joint company Edigita;</w:t>
        <w:br/>
        <w:t>- the market for the promotion of "varia" books, in which Messaggerie and Feltrinelli operate;</w:t>
        <w:br/>
        <w:t>- the markets that comprise the "varia" publishing sector (fiction and non-fiction, children's books, art books, comics, guides and manuals, academic and professional books, dictionaries and encyclopedias, e-books), in which Messaggerie, Feltrinelli, and, to a lesser extent, Argo are present.</w:t>
      </w:r>
    </w:p>
    <w:p>
      <w:r>
        <w:t>The market for the online retail sale of editorial products</w:t>
      </w:r>
    </w:p>
    <w:p>
      <w:r>
        <w:t>31. The market for the online retail sale of editorial products has been considered distinct from the adjacent market for the retail sale of "varia" books (in physical bookstores), due to its peculiarities and specific characteristics.</w:t>
      </w:r>
    </w:p>
    <w:p>
      <w:r>
        <w:t>32. It has also been deemed that within this market, the segments of online sales of printed books and the sale of e-books can be distinguished. Moreover, the parties have considered further, sometimes finer, segmentations of the market in question, identifying a segment of books including printed books (both school and "varia") and e-books, a segment of only printed "varia" books, a segment of school books, in addition to a segment of e-books. In this specific case, however, it does not appear necessary to precisely define the segmentation of the market as this would not change the competitive assessment of the operation.</w:t>
      </w:r>
    </w:p>
    <w:p>
      <w:r>
        <w:t>33. From a geographical perspective, the market coincides with the national territory, considering the characteristics of demand.</w:t>
      </w:r>
    </w:p>
    <w:p>
      <w:r>
        <w:t>34. The market shares (in value) held, in the last three years, by IBS and LaFeltrinelli.com with reference to the market for the online retail sale of editorial products (Table 1) as well as to the segments of printed books (school and "varia"), e-books (Table 2), and printed "varia" books (Table 3) show a decreasing trend. The same trend is observed in the segment of e-book sales in which each of the Operating Companies holds shares below 5%.</w:t>
      </w:r>
    </w:p>
    <w:p>
      <w:r>
        <w:t>Table 1 – Value shares of the parties in the market for the online retail sale of editorial products</w:t>
        <w:br/>
        <w:t>2014 2015 2016</w:t>
        <w:br/>
        <w:t>LaFeltrinelli.com [1-5%] [1-5%] [1-5%]</w:t>
        <w:br/>
        <w:t>IBS [20-25%] [20-25%] [15-20%]</w:t>
        <w:br/>
        <w:t>JV [25-30%] [20-25%] [15-20%]</w:t>
        <w:br/>
        <w:t>Source: data provided by the Parties</w:t>
      </w:r>
    </w:p>
    <w:p>
      <w:r>
        <w:t>Table 2 – Value shares of the parties in the segment of online sales of printed books and e-books</w:t>
        <w:br/>
        <w:t>2014 2015 2016</w:t>
        <w:br/>
        <w:t>LaFeltrinelli.com [1-5%] [1-5%] [1-5%]</w:t>
        <w:br/>
        <w:t>IBS [20-25%] [20-25%] [15-20%]</w:t>
        <w:br/>
        <w:t>JV [25-30%] [20-25%] [20-25%]</w:t>
        <w:br/>
        <w:t>Source: data provided by the Parties</w:t>
      </w:r>
    </w:p>
    <w:p>
      <w:r>
        <w:t>Table 3 – Value shares of the parties in the segment of online sales of printed "varia" books</w:t>
        <w:br/>
        <w:t>2014 2015 2016</w:t>
        <w:br/>
        <w:t>LaFeltrinelli.com [5-10%] [5-10%] [5-10%]</w:t>
        <w:br/>
        <w:t>IBS [25-30%] [25-30%] [20-25%]</w:t>
        <w:br/>
        <w:t>JV [30-35%] [30-35%] [25-30%]</w:t>
        <w:br/>
        <w:t>Source: data provided by the Parties</w:t>
      </w:r>
    </w:p>
    <w:p>
      <w:r>
        <w:t>35. In the market for the online retail sale of editorial products, LaFeltrinelli.com’s share has decreased from [1-5%] in 2014 to [1-5%] in 2016, while IBS’s share has decreased from [20-25%] to [15-20%]. In the segment related to the sales of printed books (school and "varia") and e-books, thus excluding the remaining editorial products (music and audiovisuals), LaFeltrinelli.com’s share was [1-5%] at the beginning of the three-year period and fell to [1-5%] at the end, while IBS’s share was [20-25%] and fell to [15-20%]. In the segment of online sales of printed "varia" books, LaFeltrinelli.com held [5-10%] in 2014, which decreased to [5-10%] in 2016, while IBS held [25-30%], which decreased to [20-25%]. As for e-book sales, LaFeltrinelli.com held a share of [1-5%] in 2014, which fell to [1-5%] in 2016, and IBS held a share of [1-5%] in 2014, which reduced to [1-5%] in 2016.</w:t>
      </w:r>
    </w:p>
    <w:p>
      <w:r>
        <w:t>36. With regard to the shares of the Operating Companies, the JV can be attributed a share approximately equal to [15-20%] in the market for the online retail sale of editorial products, which changes marginally in the segment of online sales of printed books (school and "varia") and e-books, placing it at [20-25%]. In the segment of online sales of printed "varia" books, the JV’s share can be estimated at [25-30%]. In the segment of e-book sales, the share attributable to the new entity is estimated at approximately [5-10%].</w:t>
      </w:r>
    </w:p>
    <w:p>
      <w:r>
        <w:t>37. Regarding the competitive context, it is noted that in the market in question there is an operator (Amazon) that holds a significant market position, with an estimated share above 50%.</w:t>
      </w:r>
    </w:p>
    <w:p>
      <w:r>
        <w:rPr>
          <w:b/>
        </w:rPr>
        <w:t>[Pages 31–33]</w:t>
      </w:r>
    </w:p>
    <w:p>
      <w:r>
        <w:t>BULLETIN NO. 45 OF NOVEMBER 27, 2017</w:t>
      </w:r>
    </w:p>
    <w:p>
      <w:r>
        <w:t>33 The market for the distribution of "various" books to bookstores</w:t>
      </w:r>
    </w:p>
    <w:p>
      <w:r>
        <w:t>38. As far as printed books are concerned, distribution activities involve the logistical management of commercial flows between publishers and intermediaries, including the delivery of books, the management of returns, and invoicing. The market for the distribution of "various" books to bookstores has been distinguished from the adjacent market of distribution to large-scale retail.</w:t>
      </w:r>
    </w:p>
    <w:p>
      <w:r>
        <w:t>39. Given that in the Italian context the main publishing groups are integrated at the distribution stage, also offering their services, to a greater or lesser extent, to other non-integrated publishers, the market in question refers to the services rendered to third-party operators. In any case, the overall size of the activity carried out, including services provided on their own account, may be relevant for assessing the competitive position of the various operators, particularly with regard to the possible existence of unused production capacity that could be made available to third parties.</w:t>
      </w:r>
    </w:p>
    <w:p>
      <w:r>
        <w:t>40. From a geographical perspective, the market for the distribution of "various" books to bookstores is of national size, considering the increasing relevance of chain bookstores, the fact that the operators providing the services are active in the Italian territory, and therefore the substantial homogeneity that characterizes competitive conditions in Italy.</w:t>
      </w:r>
    </w:p>
    <w:p>
      <w:r>
        <w:t>41. In 2016, the Messaggerie Group and the Feltrinelli Group held, through the common company EmmeEffe, a share of approximately [45-50%] of the market value. The share of DMB is estimated at around [1-5%]. The market share pertaining to the parent companies of the joint venture can therefore be estimated at around [50-55%].</w:t>
      </w:r>
    </w:p>
    <w:p>
      <w:r>
        <w:t>42. It is worth noting that DMB's book distribution activity is almost entirely directed towards physical bookstores under the "libraccio" brand and is therefore substantially captive to the activity of the subsidiary Argo (holder of the "libraccio" trademark); marginally, DMB supplies IBS regarding the sale (of books other than school books) [omissis] and some operators located in Lombardy ([omissis]). From a merchandise perspective, DMB's distribution activity concerns out-of-print texts (so-called remainder) in addition to para-school texts and dictionaries.</w:t>
      </w:r>
    </w:p>
    <w:p>
      <w:r>
        <w:t>The market for the distribution of e-books</w:t>
      </w:r>
    </w:p>
    <w:p>
      <w:r>
        <w:t>43. Considering the specific characteristics of e-books, particularly the fact that their distribution requires electronic infrastructure and services, a market for the distribution of e-books has been identified. Some publishers directly take on the technical services necessary for implementing e-book distribution models (repository, sending of metadata and files to commercial platforms or to the end customer), while others find it more convenient to outsource, purchasing the relevant services from third-party providers. It has been noted that in the vast majority of cases, the activity carried out by the entity responsible for distribution is limited to providing technical and/or administrative services that do not involve the publisher-platform sales relationship.</w:t>
      </w:r>
    </w:p>
    <w:p>
      <w:r>
        <w:t>The market for the distribution of e-books also has a national geographical dimension, due to the fact that purchases of e-books in Italian are predominantly made by individuals present in the national territory.</w:t>
      </w:r>
    </w:p>
    <w:p>
      <w:r>
        <w:t>44. In the market context described above, the market share of Edigita, a joint company between Feltrinelli and Messaggerie, can be estimated at around [10-15%].</w:t>
      </w:r>
    </w:p>
    <w:p>
      <w:r>
        <w:t>The market for the promotion of "various" books</w:t>
      </w:r>
    </w:p>
    <w:p>
      <w:r>
        <w:t>45. The promotional activity aims to acquire visibility spaces for books within bookstores. It includes, as far as physical bookstores are concerned, visiting customers (retailers), presenting new releases to retailers, and defining orders for both new releases and titles already in the catalog, together with the bookseller.</w:t>
      </w:r>
    </w:p>
    <w:p>
      <w:r>
        <w:t>46. Since, as with distribution, the main publishing groups are integrated at the promotion stage, also offering their services, to varying degrees, to other publishers, the market in question includes only the services performed on behalf of third parties. However, the overall size of the activity carried out may be relevant for assessing the competitive position of the various operators.</w:t>
      </w:r>
    </w:p>
    <w:p>
      <w:r>
        <w:t>47. In the case of online sales platforms, the promotional activity is limited to presenting new releases and collecting orders; the platforms, in fact, manage their own portfolio of titles independently, also due to the fact that they do not have to contend with the limitation of display spaces and, therefore, have a very wide offering.</w:t>
      </w:r>
    </w:p>
    <w:p>
      <w:r>
        <w:t>48. For the reasons stated regarding the distribution services of "various" books, the geographical dimension of the market in question is national.</w:t>
      </w:r>
    </w:p>
    <w:p>
      <w:r>
        <w:t>49. The Feltrinelli Group and the Messaggerie Group carry out the promotional activity for "various" books on their own account and on behalf of third-party publishers, both through separate companies. In 2016, the aforementioned operators held market shares of [15-20%] and [5-10%] of the market value, respectively; the combined share of these operators was therefore [25-30%].</w:t>
      </w:r>
    </w:p>
    <w:p>
      <w:r>
        <w:t>The markets for "various" publishing</w:t>
      </w:r>
    </w:p>
    <w:p>
      <w:r>
        <w:t>50. In the Authority's precedents, "various" books have been consistently distinguished from school books. Within the category of "various" books, further distinctions have been considered based on the content offered, taking into account the fact that the demand expressed by readers, on which bookstores base their assortment choices, means that the different types of books are not interchangeable.</w:t>
      </w:r>
    </w:p>
    <w:p>
      <w:r>
        <w:t>Furthermore, it has been deemed appropriate to distinguish e-books from printed books due to the peculiarities of digital books (digital flows, reading devices, electronic infrastructures for distribution and sales), which reverberate on the related supply chain also with reference to the operators present in it (distribution and sales platforms).</w:t>
      </w:r>
    </w:p>
    <w:p>
      <w:r>
        <w:t>51. Based on the activities of the parties, the following publishing markets must be considered in this case: (i) fiction and non-fiction books, (ii) children's books, (iii) art books, (iv) guides and manuals, (v) academic and professional works, (vi) comics, (vii) dictionaries and encyclopedias, (viii) e-books.</w:t>
      </w:r>
    </w:p>
    <w:p>
      <w:r>
        <w:t>52. From a geographical perspective, the aforementioned markets have a national scope for linguistic reasons and due to the substantial homogeneity of competitive conditions throughout the national territory.</w:t>
      </w:r>
    </w:p>
    <w:p>
      <w:r>
        <w:t>53. In the market for the publishing of fiction and non-fiction books, Feltrinelli and Messaggerie held market shares in 2016 of [5-10%] and [10-15%], respectively, in value, and [5-10%] and [10-15%], in volume. Since Argo's publishing activities are very limited, below 0.1%, in the aforementioned market, the combined market share attributable to the parent companies of Holding is [15-20%] in value and [20-25%] in volume. In the remaining markets for "various" publishing, distinguished based on the content offered, the parties hold shares lower than those reported with reference to fiction and non-fiction. Similarly, the market shares of the parties in the e-book publishing market do not exceed the aforementioned values.</w:t>
      </w:r>
    </w:p>
    <w:p>
      <w:r>
        <w:t>V. ASSESSMENT OF THE TRANSACTION</w:t>
      </w:r>
    </w:p>
    <w:p>
      <w:r>
        <w:t>54. Through the communicated transaction, the publishing groups Feltrinelli and Messaggerie and Argo, an operator focused on the sale of school and used books, will integrate their online sales activities, currently carried out through the websites lafeltrinelli.it (Feltrinelli) and ibs.it and libraccio.it (Messaggerie and Argo). The parent companies will remain active in other upstream markets not directly affected by the transaction while operating in this market only through the joint venture.</w:t>
      </w:r>
    </w:p>
    <w:p>
      <w:r>
        <w:t>55. The entity resulting from the concentration will hold a share of [15-20%] in the online retail market for editorial products (books, e-books, music, and audiovisuals). Even considering only the segment that groups books and e-books, the share attributable to the new operator remains below 25% ([20-25%]); this threshold is exceeded only if the analysis is narrowed to the segment of "various" printed books, where the joint venture would hold a market share of [25-30%], while remaining below 10% if e-books are considered ([5-10%]).</w:t>
      </w:r>
    </w:p>
    <w:p>
      <w:r>
        <w:t>56. In addition to what has been observed regarding the size of the JV's shares, it should be noted that the online retail market for editorial products is characterized by the presence of a particularly significant operator (Amazon), with an estimated market share exceeding 50%. This operator is also able to offer a vast range of products other than books, thus distinguishing itself by its ability to attract consumers. All things considered, it must be believed that the transaction in question is not likely to harm the competitive dynamics of the market in question.</w:t>
      </w:r>
    </w:p>
    <w:p>
      <w:r>
        <w:t>57. In the market for the distribution of e-books and in the various markets that make up the publishing of "various" books, the parties hold market shares below 25% (approximately [10-15%] in the case of e-books).</w:t>
      </w:r>
    </w:p>
    <w:p>
      <w:r>
        <w:rPr>
          <w:b/>
        </w:rPr>
        <w:t>[Pages 34–36]</w:t>
      </w:r>
    </w:p>
    <w:p>
      <w:r>
        <w:t>36 BULLETIN NO. 45 OF NOVEMBER 27, 2017</w:t>
      </w:r>
    </w:p>
    <w:p>
      <w:r>
        <w:t>the market for the distribution of e-books and not exceeding [15-20%] in value and [20-25%] in volume in the "various" publishing markets, including that of e-books. In the market for the promotion of "various" books, the parties, specifically the Feltrinelli Group and the Messaggerie Group, hold a market share in value [omitted] greater than 25% ([25-30%]), the size of which must still be considered limited. This circumstance allows us to conclude that the presence of the Feltrinelli and Messaggerie groups, and to a significantly lesser extent of Argo24, in all the aforementioned markets, upstream of the one directly concerned, is not suitable to produce significant vertical effects related to the execution of the communicated transaction.</w:t>
      </w:r>
    </w:p>
    <w:p>
      <w:r>
        <w:t>58. In the market for the distribution of "various" books to bookstores, both physical and online, which is also upstream of the online sale of editorial products, the market share of the parties is estimated to be [50-55%] and substantially derives from the share attributable to EmmeEffe, a joint company controlled by Feltrinelli and Messaggerie, amounting to [45-50%]. The contribution of Argo (through DMB) to the aforementioned share (estimated at [1-5%]) refers almost entirely to physical bookstores under the "libraccio" brand, and therefore is substantially captive, while for a marginal share it concerns the supply of books, other than school books, to IBS, and is therefore already included in JV; only for a negligible part, less than 1% of the market, does the activity of DMB concern third-party operators. Also from a commodity perspective, the distribution activity of Argo (through DMB) is substantially differentiated from that of EmmeEffe, mainly concerning remainder books in addition to para-school texts and dictionaries.</w:t>
      </w:r>
    </w:p>
    <w:p>
      <w:r>
        <w:t>59. The establishment of EmmeEffe was authorized by the Authority following an investigative procedure during which the vertical relationship of this joint venture with the companies of the Messaggerie and Feltrinelli groups active in retail sales, including online sales, was also evaluated. The vertical relationship between EmmeEffe and the aforementioned publishing groups, pre-existing the transaction under examination, does not appear to have provided advantages for IBS and LaFeltrinelli.com in the online sale market of editorial products where, on the contrary, these companies have seen a reduction in their shares in all considered segments and particularly in the segment related to "various" printed books, where the aforementioned EmmeEffe is active. Moreover, the book distribution activity of the latter towards online sales platforms takes place in a competitive environment characterized by the presence downstream of an unavoidable counterpart in terms of market share, customer attraction capacity, and bargaining power, and upstream of a wide range of publishers whose interest is to have their books available on the largest number of sites in order to reach readers.</w:t>
      </w:r>
    </w:p>
    <w:p>
      <w:r>
        <w:t>60. In conclusion, the communicated transaction does not appear to be suitable to substantially modify the structure and competitive dynamics in the online retail market for editorial products nor in the upstream markets in which the parent companies of the newly established joint company operate.</w:t>
      </w:r>
    </w:p>
    <w:p>
      <w:r>
        <w:t>CONSIDERING, therefore, that the transaction under examination does not result, pursuant to Article 6, paragraph 1, of Law No. 287/90, in the establishment or strengthening of a dominant position in the relevant markets, such as to eliminate or substantially and durably reduce competition;</w:t>
      </w:r>
    </w:p>
    <w:p>
      <w:r>
        <w:t>24 Argo is not present in the market for the distribution of e-books nor in the market for the promotion of "various" books.</w:t>
      </w:r>
    </w:p>
    <w:p>
      <w:r>
        <w:t>25 Third-party publishers distributing their books through EmmeEffe represent a majority share of the latter's activity. In 2016, the percentage of distribution services provided by EmmeEffe to third-party publishers was [omitted].</w:t>
      </w:r>
    </w:p>
    <w:p>
      <w:r>
        <w:t>BULLETIN NO. 45 OF NOVEMBER 27, 2017</w:t>
      </w:r>
    </w:p>
    <w:p>
      <w:r>
        <w:t>CONSIDERING, furthermore, that the framework agreement for the supply of new and used school books, para-school books, and dictionaries, entered into between the parties, is accessory to the present transaction only to the limits described above and that the Authority reserves the right to evaluate, where the conditions exist, the aforementioned agreement that is realized beyond the indicated limits;</w:t>
      </w:r>
    </w:p>
    <w:p>
      <w:r>
        <w:t>RESOLVES</w:t>
      </w:r>
    </w:p>
    <w:p>
      <w:r>
        <w:t>not to initiate the investigation referred to in Article 16, paragraph 4, of Law No. 287/90. The above conclusions will be communicated, pursuant to Article 16, paragraph 4, of Law No. 287/90, to the interested companies and to the Minister of Economic Development. This provision will be published in the Bulletin of the Antitrust Authority.</w:t>
      </w:r>
    </w:p>
    <w:p>
      <w:r>
        <w:t>THE SECRETARY GENERAL THE PRESIDENT</w:t>
      </w:r>
    </w:p>
    <w:p>
      <w:r>
        <w:t>Roberto Chieppa Giovanni Pitruzzella</w:t>
      </w:r>
    </w:p>
    <w:p>
      <w:r>
        <w:t>ACTIVITY OF REPORTING AND CONSULTATIVE</w:t>
      </w:r>
    </w:p>
    <w:p>
      <w:r>
        <w:t>AS1450 – CONSIP – CALL FOR TENDER FOR THE AWARD OF ELECTRONIC MAIL AND CERTIFIED EMAIL SERVICES – FIRST EDITION</w:t>
      </w:r>
    </w:p>
    <w:p>
      <w:r>
        <w:t>Rome, November 3, 2017</w:t>
      </w:r>
    </w:p>
    <w:p>
      <w:r>
        <w:t>Ministry of Economy and Finance</w:t>
      </w:r>
    </w:p>
    <w:p>
      <w:r>
        <w:t>Subject: request for opinion Vs. prot. n. 0130276/2017 of October 12, 2017 regarding the "Call for tender for the award of Electronic Mail Services (PEL) and Certified Electronic Mail (PEC) in favor of the Public Administrations – Edition 1 (ID 1804)."</w:t>
      </w:r>
    </w:p>
    <w:p>
      <w:r>
        <w:t>With reference to the request for opinion formulated pursuant to Article 22 of Law No. 287 of October 10, 1990, by this Ministry concerning the tender documentation regarding the procedure prepared by Consip S.p.A. for the award of Electronic Mail Services (PEL) and Certified Electronic Mail (PEC) in favor of the Public Administrations – Edition 1, it is communicated that the Antitrust Authority, in its meeting of October 31, 2017, deemed that the provisions contained in such drafts are substantially in line with the guidelines expressed by this Authority regarding calls for tenders prepared by Consip S.p.A.</w:t>
      </w:r>
    </w:p>
    <w:p>
      <w:r>
        <w:t>The Authority reserves the right to evaluate the outcomes of the tender, should elements emerge during its conduct that could configure anti-competitive illicit activities.</w:t>
      </w:r>
    </w:p>
    <w:p>
      <w:r>
        <w:t>THE SECRETARY GENERAL</w:t>
      </w:r>
    </w:p>
    <w:p>
      <w:r>
        <w:t>Roberto Chieppa</w:t>
      </w:r>
    </w:p>
    <w:p>
      <w:r>
        <w:rPr>
          <w:b/>
        </w:rPr>
        <w:t>[Pages 37–39]</w:t>
      </w:r>
    </w:p>
    <w:p>
      <w:r>
        <w:t>BULLETIN NO. 45 OF NOVEMBER 27, 2017</w:t>
      </w:r>
    </w:p>
    <w:p>
      <w:r>
        <w:t>AS1451 – DECREE LAW 50/2017 - SHORT-TERM RENTAL AND TOURIST OFFER</w:t>
      </w:r>
    </w:p>
    <w:p>
      <w:r>
        <w:t>Rome, November 24, 2017</w:t>
      </w:r>
    </w:p>
    <w:p>
      <w:r>
        <w:t xml:space="preserve">President of the Senate of the Republic  </w:t>
        <w:br/>
        <w:t xml:space="preserve">President of the Chamber of Deputies  </w:t>
        <w:br/>
        <w:t xml:space="preserve">Minister of Economy and Finance  </w:t>
        <w:br/>
        <w:t>Director of the Revenue Agency</w:t>
      </w:r>
    </w:p>
    <w:p>
      <w:r>
        <w:t>The Italian Competition Authority, in exercising the powers conferred by Article 21 of Law No. 287 of October 10, 1990, in its meeting of November 15, 2017, deemed it appropriate to make the following considerations regarding the potential restrictive impact on competition arising from certain provisions of Decree Law No. 50 of April 24, 2017, converted, with amendments, by Law No. 96 of June 21, 2017, containing "Urgent provisions on financial matters, initiatives in favor of local authorities, further interventions for areas affected by seismic events, and measures for development."</w:t>
      </w:r>
    </w:p>
    <w:p>
      <w:r>
        <w:t>In particular, the legislation introduced by Article 4, paragraphs 5 and 5-bis, of Decree Law 50/2017, concerning the tax regime for short-term rentals, appears potentially capable of altering competitive dynamics among different operators, with possible negative repercussions on the final consumers of short-term rental services (i.e., the tenants), to the extent that it imposes on those who carry out intermediation activities "if they collect the rents or the payments related to the contracts [for short-term rentals], or if they intervene in the payment of the aforementioned rents or payments" to operate "as a withholding agent" with a withholding of 21 percent and to provide for the related payment (paragraph 5) and, if they are non-resident intermediaries in Italy, lacking a permanent establishment, also to appoint a tax representative, in order to comply with the obligations set forth in the same article (paragraph 5-bis).</w:t>
      </w:r>
    </w:p>
    <w:p>
      <w:r>
        <w:t>It is noted that the Authority is fully aware that the legislator's intervention aims to achieve a public interest of a fiscal nature and to combat tax evasion. However, the introduction of the aforementioned obligations does not appear proportionate to the pursuit of such objectives, as it is believed that these could be pursued just as effectively with tools that do not simultaneously lead to possible competitive distortions in the sector.</w:t>
      </w:r>
    </w:p>
    <w:p>
      <w:r>
        <w:t>The aforementioned legislation currently represents a unique case within the European landscape. In particular, it is noted that the aforementioned legislative intervention could, in fact, discourage the offering of digital payment methods by platforms which, as is known, have simplified and at the same time incentivized online transactions, contributing to a general growth of the economic system. In this perspective, the fiscal intervention under examination appears likely to alter the competitive dynamics among the operators of electronic portals, to the detriment of those who adopt business models strongly characterized by the use of electronic payment tools, which in recent years have become established in the digital economy sector, proving functional to its promotion and to the expansion of the range and quality of services offered, as well as to the development of competitive dynamics among the various operators of the aforementioned electronic portals.</w:t>
      </w:r>
    </w:p>
    <w:p>
      <w:r>
        <w:t>The tax obligation related to the assumption of the role of withholding agent, in fact, represents an additional administrative burden not directly linked to the business activity carried out by operators in the sector, and appears likely to disincentivize intermediaries from making digital payment methods available to tenants on their platforms. Moreover, the provision of such payment methods on the electronic platforms of some major operators in the sector is accompanied by the provision, also in favor of tenants, of a series of commercial guarantees that neutralize the risks associated with the loss of amounts paid to landlords when the intermediated service does not correspond to that actually offered on the platform or by the real estate intermediary. The use of digital payment methods through the platform thus strengthens the position of the tenant, as their use in the remote conclusion of short-term rental contracts allows access to and enjoyment of additional guarantees not provided by law. In fact, tenants who have made payment through the electronic platform can, in a greater number of cases, turn directly to the operator for any refund procedures, resulting in greater predictability of the outcomes of such procedures and a possible reduction in transaction costs.</w:t>
      </w:r>
    </w:p>
    <w:p>
      <w:r>
        <w:t>The application of the obligations provided for by Article 4, paragraphs 5 and 5-bis of Decree Law 50/2017 would primarily affect those operators who have adopted a business model characterized by a greater reliance on digital payment systems by consumers to whom additional forms of guarantee are connected. Therefore, the potential lesser use of digital payment methods by electronic platforms in the context of short-term rentals could penalize final consumers, leading to a reduced breadth and variety of offerings, as well as having a possible negative impact on demand itself – no longer supported by commercial guarantees related to the use of digital payment tools – ultimately altering the existing competitive conditions in the entire segment of the tourist offer of accommodation facilities, both traditional and non-traditional.</w:t>
      </w:r>
    </w:p>
    <w:p>
      <w:r>
        <w:t>Finally, it is observed that the operators of peer-to-peer platforms active in other sectors of the digital economy, which play an equally important role in connecting individuals acting non-commercially for the conclusion of consumer-to-consumer contracts similar to those of short-term rentals covered by the legislative intervention – concerning both the sale of products and the provision of services – are not subject to the fiscal regulations provided for by Decree Law No. 50/2017. Also from an intersectoral perspective, therefore, the aforementioned legislative intervention appears likely to create a possible asymmetry in the competitive dynamics existing within the various sectors of the digital economy, which, instead, would seem appropriate to regulate as uniformly as possible, given the continuous evolution in the dynamics of supply and demand.</w:t>
      </w:r>
    </w:p>
    <w:p>
      <w:r>
        <w:t>The Authority believes that, in order to satisfy the fiscal interest underlying the legislation in question and at the same time avoid creating competitive disadvantages among the different business models adopted by those engaged in real estate intermediation activities, including through the management of online portals in the context of short-term rentals, the regulation could be limited to providing for less burdensome measures for the parties involved, such as, for example, the current provision of an informational tax obligation for intermediaries and managers of real estate electronic platforms (Article 4, paragraph 4, of Decree Law No. 50/2017).</w:t>
      </w:r>
    </w:p>
    <w:p>
      <w:r>
        <w:t>This obligation, in fact, also in light of the clarifications provided by the Revenue Agency with Circular No. 24 of October 12, 2017, appears proportionate, to the extent that it does not alter the competitive comparison among operators in the sector and does not have any impact on the choice to make digital payment methods available to consumers. Furthermore, this informational obligation appears to allow the Tax Authority to have the necessary informational set to carry out any checks on the income derived from short-term rental contracts that fall under the legislation in question.</w:t>
      </w:r>
    </w:p>
    <w:p>
      <w:r>
        <w:t>The Authority hopes that the observations made above will be duly considered, particularly with regard to the regulation of short-term rentals and during future legislative interventions concerning the digital economy sector.</w:t>
      </w:r>
    </w:p>
    <w:p>
      <w:r>
        <w:t>The Authority invites communication, within thirty days from the receipt of this notice, of the determinations taken regarding the competitive issues highlighted above. This notice will be published in the Bulletin referred to in Article 26 of Law No. 287/90.</w:t>
      </w:r>
    </w:p>
    <w:p>
      <w:r>
        <w:t xml:space="preserve">f.f. THE PRESIDENT  </w:t>
        <w:br/>
        <w:t>Gabriella Muscolo</w:t>
      </w:r>
    </w:p>
    <w:p>
      <w:r>
        <w:rPr>
          <w:b/>
        </w:rPr>
        <w:t>[Pages 40–42]</w:t>
      </w:r>
    </w:p>
    <w:p>
      <w:r>
        <w:t>42 BULLETIN NO. 45 OF NOVEMBER 27, 2017</w:t>
      </w:r>
    </w:p>
    <w:p>
      <w:r>
        <w:t>AS1452 – MEASURES CONTAINED IN THE CONVERSION TEXT OF DECREE LAW 148/2017 (FISCAL DECREE)</w:t>
      </w:r>
    </w:p>
    <w:p>
      <w:r>
        <w:t>Rome, November 24, 2017</w:t>
      </w:r>
    </w:p>
    <w:p>
      <w:r>
        <w:t xml:space="preserve">President of the Senate of the Republic  </w:t>
        <w:br/>
        <w:t xml:space="preserve">President of the Chamber of Deputies  </w:t>
        <w:br/>
        <w:t>President of the Council of Ministers</w:t>
      </w:r>
    </w:p>
    <w:p>
      <w:r>
        <w:t>The Antitrust Authority, in the exercise of the powers conferred by Article 22 of Law No. 287 of October 10, 1990, in its meeting of November 22, 2017, deemed it appropriate to make the following considerations regarding certain measures present in the current text of Decree Law 148/2017 and in the DDL AC 4741 for its conversion "Conversion into law, with amendments, of Decree-Law No. 148 of October 16, 2017, containing urgent provisions on financial matters and for unavoidable needs. Amendment to the regulation on the extinction of the crime for reparatory conduct" (so-called fiscal decree), approved by the Senate and currently under discussion in the Chamber.</w:t>
      </w:r>
    </w:p>
    <w:p>
      <w:r>
        <w:t>The Authority appreciated that in this legislature, for the first time, Law No. 124/2017, the Annual Law for Competition and the Market, has been approved, which constitutes an important confirmation of the Government's sensitivity to the role that competition can play, not only for the well-being of consumers but also for economic growth. This line of intervention in favor of promoting competition is also reflected in the Government's programmatic lines as reported in the Economic and Financial Document (DEF).</w:t>
      </w:r>
    </w:p>
    <w:p>
      <w:r>
        <w:t>However, the Authority observes with concern the introduction in the text under discussion of DDL AC 4741 for the conversion of the aforementioned Decree Law 148/2017 of a series of measures likely to hinder the competitive process, which seem to mark a reversal of trend, nullifying even the recently introduced pro-competitive reforms.</w:t>
      </w:r>
    </w:p>
    <w:p>
      <w:r>
        <w:t>The Authority's concerns focus in particular on two issues: i) the measures related to the introduction of a "fair compensation" for all professions; ii) the reform of the collection of copyright and the limitations imposed on all potential competitors of SIAE other than collecting societies from other European countries.</w:t>
      </w:r>
    </w:p>
    <w:p>
      <w:r>
        <w:t>1. Fair compensation for professional services</w:t>
      </w:r>
    </w:p>
    <w:p>
      <w:r>
        <w:t>Firstly, the measures provided for in the area of fair compensation and abusive clauses introduced in the Senate during the discussion of the conversion bill of Decree Law 148/2017 come to the fore.</w:t>
      </w:r>
    </w:p>
    <w:p>
      <w:r>
        <w:t>Article 19 quaterdecies of the aforementioned bill introduces, for all professions, a regulation on abusive clauses that is additional both to that already provided for by the Civil Code in Articles 1341 and 1342, and to that introduced by Law No. 81 of May 22, 2017 (Jobs Act).</w:t>
      </w:r>
    </w:p>
    <w:p>
      <w:r>
        <w:t>The provision in question, in paragraph 1, provides for the introduction of Article 13 bis in Law No. 247 of December 31, 2012 (law on the legal profession), already the subject of a report by the Authority, in order to provide a specific regulation on the fair compensation for legal services applicable in cases where the professional service is performed "in favor of banking and insurance companies, as well as companies not falling within the categories of micro-enterprises or small or medium-sized enterprises, as defined in Recommendation 2003/361/EC of the Commission of May 6, 2003." The subsequent paragraph 2 extends the regulation "also to the services rendered by the professionals referred to in Article 1 of Law No. 81 of May 22, 2017, also registered with the orders and colleges, whose parameters for the purposes of paragraph 10 of the aforementioned article are defined by ministerial decrees adopted pursuant to Article 9 of Decree Law No. 1 of January 24, 2012, converted, with amendments, by Law No. 27 of March 24, 2012."</w:t>
      </w:r>
    </w:p>
    <w:p>
      <w:r>
        <w:t>The regulation in question introduces the general principle that contractual clauses between professionals and clients that set a fee below the values provided in the parameters identified by the ministerial decrees would be considered abusive and therefore null.</w:t>
      </w:r>
    </w:p>
    <w:p>
      <w:r>
        <w:t>This relative nullity could only be invoked by the professional. The rule, insofar as it links the fairness of the fee to the tariff parameters contained in the aforementioned decrees, effectively reintroduces minimum tariffs, with the effect of hindering price competition among professionals in commercial relations with such types of clients. While it is true that a protective nullity would be introduced, actionable exclusively by the professional, it is highly unlikely that clients would accept the setting of a fee at lower levels, thus assuming the risk of being contested during or even after the fact for non-compliance with the principle of fairness.</w:t>
      </w:r>
    </w:p>
    <w:p>
      <w:r>
        <w:t>With reference to the public administration, it is noted that, based on paragraph 3 of the article in question, the PA is required to ensure "the principle of fair compensation in relation to the services rendered by professionals in execution of assignments conferred after the entry into force of this law." The PA is therefore precluded from accepting services with fees lower than those set in the ministerial decrees.</w:t>
      </w:r>
    </w:p>
    <w:p>
      <w:r>
        <w:t>In conclusion, through the provision in question, the determination of the fees of professionals is removed from free negotiation between the parties (albeit only with reference to certain categories of clients). This objective is achieved both by affirming the principle of the right to fair compensation as described above, and by qualifying (in paragraph 5) as abusive contractual clauses that affect the professional's fee.</w:t>
      </w:r>
    </w:p>
    <w:p>
      <w:r>
        <w:t>The article in question, which among other things reintroduces some provisions already included in bills presented to the Chamber and the Senate, is, overall, in contrast with established principles aimed at protecting competition.</w:t>
      </w:r>
    </w:p>
    <w:p>
      <w:r>
        <w:t>The described legislative intervention, if implemented as proposed, would therefore result in an unjustified reversal of trend with respect to the important and demanding process of liberalization of professions, ongoing for over a decade and for which the Authority has consistently expressed support. These are, in fact, measures that, beyond the motivations that would seek to justify them, fully reintroduce the same competitive problems that the Authority has had occasion to report on several occasions regarding minimum tariffs.</w:t>
      </w:r>
    </w:p>
    <w:p>
      <w:r>
        <w:t>According to established national and community antitrust principles, in fact, fixed and minimum professional fees constitute a serious restriction of competition, as they prevent professionals from adopting independent economic behaviors and, therefore, from using the most important competitive tool, namely the price of the service.</w:t>
      </w:r>
    </w:p>
    <w:p>
      <w:r>
        <w:t>In this perspective, the actual presence of price competition in professional services cannot in any way be linked to a devaluation of the profession, since, as the Authority has repeatedly pointed out, it is rather the security offered by the protection of a fixed or minimum tariff that...</w:t>
      </w:r>
    </w:p>
    <w:p>
      <w:r>
        <w:rPr>
          <w:b/>
        </w:rPr>
        <w:t>[Pages 43–45]</w:t>
      </w:r>
    </w:p>
    <w:p>
      <w:r>
        <w:t>BULLETIN NO. 45 OF NOVEMBER 27, 2017</w:t>
      </w:r>
    </w:p>
    <w:p>
      <w:r>
        <w:t>45</w:t>
        <w:br/>
        <w:t>to discourage the provision of adequate services and to ensure that professionals already established in the market enjoy a position rent, determining the exit from the market of younger colleagues who can initially offer a lower price. It is known, in fact, that the quality of a professional service is perceived over time and, at the time of choice, the reputation of the professional assumes crucial importance, which can only be undermined through particularly advantageous offers that induce the client to trust a less established professional.</w:t>
      </w:r>
    </w:p>
    <w:p>
      <w:r>
        <w:t>It would be precisely the newcomers who would be harmed by the reintroduction of minimum fees, as they would see their opportunities to become known in the market drastically compromised and, ultimately, to compete with established colleagues who have greater resources for acquiring clientele, even of particular significance.</w:t>
      </w:r>
    </w:p>
    <w:p>
      <w:r>
        <w:t>Therefore, the reintroduction of minimum prices, which would be achieved through the ex lege provision of the principle of fair compensation, would end up limiting competitive comparisons among members of the same category, rather than protecting the interests of the community.</w:t>
      </w:r>
    </w:p>
    <w:p>
      <w:r>
        <w:t>Any critical issues related to the presence of users of professional services with high demand power should certainly not be addressed through the establishment of a minimum price for the provision of the aforementioned services, which would have the sole effect of altering the proper functioning of market dynamics and the efficient allocation of resources, effectively hindering the spontaneous adjustment of supply and demand. The existence of possible situations of contractual imbalance can instead be addressed through better utilization of the opportunities offered by new organizational models and possibilities for aggregation. For example, one might consider the recently introduced possibility for lawyers, by the competition law (l. 124/2017), to establish professional firms in the form of capital companies or multidisciplinary firms, through which significant economies of scale can certainly be achieved, without compromising the quality of the service.</w:t>
      </w:r>
    </w:p>
    <w:p>
      <w:r>
        <w:t>Conversely, every economic sector in which such market conditions (demand power) exist (or are likely to occur) should see the legislative introduction of predefined minimum prices with a total exclusion of any degree of competition.</w:t>
      </w:r>
    </w:p>
    <w:p>
      <w:r>
        <w:t>From all of the above, it can be concluded that the aforementioned provisions, although limited to certain types of contractual relationships (“strong clients” and public administrations), are not justified by an imperative reason of general interest, nor do they comply with the principle of proportionality, as they have the effect of eliminating competitive comparison at its root.</w:t>
      </w:r>
    </w:p>
    <w:p>
      <w:r>
        <w:t>On the other hand, the need to address any contractual imbalances could find an adequate response in other instruments already available in the legal system.</w:t>
      </w:r>
    </w:p>
    <w:p>
      <w:r>
        <w:t>It is particularly worth noting that the recent regulation on the protection of self-employment could meet the protection needs concerning “strong” clients in situations of potential contractual imbalance. The Jobs Act has, in fact, already provided for the extension of the regulation on late payments in commercial transactions (art. 2) and has identified specific abusive clauses and conduct – establishing their ineffectiveness where adopted – aimed precisely at protecting the weaker party (art. 3). In particular, these are clauses that grant the client the power to unilaterally modify the contract conditions or withdraw from it without adequate notice and that set payment terms exceeding 60 days. The refusal of the client to enter into a written contract is also considered abusive, and the regulation on the abuse of economic dependence (art. 9 law June 18, 1998, n. 192) is also extended to professions.</w:t>
      </w:r>
    </w:p>
    <w:p>
      <w:r>
        <w:t>In light of this regulation, therefore, the proposal to introduce an additional regulation that moves along the same lines would not even be necessary.</w:t>
      </w:r>
    </w:p>
    <w:p>
      <w:r>
        <w:t>In conclusion, Article 19 quaterdecies of the bill under examination, as it is capable of reintroducing a system of minimum fees into the legal system, moreover extended to the entire sector of professional services, does not comply with the principles of competitive proportionality, in addition to being in stark contrast to the liberalization processes that, in recent years, have affected our legal system even in the sector of regulated professions.</w:t>
      </w:r>
    </w:p>
    <w:p>
      <w:r>
        <w:t>In this regard, it is emphasized that the awareness of the existence of “a potential tension between, on the one hand, the need for a certain level of regulation of these professions and, on the other, the competition rules of the treaty” had already led the European Commission in 2004 to invite Member States to strictly apply the proportionality test, subsequently provided for by Directive 2006/123/EC of the European Parliament and of the Council, of December 12, 2006, on services in the internal market (art. 15) in order to maintain in force exclusively rules that are objectively necessary to achieve general interest objectives and constitute the least restrictive measure of competition.</w:t>
      </w:r>
    </w:p>
    <w:p>
      <w:r>
        <w:t>2. Collective management of copyright</w:t>
      </w:r>
    </w:p>
    <w:p>
      <w:r>
        <w:t>Secondly, the measures introduced regarding the collective management of copyright in Article 19 of Decree Law 148/2017 in the text approved by the Senate are noteworthy.</w:t>
      </w:r>
    </w:p>
    <w:p>
      <w:r>
        <w:t>The measure reconsiders the monopoly regime of SIAE that has characterized the collection of copyright in our country until now. This is undoubtedly a step forward towards the long-desired opening to competition by the Authority; however, the liberalization process is incomplete and only partially effective as it limits the possibility of competing with SIAE to collective management organizations only.</w:t>
      </w:r>
    </w:p>
    <w:p>
      <w:r>
        <w:t>In fact, it is noted that Article 19, paragraph 1, of Decree Law 148/2017, amending Law April 22, 1941, n. 633, on copyright (“LDA”), grants, in addition to SIAE, also to “other collective management organizations referred to in Legislative Decree March 15, 2017, n. 35” the exclusive reserve on the activity of intermediation on copyright. However, this amendment results in a significant competitive restriction as it limits the provision of this type of service to a single category of subjects, namely collective management organizations. In this sense, the provision in question is in contrast with the repeatedly desired full opening “to competition [of] the intermediation activity [of copyright], in line with what has been done with respect to related rights, the intermediation of which, previously subject to the monopoly of Nuovo IMAIE, has been liberalized through Article 39 of Decree Law January 24, 2012, n. 1”.</w:t>
      </w:r>
    </w:p>
    <w:p>
      <w:r>
        <w:t>In particular, since the regulation itself allows the entry into the Italian market of operators other than SIAE, this restriction does not appear to be supported by any imperative public interest requirement related to the structure and functioning of the market. This choice raises a significant proportionality issue as it discriminates between operators solely on the basis of their organizational characteristics. The lack of proportionality of the restriction also emerges from the fact that the forms of organization of the intermediation activity that it was intended to exclude constitute a concrete reality in other contexts, such as the United States and several Member States, such as Bulgaria, Croatia, Finland, Greece, Ireland, Portugal, the Czech Republic, Spain, and Hungary. This demonstrates that the full liberalization of collective management activities of copyright is fully compatible with the functioning of markets and the protection of represented subjects.</w:t>
      </w:r>
    </w:p>
    <w:p>
      <w:r>
        <w:t>It is therefore deemed necessary to reiterate that the liberalization intervention should be complemented by a comprehensive reform of the intermediation methods of rights outlined by the LDA, expanding as much as possible the variety of choice for authors regarding operators to whom to entrust the management of their rights, including, for example, independent management entities, as defined and provided for by Directive 2014/26/EU.</w:t>
      </w:r>
    </w:p>
    <w:p>
      <w:r>
        <w:t>Moreover, if the objective pursued by the amendment provided for in Article 19, paragraph 1, of Decree Law 148/2017 was to allow for a broader unfolding of competition in the copyright intermediation market, the limitation to collective management organizations does not take into account the reality of the reciprocal representation relationships that characterize the Italian market. In this context, a partial liberalization of the market risks proving entirely ineffective, effectively maintaining the existing monopoly situation in the market, hindering technological innovation and the birth and development of new markets, as it prevents the establishment of an offer for distinct innovative services, leaving a current and potential demand unsatisfied. Furthermore, the exclusion of competitors results in a reduction of services offered to authors, which could discourage them from expanding their repertoire of works and the consequent use of the same to the detriment, ultimately, of the end consumers who would benefit from a lesser variety of works and modes of enjoyment of the same.</w:t>
      </w:r>
    </w:p>
    <w:p>
      <w:r>
        <w:t>In light of the considerations outlined above, the Authority therefore hopes for a competitive modification of Article 19, paragraph 1, of Decree Law 148/2017, in the sense of adding, after “and to other collective management organizations,” also the words “and independent management entities referred to in Legislative Decree March 15, 2017, n. 35.” This revision thus appears more consistent with the regulation aimed at protecting competition regarding the tools aimed at ensuring effective protection for authors and users.</w:t>
      </w:r>
    </w:p>
    <w:p>
      <w:r>
        <w:rPr>
          <w:b/>
        </w:rPr>
        <w:t>[Pages 46–48]</w:t>
      </w:r>
    </w:p>
    <w:p>
      <w:r>
        <w:t>48 BULLETIN NO. 45 OF NOVEMBER 27, 2017</w:t>
        <w:br/>
        <w:t>* * *</w:t>
        <w:br/>
        <w:t>In conclusion, the Authority hopes that the considerations outlined above will be adequately taken into account in the continuation of the legislative process for the approval of Decree-Law 148/2017 and the DDL AC 4741 "Conversion into law, with amendments, of Decree-Law of October 16, 2017, no. 148, containing urgent provisions on financial matters and for unavoidable needs. Amendment to the regulation on the extinction of the offense for reparatory conduct" (so-called fiscal decree). This report will be published in the Bulletin of the Authority for the Protection of Competition and the Market.</w:t>
        <w:br/>
        <w:t>f.f. THE PRESIDENT</w:t>
        <w:br/>
        <w:t>Gabriella Muscolo</w:t>
      </w:r>
    </w:p>
    <w:p>
      <w:r>
        <w:t>BULLETIN NO. 45 OF NOVEMBER 27, 2017 49</w:t>
        <w:br/>
        <w:t>UNFAIR COMMERCIAL PRACTICES</w:t>
        <w:br/>
        <w:t>IP277 - TELECOM - AMENDMENTS TO CONTRACTUAL CLAUSES</w:t>
        <w:br/>
        <w:t>Provision no. 26844</w:t>
        <w:br/>
        <w:t>THE AUTHORITY FOR THE PROTECTION OF COMPETITION AND THE MARKET</w:t>
        <w:br/>
        <w:t>IN ITS MEETING of November 8, 2017;</w:t>
        <w:br/>
        <w:t>HEARD the Rapporteur Dr. Gabriella Muscolo;</w:t>
        <w:br/>
        <w:t>HAVING REGARD TO Part III, Title I of Legislative Decree No. 206 of September 6, 2005, containing the "Consumer Code" and subsequent amendments (hereinafter, Consumer Code);</w:t>
        <w:br/>
        <w:t>HAVING REGARD TO Article 37 bis, paragraph 2, of the Consumer Code, according to which, in the event of non-compliance with the provisions of paragraph 1 of the same article, the Authority applies an administrative pecuniary sanction from €5,000 to €50,000;</w:t>
        <w:br/>
        <w:t>HAVING REGARD TO Law No. 689 of November 24, 1981;</w:t>
        <w:br/>
        <w:t>HAVING REGARD TO Article 23 of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w:t>
        <w:br/>
        <w:t>HAVING REGARD TO its resolution no. 26516 of March 30, 2017, with which the Authority ascertained the unfairness of the clause relating to unilateral contractual amendments, contained in the standard contractual models adopted by Telecom Italia S.p.A. for the provision of goods and telecommunication services, and ordered the publication for 20 days of an excerpt of the provision (attached to the resolution itself) on the homepage of its website;</w:t>
        <w:br/>
        <w:t>HAVING REGARD TO its resolution of August 2, 2017, with which the Authority initiated the non-compliance procedure against Telecom Italia S.p.A. for violation of Article 37 bis, paragraph 2, of the Consumer Code regarding the failure to publish the excerpt of the Authority's resolution no. 26516 of March 30, 2017;</w:t>
        <w:br/>
        <w:t>HAVING REGARD TO the acts of the procedure;</w:t>
        <w:br/>
        <w:t>CONSIDERING the following:</w:t>
        <w:br/>
        <w:t>I. PREMISE</w:t>
        <w:br/>
        <w:t>1. With provision no. 26516 of March 30, 2017, the Authority ascertained the unfairness, pursuant to Article 33, paragraphs 1 and 2, letter m), of the Consumer Code, of the clause relating to contractual amendments that the professional reserves the right to make unilaterally, during the execution of the contract, included in the forms prepared by Telecom Italia S.p.A. for the provision of goods and services, both in the versions in use until June 30, 2016, and in those used subsequently.</w:t>
        <w:br/>
        <w:t>2. The forms, subject to investigation, with the indication of the article that includes the clause in question, are, with respect to those in use until June 30, 2016:</w:t>
      </w:r>
    </w:p>
    <w:p>
      <w:r>
        <w:t>50 BULLETIN NO. 45 OF NOVEMBER 27, 2017</w:t>
        <w:br/>
        <w:t>- for fixed telephony:</w:t>
        <w:br/>
        <w:t>i. General Conditions of Subscription to the Telephone Service – updated to July 2015 (Article 13);</w:t>
        <w:br/>
        <w:t>ii. General Conditions of Fiber Contract - updated to May 2016 (Article 13);</w:t>
        <w:br/>
        <w:t>iii. General Conditions of ADSL Contract - updated to May 2016 (Article 15);</w:t>
        <w:br/>
        <w:t>iv. General Conditions for the enjoyment of content of the TIMvision service – updated to April 2016 (Article 12);</w:t>
        <w:br/>
        <w:t>v. General conditions of the subscription offer TIMvision with included decoder – updated to April 2016 (Article 14);</w:t>
        <w:br/>
        <w:t>- for mobile telephony:</w:t>
        <w:br/>
        <w:t>i. General Conditions of Subscription to TIM Mobile Services updated to June 2015 (Article 7.14).</w:t>
        <w:br/>
        <w:t>3. With respect to the forms currently used and updated since July 2016:</w:t>
        <w:br/>
        <w:t>- for fixed telephony:</w:t>
        <w:br/>
        <w:t>i. General Conditions of Subscription to the Telephone Service (Article 13);</w:t>
        <w:br/>
        <w:t>ii. General Conditions of Fiber Contract (Article 13);</w:t>
        <w:br/>
        <w:t>iii. General Conditions of ADSL Contract (Article 15);</w:t>
        <w:br/>
        <w:t>iv. General Conditions of Contract for Voice Services and Disabling (Article 12);</w:t>
        <w:br/>
        <w:t>v. General Conditions of Sale of Products (Article 9);</w:t>
        <w:br/>
        <w:t>vi. General Conditions of Rental of Products (Article 15);</w:t>
        <w:br/>
        <w:t>vii. General Conditions of Contract for Antivirus Service (Article 12);</w:t>
        <w:br/>
        <w:t>viii. General Conditions of Contract for TI Cloud Service (Article 12);</w:t>
        <w:br/>
        <w:t>ix. General Conditions of Contract for Total Security Service (Article 12);</w:t>
        <w:br/>
        <w:t>x. General conditions for the enjoyment of content of the TIMvision service (Article 12);</w:t>
        <w:br/>
        <w:t>xi. General conditions of the subscription offer TIMvision with included decoder (Article 14);</w:t>
        <w:br/>
        <w:t>- for mobile telephony:</w:t>
        <w:br/>
        <w:t>i. General Conditions of Subscription to TIM Mobile Services (Article 14).</w:t>
        <w:br/>
        <w:t>4. Following the ascertainment of the unfairness of the contractual clauses included in the forms mentioned above, the Authority ordered, in relation to the need to fully inform consumers, pursuant to Article 23, paragraph 8 of the Regulation, the publication for 20 days – at the care and expense of the company – of an excerpt of the aforementioned provision no. 26516 adopted against Telecom Italia S.p.A. on the homepage of the professional's website. In the provision, the company was given a term of twenty days to comply with the publication of the excerpt, expressly requesting to communicate to the Authority the methods and timing of execution of said publication.</w:t>
        <w:br/>
        <w:t>5. The aforementioned provision no. 26516 of March 30, 2017, was notified to the Professional on April 19, 2017.</w:t>
        <w:br/>
        <w:t>6. On May 9, 2017, at the expiration of the 20-day term from the date of notification of the Authority's provision to the professional, a communication was received from Telecom Italia S.p.A. informing the Authority of the company's assessments, namely:</w:t>
        <w:br/>
        <w:t>- that it does not "consider the conclusions [on the unfairness of the clause] reached by this esteemed Authority to be shareable, in terms of law, also in light of recent jurisprudential orientations on the matter";</w:t>
      </w:r>
    </w:p>
    <w:p>
      <w:r>
        <w:rPr>
          <w:b/>
        </w:rPr>
        <w:t>[Pages 49–51]</w:t>
      </w:r>
    </w:p>
    <w:p>
      <w:r>
        <w:t>BULLETIN NO. 45 OF NOVEMBER 27, 2017</w:t>
      </w:r>
    </w:p>
    <w:p>
      <w:r>
        <w:t>51</w:t>
        <w:br/>
        <w:t>- to be forced to "pursue the path of judicial protection of our interests (also on a precautionary basis)";</w:t>
        <w:br/>
        <w:t>- and therefore to be unable to "comply with the Order of Publication received with the Provision, considering it appropriate to postpone any decision regarding said compliance until the outcome of the appeal proceedings."</w:t>
      </w:r>
    </w:p>
    <w:p>
      <w:r>
        <w:t>7. The company, therefore, did not comply with the publication order issued by the Authority. Consequently, the conditions for contesting the non-compliance of Telecom Italia S.p.A. exist, and with provision no. 26721 of August 2, 2017, the initiation of the related procedure against it was decided.</w:t>
      </w:r>
    </w:p>
    <w:p>
      <w:r>
        <w:t>8. The provision initiating the non-compliance with resolution no. 26516 of March 30, 2017, was duly notified to the company Telecom Italia S.p.A. on August 18, 2017.</w:t>
      </w:r>
    </w:p>
    <w:p>
      <w:r>
        <w:t>9. On September 18, 2017, the Company submitted its defense memorandum.</w:t>
      </w:r>
    </w:p>
    <w:p>
      <w:r>
        <w:t>10. On October 4, 2017, the deadline for concluding the investigative phase was communicated to the Party.</w:t>
      </w:r>
    </w:p>
    <w:p>
      <w:r>
        <w:t>II. THE ARGUMENTS OF THE PARTY</w:t>
      </w:r>
    </w:p>
    <w:p>
      <w:r>
        <w:t>11. Telecom Italia S.p.A., with a memorandum received on September 18, 2017, stated that:</w:t>
        <w:br/>
        <w:t>- it had informed the Authority with a communication dated May 9, 2017, that, disagreeing with the findings made with provision no. 26516, it "would appeal against such Resolution, postponing any decision [on] compliance until the outcome of the appeal proceedings";</w:t>
        <w:br/>
        <w:t>- it had filed on June 13, 2017, "an appeal to the TAR Lazio against the decision in question, requesting precautionary measures pursuant to Article 55, paragraph 10, of the administrative process code";</w:t>
        <w:br/>
        <w:t>- it "deemed it appropriate to wait for the final ruling of the administrative judge on the legitimacy of the resolution before making any determination regarding the order of publication," having the TAR Lazio set the public hearing for the discussion of the appeal for April 11, 2018.</w:t>
      </w:r>
    </w:p>
    <w:p>
      <w:r>
        <w:t>III. EVALUATIONS</w:t>
      </w:r>
    </w:p>
    <w:p>
      <w:r>
        <w:t>12. In light of the investigative findings and based on the overall elements in the records, it is believed that the behavior exhibited by Telecom Italia S.p.A. constitutes non-compliance with resolution no. 26516 of March 30, 2017, as the company did not comply with the order to publish the extract of the provision determining the unfairness against it.</w:t>
      </w:r>
    </w:p>
    <w:p>
      <w:r>
        <w:t>13. In fact, it appears that the company Telecom Italia S.p.A. consciously omitted the publication of the extract of the aforementioned provision determining the unfairness of the clause related to the ius variandi, present in the standard contractual forms, failing to inform consumers regarding the same resolution of the Authority.</w:t>
      </w:r>
    </w:p>
    <w:p>
      <w:r>
        <w:t>IV. QUANTIFICATION OF THE SANCTION</w:t>
      </w:r>
    </w:p>
    <w:p>
      <w:r>
        <w:t>14. Pursuant to Article 37 bis, paragraph 2 of the Consumer Code, the Authority imposes an administrative pecuniary sanction ranging from €5,000 to €50,000, taking into account the severity and duration of the violation.</w:t>
      </w:r>
    </w:p>
    <w:p>
      <w:r>
        <w:t>52 BULLETIN NO. 45 OF NOVEMBER 27, 2017</w:t>
      </w:r>
    </w:p>
    <w:p>
      <w:r>
        <w:t>15. Regarding the quantification of the sanction, the criteria identified by Article 11 of Law no. 689/81 must be considered, as applicable, by virtue of the reference provided by Article 27, paragraph 13, of the Consumer Code: in particular, the severity of the violation, the efforts made by the company to eliminate or mitigate the infringement, as well as the economic conditions of the company itself.</w:t>
      </w:r>
    </w:p>
    <w:p>
      <w:r>
        <w:t>16. Concerning the severity, it is relevant that, pursuant to Article 37 bis, paragraph 2, of the Consumer Code, publication is the only tool that supports the determination of unfairness, in the absence of provisions for administrative pecuniary sanctions. Furthermore, the company consciously refused to eliminate or mitigate the infringement. Therefore, non-compliance with the publication order has the effect of depriving consumers of the right to be fully informed regarding the clauses deemed unfair, thus contravening the rationale of the aforementioned norm. It is also noteworthy that this is the main company operating in the communications sector at the national level, with revenues in 2016 amounting to nearly €14 billion.</w:t>
      </w:r>
    </w:p>
    <w:p>
      <w:r>
        <w:t>17. Regarding the duration of the violation, it must be considered that, to date, the non-compliance with the order to publish the extract of the provision, issued by the Authority pursuant to Article 37 bis, paragraph 2, of the Consumer Code, is still ongoing.</w:t>
      </w:r>
    </w:p>
    <w:p>
      <w:r>
        <w:t>18. Considering these elements, pursuant to Article 37 bis, paragraph 2, of the Consumer Code, it is deemed appropriate to impose on Telecom Italia S.p.A. an administrative pecuniary sanction of €50,000 (fifty thousand euros).</w:t>
      </w:r>
    </w:p>
    <w:p>
      <w:r>
        <w:t>All of the above having been stated and considered;</w:t>
      </w:r>
    </w:p>
    <w:p>
      <w:r>
        <w:t>RESOLVES</w:t>
      </w:r>
    </w:p>
    <w:p>
      <w:r>
        <w:t>a) that the behavior of the company Telecom Italia S.p.A. consisting of not having published the extract of the resolution of March 30, 2017, no. 26516 constitutes non-compliance with what is provided therein;</w:t>
      </w:r>
    </w:p>
    <w:p>
      <w:r>
        <w:t>b) to impose on the company Telecom Italia S.p.A. an administrative pecuniary sanction of €50,000 (fifty thousand euros).</w:t>
      </w:r>
    </w:p>
    <w:p>
      <w:r>
        <w:t>The administrative sanction referred to in the previous letter b) must be paid within thirty days from the notification of this provision, using the tax codes indicated in the attached F24 model with identifying elements, pursuant to Legislative Decree no. 241/1997. Payment must be made electronically by debiting one's bank or postal account, through the home banking and CBI services provided by banks or by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following the expiration of the payment deadline until the date of payment. In case of further delay in compliance, pursuant to Article 27, paragraph 6, of Law no. 689/81, the amount due for the imposed sanction is increased by one-tenth for each semester starting from the day following the expiration of the payment deadline until the date on which the role is transmitted to the collector for collection; in this case, the increase absorbs the late interest accrued during the same period.</w:t>
      </w:r>
    </w:p>
    <w:p>
      <w:r>
        <w:t>Immediate communication of the payment must be given to the Authority by sending a copy of the model certifying the payment made.</w:t>
      </w:r>
    </w:p>
    <w:p>
      <w:r>
        <w:t>This provision will be notified to the interested parties and published in the Bulletin of the Authority for the Guarantee of Competition and the Market.</w:t>
      </w:r>
    </w:p>
    <w:p>
      <w:r>
        <w:t>Against this provision, an appeal may be submitted to the TAR of Lazio, pursuant to Article 135, paragraph 1, letter b), of the Code of Administrative Procedure (Legislative Decree July 2, 2010, no. 104), within sixty days from the date of notification of the provision itself, without prejudice to the longer terms referred to in Article 41, paragraph 5, of the Code of Administrative Procedure, or an extraordinary appeal may be proposed to the President of the Republic pursuant to Article 8 of the Decree of the President of the Republic November 24, 1971, no. 1199, within one hundred and twenty days from the date of notification of the provision itself.</w:t>
      </w:r>
    </w:p>
    <w:p>
      <w:r>
        <w:t>THE SECRETARY GENERAL THE PRESIDENT</w:t>
      </w:r>
    </w:p>
    <w:p>
      <w:r>
        <w:t>Roberto Chieppa Giovanni Pitruzzella</w:t>
      </w:r>
    </w:p>
    <w:p>
      <w:r>
        <w:rPr>
          <w:b/>
        </w:rPr>
        <w:t>[Pages 52–54]</w:t>
      </w:r>
    </w:p>
    <w:p>
      <w:r>
        <w:t xml:space="preserve">54 BULLETIN NO. 45 OF NOVEMBER 27, 2017  </w:t>
        <w:br/>
        <w:t xml:space="preserve">PS10731 - INARREDO - RIGHT OF WITHDRAWAL  </w:t>
        <w:br/>
        <w:t xml:space="preserve">Provision No. 26846  </w:t>
        <w:br/>
        <w:t xml:space="preserve">THE ANTITRUST AUTHORITY  </w:t>
        <w:br/>
        <w:t xml:space="preserve">IN ITS MEETING of November 8, 2017;  </w:t>
        <w:br/>
        <w:t xml:space="preserve">HEARD the Rapporteur Professor Michele Ainis;  </w:t>
        <w:br/>
        <w:t xml:space="preserve">VIEWED Part II, Title III, of Legislative Decree No. 206 of September 6, 2005, containing the "Consumer Code" and subsequent amendments (hereinafter, Consumer Code);  </w:t>
        <w:br/>
        <w:t xml:space="preserve">VIEWED the "Regulation on investigative procedures regarding misleading and comparative advertising, unfair commercial practices, violation of consumer rights in contracts, violation of the prohibition of discrimination and unfair clauses" (hereinafter, Regulation), adopted by the Authority with resolution of April 1, 2015;  </w:t>
        <w:br/>
        <w:t xml:space="preserve">VIEWED its provision of September 6, 2017, with which, pursuant to Article 7, paragraph 3, of the Regulation, a thirty-day extension of the conclusion deadline of the procedure was ordered, for specific investigative needs;  </w:t>
        <w:br/>
        <w:t xml:space="preserve">VIEWED the acts of the procedure;  </w:t>
        <w:br/>
        <w:t xml:space="preserve">I. THE PARTY  </w:t>
        <w:br/>
        <w:t xml:space="preserve">1. Inarredo Produzioni S.r.l. (hereinafter, Inarredo), as a professional, pursuant to Article 18, letter b), of the Consumer Code, is a company based in Brescia engaged in the manufacture and sale of armchairs, sofas, mattresses, and slatted bases. The company achieved a turnover of approximately 14 million euros in Italy as of December 31, 2016.  </w:t>
        <w:br/>
        <w:t xml:space="preserve">II. THE COMMERCIAL PRACTICE  </w:t>
        <w:br/>
        <w:t xml:space="preserve">2. This procedure concerns the behaviors carried out by Inarredo, consisting of:  </w:t>
        <w:br/>
        <w:t xml:space="preserve">a) limiting and preventing the exercise of the right of withdrawal on the purchase, outside commercial premises, of armchairs and sofas, as well as a toilet lift, with the justification that the purchased goods fall within the category of "goods made to measure or clearly personalized" as per Article 59, letter c), of the Consumer Code;  </w:t>
        <w:br/>
        <w:t xml:space="preserve">b) failing to inform the consumer clearly and understandably, as required by Article 49, letter m), of the Consumer Code, of the circumstance that the right of withdrawal is excluded for the purchased good.  </w:t>
        <w:br/>
        <w:t xml:space="preserve">III. THE OUTCOMES OF THE PROCEDURE  </w:t>
        <w:br/>
        <w:t xml:space="preserve">1) The reports received  </w:t>
        <w:br/>
        <w:t xml:space="preserve">3. The matter originates from reports by two consumers regarding the behavior of the professional concerning the sale outside commercial premises of mattresses and wooden slatted bases.  </w:t>
        <w:br/>
        <w:t>1 See docs. 1 and 4 of the investigative file.</w:t>
      </w:r>
    </w:p>
    <w:p>
      <w:r>
        <w:t xml:space="preserve">BULLETIN NO. 45 OF NOVEMBER 27, 2017 55  </w:t>
        <w:br/>
        <w:t xml:space="preserve">4. The reported conduct would consist of limiting and preventing the exercise of consumers' contractual rights regarding the right of withdrawal. In particular, the contracts signed by consumers outside commercial premises, due to the alleged personalization of the good, would exclude the right of withdrawal. Furthermore, the professional would not have adequately informed consumers of this circumstance pursuant to Article 49, letter m), of the Consumer Code. Finally, the professional would have failed to respond to the correspondence and requests from consumers aimed at exercising this right.  </w:t>
        <w:br/>
        <w:t xml:space="preserve">5. In response to a request for information sent during the pre-investigative phase following the first report, the professional, with a note received on December 13, 2016, sent the order forms signed by one of the reporters, as well as the General Conditions of Sale prepared by the company printed on the back of the order form. At the end of section C. Exceptions to the right of withdrawal of point 1 "Right of withdrawal," in very small print, the following clause is stated: "the right of withdrawal is excluded regarding the supply of goods made to measure or clearly personalized." On the front page of the order form, below the box concerning the description of the products, there is an alternative choice box with the following indication: "Product made to measure: YES |_| - NO |_|." One reporter complained that the YES box was checked even though the ordered products were of standard size and no personalization was requested (see fig. 1). The other reporter complained of not being informed about the conditions related to the right of withdrawal and of not receiving a response from the professional to a request in this regard. It was finally noted that his order form related to the supply of the contested goods also has the YES box for made-to-measure goods checked.  </w:t>
        <w:br/>
        <w:t xml:space="preserve">Fig. 1  </w:t>
        <w:br/>
        <w:t xml:space="preserve">2) The procedure's process  </w:t>
        <w:br/>
        <w:t xml:space="preserve">6. In relation to the commercial practices described above, on June 12, 2017, the investigative procedure PS10731 was initiated against Inarredo Produzioni S.r.l. to verify the existence of any unfair commercial practices.  </w:t>
        <w:br/>
        <w:t xml:space="preserve">7. In particular, concerning the behaviors described above, possible profiles of illegality were hypothesized in violation of Articles 49, paragraph 1, letter m), and 52 of the Consumer Code, as well as a hypothesis of aggressive commercial practice, pursuant to Articles 20, 24, and 25, letter d), of the Consumer Code.  </w:t>
        <w:br/>
        <w:t>2 See doc. 3 of the file.</w:t>
      </w:r>
    </w:p>
    <w:p>
      <w:r>
        <w:t xml:space="preserve">56 BULLETIN NO. 45 OF NOVEMBER 27, 2017  </w:t>
        <w:br/>
        <w:t xml:space="preserve">8. Inarredo provided information and presented defensive memoranda on June 30, September 4, and September 27, 2017, and was heard in a hearing on October 10, 2017.  </w:t>
        <w:br/>
        <w:t xml:space="preserve">9. The professional exercised the right of access to the documents of the procedure on August 1, 2017.  </w:t>
        <w:br/>
        <w:t xml:space="preserve">10. On September 6, 2017, a thirty-day extension of the conclusion deadline of the procedure was ordered, for specific investigative needs, following the request submitted by the professional on August 23, 2017, aimed at obtaining a longer period to respond to the Authority's request for information.  </w:t>
        <w:br/>
        <w:t xml:space="preserve">11. On October 5, 2017, the professional was informed of the conclusion date of the investigative phase, pursuant to Article 16, paragraph 1, of the Regulation.  </w:t>
        <w:br/>
        <w:t xml:space="preserve">12. On October 19, 2017, the final defensive memorandum was received, pursuant to Article 16, paragraph 1, of the Regulation on investigative procedures, from Inarredo.  </w:t>
        <w:br/>
        <w:t xml:space="preserve">3) The evidence acquired  </w:t>
        <w:br/>
        <w:t xml:space="preserve">13. The documents on file consist of the reports received and the information and documentation transmitted by the professional during the procedure. Based on these elements, it emerged that the professional uses an order form on whose front page, below the box concerning the description of the products, there is an alternative choice box, written in very small print and not easily readable, with the following indication: "Product made to measure: YES |_| - NO |_|." Along with the order form, an additional form, called "Custom Production Order," is filled out, through which it is possible to choose the sizes of the Magneto Bed mattresses, the Bio system wooden mattresses and slatted bases, the Make relax armchair model among the three proposed (Grace, Taormina, and Portofino), as well as the Make living sofa bed among the three proposed (Comfort, Classic, and Soft) with some predetermined elements and accessories that can be optionally chosen by checking a specific box.  </w:t>
        <w:br/>
        <w:t xml:space="preserve">14. On the back of the sales contract, throughout the entire page, the general conditions of sale of Inarredo are reported, including the information on the processing of personal data. Section C. exceptions to the right of withdrawal of point 1 "Right of withdrawal" states, in very small print and not easily readable, the following indication: "the right of withdrawal is excluded regarding the supply of goods made to measure or clearly personalized. The right of withdrawal is excluded if, once delivered, the products are unwrapped."  </w:t>
        <w:br/>
        <w:t xml:space="preserve">15. It was also found that in none of the order forms acquired in the procedure are there any further indications regarding the exclusion of the right of withdrawal following the purchase of a personalized product.  </w:t>
        <w:br/>
        <w:t>16. In a memorandum received on September 4, 2017, the professional communicated that it considers all sofas and armchairs and "all accessories directly or indirectly related to the bed that do not fall within the measurements 80X190" as made-to-measure goods. The professional also emphasized that "the policy that the company generally implements in regulating the right of withdrawal is very flexible and never disregards the precise...</w:t>
      </w:r>
    </w:p>
    <w:p>
      <w:r>
        <w:rPr>
          <w:b/>
        </w:rPr>
        <w:t>[Pages 55–57]</w:t>
      </w:r>
    </w:p>
    <w:p>
      <w:r>
        <w:t>BULLETIN NO. 45 OF NOVEMBER 27, 2017</w:t>
      </w:r>
    </w:p>
    <w:p>
      <w:r>
        <w:t>57</w:t>
        <w:br/>
        <w:t>regulating the right of withdrawal is very flexible and, without ever disregarding the precise legal provisions, reserves the right in certain cases to accept customer requests even if late and/or communicated by phone.</w:t>
      </w:r>
    </w:p>
    <w:p>
      <w:r>
        <w:t>17. The "Custom Production Order" form attached to the order form provides these options for choice: for the Magneto Bed mattress, the width and length measurements; for the Bio system, the width and length measurements of the slats and mattress, as well as the height of the feet among some predetermined measurements; for the Make relax armchairs, in addition to the model among the three provided ("Grace", "Taormina", and "Portofino"), only the color; for the Make living sofa, in addition to the model among the three provided ("Comfort", "Classic", and "Soft"), and the configuration as a sofa bed, the central element in three lengths (60, 120, 180 cm), as well as a possible mechanical seat in three configurations (relax, relax+lift, vibromassage).</w:t>
      </w:r>
    </w:p>
    <w:p>
      <w:r>
        <w:t>18. According to the data provided by the professional, in the year 2016, out of 573 withdrawal requests received, 476 requests were accepted and 97 were not accepted; up to September 2017, out of 400 withdrawal requests, 347 were accepted and 53 were not accepted.</w:t>
      </w:r>
    </w:p>
    <w:p>
      <w:r>
        <w:t>19. The professional also produced six catalogs of coverings that are offered for viewing to customers during the presentation of the products. The catalogs present samples of five models of fabric in different colors and patterns, as well as a model of eco-leather fabric (MAM fabric, 100Plus fabric, Derby fabric, Marvel fabric, Savoy fabric, and finally Eco-leather/America – Luxor).</w:t>
      </w:r>
    </w:p>
    <w:p>
      <w:r>
        <w:t>4) The defensive arguments of the Party</w:t>
      </w:r>
    </w:p>
    <w:p>
      <w:r>
        <w:t>20. With memoranda received on June 30, 2017, September 4 and 27, 2017, as well as during the hearing with the Authority's Offices on October 10, 2017, and lastly with a memorandum received on October 19, 2017, the professional presented, in summary, the following defense structure.</w:t>
      </w:r>
    </w:p>
    <w:p>
      <w:r>
        <w:t>21. As a preliminary matter, with reference to the reports mentioned in paragraph III 1) of this provision, Inarredo pointed out that, in one case, the withdrawal request was made 50 days after delivery: well beyond, therefore, the fourteen days provided by the Consumer Code to exercise the right. In the other case, Inarredo stated that it accepted the customer's withdrawal by providing for the return of the deposit received.</w:t>
      </w:r>
    </w:p>
    <w:p>
      <w:r>
        <w:t>22. Inarredo also emphasized that in conducting its commercial activity, it has always "distinguished itself by a total attitude of transparency, professionalism, and total attention to the needs expressed by customers, a situation certified by a negligible percentage of withdrawals in relation to sales made." In particular, Inarredo operates with the utmost respect for consumer requests, reserving the right to comply with their requests, even if late or communicated only by phone, and despite the fact that, in many cases, these were orders for custom-made goods.</w:t>
      </w:r>
    </w:p>
    <w:p>
      <w:r>
        <w:t>23. With reference to the merits of the contested claims, Inarredo emphasized that the home sales representatives "must propose goods to customers after a prior explanation of the characteristics of the products and their functions, illustrating the methods and timing for resolving orders and/or withdrawing from them and the cases of exclusion, such as those in which orders for custom-made goods are placed."</w:t>
      </w:r>
    </w:p>
    <w:p>
      <w:r>
        <w:t>24. The professional has repeatedly stated that it considers all sofas and armchairs and "all accessories directly or indirectly related to the bed that do not fall within the measurements 80X190" as custom-made goods. Inarredo considers all armchairs and sofas sold by it as custom-made goods, due to the extreme variety of colors, fabrics, and accessories that can be chosen by the consumer (which overall represent over 400 possible variants), as well as all mattresses and wooden slats and accessories related to the bed that do not fall within the measurements 80X190.</w:t>
      </w:r>
    </w:p>
    <w:p>
      <w:r>
        <w:t>25. With reference to withdrawal requests, the professional emphasized that "the policy that the company generally implements in regulating the right of withdrawal is very flexible and, without ever disregarding the precise legal provisions, reserves the right in certain cases to accept customer requests even if late and/or communicated by phone." In particular, Inarredo accepts in any case the withdrawal request communicated before the delivery of the good and the amount received as a deposit is refunded. After delivery, the withdrawal request is accepted in any case for all goods considered standard, while for customized goods, the company does not recognize the right of withdrawal, although it strives to find a mutually agreed solution with customers.</w:t>
      </w:r>
    </w:p>
    <w:p>
      <w:r>
        <w:t>26. With reference to mattresses and wooden slats (Biolatex and Bioflex), Inarredo pointed out that the vast majority of products sold are in the standard measurements 80X190, for which the company accepts withdrawal requests in any case. To this end, the professional provided sales data for mattresses and wooden slats in the years 2016 and 2017, from which it appears that about 75% of sales concern the measurement 80X190.</w:t>
      </w:r>
    </w:p>
    <w:p>
      <w:r>
        <w:t>27. Inarredo also claims to have provided clear and understandable information regarding the fact that with the customization of the product, the consumer will not be able to enjoy the right of withdrawal. In particular, according to Inarredo, it is clearly evident and clear for the final consumer/customer the identification of situations in which the right of withdrawal would be excluded: "This provision, mentioned at the end of the first page of the order, is indeed clearly mentioned on the back side where the various options related to the possibility of exercising or not exercising the withdrawal are specified. It is also noted that the forms used correspond in character sizes to those systematically used by banks or insurance companies."</w:t>
      </w:r>
    </w:p>
    <w:p>
      <w:r>
        <w:t>IV. CONCLUDING EVALUATIONS</w:t>
      </w:r>
    </w:p>
    <w:p>
      <w:r>
        <w:t>28. The recipient of this provision is the company Inarredo, as a professional, pursuant to Article 18, paragraph 1, letter b) of the Consumer Code, to which, in the initiation communication, the behaviors described above in paragraph 2 of this provision were contested.</w:t>
      </w:r>
    </w:p>
    <w:p>
      <w:r>
        <w:t>29. The conduct contested to the professional consists of having limited and/or hindered the exercise of the right of withdrawal of consumers, provided for by Article 52 of the Consumer Code, by surreptitiously applying the exclusion of the right provided for by Article 59, letter c), of the Consumer Code, and not having provided consumers with adequate information regarding the consequences of the customization of the order.</w:t>
      </w:r>
    </w:p>
    <w:p>
      <w:r>
        <w:t>30. In particular, Inarredo improperly invoked, through an alleged customization of the goods sold, an exclusion of the right of withdrawal not applicable to the type of contracts negotiated and concluded outside commercial premises, thereby unlawfully hindering the exercise of this right by consumers.</w:t>
      </w:r>
    </w:p>
    <w:p>
      <w:r>
        <w:t>31. This conduct constitutes an aggressive commercial practice pursuant to Articles 20, 24, and 25, letter d), of the Consumer Code, as it is capable, through undue conditioning, of significantly limiting the freedom of choice or behavior of consumers.</w:t>
      </w:r>
    </w:p>
    <w:p>
      <w:r>
        <w:t>32. On a general level, it should be noted that the applicable regulation for distance contracts or negotiated outside commercial premises is primarily aimed at protecting the consumer in the face of the unpreparedness in which they generally find themselves when encountering the professional, as well as the impossibility of verifying and comparing the quality of the purchased goods, the appropriateness of the price, and the truthfulness of the information received. Specifically for contracts negotiated outside commercial premises, precisely due to the intrusion of the professional into the private sphere of the consumer, which characterizes this type of contract, the legislator deemed it appropriate to grant the consumer the right to withdraw from the contract.</w:t>
      </w:r>
    </w:p>
    <w:p>
      <w:r>
        <w:t>33. Article 52 of the Consumer Code therefore provides, in paragraph 1, that for distance contracts or negotiated outside commercial premises, without prejudice to the exceptions provided for in the subsequent Article 59, the consumer has the right to withdraw, without any penalty and without specifying the reason, within fourteen days from the day on which the purchaser acquires physical possession of the good.</w:t>
      </w:r>
    </w:p>
    <w:p>
      <w:r>
        <w:rPr>
          <w:b/>
        </w:rPr>
        <w:t>[Pages 58–60]</w:t>
      </w:r>
    </w:p>
    <w:p>
      <w:r>
        <w:t>60 BULLETIN NO. 45 OF NOVEMBER 27, 2017</w:t>
      </w:r>
    </w:p>
    <w:p>
      <w:r>
        <w:t>34. This right, however, may be excluded by virtue of the exceptions provided for in Article 59, paragraph 1, of the Consumer Code. In particular, letter c) of this article states that the right of withdrawal is excluded with respect to "the supply of goods made to measure or clearly personalized."</w:t>
      </w:r>
    </w:p>
    <w:p>
      <w:r>
        <w:t>35. However, it should be noted that the provisions of Article 59 of the Consumer Code must be interpreted restrictively, due to their nature as exceptions to a right generally established in favor of consumers in the case of distance selling and off-premises sales, and must be understood as non-waivable under Article 143 of the same Code.</w:t>
      </w:r>
    </w:p>
    <w:p>
      <w:r>
        <w:t>36. As highlighted above, from the documents of the proceedings, it emerged that the professional considers the armchairs and sofas marketed by him as personalized goods from the outset, as the choice of consumers would be extremely wide with six different types of fabrics and 97 color variants, in addition to the possibility of installing certain accessories. Based on the elements in the proceedings, it also appears that Inarredo has, in some cases, actually denied the exercise of the right of withdrawal, allowing it, regardless of any personalization of the good, only to consumers who made the request before delivery.</w:t>
      </w:r>
    </w:p>
    <w:p>
      <w:r>
        <w:t>37. This approach appears to be subject to criticism in light of the following considerations.</w:t>
      </w:r>
    </w:p>
    <w:p>
      <w:r>
        <w:t>38. In general, it should be noted that the professional's claim to consider all his sales of armchairs and sofas negotiated off-premises exempt from the right of withdrawal, thus disregarding customer requests and peculiar and specific needs expressed by them, constitutes a clear evasion of the regulatory provision that establishes this right in a non-waivable manner contractually, with predefined methods and times for exercise and subject to exclusions only in strictly defined cases to be interpreted restrictively.</w:t>
      </w:r>
    </w:p>
    <w:p>
      <w:r>
        <w:t>39. More specifically, it should be noted that Article 45 of the Consumer Code, as well as Article 2 of Directive 2011/83/EU, defines "goods produced according to the consumer's specifications" as "any non-prefabricated good produced based on an individual choice or decision of the consumer." Recital 49 of the directive refers to "made-to-measure curtains" as an example of goods produced according to the consumer's specifications or that are clearly personalized.</w:t>
      </w:r>
    </w:p>
    <w:p>
      <w:r>
        <w:t>40. Not every choice made by the consumer results in a clear personalization that could lead to the loss of the right of withdrawal for the consumer. In this sense, the Authority had already expressed itself regarding the choice of a standard color by the consumer, and this line was confirmed by the administrative judge who held that minor customizations, such as color variations, which were also induced by the sellers themselves, could not constitute grounds for exclusion from the right of withdrawal.</w:t>
      </w:r>
    </w:p>
    <w:p>
      <w:r>
        <w:t>41. Given the essential and non-accessory nature of the upholstery and its color for the nature and usability of armchairs and sofas, the professional appears to have unreasonably extended the elements that could determine the personalization of such products, and thus the loss of the right of withdrawal, to the choice of any color and upholstery offered, in the absence of options considered standard.</w:t>
      </w:r>
    </w:p>
    <w:p>
      <w:r>
        <w:t>42. Similarly, even some predefined standard accessories, which the consumer merely chooses in case of interest (such as the relaxation mechanism in armchairs and sofas to elevate the legs), have been considered elements capable of giving the product the nature of a "clearly personalized" good, as they could not reasonably preclude the resale of the product to another consumer.</w:t>
      </w:r>
    </w:p>
    <w:p>
      <w:r>
        <w:t>43. From this perspective, it is observed that the rationale of the provision in Article 59, letter c), of the Consumer Code is to prevent a good produced following the specific requests of the customer (i.e., clearly personalized) from being returned and thus no longer being possible to resell to third parties or further place on the market.</w:t>
      </w:r>
    </w:p>
    <w:p>
      <w:r>
        <w:t>44. This impossibility or extreme unlikelihood of reselling the product, assembled according to the specific indications received from the customer at the time of the order, should also be reconciled with the actual irreversibility of the changes made to the good, considering as such only those whose elimination is not feasible from a technical (having caused a non-reversible change to the structure of the product) or economic (incurring excessive costs to restore the product to the standard model) standpoint.</w:t>
      </w:r>
    </w:p>
    <w:p>
      <w:r>
        <w:t>45. In light of the above-described improper expansion of the cases that could lead to the loss of the right of withdrawal, the practice of the professional to accept requests for withdrawal only if they are made before the product is delivered to the customer is subject to criticism. This conduct constitutes an obstacle to the full exercise of the right of withdrawal, since the times and methods of exercising it are directly established by law (see Article 52 of the Consumer Code). However, it should be noted that the professional documented, during the proceedings, that he sought a shared solution with the consumer in cases of withdrawal requests, even when the requests concerned products that the professional considered personalized.</w:t>
      </w:r>
    </w:p>
    <w:p>
      <w:r>
        <w:t>46. With reference to the sale of mattresses and slats, for which the professional stated that he assumes the standard measure of 80x190 and recognizes the full exercise of the right of withdrawal only in that case, the conduct actually implemented is nonetheless incorrect, as the professional has limited the exercise of this right in a manner not compliant with the regulation. In fact, even measures that deviate slightly from the standard and cannot be considered satisfactory for special customer needs, such as the measure 80x195, have been deemed capable of determining a clear personalization of the product. Moreover, the same large number of products sold with this measure demonstrates that the professional cannot invoke in this case the criterion of extreme unlikelihood of reselling the product to third parties.</w:t>
      </w:r>
    </w:p>
    <w:p>
      <w:r>
        <w:t>47. In any case, it should be emphasized that the prohibition imposed by the professional on the full exercise of the right of withdrawal could only occur where clear and understandable information has been provided regarding the fact that the choice of one or more accessory elements or customizations results in the loss of the right of withdrawal itself.</w:t>
      </w:r>
    </w:p>
    <w:p>
      <w:r>
        <w:t>48. In the case at hand, however, the professional specifically violated the obligations of adequate information during the pre-contractual phase regarding the exclusion of the right of withdrawal established by Article 49, letter m), as at the time of the order and the selection of purchase options by the consumer, the form does not provide a clear and understandable indication regarding the consequent loss of the right of withdrawal.</w:t>
      </w:r>
    </w:p>
    <w:p>
      <w:r>
        <w:t>49. The only correlation made between the alleged personalized nature of the good and the loss of the exercise of the right of withdrawal is relegated to the back of the order form where the contractual conditions are reported in very small and not easily readable characters. This information regarding the loss of the right of withdrawal, placed within a paragraph where numerous other contractual indications are communicated, is inadequate to provide the consumer clearly and understandably, as required by the regulation, the indication that for the good in question the right of withdrawal is not provided. This aspect, in any case, can be considered absorbed in the qualification of the overall conduct of the professional as an aggressive commercial practice.</w:t>
      </w:r>
    </w:p>
    <w:p>
      <w:r>
        <w:t>50. In conclusion, in light of the considerations outlined above, it is believed that the conduct carried out by Inarredo, having unlawfully limited and/or hindered the exercise of the right of withdrawal by consumers, constitutes an aggressive commercial practice, capable of hindering the exercise of a right that the legal system recognizes to consumers, pursuant to Articles 20, 24, and 25, letter d), of the Consumer Code.</w:t>
      </w:r>
    </w:p>
    <w:p>
      <w:r>
        <w:t>51. Finally, the "professional diligence" referred to in Article 20, paragraph 2, of the Consumer Code is not found, that is to say, that "normal degree of specific competence and attention" that, pursuant to Article 18, paragraph 1, letter h), of the Code, a consumer can reasonably expect from the operator, who should well know the applicable regulations to the activity he carries out and guarantee the consumer full enjoyment of the rights recognized to him by such regulations.</w:t>
      </w:r>
    </w:p>
    <w:p>
      <w:r>
        <w:t>V QUANTIFICATION OF THE SANCTION</w:t>
      </w:r>
    </w:p>
    <w:p>
      <w:r>
        <w:t>52. Pursuant to Article 27, paragraph 9, of the Consumer Code, with the provision that prohibits the unfair commercial practice, the Authority orders the application of an administrative pecuniary sanction from €5,000 to €5,000,000, taking into account the severity and duration of the violation.</w:t>
      </w:r>
    </w:p>
    <w:p>
      <w:r>
        <w:t>53. That said, regarding the quantification of the sanction, account must be taken, as applicable, of the criteria identified by Article 11 of Law No. 689/81, by virtue of the reference provided for in Article 27, paragraph 13, of the Consumer Code: in particular, the severity of the violation, the efforts made by the company to eliminate or mitigate the infringement, the personality of the agent, as well as the economic conditions of the company itself.</w:t>
      </w:r>
    </w:p>
    <w:p>
      <w:r>
        <w:rPr>
          <w:b/>
        </w:rPr>
        <w:t>[Pages 61–63]</w:t>
      </w:r>
    </w:p>
    <w:p>
      <w:r>
        <w:t>BULLETIN NO. 45 OF NOVEMBER 27, 2017</w:t>
      </w:r>
    </w:p>
    <w:p>
      <w:r>
        <w:t>54. With reference to the severity of the violation, the economic dimension of the professional is relevant, as in the year 2016, they achieved a turnover of approximately 14 million euros, as well as their modus operandi, which is likely to limit the exercise of the right of withdrawal and the inadequate information provided to consumers regarding the consequences of order customization, has unlawfully hindered the exercise of a right generally recognized in favor of consumers in the case of distance selling and off-premises sales, to be understood as indispensable pursuant to Article 143 of the same Code, causing concrete harm to the consumer.</w:t>
      </w:r>
    </w:p>
    <w:p>
      <w:r>
        <w:t>55. As for the duration of the violation, the available evidence indicates that the commercial practice has been in place since at least June 2016 and is still ongoing.</w:t>
      </w:r>
    </w:p>
    <w:p>
      <w:r>
        <w:t>56. Based on these elements, it is deemed appropriate to determine the amount of the administrative pecuniary sanction applicable to Inarredo Produzioni S.r.l. in the amount of €70,000 (seventy thousand euros).</w:t>
      </w:r>
    </w:p>
    <w:p>
      <w:r>
        <w:t>CONSIDERING, therefore, based on the aforementioned considerations, that the commercial practice under II is deemed unfair pursuant to Articles 20, 24, and 25, letter d), of the Consumer Code, as it is contrary to professional diligence and capable of hindering the exercise of a right that the legal system recognizes to consumers;</w:t>
      </w:r>
    </w:p>
    <w:p>
      <w:r>
        <w:t>RESOLVES</w:t>
        <w:br/>
        <w:t>a) that the commercial practice described in point II of this provision, carried out by Inarredo Produzioni S.r.l., constitutes, for the reasons and within the limits stated in the motivation, an unfair commercial practice, pursuant to Articles 20, 24, and 25, letter d), of the Consumer Code, and prohibits its dissemination or continuation;</w:t>
        <w:br/>
        <w:t>b) to impose on Inarredo Produzioni S.r.l., for the violation referred to in the previous letter a), an administrative pecuniary sanction of €70,000 (seventy thousand euros);</w:t>
        <w:br/>
        <w:t>c) that the professional shall communicate to the Authority, within sixty days from the notification of this provision, the initiatives taken in compliance with the injunction referred to in point a).</w:t>
      </w:r>
    </w:p>
    <w:p>
      <w:r>
        <w:t>The imposed administrative sanction must be paid within thirty days from the notification of this provision, using the tax codes indicated in the attached F24 model with identifying elements, pursuant to Legislative Decree No. 241/1997.</w:t>
      </w:r>
    </w:p>
    <w:p>
      <w:r>
        <w:t>Payment must be made electronically with a debit from one's bank or postal account, through home banking and CBI services provided by banks or Poste Italiane S.p.A., or by using the telematic services of the Revenue Agency, available on the website www.agenziaentrate.gov.it.</w:t>
      </w:r>
    </w:p>
    <w:p>
      <w:r>
        <w:t>After the aforementioned deadline, for the period of delay of less than six months, late interest must be paid at the legal rate starting from the day following the payment deadline until the date of payment. In case of further delay in compliance, pursuant to Article 27, paragraph 6, of Law No. 689/81, the amount due for the imposed sanction is increased by one-tenth for each semester starting from the day following the payment deadline until the role is transmitted to the collector for collection; in this case, the increase absorbs the late interest accrued during the same period.</w:t>
      </w:r>
    </w:p>
    <w:p>
      <w:r>
        <w:t>Immediate communication of the payment must be given to the Authority by sending the documentation certifying the payment made.</w:t>
      </w:r>
    </w:p>
    <w:p>
      <w:r>
        <w:t>This provision will be notified to the interested parties and published in the Bulletin of the Authority for Competition and Market.</w:t>
      </w:r>
    </w:p>
    <w:p>
      <w:r>
        <w:t>Pursuant to Article 27, paragraph 12, of the Consumer Code, in case of non-compliance with the provision, the Authority applies an administrative pecuniary sanction from €10,000 to €5,000,000. In cases of repeated non-compliance, the Authority may order the suspension of business activity for a period not exceeding thirty days.</w:t>
      </w:r>
    </w:p>
    <w:p>
      <w:r>
        <w:t>Against this provision, an appeal may be submitted to the TAR of Lazio, pursuant to Article 135, paragraph 1, letter b), of the Administrative Process Code (Legislative Decree July 2, 2010, No. 104), within sixty days from the date of notification of the provision itself, without prejudice to the longer terms referred to in Article 41, paragraph 5, of the Administrative Process Code, or an extraordinary appeal may be proposed to the President of the Republic, pursuant to Article 8, of the Decree of the President of the Republic November 24, 1971, No. 1199, within one hundred and twenty days from the date of notification of the provision itself.</w:t>
      </w:r>
    </w:p>
    <w:p>
      <w:r>
        <w:t>THE SECRETARY GENERAL THE PRESIDENT</w:t>
        <w:br/>
        <w:t>Roberto Chieppa Giovanni Pitruzzella</w:t>
      </w:r>
    </w:p>
    <w:p>
      <w:r>
        <w:t>Authority for Competition Weekly Bulletin</w:t>
        <w:br/>
        <w:t>and Market Year XXVII - No. 45 - 2017</w:t>
        <w:br/>
        <w:t>Editorial Coordination Giulia Antenucci</w:t>
        <w:br/>
        <w:t>Editorial Staff Sandro Cini, Valerio Ruocco, Simonetta Schettini,</w:t>
        <w:br/>
        <w:t>Manuela Villani</w:t>
        <w:br/>
        <w:t>Authority for Competition and Market</w:t>
        <w:br/>
        <w:t>Office of Statistics and IT Applications</w:t>
        <w:br/>
        <w:t>Piazza Giuseppe Verdi, 6/a - 00198 Rome</w:t>
        <w:br/>
        <w:t>Tel.: 06-858211 Fax: 06-85821256</w:t>
        <w:br/>
        <w:t>Web: http://www.agcm.it</w:t>
        <w:br/>
        <w:t>Graphic Design Area Strategic Design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