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https://www.agcm.it/dotcmsdoc/bollettini/2018/45-18.pdf</w:t>
      </w:r>
    </w:p>
    <w:p>
      <w:r>
        <w:t>Pages translated : 20</w:t>
      </w:r>
    </w:p>
    <w:p/>
    <w:p>
      <w:r>
        <w:rPr>
          <w:b/>
        </w:rPr>
        <w:t>[Pages 1–3]</w:t>
      </w:r>
    </w:p>
    <w:p>
      <w:r>
        <w:t>Bulletin</w:t>
        <w:br/>
        <w:t>Weekly</w:t>
        <w:br/>
        <w:t>Year XXVIII - No. 45</w:t>
        <w:br/>
        <w:t>Published on the website www.agcm.it</w:t>
        <w:br/>
        <w:t>December 3, 2018</w:t>
      </w:r>
    </w:p>
    <w:p>
      <w:r>
        <w:t>SUMMARY</w:t>
        <w:br/>
        <w:t>CONCENTRATION OPERATIONS 5</w:t>
        <w:br/>
        <w:t>C12184 - IRIDEOS/CLOUDITALIA TELECOMUNICAZIONI</w:t>
        <w:br/>
        <w:t>Provision No. 27414 5</w:t>
        <w:br/>
        <w:t>REPORTING AND CONSULTATIVE ACTIVITIES 11</w:t>
        <w:br/>
        <w:t>AS1545 – LAZIO REGION - SIGNING OF THE SERVICE CONTRACT FOR THE</w:t>
        <w:br/>
        <w:t>11</w:t>
        <w:br/>
        <w:t>REGIONAL AND LOCAL PUBLIC RAIL TRANSPORT SERVICE</w:t>
        <w:br/>
        <w:t>MISCELLANEOUS 17</w:t>
        <w:br/>
        <w:t>MEMORANDUM OF UNDERSTANDING BETWEEN THE BANK OF ITALY, THE ITALIAN COMPETITION AUTHORITY (“AGCM”) AND THE NATIONAL COMMISSION FOR COMPANIES AND THE STOCK EXCHANGE (“CONSOB”) FOR THE DEFINITION OF JOINT PROCUREMENT STRATEGIES FOR</w:t>
        <w:br/>
        <w:t>17</w:t>
        <w:br/>
        <w:t>THE ACQUISITION OF WORKS, SERVICES, AND SUPPLIES</w:t>
      </w:r>
    </w:p>
    <w:p>
      <w:r>
        <w:t>BULLETIN NO. 45 OF DECEMBER 3, 2018 5</w:t>
        <w:br/>
        <w:t>CONCENTRATION OPERATIONS</w:t>
        <w:br/>
        <w:t>C12184 - IRIDEOS/CLOUDITALIA TELECOMUNICAZIONI</w:t>
        <w:br/>
        <w:t>Provision No. 27414</w:t>
        <w:br/>
        <w:t>THE ITALIAN COMPETITION AUTHORITY</w:t>
        <w:br/>
        <w:t>IN ITS MEETING of November 14, 2018;</w:t>
        <w:br/>
        <w:t>HEARD the Rapporteur Dr. Gabriella Muscolo;</w:t>
        <w:br/>
        <w:t>HAVING REGARD to Law No. 287 of October 10, 1990;</w:t>
        <w:br/>
        <w:t>HAVING REGARD to Presidential Decree No. 217 of April 30, 1998;</w:t>
        <w:br/>
        <w:t>HAVING REGARD to the communication from Irideos S.p.A., received on August 9, 2018;</w:t>
        <w:br/>
        <w:t>HAVING REGARD to the request for information sent to Irideos S.p.A. on September 6, 2018;</w:t>
        <w:br/>
        <w:t>HAVING REGARD to the response from Irideos S.p.A. to the aforementioned request for information, received on September 26, 2018;</w:t>
        <w:br/>
        <w:t>HAVING REGARD to the opinion of the Authority for Communications Guarantees received on November 7, 2018;</w:t>
        <w:br/>
        <w:t>HAVING REGARD to the documentation on file;</w:t>
        <w:br/>
        <w:t>CONSIDERED the following:</w:t>
        <w:br/>
        <w:t>I. THE PARTIES</w:t>
        <w:br/>
        <w:t>1. Irideos S.p.A. (hereinafter also “Irideos”) is a company active in the field of IT infrastructure services and is subject to the exclusive control of F2i S.G.R. S.p.A. (hereinafter “F2i”), an asset management company, active in the management of two real estate investment funds (F2i-Second Italian Fund for Infrastructures; F2i-Third Fund for Infrastructures), specialized in the infrastructure sector. In 2017, the consolidated revenue of the F2i Group was [1-2] billion worldwide, of which [1-2] billion in Italy.</w:t>
        <w:br/>
        <w:t xml:space="preserve">2. Clouditalia Telecomunicazioni S.p.A. (hereinafter also “Clouditalia”) is a telecommunications and cloud computing operator that, in addition to owning and managing a fiber optic network infrastructure throughout the national territory, offers fixed and mobile telephony services, broadband and ultra-broadband data connectivity in copper and fiber optics, wireless, mobile, and satellite, as well as cloud computing services primarily oriented towards B2B. Clouditalia is 100% owned by Minacom S.A., a company under Luxembourg law. Clouditalia holds a controlling interest in Acamtel S.r.l., which offers telecommunications and cloud services, and a 100% stake in Noitel Italia S.r.l., an MVNO licensed operator specialized in the sale of services. </w:t>
        <w:br/>
        <w:t>1 In this version, some data are omitted, as it was deemed that there were elements of confidentiality or secrecy of the information.</w:t>
      </w:r>
    </w:p>
    <w:p>
      <w:r>
        <w:rPr>
          <w:b/>
        </w:rPr>
        <w:t>[Pages 4–6]</w:t>
      </w:r>
    </w:p>
    <w:p>
      <w:r>
        <w:t>6 BULLETIN NO. 45 OF DECEMBER 3, 2018</w:t>
        <w:br/>
        <w:t>satellite. The total revenue achieved by Clouditalia in the year 2017 was [100-495] million worldwide, of which [30-100] million in Italy.</w:t>
      </w:r>
    </w:p>
    <w:p>
      <w:r>
        <w:t>II. DESCRIPTION OF THE TRANSACTION</w:t>
        <w:br/>
        <w:t>3. The notified transaction consists of the acquisition of exclusive control of Clouditalia Telecomunicazioni S.p.A. by F2i – in the name, on behalf, and in the interest of the Second Fund – through Irideos S.p.A. As a result of the transaction, F2i will, therefore, hold exclusive indirect control of Clouditalia and its subsidiaries Acamtel S.r.l. and Noitel Italia S.r.l., companies operating in the same telecommunications sector.</w:t>
        <w:br/>
        <w:t>4. With the acquisition of Clouditalia, Irideos intends to obtain control of an important player in the field of telecommunications and Information Technology (ICT) services, continuing the growth path in the sector that began in July 2017 with the acquisition of Infracom and continued with the subsequent aggregations of MC-link, KPNQwest, and Enter. The acquisition of Clouditalia, with its 15,000 km of fiber optic network, would allow Irideos to offer its services with a more widespread coverage across the national territory.</w:t>
        <w:br/>
        <w:t>5. The notifying party argues that through the expansion of its network, Irideos would have the following advantages: [omitted].</w:t>
      </w:r>
    </w:p>
    <w:p>
      <w:r>
        <w:t>III. QUALIFICATION OF THE TRANSACTION</w:t>
        <w:br/>
        <w:t>6. The notified transaction, as aimed at acquiring exclusive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at the time of notification, the total revenue achieved at the national level by the group of interested companies exceeds the threshold of 495 million euros and the total revenue achieved individually at the national level by at least two of the interested companies exceeds 30 million euros.</w:t>
      </w:r>
    </w:p>
    <w:p>
      <w:r>
        <w:t>IV. ASSESSMENT OF THE CONCENTRATION</w:t>
        <w:br/>
        <w:t>Relevant markets</w:t>
        <w:br/>
        <w:t>7. Considering the activities carried out by the companies participating in the concentration and the market shares held by them, the sectors affected by the Transaction are the Information &amp; Communication Technology (ICT) services sector and the telecommunications sector.</w:t>
      </w:r>
    </w:p>
    <w:p>
      <w:r>
        <w:t>The markets for data center and cloud computing services</w:t>
        <w:br/>
        <w:t>8. ICT services encompass a wide range of economic activities, characterized by a significant process of technological evolution, due to which the cost structure, barriers to entry, and preferences of consumers and clients tend to change relatively frequently. In this case, both Irideos and Clouditalia, within the ICT services, primarily offer data center and cloud computing services.</w:t>
      </w:r>
    </w:p>
    <w:p>
      <w:r>
        <w:t>BULLETIN NO. 45 OF DECEMBER 3, 2018 7</w:t>
        <w:br/>
        <w:t>9. From the perspective of product qualification, the degree of differentiation of the content of the offers from ICT operators is significant, as demand requires specific solutions suitable for the particular needs perceived in different markets. Based on these considerations, also in line with what has been decided by the European Commission in numerous precedents concerning the same markets, with reference to data center and cloud computing services, it is believed that the definition of the relevant market can be left open from a commodity perspective, as even considering the narrower commodity scope (co-location services provided by data centers), the Transaction, due to the shares held by the Parties, does not appear capable of producing significant effects.</w:t>
        <w:br/>
        <w:t>10. From a geographical perspective, data center and cloud computing services present certain economic characteristics that suggest a local definition of the relevant market, in the vicinity of the metropolitan area where the data processing centers are located. A market study conducted by the European Commission in the context of the assessment procedure for concentration operation M6166 – Deutsche Börse/NYSE Euronext found that end customers typically procure ICT services within a territory not exceeding a radius of 50 kilometers from the center of the reference urban area.</w:t>
        <w:br/>
        <w:t>11. The proximity of the user company to the hosting data processing site represents a factor in the decision-making process for procuring data center services. Customers of ICT operators require a signal latency level that does not exceed certain thresholds and the ability to reach the data processing center in a short time, in order to carry out on-site activities on the hosted IT equipment. ICT operators prefer to locate data processing facilities near large urban areas to take advantage of agglomeration economies and minimize interconnection costs with other alternative data processing centers.</w:t>
        <w:br/>
        <w:t>12. Based on the considerations outlined, it is believed that the relevant geographical market for ICT data center and cloud computing services can be defined as being offered within a radius of 50 kilometers from the center of the urban area where the data processing centers are located. The definition of the geographical market thus identified appears sufficiently prudent in the context of assessing the effects of the concentration operation pursuant to Article 16 of Law No. 287/90.</w:t>
      </w:r>
    </w:p>
    <w:p>
      <w:r>
        <w:t>13. The company subject to acquisition, Clouditalia, is active in providing data center and cloud computing services through three data processing centers located in the metropolitan areas of Rome, Milan, and Arezzo. Due to the geographical overlap of the activities carried out by Irideos, it is possible to identify in this case two relevant geographical markets in the areas included within a radius of 50 kilometers from the center of Milan and 50 kilometers from the center of Rome.</w:t>
        <w:br/>
        <w:t>14. The estimate of the market shares held by the parties and the main competitors in the defined geographical markets has been carried out by the notifying party based on data relating to the areas of the data centers present in the Milan and Rome areas. The market share held by Irideos in the market for hosting services within data centers located within a radius of 50 kilometers from the center of Milan is [10-15%] while Clouditalia holds a market share of [less than 1%]. Therefore, the joint market share resulting from the transaction would be [10-15%], while it is estimated that the market shares held by the main competitors are: Aruba [20-25%], Supernap [20-25%], Telecom Italia [10-15%], Fastweb [10-15%], BT Italia [10-15%].</w:t>
        <w:br/>
        <w:t>15. Regarding the market for hosting services within data centers located within a radius of 50 kilometers from the center of Rome, Irideos holds a share of [1-5%] while Clouditalia holds a market share of [5-10%]. Therefore, the joint market share resulting from the transaction would be [5-10%], while it is estimated that the market shares held by the main competitors are: Eur Tel [50-55%], Telecom Italia [25-30%], Unidata [5-10%].</w:t>
        <w:br/>
        <w:t>16. As a result of the transaction, therefore, Irideos will hold a market share of [10-15%] in the market for hosting services within data centers located within a radius of 50 kilometers from the center of Milan, and [5-10%] in the market for hosting services within data centers located within a radius of 50 kilometers from the center of Rome, thus not acquiring a particular position of economic strength capable of altering the competitive structure of the two markets, also in light of the presence within them of numerous qualified operators.</w:t>
      </w:r>
    </w:p>
    <w:p>
      <w:r>
        <w:t>The markets for telecommunications services</w:t>
        <w:br/>
        <w:t>17. The Transaction also has effects in the telecommunications sector. It is believed to identify the following relevant markets, both having a national geographical dimension:</w:t>
        <w:br/>
        <w:t>a. market for wholesale access services to the fixed telephone network;</w:t>
        <w:br/>
        <w:t>b. market for retail telecommunications services on fixed network.</w:t>
        <w:br/>
        <w:t>18. The market for wholesale access services to the fixed telephone network is characterized by the historical presence of an incumbent operator (Telecom Italia S.p.A.) that holds a dominant position. In this broad market, according to the notifying party, the market share of</w:t>
      </w:r>
    </w:p>
    <w:p>
      <w:r>
        <w:rPr>
          <w:b/>
        </w:rPr>
        <w:t>[Pages 7–9]</w:t>
      </w:r>
    </w:p>
    <w:p>
      <w:r>
        <w:t>BULLETIN NO. 45 OF DECEMBER 3, 2018</w:t>
      </w:r>
    </w:p>
    <w:p>
      <w:r>
        <w:t>The greater significance attributable to Irideos and Clouditalia concerns the wholesale supply of connectivity services over long-distance and metropolitan fiber optic networks, amounting to [1-5%] and [1-5%], respectively. The Transaction, therefore, does not appear likely to produce significant effects on the market in question, considering that the consolidated market share of Irideos and Clouditalia in relation to wholesale access to the fixed telephone network would be approximately [5-10%].</w:t>
      </w:r>
    </w:p>
    <w:p>
      <w:r>
        <w:t>Finally, in the retail telecommunications services market, both Irideos and Clouditalia primarily target business customers located near the highway network along which their fiber optic network is laid, with modest market shares in a market context characterized by the presence, in addition to the incumbent operator (Telecom Italia), of a number of significant national operators (Wind Tre, Vodafone, Fastweb, Tiscali) and international operators (BT, Interoute, Colt), along with small regional and local operators.</w:t>
      </w:r>
    </w:p>
    <w:p>
      <w:r>
        <w:t>19. In light of the above considerations, the Transaction in question does not appear likely to substantially alter the structure and competitive dynamics of the data center and cloud computing services markets and the telecommunications services markets. Given the structure of the markets considered above and the position held by the parties therein, it is believed that the realization of the Transaction in question is not suitable to create or strengthen a dominant position in the relevant markets that would eliminate or substantially and durably reduce competition.</w:t>
      </w:r>
    </w:p>
    <w:p>
      <w:r>
        <w:t>V. THE OPINION OF THE AUTHORITY FOR COMMUNICATIONS GUARANTEES</w:t>
      </w:r>
    </w:p>
    <w:p>
      <w:r>
        <w:t>20. By act received on November 7, 2017, pursuant to Article 1, paragraph 6, letter c), no. 11, of Law No. 249 of July 31, 1997, the Authority for Communications Guarantees expressed a favorable opinion on the draft provision of the Authority, considering the definition of the relevant markets and the assessment of competitive effects made by the Authority to be shareable. In particular, AGCom agrees that, given the levels of market shares attributable to the entity resulting from the integration in the wholesale central access market from fixed position (bitstream), the transaction in question is not likely to generate competitive criticalities, with effects on the level of tariffs charged to end customers and on the diversification of the offer.</w:t>
      </w:r>
    </w:p>
    <w:p>
      <w:r>
        <w:t>THEREFORE CONSIDERED, in accordance with the opinion of the Authority for Communications Guarantees, that the transaction in question does not determine, pursuant to Article 6, paragraph 1, of Law No. 287/90,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conclusions mentioned above will be communicated, pursuant to Article 16, paragraph 4, of Law No. 287/90, to the interested companies and to the Minister of Economic Development.</w:t>
      </w:r>
    </w:p>
    <w:p>
      <w:r>
        <w:t>This provision will be published in the Bulletin of the Italian Competition Authority.</w:t>
      </w:r>
    </w:p>
    <w:p>
      <w:r>
        <w:t>THE SECRETARY GENERAL THE ACTING PRESIDENT</w:t>
      </w:r>
    </w:p>
    <w:p>
      <w:r>
        <w:t>Filippo Arena Gabriella Muscolo</w:t>
      </w:r>
    </w:p>
    <w:p>
      <w:r>
        <w:t>BULLETIN NO. 45 OF DECEMBER 3, 2018</w:t>
      </w:r>
    </w:p>
    <w:p>
      <w:r>
        <w:t>ACTIVITY OF REPORTING AND CONSULTATION</w:t>
      </w:r>
    </w:p>
    <w:p>
      <w:r>
        <w:t>AS1545 – LAZIO REGION - SIGNING OF THE SERVICE CONTRACT FOR THE REGIONAL AND LOCAL RAIL PUBLIC TRANSPORT SERVICE</w:t>
      </w:r>
    </w:p>
    <w:p>
      <w:r>
        <w:t>Rome, September 5, 2018</w:t>
      </w:r>
    </w:p>
    <w:p>
      <w:r>
        <w:t>President of the Lazio Region</w:t>
      </w:r>
    </w:p>
    <w:p>
      <w:r>
        <w:t>The Italian Competition Authority, in its meeting of August 8, 2018, decided to express a reasoned opinion pursuant to Article 21-bis of Law No. 287 of October 10, 1990, regarding the content of Regional Council Resolution No. 316 of June 21, 2018 (hereinafter DGR No. 316/2018 or "Resolution") with which the Lazio Region's Council authorized the signing, which took place on June 21, 2018, of the service contract for the regional and local rail public transport between the Lazio Region (hereinafter "Region") and Trenitalia S.p.A. (hereinafter "Trenitalia") for the period 2018-2032.</w:t>
      </w:r>
    </w:p>
    <w:p>
      <w:r>
        <w:t>In DGR No. 316/2018, the Council retraced the process that led to the choice of directly entrusting the regional rail service to Trenitalia.</w:t>
      </w:r>
    </w:p>
    <w:p>
      <w:r>
        <w:t>On December 14, 2016, Trenitalia submitted a commercial proposal containing an offer of improved conditions in terms of quality and reliability of the service, as well as new significant investments, such as to justify the choice of the direct awarding procedure through the signing of a new service contract for a period of 15 years (2018-2032) pursuant to Articles 4, paragraph 4, and 5, paragraph 6, of Regulation (EC) No. 1370/2007 (hereinafter also the "Regulation").</w:t>
      </w:r>
    </w:p>
    <w:p>
      <w:r>
        <w:t>With Regional Council Resolution No. 842 of December 30, 2016, the Region positively evaluated this commercial proposal and resolved to proceed with the direct awarding to Trenitalia of the regional rail public transport operation from 2018 for 120 months, subsequently corrected to 180 months.</w:t>
      </w:r>
    </w:p>
    <w:p>
      <w:r>
        <w:t>On January 3, 2017 (with correction in September 2017), the Region proceeded to publish the pre-information notice to the market regarding the direct awarding to Trenitalia of the service in question, pursuant to Article 7, paragraph 2, of the Regulation.</w:t>
      </w:r>
    </w:p>
    <w:p>
      <w:r>
        <w:t>In the Resolution, the Region continues by stating that the concept of direct awarding does not require (in the absence of different provisions) a comparative evaluation between possible different offers. In support of this assertion, the Region cites the ruling of the Council of State, June 18, 2015, No. 3112 (as well as the ruling of the TAR Liguria, June 27, 2017, No. 612), according to which "the notice does not respond to the purposes of solicitation within a selective procedure (which will not take place), but to the needs of publicity, also in view of the possible</w:t>
      </w:r>
    </w:p>
    <w:p>
      <w:r>
        <w:t>1 See Regulation (EU) No. 2016/2338, in force since December 24, 2017, which amends Regulation (EC) No. 1370/2007. Article 4, paragraph 4 allows an increase in the duration of the contract in direct awarding by 50% compared to the maximum duration of ten years based on the value of the investments made during the contract.</w:t>
      </w:r>
    </w:p>
    <w:p>
      <w:r>
        <w:rPr>
          <w:b/>
        </w:rPr>
        <w:t>[Pages 10–12]</w:t>
      </w:r>
    </w:p>
    <w:p>
      <w:r>
        <w:t>12 BULLETIN NO. 45 OF DECEMBER 3, 2018</w:t>
      </w:r>
    </w:p>
    <w:p>
      <w:r>
        <w:t>the appeal against the method of awarding concretely chosen by those with an interest in it,” and notes that if a different interpretation from the one reported were adopted, the direct award would end up constituting merely a variation in terminology compared to the tender.</w:t>
      </w:r>
    </w:p>
    <w:p>
      <w:r>
        <w:t>The Region therefore reports that, on October 25, 2017, the company Arriva Rail Italia S.r.l. (hereinafter “Arriva”) submitted a manifestation of interest regarding the new service contract for the period 2018-2032, to which the Region responded on October 5, 2017, and December 22, 2017, requesting the company to formulate the contents of a possible proposal, in order to verify the potential existence of the prerequisites—should a greater convenience of the proposal emerge for the Region—to possibly reconsider the already made decision to proceed with the direct award in favor of Trenitalia. It should be noted that the Region fails to highlight that, following the pre-information notice, Arriva had already submitted a formal manifestation of interest on January 26, 2017, regarding which, however, it did not receive a response. Arriva wrote again to the Region on June 29, 2017, reiterating its interest and urging a response to its communications, which was received, as indicated in DGR No. 316/2018, only on October 5, 2017.</w:t>
      </w:r>
    </w:p>
    <w:p>
      <w:r>
        <w:t>On November 23, 2017, Trenitalia updated its commercial proposal, according to the terms deemed more responsive to the Region's objectives. On January 11, 2018, the Region requested further insights and details from Trenitalia on certain issues, asking for an update of the Economic Financial Plan (PEF) that took into account some variations in the tariff area. On January 12, 2018, Trenitalia reformulated its commercial proposal.</w:t>
      </w:r>
    </w:p>
    <w:p>
      <w:r>
        <w:t>Finally, on February 8, 2018, the Region informed Arriva that it had not received any technical-economic proposal from it regarding the service in question by the deadline set for the start of programming.</w:t>
      </w:r>
    </w:p>
    <w:p>
      <w:r>
        <w:t>The Resolution finally reports the advocacy interventions of the Authority regarding the direct award of regional service contracts, noting that direct awarding is an ordinary method of awarding, alternative to the tender, fully legitimate under community legislation, which can be discretionarily chosen by the competent Authority organizing the service.</w:t>
      </w:r>
    </w:p>
    <w:p>
      <w:r>
        <w:t>All of this having been said, the Authority intends to preliminarily reaffirm what has already been expressed, both in the recent joint report with the Transport Regulatory Authority (hereinafter “ART”) and the National Anti-Corruption Authority of October 25, 2017, and in other advocacy interventions.</w:t>
      </w:r>
    </w:p>
    <w:p>
      <w:r>
        <w:t>In the Resolution, the Region also reports having acquired: i) on June 11, 2018, the benchmark analysis of the costs of regional rail transport services, carried out on behalf of Trenitalia by the consulting firm Brattle Group; ii) on June 15, 2018, the analysis report on the PEF provided for by the new contract from a consulting firm. From these documents, it emerged that Trenitalia's contractual proposal, from the perspective of the PEF analysis, presents positive aspects for both users and the Region, as it provides for the renewal of the rolling stock, the increase of seat Km offer, the recovery of efficiency equal to 16% during the contractual period, and the improvement of the ratio between operating revenues and operating costs.</w:t>
      </w:r>
    </w:p>
    <w:p>
      <w:r>
        <w:t>The Authority also refers to the opinions rendered pursuant to Article 21-bis of Law 287/1990 to the Sardinia Region AS1443 – SARDINIA REGION - DIRECT AWARD OF RAIL TRANSPORT SERVICES, and to the Liguria Region AS1519 – LIGURIA REGION – SERVICE CONTRACT FOR RAIL TRANSPORT OF REGIONAL AND LOCAL INTEREST BETWEEN THE LIGURIA REGION AND TRENITALIA FOR THE PERIOD 2018-2032, regarding which the Authority's appeals are currently pending before, respectively, the TAR Sardinia and the TAR Liguria.</w:t>
      </w:r>
    </w:p>
    <w:p>
      <w:r>
        <w:t>The failure to present is a result of the behavior assumed by the Region and is the outcome of the failure to comply with the aforementioned "enhanced" informational obligations. Indeed, in the absence of the requested informational elements—which, it is noted, are fully available only to the historical operator—Arriva was unable to submit any binding offer.</w:t>
      </w:r>
    </w:p>
    <w:p>
      <w:r>
        <w:t>Regarding informational obligations, it is recalled that recital 29 of the Regulation has been interpreted by the European Commission in the previously mentioned interpretative Communication to mean that the pre-information notice must "allow potential public service operators to participate," or that it must provide interested parties the opportunity to formulate questions well in advance of the award of the contract. The European Commission, therefore, precisely in implementation of the aforementioned general principles of impartiality, equal treatment, transparency, and publicity, configures the pre-information notice, not as a mere act of publicity in itself, but makes it functional to the procedural participation of third parties potentially interested in the award procedure.</w:t>
      </w:r>
    </w:p>
    <w:p>
      <w:r>
        <w:t>However, this procedural participation is not limited to the mere possibility of requesting and obtaining from the competent authority information on the characteristics of the service. The possession of technical and economic information by the awarding Entity for the benefit of third parties cannot be considered an end in itself: it is evident that there is a functional link between the knowledge of such data and the willingness of third parties to submit offers. The interest of third parties necessarily extends to the ability to submit alternative offers to those of the historical operator (or initially chosen by the Entity).</w:t>
      </w:r>
    </w:p>
    <w:p>
      <w:r>
        <w:t>In other words, in light of the interpretative framework of the applicable rules for the direct award of the regional public rail transport service, in cases where there are multiple expressions of interest in the award, the awarding entities must put interested third parties in a position to promptly have a complete and exhaustive set of information, such as to allow the formulation of a commercial offer, and then proceed to a comparative evaluation among the various offers received.</w:t>
      </w:r>
    </w:p>
    <w:p>
      <w:r>
        <w:t>Therefore, in order to allow the submission of an offer, in light of the repeated requests made by Arriva to access a minimum informational set concerning the technical, managerial, and economic elements characterizing the service to be awarded, the Region should not have limited itself to recalling the contents of the pre-information notice published in January 2017 pursuant to Article 7, paragraph 2 of the Regulation. Conversely, in compliance with the principles of economy, effectiveness, impartiality, transparency, equal treatment, and proportionality provided for by the aforementioned community provisions, the local Entity should have acted—also by forwarding specific requests to the incumbent—to make available and accessible a series of additional information and data related to the configuration of the service (demand levels, personnel size, rolling stock, etc.) necessary to enable the interested operator to formulate an alternative offer to that of Trenitalia. In this regard, it is noted that some granting entities of regional rail services have clearly followed the substantial interpretation of the rules of Reg. CE 1370/2007 just reported. In particular, the Commission's Communication 2014/C92/01.</w:t>
      </w:r>
    </w:p>
    <w:p>
      <w:r>
        <w:rPr>
          <w:b/>
        </w:rPr>
        <w:t>[Pages 13–15]</w:t>
      </w:r>
    </w:p>
    <w:p>
      <w:r>
        <w:t>BULLETIN NO. 45 OF DECEMBER 3, 2018</w:t>
      </w:r>
    </w:p>
    <w:p>
      <w:r>
        <w:t>The Piedmont Region, also following discussions with this Authority pursuant to Article 21-bis of Law No. 287/90, has intended to proceed with the direct awarding of certain regional railway services, preceded by forms of competitive comparison among the parties that have shown interest.</w:t>
      </w:r>
    </w:p>
    <w:p>
      <w:r>
        <w:t>The position taken by the Region has thus represented an undeniable obstacle to the effective development of a competitive scenario in the procedure for the awarding of regional railway services.</w:t>
      </w:r>
    </w:p>
    <w:p>
      <w:r>
        <w:t>Therefore, Resolution No. 316 of June 21, 2018, with which the Lazio Region's Council authorized the signing of the service contract with Trenitalia concerning the direct awarding of the public transport service of regional interest—lacking any comparative assessment that could justify the choice of direct awarding to Trenitalia S.p.A. in terms of economy and efficiency—constitutes a violation of the transparency and motivation obligations existing for the granting authorities of regional railway services as per Article 7, paragraphs 2 and 4, of Regulation (EC) No. 1370/2007, read in conjunction with recitals 29 and 30 of the same Regulation, and more generally, a violation of the principles of economy, effectiveness, impartiality, transparency, equal treatment, and proportionality underlying the Treaty on the Functioning of the European Union.</w:t>
      </w:r>
    </w:p>
    <w:p>
      <w:r>
        <w:t>Pursuant to Article 21-bis, paragraph 2, of Law No. 287/90, the Lazio Region must communicate to the Authority, within sixty days from the receipt of this opinion, the initiatives adopted to remove the aforementioned competition violation. If within the aforementioned term such initiatives do not prove to be compliant with the above-expressed competition principles, the Authority may file an appeal within the subsequent thirty days.</w:t>
      </w:r>
    </w:p>
    <w:p>
      <w:r>
        <w:t xml:space="preserve">THE PRESIDENT. </w:t>
        <w:br/>
        <w:t>Giovanni Pitruzzella</w:t>
      </w:r>
    </w:p>
    <w:p>
      <w:r>
        <w:t>_____________________________________________________________</w:t>
      </w:r>
    </w:p>
    <w:p>
      <w:r>
        <w:t>Communication regarding the failure of the Lazio Region to comply with the reasoned opinion expressed by the Authority pursuant to Article 21-bis of Law No. 287/1990 against the direct awarding of the regional public railway transport service to Trenitalia S.p.A.</w:t>
      </w:r>
    </w:p>
    <w:p>
      <w:r>
        <w:t>In its meeting of August 8, 2018, the Authority decided to send a reasoned opinion pursuant to Article 21-bis of Law No. 287 of October 10, 1990, published at the end of this communication, regarding the content of the Regional Council Resolution of the Lazio Region No. 316 of June 21, 2018, which ordered the direct awarding of the regional public railway transport service to Trenitalia S.p.A.</w:t>
      </w:r>
    </w:p>
    <w:p>
      <w:r>
        <w:t>Following the receipt of said reasoned opinion, the Lazio Region, with communication dated October 22, 2018, informed the Authority that the choice not to proceed with a competitive comparison within the direct awarding procedure is consistent with current legislation, that it has in any case adequately assessed the economy, efficiency, and quality of the offer presented by the entity identified as the direct contractor, and that it has respected the principles of equal treatment, transparency, and non-discrimination towards third parties.</w:t>
      </w:r>
    </w:p>
    <w:p>
      <w:r>
        <w:t>Noting the failure of the administration to comply with the reasoned opinion pursuant to Article 21-bis of Law No. 287/1990, the Italian Competition Authority, in its meeting of November 7, 2018, therefore decided to appeal to the TAR Lazio – Rome against the Regional Council Resolution of the Lazio Region No. 316 of June 21, 2018, as well as against any other related, connected, and consequential acts.</w:t>
      </w:r>
    </w:p>
    <w:p>
      <w:r>
        <w:t>BULLETIN NO. 45 OF DECEMBER 3, 2018</w:t>
      </w:r>
    </w:p>
    <w:p>
      <w:r>
        <w:t>VARIOUS</w:t>
      </w:r>
    </w:p>
    <w:p>
      <w:r>
        <w:t>MEMORANDUM OF UNDERSTANDING BETWEEN THE BANK OF ITALY, THE ITALIAN COMPETITION AUTHORITY (“AGCM”) AND THE NATIONAL COMMISSION FOR COMPANIES AND THE STOCK EXCHANGE (“CONSOB”) FOR THE DEFINITION OF JOINT PROCUREMENT STRATEGIES FOR THE ACQUISITION OF WORKS, SERVICES, AND SUPPLIES</w:t>
      </w:r>
    </w:p>
    <w:p>
      <w:r>
        <w:t>November 2018</w:t>
      </w:r>
    </w:p>
    <w:p>
      <w:r>
        <w:t xml:space="preserve">Whereas: </w:t>
        <w:br/>
        <w:t xml:space="preserve">- the Bank of Italy, the Italian Competition Authority (“AGCM”) and the National Commission for Companies and the Stock Exchange (“CONSOB”) are “contracting authorities” pursuant to and for the purposes of Article 3, paragraph 1, letter a), of Legislative Decree No. 50 of April 18, 2016 and subsequent amendments; </w:t>
        <w:br/>
        <w:t xml:space="preserve">- Article 15 of Law No. 241 of August 7, 1990, provides that “... public administrations may always conclude agreements among themselves to regulate the collaborative performance of activities of common interest”; </w:t>
        <w:br/>
        <w:t xml:space="preserve">- Article 38 of Directive 2014/24/EU and Article 37, paragraph 10, of Legislative Decree No. 50 of April 18, 2016 and subsequent amendments provide for the possibility for two or more contracting authorities to jointly carry out specific contracts aimed at meeting common needs; </w:t>
        <w:br/>
        <w:t xml:space="preserve">- pursuant to Article 20, paragraph 1, of Law No. 262 of December 28, 2005, the Bank of Italy, the AGCM, and the CONSOB, while respecting their mutual independence, identify forms of coordination for the exercise of the powers attributed to them also through memoranda of understanding or the establishment, without new or greater burdens on public finances, of coordination committees; </w:t>
        <w:br/>
        <w:t xml:space="preserve">- the implementation of joint procurement procedures for the acquisition of works, services, and supplies constitutes a useful tool to increase the effectiveness and efficiency of institutional action as well as to achieve the objectives of rationalization and cost containment associated with the execution of the procedures themselves and to realize economies of scale that ensure savings; </w:t>
        <w:br/>
        <w:t xml:space="preserve">- the realization of such a form of collaboration is in line with the implementing interventions of the public spending rationalization program referred to in Article 22, paragraph 7 of Decree-Law No. 90 of June 24, 2014, converted with amendments into Law No. 114 of August 11, 2014; </w:t>
        <w:br/>
        <w:t>- the AGCM and the CONSOB, in implementation of the provisions of Article 22, paragraph 7, of Decree-Law No. 90 of June 24, 2014, converted with amendments into Law No. 114 of August 11, 2014, signed on December 23, 2014 a Convention that regulates the methods of common procurement activity;</w:t>
      </w:r>
    </w:p>
    <w:p>
      <w:r>
        <w:rPr>
          <w:b/>
        </w:rPr>
        <w:t>[Pages 16–18]</w:t>
      </w:r>
    </w:p>
    <w:p>
      <w:r>
        <w:t>18 BULLETIN NO. 45 OF DECEMBER 3, 2018</w:t>
        <w:br/>
        <w:t>-.there is an opportunity to identify operational and procedural coordination methods between the Bank of Italy, the AGCM, and CONSOB, in order to allow the Authorities to undertake common procurement strategies;</w:t>
      </w:r>
    </w:p>
    <w:p>
      <w:r>
        <w:t>Seen:</w:t>
        <w:br/>
        <w:t>- Legislative Decree No. 50 of April 18, 2016 and subsequent amendments;</w:t>
        <w:br/>
        <w:t>- Law No. 241 of August 7, 1990;</w:t>
      </w:r>
    </w:p>
    <w:p>
      <w:r>
        <w:t>with this memorandum of understanding</w:t>
        <w:br/>
        <w:t>- the Italian Competition Authority (hereinafter also simply "AGCM"), based in Rome, Piazza Giuseppe Verdi No. 6/a, tax code 97076950589, represented by the Acting President, Dr. Gabriella Muscolo;</w:t>
        <w:br/>
        <w:t>and</w:t>
        <w:br/>
        <w:t>- the National Commission for Companies and the Stock Exchange (“CONSOB”), based in Rome, Via Giovanni Battista Martini No. 3, tax code 80204250585, represented by the Deputy President, Dr. Anna Genovese;</w:t>
        <w:br/>
        <w:t>and</w:t>
        <w:br/>
        <w:t>- the Bank of Italy (hereinafter also referred to as the “Bank”) – a public law institution based in Rome, Via Nazionale, No. 91, tax code 00997670583 – represented by the Governor, Dr. Ignazio Visco;</w:t>
      </w:r>
    </w:p>
    <w:p>
      <w:r>
        <w:t>hereinafter also referred to as “the Parties,” agree as follows:</w:t>
      </w:r>
    </w:p>
    <w:p>
      <w:r>
        <w:t>Article 1 - Object, Duration, and Purpose of the Protocol</w:t>
        <w:br/>
        <w:t>This memorandum of understanding defines the coordination methods between the Bank of Italy, the AGCM, and CONSOB aimed at identifying, based on their respective programming data, joint strategies for the acquisition of works, services, and supplies, according to the provisions of Legislative Decree No. 50 of April 18, 2016.</w:t>
      </w:r>
    </w:p>
    <w:p>
      <w:r>
        <w:t>The roles and responsibilities of the Parties and the allocation of related activities and competencies in relation to joint procurement procedures will be defined in separate implementing agreements, signed by them at the start of each awarding procedure.</w:t>
      </w:r>
    </w:p>
    <w:p>
      <w:r>
        <w:t>This protocol has a duration of five years from the date of signing and may be renewed upon expiration.</w:t>
      </w:r>
    </w:p>
    <w:p>
      <w:r>
        <w:t>Article 2 - Exchange and Update of Programming Data</w:t>
        <w:br/>
        <w:t>In order to ensure the availability of homogeneous and updated data regarding the biennial and triennial purchasing plans at the Parties, necessary to ensure effective programming of joint procurement initiatives, the Parties exchange the following information flows:</w:t>
        <w:br/>
        <w:t>a) immediately after their approval by the competent body according to the respective regulations, the official purchasing plan for works, services, and supplies;</w:t>
      </w:r>
    </w:p>
    <w:p>
      <w:r>
        <w:t>BULLETIN NO. 45 OF DECEMBER 3, 2018 19</w:t>
        <w:br/>
        <w:t>b) quarterly, the data relating to updates and/or changes to the aforementioned purchasing plan that occurred during the year;</w:t>
        <w:br/>
        <w:t>c) promptly, the emergence of unplanned purchasing needs for which there is an interest in activating joint purchasing tools.</w:t>
      </w:r>
    </w:p>
    <w:p>
      <w:r>
        <w:t>The exchange of the aforementioned information takes place within the Technical Table referred to in Article 3 below; the completeness and updating of the information provided in this context are necessary to verify the existence of common and concurrent procurement needs and the existence of the prerequisites for initiating joint procurement procedures.</w:t>
      </w:r>
    </w:p>
    <w:p>
      <w:r>
        <w:t>The Parties are responsible for the quality control and updating of the data provided respectively.</w:t>
      </w:r>
    </w:p>
    <w:p>
      <w:r>
        <w:t>Article 3 – Establishment of the Technical Table and Joint Programming</w:t>
        <w:br/>
        <w:t>A Technical Table is established, composed of two members for each Party, appointed by each Institution by December 31 of each year, with the task of implementing this memorandum of understanding.</w:t>
      </w:r>
    </w:p>
    <w:p>
      <w:r>
        <w:t>The members of the Technical Table meet regularly twice a year; they carry out the following activities:</w:t>
        <w:br/>
        <w:t>- promptly exchange the programming data referred to in Article 2 above and the related updates;</w:t>
        <w:br/>
        <w:t>- verify, based on the shared purchasing plans, the existence of common and concurrent purchasing needs for which it is possible to initiate one or more joint procurement procedures in the following biennium and prepare a joint purchasing plan, pursuant to Article 4 below;</w:t>
        <w:br/>
        <w:t>- agree, also with the technical support of their respective buyer structures, on the implementation methods of individual contracts for works, services, and supplies, to be included in the implementing agreements signed for each procedure pursuant to Article 5 below.</w:t>
      </w:r>
    </w:p>
    <w:p>
      <w:r>
        <w:t>The Technical Table also performs a function of guidance, coordination, and supervision regarding the implementation of this memorandum of understanding, with a view to maximizing its effectiveness. To this end, it identifies and promotes joint procurement strategies to be implemented in the long term, also in order to foster the development in the national and community market of innovative products and solutions aimed at meeting the common needs of the Parties.</w:t>
      </w:r>
    </w:p>
    <w:p>
      <w:r>
        <w:t>In the event that there is no joint interest from all Parties, the possibility remains to proceed with the signing of implementing agreements involving only two of the three Institutions.</w:t>
      </w:r>
    </w:p>
    <w:p>
      <w:r>
        <w:t>Article 4 – Joint Purchasing Plan</w:t>
        <w:br/>
        <w:t>Based on the shared purchasing strategies pursuant to the previous article, the Technical Table approves, by March 31 of each year, a “joint purchasing plan,” in which the spending initiatives for works, services, and supplies to be implemented jointly in the following twelve months are reported. The same document also includes the deadlines, agreed upon by the Parties based on the characteristics of the individual awards, for the transmission of the technical bidding documentation.</w:t>
      </w:r>
    </w:p>
    <w:p>
      <w:r>
        <w:t>If all members of the Technical Table agree, the “joint purchasing plan” may be shared with third awarding administrations, in order to promote, also by virtue of other existing forms of collaboration in procurement and where the prerequisites exist, broader forms of expenditure aggregation.</w:t>
      </w:r>
    </w:p>
    <w:p>
      <w:r>
        <w:t>In this case, having consulted the respective buyer structures for the technical/operational feasibility profiles, the Technical Table may provide in the implementing agreements for the participation in the individual joint procurements of other awarding administrations.</w:t>
      </w:r>
    </w:p>
    <w:p>
      <w:r>
        <w:t>Article 5 – Implementing Agreements</w:t>
        <w:br/>
        <w:t>The Parties sign individual implementing agreements in which their respective roles and responsibilities in carrying out each joint procurement procedure are defined. The formalization of the implementing agreements occurs through the signing by the subjects indicated by the individual Institutions, based on the information transmitted by their respective buyer structures.</w:t>
      </w:r>
    </w:p>
    <w:p>
      <w:r>
        <w:t>In particular, the implementing agreements define the following aspects:</w:t>
        <w:br/>
        <w:t>- definition of the purchasing need, including the related amount;</w:t>
        <w:br/>
        <w:t>- identification of the Party that assumes the role of contracting authority, which will carry out the joint procurement procedure;</w:t>
        <w:br/>
        <w:t>- identification of the essential contents of the technical specifications, the technical/economic offer templates, the participation requirements, taking into account the need to ensure full compliance with the respective needs;</w:t>
        <w:br/>
        <w:t>- indication of the criteria for the appointment of the members of the evaluation committee, where possible.</w:t>
      </w:r>
    </w:p>
    <w:p>
      <w:r>
        <w:t>The Parties undertake to provide maximum cooperation to ensure the correct and timely conduct of the awarding procedure.</w:t>
      </w:r>
    </w:p>
    <w:p>
      <w:r>
        <w:t>Article 6 - Reimbursement of Incurred Costs</w:t>
        <w:br/>
        <w:t>The execution of the activities subject to the agreement is free of charge and no compensation is provided. Each Party undertakes to reimburse the other for the costs incurred for the performance of the joint procurement procedures related to legal obligations, quantified in relation to each procedure based on the actual expenses incurred.</w:t>
      </w:r>
    </w:p>
    <w:p>
      <w:r>
        <w:t>Article 7 - Management of Disputes</w:t>
        <w:br/>
        <w:t>The Institution that, based on what is defined in the implementing agreements, holds the role of contracting authority, manages any disputes arising in relation to the joint procurement procedure referred to in this agreement and the preparation of the technical-legal elements useful for defense in court.</w:t>
      </w:r>
    </w:p>
    <w:p>
      <w:r>
        <w:rPr>
          <w:b/>
        </w:rPr>
        <w:t>[Pages 19–20]</w:t>
      </w:r>
    </w:p>
    <w:p>
      <w:r>
        <w:t>BULLETIN NO. 45 OF DECEMBER 3, 2018 21</w:t>
        <w:br/>
        <w:t>In the event of losing in court, the litigation costs and any other amounts that the contracting authority may be ordered to pay, even as compensation, are divided among the Institutions in proportion to the activities falling within their respective competence and responsibility as provided for in the individual implementing agreements.</w:t>
        <w:br/>
        <w:t>The AGCM avails itself of the legal representation of the State Attorney's Office.</w:t>
        <w:br/>
        <w:t>Art. 8 – Integrations, modifications, and publicity of the protocol</w:t>
        <w:br/>
        <w:t>This protocol is integrated and modified by mutual agreement between the Parties.</w:t>
        <w:br/>
        <w:t>Notice of this agreement is provided in the Report on the management and activities of the Bank of Italy, in the bulletins of the AGCM and CONSOB as well as on the websites of the same Authorities.</w:t>
        <w:br/>
        <w:t>Art. 9 - Signing of the memorandum of understanding</w:t>
        <w:br/>
        <w:t>This memorandum of understanding is signed with a digital signature pursuant to Legislative Decree No. 82 of March 7, 2005 and the subsequently issued legislative provisions, as provided for in Article 15, paragraph 2 bis of Law No. 241 of August 7, 1990, last amended by Article 6, paragraph 2, of Law No. 221 of December 17, 2012.</w:t>
        <w:br/>
        <w:t>For the Italian Competition Authority</w:t>
        <w:br/>
        <w:t>THE ACTING PRESIDENT</w:t>
        <w:br/>
        <w:t>Gabriella Muscolo</w:t>
        <w:br/>
        <w:t>For the National Commission for Companies and the Stock Exchange</w:t>
        <w:br/>
        <w:t>THE VICE PRESIDENT</w:t>
        <w:br/>
        <w:t>Anna Genovese</w:t>
        <w:br/>
        <w:t>For the Bank of Italy</w:t>
        <w:br/>
        <w:t>THE GOVERNOR</w:t>
        <w:br/>
        <w:t>Ignazio Visco</w:t>
      </w:r>
    </w:p>
    <w:p>
      <w:r>
        <w:t>Italian Competition Authority Weekly Bulletin</w:t>
        <w:br/>
        <w:t>Year XXVIII - No. 45 - 2018</w:t>
        <w:br/>
        <w:t>Editorial Coordination Giulia Antenucci</w:t>
        <w:br/>
        <w:t>Editorial Staff Sandro Cini, Valerio Ruocco, Simonetta Schettini,</w:t>
        <w:br/>
        <w:t>Manuela Villani</w:t>
        <w:br/>
        <w:t>Italian Competition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