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https://www.agcm.it/dotcmsdoc/bollettini/2021/45-21.pdf</w:t>
      </w:r>
    </w:p>
    <w:p>
      <w:r>
        <w:t>Pages translated : 54</w:t>
      </w:r>
    </w:p>
    <w:p/>
    <w:p>
      <w:r>
        <w:rPr>
          <w:b/>
        </w:rPr>
        <w:t>[Pages 1–3]</w:t>
      </w:r>
    </w:p>
    <w:p>
      <w:r>
        <w:t>Bulletin</w:t>
        <w:br/>
        <w:t>Weekly</w:t>
        <w:br/>
        <w:t>Year XXXI - No. 45</w:t>
        <w:br/>
        <w:t>Published on the website www.agcm.it</w:t>
        <w:br/>
        <w:t>November 15, 2021</w:t>
      </w:r>
    </w:p>
    <w:p>
      <w:r>
        <w:t>SUMMARY</w:t>
        <w:br/>
        <w:t>AGREEMENTS AND ABUSE OF DOMINANT POSITION 5</w:t>
        <w:br/>
        <w:t>A487B - ITALIAN NAVIGATION COMPANY - MARITIME TRANSPORT OF GOODS TO/FROM SARDINIA - REDETERMINATION OF SANCTION</w:t>
        <w:br/>
        <w:t>Provision No. 29868 5</w:t>
        <w:br/>
        <w:t>A537 - MARKET FOR THE PRODUCTION OF PET CONTAINERS</w:t>
        <w:br/>
        <w:t>Provision No. 29869 18</w:t>
        <w:br/>
        <w:t>A538 - MULTI-DIAMETER SEALING SYSTEMS FOR CABLES AND PIPES</w:t>
        <w:br/>
        <w:t>Provision No. 29872 36</w:t>
        <w:br/>
        <w:t>CONCENTRATION OPERATIONS 38</w:t>
        <w:br/>
        <w:t>C12405 - ENEL PRODUZIONE/ERG HYDRO</w:t>
        <w:br/>
        <w:t>Provision No. 29870 38</w:t>
        <w:br/>
        <w:t>UNFAIR TRADE PRACTICES 50</w:t>
        <w:br/>
        <w:t>IP347 - IMMOBILIARE.IT - MISLEADING AND COMPARATIVE MESSAGES</w:t>
        <w:br/>
        <w:t>Provision No. 29871 50</w:t>
      </w:r>
    </w:p>
    <w:p>
      <w:r>
        <w:t>BULLETIN NO. 45 OF NOVEMBER 15, 2021 5</w:t>
        <w:br/>
        <w:t>AGREEMENTS AND ABUSE OF DOMINANT POSITION</w:t>
        <w:br/>
        <w:t>A487B - ITALIAN NAVIGATION COMPANY - MARITIME TRANSPORT OF GOODS TO/FROM SARDINIA - REDETERMINATION OF SANCTION</w:t>
        <w:br/>
        <w:t>Provision No. 29868</w:t>
        <w:br/>
        <w:t>THE ITALIAN COMPETITION AUTHORITY</w:t>
        <w:br/>
        <w:t>IN ITS MEETING of October 29, 2021;</w:t>
        <w:br/>
        <w:t>HEARD the Rapporteur, President Roberto Rustichelli;</w:t>
        <w:br/>
        <w:t>HAVING REGARD to Law No. 287 of October 10, 1990;</w:t>
        <w:br/>
        <w:t>HAVING REGARD to the Decree of the President of the Republic No. 217 of June 30, 1998;</w:t>
        <w:br/>
        <w:t>HAVING REGARD to its resolution of October 22, 2014, which adopted the Guidelines on the application methods of the criteria for quantifying administrative pecuniary sanctions imposed by the Authority in application of Article 15, paragraph 1, of Law No. 287/90 (hereinafter, briefly, "Guidelines");</w:t>
        <w:br/>
        <w:t>HAVING REGARD to its Provision No. 27053 of February 28, 2018, adopted at the conclusion of Procedure No. A487 - Italian Navigation Company - Maritime Transport of Goods to/from Sardinia, with which the Authority found that the companies Moby S.p.A. and Compagnia Italiana di Navigazione S.p.A. had engaged in an abuse of dominant position in violation of Article 102, letter b), TFEU, consisting of a single and articulated strategy aimed at excluding competitors, both current and potential, in the relevant markets, intentionally carried out through a direct and indirect boycott action against logistics companies that had turned to competitors, to discourage them from using their maritime transport services;</w:t>
        <w:br/>
        <w:t>HAVING REGARD that for the established violation, due to the seriousness and duration of the infringement, a joint administrative pecuniary sanction of 29,202,673.73 euros was imposed on the companies Moby S.p.A. and Compagnia Italiana di Navigazione S.p.A.;</w:t>
        <w:br/>
        <w:t>HAVING REGARD to the judgment of the Regional Administrative Court for Lazio (hereinafter "Tar Lazio") of May 22, 2019, No. 7175, which partially accepted the appeal filed by the companies Moby S.p.A. and Compagnia Italiana di Navigazione S.p.A. and, as a result, partially annulled Provision No. 27053 of February 28, 2018, also ordering the redetermination of the sanction;</w:t>
        <w:br/>
        <w:t>HAVING REGARD, in particular, to the reasoning of the cited judgment, with which the Tar Lazio, in partial acceptance of the appeal filed, set the parameters for determining the sanction to be imposed on the appellant, referring the documents to the Authority so that it may quantify, with justification, and in concrete terms, the amount of the same in accordance with the indications provided in the aforementioned judgment;</w:t>
        <w:br/>
        <w:t>HAVING REGARD to its Provision No. 27844 of July 17, 2019, with which the initiation of Procedure A487B - Italian Navigation Company - Maritime Transport of Goods to/from Sardinia - redetermination of the sanction concerning the redetermination of the</w:t>
      </w:r>
    </w:p>
    <w:p>
      <w:r>
        <w:rPr>
          <w:b/>
        </w:rPr>
        <w:t>[Pages 4–6]</w:t>
      </w:r>
    </w:p>
    <w:p>
      <w:r>
        <w:t>6 BULLETIN NO. 45 OF NOVEMBER 15, 2021</w:t>
      </w:r>
    </w:p>
    <w:p>
      <w:r>
        <w:t>the sanction against Moby S.p.A. and Compagnia Italiana di Navigazione S.p.A., in compliance with the aforementioned ruling of the TAR Lazio of May 22, 2019, No. 7175;</w:t>
      </w:r>
    </w:p>
    <w:p>
      <w:r>
        <w:t>HAVING REGARD to its provision No. 27985 of November 5, 2019, with which the deadline for concluding the procedure was extended to December 31, 2019, to ensure the Parties the broadest exercise of their rights of defense and adversarial proceedings;</w:t>
      </w:r>
    </w:p>
    <w:p>
      <w:r>
        <w:t>HAVING REGARD to its provision No. 28040 of December 20, 2019, with which the deadline for concluding the procedure was extended to sixty days from the publication of the ruling of the Council of State that would decide the appeal filed by the Authority against the ruling of the TAR Lazio of May 22, 2019, No. 7175, also considering the relevance and solidity, in fact and in law, of the reasons presented;</w:t>
      </w:r>
    </w:p>
    <w:p>
      <w:r>
        <w:t>HAVING REGARD to the ruling of the Council of State No. 2727 of April 1, 2021, with which all appeals filed were rejected and the ruling of the TAR Lazio was confirmed, which had partially upheld the first-instance appeal filed by the companies Moby S.p.A. and Compagnia Italiana di Navigazione S.p.A.;</w:t>
      </w:r>
    </w:p>
    <w:p>
      <w:r>
        <w:t>HAVING REGARD to its provision No. 29666 of May 11, 2021, with which the deadline for closing the investigative procedure was extended to July 31, 2021;</w:t>
      </w:r>
    </w:p>
    <w:p>
      <w:r>
        <w:t>HAVING REGARD to its provision No. 29703 of June 8, 2021, with which the person responsible for the procedure was replaced;</w:t>
      </w:r>
    </w:p>
    <w:p>
      <w:r>
        <w:t>HAVING REGARD to its provision No. 29702 of July 27, 2021, with which the deadline for closing the investigative procedure was extended to October 31, 2021;</w:t>
      </w:r>
    </w:p>
    <w:p>
      <w:r>
        <w:t>HAVING REGARD to the documents of the procedure;</w:t>
      </w:r>
    </w:p>
    <w:p>
      <w:r>
        <w:t>CONSIDERING the following;</w:t>
      </w:r>
    </w:p>
    <w:p>
      <w:r>
        <w:t>I. THE PARTIES</w:t>
      </w:r>
    </w:p>
    <w:p>
      <w:r>
        <w:t>1. Compagnia Italiana di Navigazione S.p.A. (hereinafter, "CIN") is the company that acquired from Tirrenia di Navigazione S.p.A. the business branch related to the provision of maritime transport services for passengers and goods between mainland Italy and the major and minor islands. CIN (operating under the brand Tirrenia) is the holder of the public service that ensures territorial continuity for Sardinia, Sicily, and the Tremiti Islands with the mainland.</w:t>
      </w:r>
    </w:p>
    <w:p>
      <w:r>
        <w:t>2. Moby S.p.A. is a maritime transport company active on routes between mainland Italy and Sardinia, Corsica, and the island of Elba.</w:t>
      </w:r>
    </w:p>
    <w:p>
      <w:r>
        <w:t>3. CIN is 100% controlled by Moby, which in turn is wholly controlled by Onorato Armatori S.r.l.</w:t>
      </w:r>
    </w:p>
    <w:p>
      <w:r>
        <w:t>4. The Moby group achieved a consolidated revenue of approximately 584 million euros in 2018.</w:t>
      </w:r>
    </w:p>
    <w:p>
      <w:r>
        <w:t>5. Based on the above, the two companies will be referred to jointly as "Moby/CIN" or as the "Party."</w:t>
      </w:r>
    </w:p>
    <w:p>
      <w:r>
        <w:t>II. THE INVESTIGATIVE ACTIVITY CARRIED OUT</w:t>
      </w:r>
    </w:p>
    <w:p>
      <w:r>
        <w:t>6. The procedure was initiated to comply with the ruling of May 22, 2019, No. 7175, of the Regional Administrative Court for Lazio (hereinafter "TAR Lazio"), which, in partially annulling provision No. 27053 of February 28, 2018 (the "Provision"), entrusted the Authority with the concrete recalculation of the sanction against the companies involved.</w:t>
      </w:r>
    </w:p>
    <w:p>
      <w:r>
        <w:t>7. The procedure was conducted in adversarial proceedings with the Parties.</w:t>
      </w:r>
    </w:p>
    <w:p>
      <w:r>
        <w:t>8. On September 24, 2019, the Offices heard the Parties in a hearing; on that occasion, they provided their interpretation of the ruling of TAR Lazio.</w:t>
      </w:r>
    </w:p>
    <w:p>
      <w:r>
        <w:t>9. On November 5, 2019, the Authority decided to extend the investigative procedure to allow the parties adequate time to exercise their rights of defense and adversarial proceedings.</w:t>
      </w:r>
    </w:p>
    <w:p>
      <w:r>
        <w:t>10. On November 15, 2019, during a second hearing, the Offices read to the Party an explanatory note (hereinafter, the "Note") regarding the criteria that would be used for the recalculation of the sanction.</w:t>
      </w:r>
    </w:p>
    <w:p>
      <w:r>
        <w:t>11. The Parties finally submitted a reply memorandum to the Note on December 6, 2019.</w:t>
      </w:r>
    </w:p>
    <w:p>
      <w:r>
        <w:t>12. On December 20, 2019, the College decided to extend the deadline for concluding the procedure to sixty days from the publication of the ruling of the Council of State that would decide the appeal filed by the Authority against the ruling of TAR Lazio.</w:t>
      </w:r>
    </w:p>
    <w:p>
      <w:r>
        <w:t>13. With ruling No. 2727 of April 1, 2021 (hereinafter, also the "Ruling"), the Council of State rejected all appeals filed and confirmed the ruling of TAR Lazio; therefore, the deadline for this investigative procedure was set for May 31, 2021.</w:t>
      </w:r>
    </w:p>
    <w:p>
      <w:r>
        <w:t>14. On May 11, 2021, the Authority decided to extend the deadline for closing the investigative procedure to July 31, 2021, to allow the parties adequate time to exercise their rights of defense and adversarial proceedings.</w:t>
      </w:r>
    </w:p>
    <w:p>
      <w:r>
        <w:t>15. On May 28, 2021, the Offices again heard the Parties in a hearing; on that occasion, they provided their interpretation of the ruling of the Council of State.</w:t>
      </w:r>
    </w:p>
    <w:p>
      <w:r>
        <w:t>16. On July 27, 2021, the Authority decided to further extend the deadline for closing the investigative procedure to October 31, 2021, to allow the parties adequate time to exercise their rights of defense and adversarial proceedings.</w:t>
      </w:r>
    </w:p>
    <w:p>
      <w:r>
        <w:t>17. On October 4, 2021, during a fourth hearing, the Offices read to the Party a new explanatory note (hereinafter, the "New Note") regarding the criteria that would be used for the recalculation of the sanction.</w:t>
      </w:r>
    </w:p>
    <w:p>
      <w:r>
        <w:t>18. The Parties finally submitted a reply memorandum to the New Note on October 15, 2021.</w:t>
      </w:r>
    </w:p>
    <w:p>
      <w:r>
        <w:t>III. THE SANCTIONING PROVISION AND THE PARTIAL ANNULMENT WITH THE RULING OF TAR LAZIO</w:t>
      </w:r>
    </w:p>
    <w:p>
      <w:r>
        <w:t>19. The Provision attributed to Moby/CIN an abuse of dominant position, carried out in violation of Article 102, letter b), TFEU, consisting of a single and articulated strategy aimed at excluding competitors, both current and potential, in the markets for maritime transport services for goods related to the routes of North Sardinia - North Italy, North Sardinia - Central Italy, and South Sardinia - Central Italy. According to what was established in the Provision, this strategy was implemented through a so-called "direct boycott" - consisting of missed boardings, refusals of bookings, and the sudden termination of contracts - and a so-called "indirect boycott" - consisting of pressure actions on clients, so that they would not use the transport services of logistics companies that had turned to competitors, and discounts to companies that remained loyal to Moby/CIN - both implemented against logistics companies considered "disloyal" as they had availed themselves of the maritime transport services offered by the Party's competitors.</w:t>
      </w:r>
    </w:p>
    <w:p>
      <w:r>
        <w:t>20. The Authority considered that this single and articulated strategy constituted a serious conduct deserving of sanction. For this reason, for sanctioning purposes, it considered:</w:t>
        <w:br/>
        <w:t>a) a percentage of specific revenue equal to 9% for calculating the base amount of the sanction;</w:t>
        <w:br/>
        <w:t>b) an additional amount (so-called entry fee) of 15%;</w:t>
        <w:br/>
        <w:t>c) a duration of the infringement equal to two years and 5 months, calculated by taking September 28, 2015, as the start date of the abuse and the conclusion of the investigative procedure, set for February 28, 2018, as the end date, thus obtaining a multiplicative duration factor of "2.42."</w:t>
      </w:r>
    </w:p>
    <w:p>
      <w:r>
        <w:rPr>
          <w:b/>
        </w:rPr>
        <w:t>[Pages 7–9]</w:t>
      </w:r>
    </w:p>
    <w:p>
      <w:r>
        <w:t>BULLETIN NO. 45 OF NOVEMBER 15, 2021 9</w:t>
      </w:r>
    </w:p>
    <w:p>
      <w:r>
        <w:t>21. The TAR Lazio deemed the grounds for appeal proposed by Moby/CIN against the Provision to be unworthy of acceptance, relating to: i) the definition of the relevant markets, ii) the existence of a dominant position of Moby/CIN, and iii) the ascertainment of the existence of "direct boycott." These parts of the Provision were therefore fully confirmed. Conversely, the first-instance Judge accepted the grounds for appeal in the part where Moby/CIN argued "the absence of a correct reconstruction regarding the abstract exclusionary capacity of the so-called 'indirect boycott' (the occurrence of which must therefore be excluded)."</w:t>
      </w:r>
    </w:p>
    <w:p>
      <w:r>
        <w:t>22. The TAR Lazio also accepted the grounds for appeal in the part where Moby/CIN argued that the Provision was flawed by an investigative and motivational defect in the analysis of the effects of the conduct attributed to the Party. Therefore, "in light of the partial acceptance regarding part of the conduct and the effects of the abuse," it imposed on the Authority to reduce the percentage of 9% of the specific turnover identified in the Provision, which was the basis for calculating the sanction.</w:t>
      </w:r>
    </w:p>
    <w:p>
      <w:r>
        <w:t>23. The TAR Lazio then found "the validity of the argument with which the appellants argued the lack of conditions for the application of the entry fee," and finally redefined the duration of the abusive conduct, considering that the Authority had erroneously assumed that at the time of the closure of the investigative procedure the ascertained conduct was still ongoing. The first-instance Judge therefore reduced the duration of the abuse, identifying January 2017 as the moment when it ceased.</w:t>
      </w:r>
    </w:p>
    <w:p>
      <w:r>
        <w:t>IV. THE JUDGMENT OF THE COUNCIL OF STATE</w:t>
      </w:r>
    </w:p>
    <w:p>
      <w:r>
        <w:t>24. With judgment no. 2727 of April 1, 2021, the Council of State confirmed the judgment of the TAR Lazio of May 22, 2019, no. 7175, rejecting all grounds of appeal presented.</w:t>
      </w:r>
    </w:p>
    <w:p>
      <w:r>
        <w:t>25. In particular, as relevant here, the Council of State rejected the appellants' companies' ground of appeal regarding the erroneous identification of the relevant markets, stating that the methodology used by the Authority meets the parameters of logic and consistency required by administrative jurisprudence. The Judge also rejected the appellants' ground of appeal regarding the erroneous assessment of the existence of a dominant position, considering the sanctioning provision correct in identifying the existence of a dominant position held by Moby/CIN.</w:t>
      </w:r>
    </w:p>
    <w:p>
      <w:r>
        <w:t>26. The administrative Judge of last instance then rejected the ground of appeal regarding the existence of "direct boycott" and confirmed the accuracy, legal adherence to the standard of proof required by the jurisprudence of the EU Court of Justice for proving the existence of an abuse of dominant position (based on the ascertainment of the ability of a dominant company's conduct to restrict competition without such an effect being concretely realized) and the adequacy of the motivation supporting the ascertainment of such exclusionary abuse by the Authority. In particular, the Council of State stated that it consisted of a "constant activity of exclusion of means from boarding, attributable to the so-called 'disloyal' companies, justified by unreliable reasons," which for "the unusual repetitiveness and frequency of the episodes betrays, indeed, a policy of constant obstruction towards the so-called 'disloyal' or 'traitorous' companies, in the withdrawal 'from contracts traditionally entered into with many logistics and commercial companies [...] so-called disloyal, justifying this necessity with flimsy or generic motivations," and in the "constant worsening of the commercial conditions applied to primary logistics companies that had been clients of Moby and CIN for several decades." Essentially, therefore, for the administrative Judge of last instance, the companies of the Onorato group would have enacted "sudden unreasonable and commercially worsening behaviors, during the period under observation and investigation by the Authority [...] to the detriment of solid commercial companies with which Moby and CIN had maintained 'serene' and profitable commercial relationships for years."</w:t>
      </w:r>
    </w:p>
    <w:p>
      <w:r>
        <w:t>27. The Council of State, on the other hand, rejected the Authority's appeal regarding the annulment of the Provision in the part where it attributed to the companies of the Onorato group also the application of discounts to "loyal" logistics companies. In particular, the Council of State stated that the investigation carried out by the Authority did not allow for the demonstration that, considering similar practices implemented by other competing companies, the discounts applied by Moby/CIN were anti-competitive tools to bind "loyal" logistics companies and thus raise a barrier to entry into the market by other companies.</w:t>
      </w:r>
    </w:p>
    <w:p>
      <w:r>
        <w:t>28. The Judge also deemed unfounded the ground of appeal based on which Moby/CIN argued that the Provision had not demonstrated that the conduct attributed to them was capable of causing harm to consumers. In particular, the judgment in question states that the extensive investigation consists of numerous elements, acquired from multiple operators in the sector and through various and diversified means of cognition, all of which constitute robust elements that have correctly allowed the Authority to suppose that the conduct attributed to the companies of the Onorato group were, on the contrary, capable of causing such damage.</w:t>
      </w:r>
    </w:p>
    <w:p>
      <w:r>
        <w:t>29. Regarding the duration of the conduct, the Council of State rejected the appellants' companies' thesis that the conduct attributed to them had ceased as early as February 2016; the Judge, on the contrary, considered that in the Provision there are "elements proving the continuation of the conduct and the consequences that such behaviors have caused on other economic operators present in the reference market well after February 2016," such as "[...] the closure of the Porto Torres-Savona route (and vice versa) in September 2017, decided by Grimaldi in order not to incur operating losses or, [...] [t]he opening of a third route by Grimaldi, in January 2017, to respond to the conduct carried out by the companies Moby and CIN and to allow its customers to emancipate themselves from the dominant company." Essentially, the Judge considered that the exclusionary abuse attributed to Moby/CIN extended until January 2017. In this way, the administrative Judge of last instance also rejected the Authority's ground of appeal, which argued that, instead, there was evidence of a longer duration of the conduct, still ongoing at the time of the closure of the investigative procedure.</w:t>
      </w:r>
    </w:p>
    <w:p>
      <w:r>
        <w:t>30. Also regarding the application of the entry fee and the choice of the specific turnover percentage on which the sanction was calculated, the Council of State rejected the Authority's grounds of appeal. Specifically, the Judge considered that the provision lacks adequate motivation for the aggravation of the amount of the sanction through the entry fee, based on the real and effective impact in terms of commercial suffering on the part of the other operators present in the reference market.</w:t>
      </w:r>
    </w:p>
    <w:p>
      <w:r>
        <w:t>31. Finally, regarding the identification of the specific turnover percentage to be used as the basis for calculating the sanction, the Council of State stated that this should be reduced, not only due to the lesser severity but also considering the shorter time frame correctly identified by the TAR Lazio in which the conduct was expressed (from September 28, 2015, to January 2017).</w:t>
      </w:r>
    </w:p>
    <w:p>
      <w:r>
        <w:t>V. THE ARGUMENTS OF THE PARTIES</w:t>
      </w:r>
    </w:p>
    <w:p>
      <w:r>
        <w:t>32. In their arguments, the Party strongly emphasized the fact that the Judgment confirmed the TAR Lazio's ruling whereby the Provision was partially annulled. Already in the context of the contradiction had with the Offices during the present procedure regarding the methods of executing the TAR Lazio's judgment, the companies of the Onorato group had argued that the first-instance judgment was unequivocal in establishing that the "indirect boycott" and the effects of the conduct attributed to the Party were entirely annulled because they were not demonstrated. The confirmation of this ruling by the Council of State,</w:t>
      </w:r>
    </w:p>
    <w:p>
      <w:r>
        <w:rPr>
          <w:b/>
        </w:rPr>
        <w:t>[Pages 10–12]</w:t>
      </w:r>
    </w:p>
    <w:p>
      <w:r>
        <w:t>12 BULLETIN NO. 45 OF NOVEMBER 15, 2021</w:t>
      </w:r>
    </w:p>
    <w:p>
      <w:r>
        <w:t>therefore, according to the Party, would have crystallized such a significant downsizing of the case.</w:t>
      </w:r>
    </w:p>
    <w:p>
      <w:r>
        <w:t>33. Therefore, Moby/CIN believes that the case originally attributed in the Provision cannot be considered substantively intact.</w:t>
      </w:r>
    </w:p>
    <w:p>
      <w:r>
        <w:t>34. The Party contests the circumstance whereby the abuse attributed to the companies of the Onorato group has produced concrete effects on competition and in particular on their main competitor, Grimaldi. This is primarily because this competing company, according to Moby/CIN, is defined in the Judgment as a strong operator, which has implemented an equally aggressive discount policy, from which the companies of the Onorato group would have merely defended themselves. Furthermore, the Party derives the absence of effects of the abuse on the market - and seems to question the very harmful capacity of the abuse attributed to Moby/CIN - by relying on the statements of the Council of State regarding the need for a thorough investigative assessment and a precise inquiry to evaluate conduct as anti-competitive, and emphasizing that, in any case, anti-competitiveness, as a mere restrictive potential, does not automatically imply the production of anti-competitive effects. The failure to produce such effects in this case, finally, would have been established by the Judge himself, who explicitly stated that the abuse did not have a real and effective impact in terms of commercial suffering on the other operators active in the market.</w:t>
      </w:r>
    </w:p>
    <w:p>
      <w:r>
        <w:t>35. The Party also believes that the Judgment does not reveal any ruling supporting the occurrence of prejudicial effects for consumers as a result of the abuse attributed to the companies of the Onorato group, since the Judge of last instance merely stated that it was merely capable of producing the aforementioned effects.</w:t>
      </w:r>
    </w:p>
    <w:p>
      <w:r>
        <w:t>36. From all this, it would follow that the abuse attributable to Moby/CIN should be considered not serious and deserving of a sanction based on a turnover percentage much lower than 9%.</w:t>
      </w:r>
    </w:p>
    <w:p>
      <w:r>
        <w:t>37. More specifically, the percentage of 6% proposed by the Offices, besides not representing a significant reduction, would entail a worsening revision of the severity coefficient proposed by the same Offices in 2019 (equal to 4%) which is detrimental to the rights of the Party and unjustified because it was made despite the full confirmation of the Lazio TAR ruling by the Council of State. For this reason, the Party believes, first and foremost, that the turnover percentage hypothesized in 2019 constitutes an insurmountable limit, under penalty of the intrinsic contradiction of the administrative action.</w:t>
      </w:r>
    </w:p>
    <w:p>
      <w:r>
        <w:t>38. But even the percentage of 4% appears to the companies of the Onorato group inadequate and disproportionate to the severity of the abuse as reconfigured by the administrative judges. This would also be confirmed by the outcome of the Judgment: for the same reasons already stated, namely considering the definitive exclusion of the occurrence of "indirect boycott," or, according to the Party, of a large part of the conduct attributed to Moby/CIN, and of concrete effects of the conduct on the market and on consumers, the re-determination of the sanction should foresee a significant reduction of the severity coefficient well below 4%.</w:t>
      </w:r>
    </w:p>
    <w:p>
      <w:r>
        <w:t>39. Finally, the Party complains that in the New Note the Offices did not formulate any concrete proposal regarding the reduction of the amount of the sanction based on the significantly negative economic and financial conditions in which the companies of the Onorato group find themselves, even though they have generally acknowledged that these are indeed susceptible to reducing the amount of the new sanction to be imposed on the companies of the Onorato group. On this point, Moby/CIN recalled the Authority's practice that records the application of a reduction of sanctions in the order of 80%-90%, if not a symbolic sanction, to companies that find themselves in such negative financial conditions and that are involved in procedures for composition with business continuity.</w:t>
      </w:r>
    </w:p>
    <w:p>
      <w:r>
        <w:t>VI. EVALUATIONS</w:t>
      </w:r>
    </w:p>
    <w:p>
      <w:r>
        <w:t>40. In light of the above, it is believed that the Judgment of the Council of State has definitively validated a substantial part of the Authority's Provision.</w:t>
      </w:r>
    </w:p>
    <w:p>
      <w:r>
        <w:t>41. This consideration primarily applies to the definition of the relevant markets, the identification of a dominant position held by Moby/CIN in those markets, as well as, in particular, the ascertainment of the existence and anti-competitive scope of an exclusionary abuse carried out by Moby/CIN, elements of the case originally attributed in relation to which the Council of State rejected the arguments proposed by the appellant companies.</w:t>
      </w:r>
    </w:p>
    <w:p>
      <w:r>
        <w:t>42. Regarding the ascertainment of the illegitimacy of the behaviors carried out by Moby/CIN, it is noted that the Judgment clearly recognizes the full satisfaction by the Authority of the standard of proof required by the jurisprudence of the EU Court of Justice for proving the existence of an abuse of dominant position, based on the ascertainment of the suitability of the conduct of a dominant company to exclude competitors from the market and not on the actual exclusion of the same. More specifically, the Council of State has widely and unequivocally confirmed the correctness of the ascertainment made by the Authority regarding the existence of "direct boycott," perpetrated against the logistics companies that had turned to competing shipowners and consisting of missed embarkations, refusals of bookings, and the sudden termination of long-term contracts, as conduct contrary to Article 102 TFEU or, therefore, as an abuse capable of precluding access of such competitors to the market and, thus, capable of producing prejudicial effects on the market and on competition.</w:t>
      </w:r>
    </w:p>
    <w:p>
      <w:r>
        <w:t>43. Based on the Judgment, the rejection of the appeal proposed by the Authority regarding the proof of the illegitimacy of "indirect boycott" does not entail, as the Party claims, the annulment of a large part of the abuse attributed to Moby/CIN. In fact, there is no element, either in the Provision or in the Judgment, that allows us to assert that the "direct boycott," clearly confirmed by the Council of State, played a minor and/or residual role within the abusive strategy originally ascribed to the companies of the Onorato group.</w:t>
      </w:r>
    </w:p>
    <w:p>
      <w:r>
        <w:t>44. Furthermore, it is believed that the "direct boycott," as an exclusionary abuse that, according to the last instance administrative Judge, was carried out by Moby/CIN, constitutes a serious offense.</w:t>
      </w:r>
    </w:p>
    <w:p>
      <w:r>
        <w:t>45. Indeed, the arguments of the Party regarding the non-seriousness of the same due to the alleged failure to produce anti-competitive effects are not shareable.</w:t>
      </w:r>
    </w:p>
    <w:p>
      <w:r>
        <w:t>46. First of all, it is observed that the specific statements of the Council of State identified by the Party to support this thesis are not relevant. These rulings refer exclusively to "indirect boycott" and constitute the reasoning behind the annulment of that specific conduct. In fact, it is only in that context that the last instance administrative Judge recalled that a conduct can be considered anti-competitive, or capable of producing prejudicial effects on the market, only following a thorough investigative assessment and a precise inquiry. Such precision and thoroughness, as already stated, are, on the contrary, characteristics attributed by the Judge to the investigative activity carried out by the Authority regarding the ascertainment of "direct boycott" as an exclusionary abuse.</w:t>
      </w:r>
    </w:p>
    <w:p>
      <w:r>
        <w:t>47. Similarly, the reference by the Council of State to the presence in the market of a strong operator cannot be validly invoked as an element that excludes the anti-competitive scope of the abuse attributed to Moby/CIN even after the Judgment, as the Judge mentions this company solely and exclusively as an operator capable of implementing "an equally aggressive discount policy," thereby identifying an element obstructing the anti-competitive judgment confined to the only "indirect boycott."</w:t>
      </w:r>
    </w:p>
    <w:p>
      <w:r>
        <w:t>48. Therefore, the evaluations of the Council of State regarding the existence of "indirect boycott" cannot be extended to "direct boycott" to derive a judgment of non-seriousness. This would mean, in fact, confusing the plane of the existence of the offense, which, as already mentioned, regarding "direct boycott," has been unequivocally confirmed by the Judge, with the plane of its seriousness.</w:t>
      </w:r>
    </w:p>
    <w:p>
      <w:r>
        <w:t>49. Also, the reference to the passage of the Judgment in which the Council of State refers to the "real and effective impact in terms of commercial suffering on the other operators present in the reference market" cannot be used to assert that, where the Authority has not been able to demonstrate such negative effects, the abuse cannot be considered serious. These rulings, in fact, refer to elements that would have been necessary to demonstrate to justify the aggravation of the sanction through the entry fee, or to consider the abuse particularly serious. However, the absence of such proof cannot certainly lead to completely excluding the seriousness of the abuse in its entirety.</w:t>
      </w:r>
    </w:p>
    <w:p>
      <w:r>
        <w:t>50. Aside from these considerations, it is also observed, more generally, that the seriousness of an exclusionary abuse is not measured solely by the effects it has produced on the market and on competition, but primarily on its suitability to produce them, being sufficient for the integration of the offense.</w:t>
      </w:r>
    </w:p>
    <w:p>
      <w:r>
        <w:rPr>
          <w:b/>
        </w:rPr>
        <w:t>[Pages 13–15]</w:t>
      </w:r>
    </w:p>
    <w:p>
      <w:r>
        <w:t>BULLETIN NO. 45 OF NOVEMBER 15, 2021 15</w:t>
      </w:r>
    </w:p>
    <w:p>
      <w:r>
        <w:t>A violation is established with a potential anticompetitive effect. Moreover, as stated by the Council of State itself, “[f]or the purposes of Article 102 TFEU, the proof of the object and the anticompetitive effect are intertwined: if it is demonstrated that the purpose pursued by the behavior of a dominant company is to restrict competition, such behavior is prejudicial in itself, as it can also lead to such an effect […]. The unlawful act, that is, is perfected with the anticompetitive conduct, provided that it is suitable to disturb its correct functioning and therein the very freedom of the market.”</w:t>
      </w:r>
    </w:p>
    <w:p>
      <w:r>
        <w:t>51. Furthermore, the Judge clearly stated that the investigation conducted by the Authority correctly allowed it to attribute to the exclusionary abuse committed by Moby/CIN a harmful suitability even towards consumers. This harmful potential also contributes to the assessment of the exclusionary abuse as a serious offense, without the need to verify that such suitability has translated into concrete prejudicial effects for such subjects.</w:t>
      </w:r>
    </w:p>
    <w:p>
      <w:r>
        <w:t>52. For all the reasons stated above, it is believed that the Judgment reveals that the dominant company has engaged in a more narrowly defined exclusionary abuse in its factual contours compared to those established in the Provision, but nonetheless capable of producing negative effects on competition and the market. The Judge's confirmation of the existence of the “direct boycott” directed against the logistics companies that have used Moby/CIN's competitors, in fact, allows for the identification in any case, and despite the annulment of the “indirect boycott,” of a behavior characterized by a significant degree of competitive offensiveness, albeit less severe than that originally established in the Provision.</w:t>
      </w:r>
    </w:p>
    <w:p>
      <w:r>
        <w:t>53. Regarding the duration of the unlawful act, it is noted that the Council of State rejected the appeals filed by both the Authority and the companies of the Onorato group concerning the duration of the abuse, confirming that the infringement began on September 28, 2015, and ended on December 31, 2016. Therefore, it is found that it was perpetrated by Moby/CIN for 15 months, or for a period of time certainly shorter (just over half) than that established in the Provision, but nonetheless sufficiently long.</w:t>
      </w:r>
    </w:p>
    <w:p>
      <w:r>
        <w:t>VII. THE REDETERMINATION OF THE SANCTION</w:t>
      </w:r>
    </w:p>
    <w:p>
      <w:r>
        <w:t>54. Having stated all of the above, in order to quantify the new sanction, it is recalled that, pursuant to Article 11 of Law No. 689/1981, as referenced by Article 31 of Law No. 287/90, the determination of the sanction must consider the severity of the violation, the economic conditions of the companies involved, as well as their behavior and, in particular, any initiatives aimed at eliminating or mitigating the consequences of the violations. For this purpose, the Commission's Communication regarding the guidelines for calculating fines of 1998 and the Authority's Guidelines on the application of the criteria for quantifying administrative pecuniary sanctions imposed by the Authority in application of Article 15, paragraph 1, of Law No. 287/90 (AGCM Resolution of October 22, 2014, No. 25152) is also referenced.</w:t>
      </w:r>
    </w:p>
    <w:p>
      <w:r>
        <w:t>55. First of all, in compliance with the decision of the Administrative Judge, the sanction must be redetermined excluding the “entry fee.” Secondly, the abuse committed by Moby/CIN remains serious, considering the confirmation by the same judge of the case of “direct boycott.” It is also necessary to take into account the annulment of the “indirect boycott.” Therefore, it is deemed appropriate to proceed with a substantial reduction, greater than 50%, of the percentage of specific turnover to be used as the basis for calculating the new sanction and to redetermine this percentage from 9% to 4% of the specific turnover achieved by the Onorato group in 2016.</w:t>
      </w:r>
    </w:p>
    <w:p>
      <w:r>
        <w:t>56. Regarding the duration of the unlawful act, it is noted that the infringement began on September 28, 2015, and ended on December 31, 2016. It thus had a duration of 15 months.</w:t>
      </w:r>
    </w:p>
    <w:p>
      <w:r>
        <w:t>57. Based on the preceding considerations regarding the parameters of severity and duration of the unlawful act committed by Moby/CIN, it is deemed appropriate to apply a sanction to the Party amounting to €4,000,664.11.</w:t>
      </w:r>
    </w:p>
    <w:p>
      <w:r>
        <w:t>58. For the purposes of redetermining the sanction, it is also deemed necessary to consider the current economic and financial conditions of the companies involved in the original investigative proceedings. In this regard, it is noted that the companies of the Onorato group have extensively documented and highlighted the problematic economic and financial conditions in which they find themselves, to the extent that on July 5, 2021, both were admitted to the procedure for preventive composition in business continuity.</w:t>
      </w:r>
    </w:p>
    <w:p>
      <w:r>
        <w:t>59. Two of the three precedents cited by the Party to invoke a further reduction of 80-90% of the new sanction, pursuant to Article 34 of the Guidelines, in consideration of such circumstances and in particular the need to avoid infringing the rights of the creditor class convened in the composition procedure, do not appear to be relevant. These, in fact, concern cases of reduction of the fine at the time of the original imposition of the sanction, and not of its redetermination. The third precedent cited by the Party as an example of reduction of the sanction in consideration of events occurring in the time interval between the imposition of the sanction and its collection, concerns a different hypothesis of redetermination of the imposed fine, which originated from the request of the sanctioned company for self-protection review of the sanctioning provision, and not, as in this case, from the order of the Judge who annulled (partially) the Authority's provision. Finally, all three precedents cited by the Party concern companies that were in liquidation or had ceased their activities.</w:t>
      </w:r>
    </w:p>
    <w:p>
      <w:r>
        <w:t>60. Nevertheless, it is believed that, in application of Article 11 of Law No. 698/81, referenced by Article 31 of Law No. 287/90, which requires consideration of the current economic conditions of the company, the critical economic and financial conditions in which the Onorato group companies currently find themselves, as highlighted by the companies, should be duly taken into account. This leads to the conclusion that a further reduction of the fine to be imposed on Moby/CIN is reasonable. Conversely, this does not imply that in this case the conditions exist to apply a symbolic amount of the sanction, as invoked by the Party, as it is, for the reasons stated above, an unlawful act that can be classified as serious.</w:t>
      </w:r>
    </w:p>
    <w:p>
      <w:r>
        <w:t>61. In light of these considerations, it is deemed appropriate to further reduce the sanction as redetermined to 1 million euros (with a reduction of approximately 75%).</w:t>
      </w:r>
    </w:p>
    <w:p>
      <w:r>
        <w:t>Having stated and considered all of the above,</w:t>
      </w:r>
    </w:p>
    <w:p>
      <w:r>
        <w:t>IT IS THEREFORE CONSIDERED necessary to proceed, in compliance with the aforementioned judgment of the Council of State, to redetermine the sanction to be imposed on the companies Moby S.p.A. and Compagnia Italia di Navigazione S.p.A. for the established violation in the amount of €1,000,000 (one million euros);</w:t>
      </w:r>
    </w:p>
    <w:p>
      <w:r>
        <w:t>RESOLVES</w:t>
      </w:r>
    </w:p>
    <w:p>
      <w:r>
        <w:t>that the administrative pecuniary sanction to be applied to Moby S.p.A. and Compagnia Italia di Navigazione S.p.A. for the violations attributed to them in the Authority's provision No. 27053 of February 28, 2018, is quantified in the amount of €1,000,000 (one million euros).</w:t>
      </w:r>
    </w:p>
    <w:p>
      <w:r>
        <w:t>The above-mentioned administrative pecuniary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Immediate communication of the payment must be given to the Authority, by sending a copy of the model certifying the payment made.</w:t>
      </w:r>
    </w:p>
    <w:p>
      <w:r>
        <w:t>This provision will be notified to the interested parties and subsequently published in accordance with the law.</w:t>
      </w:r>
    </w:p>
    <w:p>
      <w:r>
        <w:t>An appeal against this provision may be filed with the Regional Administrative Court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rPr>
          <w:b/>
        </w:rPr>
        <w:t>[Pages 16–18]</w:t>
      </w:r>
    </w:p>
    <w:p>
      <w:r>
        <w:t>BULLETIN NO. 45 OF NOVEMBER 15, 2021</w:t>
      </w:r>
    </w:p>
    <w:p>
      <w:r>
        <w:t>A537 - MARKET FOR THE PRODUCTION OF PET CONTAINERS</w:t>
      </w:r>
    </w:p>
    <w:p>
      <w:r>
        <w:t>Provision No. 29869</w:t>
      </w:r>
    </w:p>
    <w:p>
      <w:r>
        <w:t>THE ITALIAN COMPETITION AUTHORITY</w:t>
      </w:r>
    </w:p>
    <w:p>
      <w:r>
        <w:t>IN ITS MEETING of October 29, 2021;</w:t>
      </w:r>
    </w:p>
    <w:p>
      <w:r>
        <w:t>HEARD the Rapporteur, Professor Michele Ainis;</w:t>
      </w:r>
    </w:p>
    <w:p>
      <w:r>
        <w:t>HAVING REGARD TO Article 102 of the Treaty on the Functioning of the European Union (“TFEU”);</w:t>
      </w:r>
    </w:p>
    <w:p>
      <w:r>
        <w:t>HAVING REGARD TO Regulation No. 1/2003 of the European Council of December 16, 2002, concerning the application of the competition rules laid down in Articles 81 and 82 of the Treaty establishing the European Community (now Articles 101 and 102 TFEU);</w:t>
      </w:r>
    </w:p>
    <w:p>
      <w:r>
        <w:t>HAVING REGARD TO Law No. 287 of October 10, 1990;</w:t>
      </w:r>
    </w:p>
    <w:p>
      <w:r>
        <w:t>HAVING REGARD TO D.P.R. No. 217 of April 30, 1998;</w:t>
      </w:r>
    </w:p>
    <w:p>
      <w:r>
        <w:t>HAVING REGARD TO its provision of January 28, 2020, No. 28106, which initiated an investigative procedure against Husky Injection Molding Systems Ltd, Husky Injection Molding Systems S.A., and Husky Italia S.r.l., pursuant to Article 14 of Law No. 287/90, to ascertain an alleged violation of Article 102 of the TFEU;</w:t>
      </w:r>
    </w:p>
    <w:p>
      <w:r>
        <w:t>HAVING REGARD TO its provision of December 1, 2020, No. 28467, which resolved the replacement of the person responsible for the procedure due to organizational needs;</w:t>
      </w:r>
    </w:p>
    <w:p>
      <w:r>
        <w:t>HAVING REGARD TO Article 103, paragraph 1, of Decree Law No. 18 of March 17, 2020, as amended by Article 37 of Decree Law No. 23 of April 8, 2020, by virtue of which the deadline for closing the procedure was extended to June 21, 2021;</w:t>
      </w:r>
    </w:p>
    <w:p>
      <w:r>
        <w:t>HAVING REGARD TO the Communication of Investigative Findings (hereinafter also CRI) which the Authority verified as not manifestly unfounded during the meeting of June 8, 2021;</w:t>
      </w:r>
    </w:p>
    <w:p>
      <w:r>
        <w:t>HAVING REGARD TO its provisions No. 29705 of June 8, 2021, and No. 29749 of July 13, 2021, which resolved the extensions, respectively to September 30, 2021, and October 30, 2021, of the deadline for concluding the procedure, considering the complexity of the case subject to the procedure and the need to ensure the parties the broadest exercise of the right of defense and the full unfolding of the adversarial process;</w:t>
      </w:r>
    </w:p>
    <w:p>
      <w:r>
        <w:t>HAVING REGARD TO the defensive memoranda submitted by the parties during the procedure and, lastly, on September 8, 2021;</w:t>
      </w:r>
    </w:p>
    <w:p>
      <w:r>
        <w:t>HEARD in the final hearing, on September 13, 2021, the representatives of the companies Husky Injection Molding Systems Ltd, Husky Injection Molding Systems S.A., and Husky Italia S.r.l. and of the notifying company;</w:t>
      </w:r>
    </w:p>
    <w:p>
      <w:r>
        <w:t>HAVING REGARD TO the acts of the procedure and the documentation acquired during the investigation;</w:t>
      </w:r>
    </w:p>
    <w:p>
      <w:r>
        <w:t>CONSIDERING the following:</w:t>
      </w:r>
    </w:p>
    <w:p>
      <w:r>
        <w:t>I. THE PARTIES TO THE PROCEEDING</w:t>
      </w:r>
    </w:p>
    <w:p>
      <w:r>
        <w:t>1. Husky Injection Molding Systems Ltd is the company at the head of the Canadian Husky group, a global leader in the supply of complete systems used in the production of PET preforms (so-called injection molding systems, hereinafter SSI1). In particular, Husky is the largest brand in the world supplying equipment (for injection molding) and services for the plastics industry2, with one of the broadest product lines in the sector. Husky equipment is used to produce a wide range of plastic products such as bottles and caps for beverages, food containers, medical components, and consumer electronic parts. The headquarters of the Husky group is located in Canada. The group also has various locations in the European geographical area, specifically in ten countries3 in addition to Italy.</w:t>
      </w:r>
    </w:p>
    <w:p>
      <w:r>
        <w:t>2. Husky Italia S.r.l. is the Italian company that constitutes the only branch in Italy of the Husky group; it provides technical assistance related to machinery, molds, accessories, and parts. Specifically, the company has as its corporate purpose the marketing and technical assistance of machinery, molds, accessories, and parts for the processing of plastics, derivatives, and related products. Husky Italia reported a total turnover of approximately 1.7 million euros during the 2020 financial year.</w:t>
      </w:r>
    </w:p>
    <w:p>
      <w:r>
        <w:t>3. Husky Injection Molding Systems S.A. is a Luxembourg company that holds the entire share capital of Husky Italia. It is the main European headquarters of the group (often referred to as the “European headquarters” and qualified on the group's official website as the “Technical Center”), where one of the main production sites of the entire Husky group is also located.</w:t>
      </w:r>
    </w:p>
    <w:p>
      <w:r>
        <w:t>4. In the following of this provision, the term Husky or Husky group will refer to the set of the companies listed above.</w:t>
      </w:r>
    </w:p>
    <w:p>
      <w:r>
        <w:t>5. The notifier [omissis]* is a company [omissis] active in the design, production, and worldwide marketing of injection machinery and molds for the production of PET preforms.</w:t>
      </w:r>
    </w:p>
    <w:p>
      <w:r>
        <w:t>1 The Injection Molding System (SSI) refers to the system composed of a machine for the injection production of preforms, an injection mold, and other equipment such as, for example, the take-out robot.</w:t>
        <w:br/>
        <w:t>2 According to the information reported on the group's website, “Husky Injection Molding Systems is the world's largest brand name supplier of injection molding equipment and services to the plastics industry. With one of the broadest product lines in the industry, Husky equipment is used to manufacture a wide range of plastic products such as bottles and caps for beverages, containers for food, medical components, and consumer electronic parts.” See www.husky.co.</w:t>
        <w:br/>
        <w:t>3 Austria, Czech Republic, Denmark, Luxembourg, Spain, Switzerland, Russia, Turkey, Ukraine, and the United Kingdom.</w:t>
        <w:br/>
        <w:t>* In this version, some data are omitted, as elements of confidentiality or secrecy of the information were deemed to exist.</w:t>
      </w:r>
    </w:p>
    <w:p>
      <w:r>
        <w:t>II. THE INVESTIGATIVE PROCEDURE</w:t>
      </w:r>
    </w:p>
    <w:p>
      <w:r>
        <w:t>6. The investigative procedure was initiated on January 28, 2020, following the investigations carried out in relation to the notification from the company [omissis], which reported an alleged abuse of dominant position carried out by Husky in the sector of injection systems for PET plastic preforms.</w:t>
      </w:r>
    </w:p>
    <w:p>
      <w:r>
        <w:t>7. In particular, according to the notifier, the Husky group would have abused its dominant position in an exclusionary manner to prevent other operators from competing in the production and marketing of injection molds to be used in the machinery employed for the realization of PET preforms. Husky would have implemented a technical bundled sales strategy that made the use of injection molds produced by third parties on its new generation machinery incompatible, or at least inefficient. Specifically, starting from 2014, Husky would have installed on its new generation HPP5 machinery a system based on electronic sensors capable of operating the machinery at full speed only in the presence of a Husky mold, equipped with a special electronic chip - ID tag - recognized by the machinery. If the system detected, on the contrary, the use of a mold produced by third parties, the performance of the machinery would be reduced.</w:t>
      </w:r>
    </w:p>
    <w:p>
      <w:r>
        <w:t>8. Specifically, the installation of these sensors would have resulted in a significant slowdown in the production process times of PET preforms, negatively affecting the injection speed of the material inside the mold and/or the speed at which the take-out robot collects the preforms from the cold half. This, in turn, would have led to a reduction in productivity, resulting in increased production costs and loss of revenue for customers.</w:t>
      </w:r>
    </w:p>
    <w:p>
      <w:r>
        <w:t>9. In addition to the described technical modification on the new machinery, Husky would also have: (i) denied customers the provision of so-called unlock codes upon specific request, which would allow restoring the normal functionality of Husky machinery when using molds from competitors; (ii) threatened not to provide technical assistance to customers who installed competitor molds on Husky machinery; (iii) engaged in denigration actions against competitors, warning customers of the possible deterioration in the quality of PET preforms if produced with non-original Husky molds; (iv) imposed a limitation/cancellation of the warranty on the machinery in case of use of molds produced by third parties.</w:t>
      </w:r>
    </w:p>
    <w:p>
      <w:r>
        <w:t>10. In order to thoroughly analyze the issues related to the reported matter, an informational questionnaire was submitted to a group of operators active in the relevant markets, both from the supply side and the demand side (for a total of fifteen responding operators).</w:t>
      </w:r>
    </w:p>
    <w:p>
      <w:r>
        <w:rPr>
          <w:b/>
        </w:rPr>
        <w:t>[Pages 19–21]</w:t>
      </w:r>
    </w:p>
    <w:p>
      <w:r>
        <w:t>BULLETIN NO. 45 OF NOVEMBER 15, 2021 21</w:t>
      </w:r>
    </w:p>
    <w:p>
      <w:r>
        <w:t>Similarly, in order to deepen the case subject to reporting, a request for information was also sent to the informant, who was also heard in a hearing.</w:t>
      </w:r>
    </w:p>
    <w:p>
      <w:r>
        <w:t>11. In its meeting of January 28, 2020, the Authority decided to initiate an investigation against the companies Husky Injection Molding Systems Ltd, Husky Injection Molding Systems S.A., and Husky Italia S.r.l. to ascertain the existence of violations of Article 102 of the TFEU. On February 12, 2020, inspection checks were carried out with the collaboration of the Guardia di Finanza at the company Husky Italia S.r.l. and also at the company Husky Injection Molding System SA, based in Luxembourg, with the assistance of the Luxembourg Competition Authority, pursuant to Article 22, paragraph 1, of Regulation (EC) No. 1/2003.</w:t>
      </w:r>
    </w:p>
    <w:p>
      <w:r>
        <w:t>12. At the request of Husky, the Authority decided on July 28, 2020, to extend the deadline for submitting commitments, setting the new deadline for November 15, 2020. However, the company did not subsequently submit measures pursuant to Article 14-ter of Law No. 287/90.</w:t>
      </w:r>
    </w:p>
    <w:p>
      <w:r>
        <w:t>13. With decision No. 28467 of December 1, 2020, for subsequent organizational reasons, the Authority decided to change the person responsible for the investigative procedure.</w:t>
      </w:r>
    </w:p>
    <w:p>
      <w:r>
        <w:t>14. On June 8, 2021, and July 13, 2021, extensions were decided (decisions No. 29705 and No. 29749) to September 30, 2021, and October 30, 2021, respectively, for the conclusion of the procedure, considering, among other things, the need to ensure the parties the broadest exercise of the right of defense and the full unfolding of the adversarial process.</w:t>
      </w:r>
    </w:p>
    <w:p>
      <w:r>
        <w:t>15. During the proceedings, the parties accessed the documents multiple times, and Husky was heard in a hearing on September 29, 2020, and April 14, 2021.</w:t>
      </w:r>
    </w:p>
    <w:p>
      <w:r>
        <w:t>16. Husky and the informant submitted final briefs on September 8, 2021, and on September 13, 2021, the final hearing of the parties took place before the Board.</w:t>
      </w:r>
    </w:p>
    <w:p>
      <w:r>
        <w:t>III. INVESTIGATIVE FINDINGS</w:t>
      </w:r>
    </w:p>
    <w:p>
      <w:r>
        <w:t>The products concerned</w:t>
      </w:r>
    </w:p>
    <w:p>
      <w:r>
        <w:t>17. The machinery and molds produced by Husky are used by manufacturers of PET preforms, as well as by manufacturers of containers (mainly bottles) that have internalized the production for the realization of such products.</w:t>
      </w:r>
    </w:p>
    <w:p>
      <w:r>
        <w:t>18. A PET preform is a semi-finished product that - following a further processing process called blowing, which occurs downstream of the molding process involved in this case - is transformed into a container (bottles, flacons, etc.) intended for various industrial uses (including food, cosmetic, and pharmaceutical).</w:t>
      </w:r>
    </w:p>
    <w:p>
      <w:r>
        <w:t>19. The production process of a PET preform is called injection molding. Injection molding mainly requires three elements: i) a machine; ii) a mold installed inside it, which, in turn, consists of a 'male' piece in the shape of a test tube (called cold half) and a 'female' piece in cylindrical and hollow shape (called hot half); iii) a take-out arm, located inside the machine and also called cool pick (or take out plate).</w:t>
      </w:r>
    </w:p>
    <w:p>
      <w:r>
        <w:t>20. The molding process includes five main phases:</w:t>
        <w:br/>
        <w:t>− melting the PET: PET resin pellets are introduced into the machine, where the movement of the so-called plasticizing screw causes them to melt;</w:t>
        <w:br/>
        <w:t>− injecting the molten material into the closed mold: the machine's pistons inject the molten material into the hot half of the mold, and the cold half gives it shape;</w:t>
        <w:br/>
        <w:t>− opening the mold: upon opening the mold, the preforms - attached to the cold half - are taken out of the mold by the take-out arm;</w:t>
        <w:br/>
        <w:t>− cooling the preforms: the preforms are cooled and then loaded onto a conveyor;</w:t>
        <w:br/>
        <w:t>− storing the preforms: the preforms are finally stored in a cubic container.</w:t>
      </w:r>
    </w:p>
    <w:p>
      <w:r>
        <w:t>21. Machinery and molds used in molding are therefore complementary products. Various operators are active in the production of both machinery and molds; however, while Husky only supplies molds for its own machinery, other competing operators are also active in the design and production of molds compatible with the various types of machinery on the market, including those of Husky itself. The demand for machinery and molds is represented, as seen, by manufacturers of PET preforms as well as by manufacturers of containers (mainly bottles) that have internalized the production of preforms.</w:t>
      </w:r>
    </w:p>
    <w:p>
      <w:r>
        <w:t>The relevant markets</w:t>
      </w:r>
    </w:p>
    <w:p>
      <w:r>
        <w:t>22. The conduct subject to the proceedings, as hypothesized in the initiation, concerns, from a product perspective, the markets: i) for machinery for the production of PET preforms; ii) for molds, in which both vertically integrated operators (including Husky) and companies specialized only in the production and sale of molds coexist.</w:t>
      </w:r>
    </w:p>
    <w:p>
      <w:r>
        <w:t>23. Regarding the geographical dimension of the relevant product markets, considering, in particular, the type of products, the nature of global suppliers of the main operators and in particular of the Parties, the impact of transportation costs (which would be very limited), the initiation measure hypothesized a supranational relevance of the markets in question.</w:t>
      </w:r>
    </w:p>
    <w:p>
      <w:r>
        <w:t>Dominant Position</w:t>
      </w:r>
    </w:p>
    <w:p>
      <w:r>
        <w:t>24. The investigative activity carried out and especially the documentation obtained during the inspection confirmed the position of absolute prominence held by Husky in the market for machinery for the production of PET preforms, regardless of the exact delimitation of the relevant geographical scope (whether it is global or European). In this regard, the content of doc. IV.200, an internal document prepared by the company, is significant, in which market data for 2018 are reported, reproduced in the table below.</w:t>
      </w:r>
    </w:p>
    <w:p>
      <w:r>
        <w:t>Table 1 - Global market for the sale of machinery for the production of PET preforms - 2018</w:t>
      </w:r>
    </w:p>
    <w:p>
      <w:r>
        <w:t xml:space="preserve">Value of Sales Market Share in Market Share in </w:t>
        <w:br/>
        <w:t xml:space="preserve">(million dollars) Value Volume </w:t>
        <w:br/>
        <w:t xml:space="preserve">Husky [100-511] [70-75]% [60-65]% </w:t>
        <w:br/>
        <w:t xml:space="preserve">Other operators [100-511] [25-30]% [40-45]% </w:t>
        <w:br/>
        <w:t>Total [511-700] 100% 100%</w:t>
      </w:r>
    </w:p>
    <w:p>
      <w:r>
        <w:t>Source: DOC. IV.200 of December 6, 2018 – internal document Husky.</w:t>
      </w:r>
    </w:p>
    <w:p>
      <w:r>
        <w:t>25. From the above, it appears that Husky, globally, in 2018, held a share of [70-75]% in the market for the sale of machinery for the production of PET preforms.</w:t>
      </w:r>
    </w:p>
    <w:p>
      <w:r>
        <w:t>26. Also in the market for the sale of molds ("tooling") for the production of PET preforms, Husky is significantly present. In fact, globally, in 2018, Husky was active in this market with a share of [45-50]%.</w:t>
      </w:r>
    </w:p>
    <w:p>
      <w:r>
        <w:t>Table 2 - Global market for the sale of molds ("tooling") for the production of PET preforms - 2018</w:t>
      </w:r>
    </w:p>
    <w:p>
      <w:r>
        <w:t xml:space="preserve">Value of Sales Market Share in Market Share in </w:t>
        <w:br/>
        <w:t xml:space="preserve">(million dollars) Value Volume (cavities*) </w:t>
        <w:br/>
        <w:t xml:space="preserve">Husky [100-511] [45-50]% [65-70]% </w:t>
        <w:br/>
        <w:t xml:space="preserve">Other operators on [100-511] [20-25]% [30-35]% </w:t>
        <w:br/>
        <w:t xml:space="preserve">Husky machines </w:t>
        <w:br/>
        <w:t xml:space="preserve">Other operators [100-511] [30-35]% </w:t>
        <w:br/>
        <w:t>Total 563 100% 100%</w:t>
      </w:r>
    </w:p>
    <w:p>
      <w:r>
        <w:t xml:space="preserve">* total production capacity of preforms based on the number of cavities present in each mold. </w:t>
        <w:br/>
        <w:t>Source: DOC. IV.200 of December 6, 2018.</w:t>
      </w:r>
    </w:p>
    <w:p>
      <w:r>
        <w:rPr>
          <w:b/>
        </w:rPr>
        <w:t>[Pages 22–24]</w:t>
      </w:r>
    </w:p>
    <w:p>
      <w:r>
        <w:t>24 BULLETIN NO. 45 OF NOVEMBER 15, 2021</w:t>
      </w:r>
    </w:p>
    <w:p>
      <w:r>
        <w:t>27. Other data, contained in internal company documents, show that Husky has held significant market shares stably and durably since at least 2012. In doc. II.79, which contains a presentation on the group's activities from 2012, it states, "Husky maintains approximately [70-75]% of the global PET preform equipment market, including machines, molds, auxiliaries, and services. As a pioneer in PET, Husky has a track record of driving productivity in PET preform manufacturing seeing a [5-10]% annual production improvement." In this regard, an internal email from 2014 notes that "Husky has a dominant market share in PET, achieved by delivering industry-leading products and services." Various documents obtained during the inspection, related to the group's commercial strategies in the Southern European market (namely in France, Spain, and Italy), which provide sales data for each country, show that in the Italian market for machinery for the production of PET preforms, Husky's share was around [70-75]% in 2018.</w:t>
      </w:r>
    </w:p>
    <w:p>
      <w:r>
        <w:t>28. The information on record regarding the distribution of Husky machinery also confirms the company's position of absolute prominence in the market for the sale of machinery for the production of PET preforms. Husky machinery is indeed the most purchased and appreciated in the market. In this sense, the responses to the questionnaires sent by the Directorate show that all operators who provided a response (nine) use a Husky machine exclusively or alongside that of a competitor.</w:t>
      </w:r>
    </w:p>
    <w:p>
      <w:r>
        <w:t>29. In general, Husky thus confirms itself as an operator with a significant position in the relevant markets. This can be inferred not only from the particularly high market share but also from a set of other factors such as:</w:t>
        <w:br/>
        <w:t>i. the gap compared to the shares of the main competitors. In particular, in the European context, Husky covers approximately [70-75]% of the demand, and the remaining share is fragmented among several operators, the main one being Nestal-Machinery with a share of about [10-15]%, followed by SIPA with a share of about [5-10];</w:t>
        <w:br/>
        <w:t>ii. the perception by customers of a superior quality of its products. This data emerges unequivocally from the questionnaires sent to market operators, where all operators representing the demand (and who responded) indicated that Husky's products possess a high degree of quality;</w:t>
        <w:br/>
        <w:t>iii. the associated consolidated reputation, production capacity, and the widespread post-sales assistance network in many countries.</w:t>
      </w:r>
    </w:p>
    <w:p>
      <w:r>
        <w:t>Husky's Conduct</w:t>
      </w:r>
    </w:p>
    <w:p>
      <w:r>
        <w:t>30. In the initiation measure, it was hypothesized that Husky would have applied to its new generation HPP machinery a system that would allow verification of the type of mold installed and would operate the machinery at full speed only in the presence of a Husky mold, equipped with a special electronic chip - ID tag - recognized as such by the machinery. If the system detects, on the contrary, the use of a mold produced by third parties (not equipped with an ID Tag), the performance of the machinery would decrease. The use of molds from third-party operators would therefore have resulted in a reduction of the operating speed of the machinery, which it was hypothesized could significantly impact production costs.</w:t>
      </w:r>
    </w:p>
    <w:p>
      <w:r>
        <w:t>31. According to what was hypothesized in the initiation, Husky would have thus implemented, at least since 2014, a combined sales strategy of a technical nature such as to make the use of injection molds produced by third parties incompatible, or at least inefficient, on its new generation machinery.</w:t>
      </w:r>
    </w:p>
    <w:p>
      <w:r>
        <w:t>32. Husky, in addition to having implemented technical systems aimed at decreasing the performance of the machinery, would have adopted actions aimed at dissuading customers from resorting to the use of molds from competing manufacturers. It was also noted in the initiation that the technical modification in question, applied to the new generation machinery, does not seem to be justified by objective necessities, as the use of molds from third-party manufacturers would not compromise the safety of the production process and/or the integrity of the machinery installed by Husky.</w:t>
      </w:r>
    </w:p>
    <w:p>
      <w:r>
        <w:t>33. Below are the information acquired during the investigative activity regarding the aforementioned conduct of Husky. It is anticipated that in light of the information on record, also following the inspection activities carried out, it is not possible to confirm what was hypothesized in the initiation.</w:t>
      </w:r>
    </w:p>
    <w:p>
      <w:r>
        <w:t>ID Tag System and De-tuning Mechanism - Slowdowns in Production in Case of Use of Competitor Molds on Husky Machinery</w:t>
      </w:r>
    </w:p>
    <w:p>
      <w:r>
        <w:t>34. In recent years (starting from 2014), Husky has introduced new injection molding systems (models HyPET 4.0, HPP 4.0, and HPP 5.0, so-called HPP systems) to the market. These systems allow operation at high speeds (HPP speed) with reduced molding times and consequently increased productivity.</w:t>
      </w:r>
    </w:p>
    <w:p>
      <w:r>
        <w:t>35. The ID Tag system characterizes Husky's HPP systems and is based on electronic sensors that allow communication between the machinery and the injection mold, enabling the machine to recognize the mechanical components that are inserted in Husky HPP molds. The ID Tag allows the machinery to "identify" the mold as a Husky mold suitable for operating at maximum speed. The absence of such components in the mold thus triggers the so-called de-tuning mechanism, resulting in a reduction of the machinery's speed.</w:t>
      </w:r>
    </w:p>
    <w:p>
      <w:r>
        <w:t>36. In particular, de-tuning is a mechanism that operates "in the event that potentially unsuitable components are operated at the HPP Speed Level" and that prevents "the operation of all those components that may not be able to withstand the extreme stresses due to operation at HPP performance levels, regardless of whether they are produced by Husky itself (i.e., molds from previous Husky generations) or by its competitors." The use of molds not equipped with an ID Tag in Husky's latest generation machinery does not prevent them from functioning but involves an adjustment "of their performance to current market standards."</w:t>
      </w:r>
    </w:p>
    <w:p>
      <w:r>
        <w:t>37. The reduction in production speed of Husky's latest generation machinery occurs both in the case of using competitor molds and in the case of Husky molds not equipped with the ID Tag system. This circumstance constitutes an objective and undisputed fact for the market, recognized by the company itself. In this sense, it is relevant what was stated by the technical assistance coordinator for Italy of the Husky group, who said that "the new generation machines have a technology based on the recognition of transponders (so-called tags) inserted in the molds that allows the machines to calibrate their operating performance. In particular, a new generation machine in which a Husky mold not equipped with a tag is inserted will recognize the absence of the tag itself and will determine a modification of the machine's operation aimed at ensuring the safety of the user and the proper functioning of the machine itself. In particular, this modification consists of a reduction in injection pressure." Furthermore, doc. II.69, consisting of an email dated February 1, 2019, sent by Husky to a customer, advises that for a 10% increase in productivity, it is recommended to use Husky molds equipped with ID Tags in the latest generation machines. Specifically, it states: "The mold [omitted] is equipped with ID tags for automatic recognition by the press, which allows a decrease in cycle time with a consequent increase in productivity of up to 10%" (corrections added). Similarly, it is also relevant what was observed by the company Retal, which, in response to the questionnaire sent by the Authority, confirmed that it had encountered "possible slowdowns in production cycles of up to 10%" during the use of Husky HPP machinery with third-party molds and was aware that the "combination of mold + HPP machine involves a technology that allows for greater efficiency."</w:t>
      </w:r>
    </w:p>
    <w:p>
      <w:r>
        <w:t>38. Regarding Husky's integrated sales strategy of "mold + machinery" packages, it is possible for customers to purchase from the company, even as a first supply, only the machinery without molds. In general, it has emerged that the offer of a "machinery + mold" package represents an advantage in terms of quality for the integrated operator.</w:t>
      </w:r>
    </w:p>
    <w:p>
      <w:r>
        <w:t>39. Only one document obtained during the inspection relates to the production speed issues encountered by a customer due to the use of a third-party mold in a Husky latest generation machine. This is an email exchange dated October 11, 2019, between a customer and Husky, discussing the fact that the Husky machinery would have mistakenly recognized a third-party mold as an HPP mold and would consequently have set itself to operate at maximum speed. This seems to raise concern within the company because some components...</w:t>
      </w:r>
    </w:p>
    <w:p>
      <w:r>
        <w:rPr>
          <w:b/>
        </w:rPr>
        <w:t>[Pages 25–27]</w:t>
      </w:r>
    </w:p>
    <w:p>
      <w:r>
        <w:t>BULLETIN NO. 45 OF NOVEMBER 15, 2021 27</w:t>
      </w:r>
    </w:p>
    <w:p>
      <w:r>
        <w:t>of the system could suffer damage. In particular, it states “[omissis]”. The other emails acquired during the inspection that refer to the limitation of production speed are all related to the use of Husky machinery in conjunction with Husky molds and pertain to specific issues.</w:t>
      </w:r>
    </w:p>
    <w:p>
      <w:r>
        <w:t>40. Lastly, the informant produced documentation proving the operation of the de-tuning mechanism of Husky machinery in case of use with third-party molds. This consists of email exchanges with four customers who use Husky machinery and non-Husky molds. From the communications produced, it emerges that such molds are recognized as lacking an ID Tag, resulting in consequent issues with the setting of Husky machinery and delays in production, given the activation of the de-tuning mechanism. The customers ask whether it is possible to intervene to allow the machinery to operate at full capacity even when used with molds lacking an ID Tag.</w:t>
      </w:r>
    </w:p>
    <w:p>
      <w:r>
        <w:t>41. As seen, therefore, and as clarified by Husky itself, the provision of the ID Tag system and, specifically, the de-tuning function in the latest generation Husky machines does not allow customers to use the machinery at full speed with molds from third-party manufacturers.</w:t>
      </w:r>
    </w:p>
    <w:p>
      <w:r>
        <w:t>42. The speed of the mentioned machinery is certainly an important aspect for the market. Husky itself emphasizes the speed of its machinery in its commercial offers, presenting models capable of achieving ever-increasing production speeds.</w:t>
      </w:r>
    </w:p>
    <w:p>
      <w:r>
        <w:t>43. However, the investigative activity has highlighted that speed is not the only parameter based on which the performance of preform production systems is evaluated and competition between machinery and mold manufacturers is realized. In fact, it appears that, in addition to speed, price and interoperability are also significant, as well as, from a technical perspective, the characteristics of reliability, availability, and maintainability of the entire system, i.e., the so-called RAM (Reliability, Availability, and Maintainability) parameters which, together with the nominal productivity performance, lead to the determination of Overall Equipment Effectiveness (OEE), i.e., the net productivity of the system, calculated as good sellable production in the unit of time.</w:t>
      </w:r>
    </w:p>
    <w:p>
      <w:r>
        <w:t>44. On this point, similarly, from the responses to the questionnaires, it appears that only one operator - namely Nuovaplast - out of 15 respondents believes that the reduction in production times, attributable to the use of third-party molds on Husky HPP machinery, produces tangible effects of limiting production activity.</w:t>
      </w:r>
    </w:p>
    <w:p>
      <w:r>
        <w:t>45. Another operator, already a recipient of the questionnaire, has recently stated (as evidenced in an email dated August 6, 2021, produced by the informant as an attachment to the memorandum of September 8, 2021) that it considers cycle time a fundamental parameter.</w:t>
      </w:r>
    </w:p>
    <w:p>
      <w:r>
        <w:t>46. Finally, with particular regard to molds, it has emerged that important competitive variables are identified by price and the compatibility characteristics of molds with third-party machinery.</w:t>
      </w:r>
    </w:p>
    <w:p>
      <w:r>
        <w:t>Husky's actions aimed at dissuading customers from using third-party molds</w:t>
      </w:r>
    </w:p>
    <w:p>
      <w:r>
        <w:t>47. As reported in the initiation, according to the informant, Husky would also have: (i) denied customers the unlock codes to restore the normal functionality of Husky machinery; (ii) threatened not to provide technical assistance to customers who installed competitor molds on their machinery; (iii) engaged in denigration actions against competitors, warning customers of the possible deterioration in the quality of PET preforms if produced with non-Husky molds.</w:t>
      </w:r>
    </w:p>
    <w:p>
      <w:r>
        <w:t>48. Regarding the unlock codes, some inspection documents seem to show that it is technically possible to remove the limit on the operating speed of the machinery, both manually and with a remote intervention, by entering specific codes. In fact, it appears that on at least two occasions Husky has actually used the unlock codes in favor of its customers. However, in both cases, these are temporary interventions carried out by Husky while waiting to identify a definitive solution to the problems encountered by customers during the use of Husky molds in Husky machinery. Conversely, there is no documentary evidence that the codes have been used or can be used to restore the full speed of Husky machinery when used in conjunction with third-party molds.</w:t>
      </w:r>
    </w:p>
    <w:p>
      <w:r>
        <w:t>49. As for Husky's other conduct aimed at dissuading customers from using competitors' molds, it is reported that the inspection documentation does not provide evidence on this point.</w:t>
      </w:r>
    </w:p>
    <w:p>
      <w:r>
        <w:t>50. The only elements on record concerning Husky's attempt to promote the purchase of its molds are therefore the two documents produced by the informant.</w:t>
      </w:r>
    </w:p>
    <w:p>
      <w:r>
        <w:t>51. The first document is an email in which Husky merely praises the quality of its molds to a customer and warns of the possibility of incurring warranty limitations on the machinery when used with third-party molds. The email states: “So you may also lose the production, quality and this would impact further on your blowing equipment resulting more scrap. AS I have explained that our preform testing criteria is unique and will not possible anybody to match our preform quality.” and further that “you may also void the warranty as per the terms and condition which benefits you long term for the machine.”</w:t>
      </w:r>
    </w:p>
    <w:p>
      <w:r>
        <w:t>52. The second document is a commercial proposal from Husky addressed to a potential customer in which it states, in a note, that the company reserves the right to discontinue the sale of its machinery if the buyer intends to use it with third-party molds. However, this commercial proposal differs from the others acquired during the inspection in which the cited condition is not present.</w:t>
      </w:r>
    </w:p>
    <w:p>
      <w:r>
        <w:t>53. Finally, with specific reference to warranty conditions, from the responses to the questionnaires administered to the market, it appears that the conditions and limitations set by Husky (such as, for example, not extending its standard warranty to damages caused by the use of third-party products) are actually in line with common industry practice. In this sense, for example, the statement made by the company BVA is relevant, which provides limits to the warranty of its machinery in the event that they are used with third-party molds (not covering certain defects that may arise from the use of a non-original mold).</w:t>
      </w:r>
    </w:p>
    <w:p>
      <w:r>
        <w:t>Husky's arguments</w:t>
      </w:r>
    </w:p>
    <w:p>
      <w:r>
        <w:t>54. Husky, during the hearings held with the offices, in its memorandum of April 16, 2021, in the technical report of the Industrial Engineering Consultant (IEC) and, lastly, in the final memorandum of September 8, 2021, has represented its position regarding what was hypothesized in the initiation measure of the proceedings.</w:t>
      </w:r>
    </w:p>
    <w:p>
      <w:r>
        <w:t>55. In particular, for its part, the relevant product markets would be too narrow as they are limited to (injection) machinery used for the production of PET preforms, and thus, Husky's position would have been overestimated. According to the party, not only the so-called two-stage machinery should be considered, but also one-stage and 1.5-stage machinery (i.e., those that perform both the preform molding and blowing activities), as well as both injection molding systems and those based on alternative technologies. In this way, the market would be characterized by the presence of numerous competitive suppliers with a diversified product portfolio in which, moreover, there would be customers with strong bargaining power.</w:t>
      </w:r>
    </w:p>
    <w:p>
      <w:r>
        <w:t>56. The implementation of the ID Tag system and the provision of the de-tuning mechanism would be justified by safety reasons. According to the party, Husky's HPP injection molding systems would be characterized by a higher level of performance - in terms of cycle time, expected output, and designed preforms - as well as better quality, compared to current market standards. In order to achieve these performances, Husky would have initiated a comprehensive redesign of its previous generation HyPET series, reinforcing, among other things, specific parts with components capable of withstanding the greater forces involved in the production process.</w:t>
      </w:r>
    </w:p>
    <w:p>
      <w:r>
        <w:rPr>
          <w:b/>
        </w:rPr>
        <w:t>[Pages 28–30]</w:t>
      </w:r>
    </w:p>
    <w:p>
      <w:r>
        <w:t>30 BULLETIN NO. 45 OF NOVEMBER 15, 2021</w:t>
      </w:r>
    </w:p>
    <w:p>
      <w:r>
        <w:t>In particular, Husky engineers would have had to make specific choices in terms of machinery design and related components, imposing the necessary limits in terms of backward compatibility of equipment and subsystems from previous generations, which would no longer be able to withstand the stresses and/or operational speeds achievable with HPP machinery. The ID Tag would ensure, among other things, the safe operation of Husky machinery precisely through the specific safety mechanism known as HPP de-tuning. Husky, being well aware of the possible risks associated with the use at HPP speed of equipment not specifically designed to withstand the forces involved in such a production process by its customers, decided to implement the HPP de-tuning technology, that is, a bespoke safety measure that allows injection molding machines for HPP preforms to operate at maximum speed only in the presence of tools specifically designed for such performance. The sole objective pursued by Husky through HPP de-tuning would be to manage the risks associated with the use of intrinsically dangerous machinery, such as plastic deformations, premature wear of components, the emergence of cracks, and the consequent breakage of mechanical parts, which can lead to a degradation of the integrity of the injection molding system as a whole, with negative effects not only on the quality of production but also - and above all - on the safety of the operator using the SSI at the workplace.</w:t>
      </w:r>
    </w:p>
    <w:p>
      <w:r>
        <w:t>57. For Husky, therefore, the elimination of the aforementioned mechanism would not be feasible as this could: a) compromise the safety of the operators involved in managing the systems or the integrity of the latter in the event of an unconditional dissemination of unlocking codes; b) expose Husky to the risk of being involved in civil and criminal liability proceedings due to malfunctions; c) damage the company's reputation; d) limit innovation in a highly competitive market.</w:t>
      </w:r>
    </w:p>
    <w:p>
      <w:r>
        <w:t>58. In particular, regarding this last aspect, Husky specified that it is the true innovator of the market whose results have generated significant pro-competitive effects for the PET container industry, as they have increased the efficiency of the production process, thereby reducing customers' production costs. Even Husky's competitors would have benefited from the aforementioned innovations, as they tend to adopt the solutions already implemented by Husky on their machinery. Furthermore, innovating in the sector would become increasingly difficult, as every increase in performance exposes the subsystems and components of the SSI to increasingly extreme dynamic, thermal, and vibrational stresses. For this reason, Husky's research, development, and technological refinement activities focus almost exclusively on the systems, accessories, and plants marketed by the company itself.</w:t>
      </w:r>
    </w:p>
    <w:p>
      <w:r>
        <w:t>59. As for the alleged tying practice mentioned in the initiation, Husky observes that its customers can either freely purchase injection molding machines for HPP preforms without HPP injection molds or use the machinery in question with Husky molds from previous generations or produced by third parties. Even when used with third-party components (and, therefore, not at HPP speed), Husky's HPP machinery would still offer performance superior to the market standard.</w:t>
      </w:r>
    </w:p>
    <w:p>
      <w:r>
        <w:t>60. Furthermore, Husky's decision not to provide technical assistance on components produced by third parties and not to extend its standard warranty to damages caused by these would represent a completely legitimate and reasonable choice, in line with practices in the industrial machinery sector.</w:t>
      </w:r>
    </w:p>
    <w:p>
      <w:r>
        <w:t>61. For Husky, there would be no evidence that the exclusionary conduct contested in the initiation has produced effects. In fact, competitors such as Sacmi and Sipa have recorded significant growth in recent years. In particular, Sipa, the main competitor, would have recorded its best results in 2019 despite - according to what has been hypothesized - being exposed since 2014 to the alleged exclusionary conduct.</w:t>
      </w:r>
    </w:p>
    <w:p>
      <w:r>
        <w:t>62. In general, Husky believes that the procedure is affected by procedural flaws. In particular, the Authority would not have respected the deadline indicated by Article 14 of Law No. 689/1981 for the notification of the allegations of administrative offenses, and the inspections conducted by the Conseil de la Concurrence of Luxembourg would have been carried out without adhering to the best practices regarding inspections adopted at the community level by antitrust authorities.</w:t>
      </w:r>
    </w:p>
    <w:p>
      <w:r>
        <w:t>63. According to the party, finally, the whistleblower and also the Authority would have pretextually delayed the closure of the procedure to harm Husky, which would have already suffered, due to the prolongation of the procedure, economic and reputational damages.</w:t>
      </w:r>
    </w:p>
    <w:p>
      <w:r>
        <w:t>The arguments of the whistleblower</w:t>
      </w:r>
    </w:p>
    <w:p>
      <w:r>
        <w:t>64. According to the whistleblower, the documentation on file and that recently provided with the reply to the communication of the investigative findings would show that Husky has abused its dominant position in the market for machinery for the production of PET preforms.</w:t>
      </w:r>
    </w:p>
    <w:p>
      <w:r>
        <w:t>65. In particular, Husky would have introduced a TAG recognition system that effectively prevents the use of third-party molds, resulting in limits to speed and quality of production and in some cases even the total blockage of the machinery.</w:t>
      </w:r>
    </w:p>
    <w:p>
      <w:r>
        <w:t>66. According to the party, the provision of Tags would not only result in a reduction of production speed but also in the downgrading of competitors' molds (which would have to be configured as if operating in machines of previous versions) with loss of quality and performance of the molds.</w:t>
      </w:r>
    </w:p>
    <w:p>
      <w:r>
        <w:t>67. Production speed would be the fundamental element in evaluating the purchasing choices of operators in the sector. In this sense, the email attached to the final memorandum, sent on August 6, 2021, by a Husky customer to the whistleblower, highlights how important the time factor is in their production cycle.</w:t>
      </w:r>
    </w:p>
    <w:p>
      <w:r>
        <w:t>68. In Husky's general sales conditions, the company's exclusionary intent would be identifiable, as it reserves the right to suspend the sale of a machine if the buyer intends to integrate it with competing molds.</w:t>
      </w:r>
    </w:p>
    <w:p>
      <w:r>
        <w:t>69. Husky's conduct would not be justified by safety reasons, given that, among other things, the safety requirements of the plants (molds + machinery) would be guaranteed by regulatory standards and quality certifications, and, in any case, the provision of the de-tuning mechanism could not be considered the least restrictive measure possible.</w:t>
      </w:r>
    </w:p>
    <w:p>
      <w:r>
        <w:t>70. Husky's conduct would constitute a case of technological tying, for which Husky, based on established case law, would be obliged to avoid any form of discrimination against competitors in downstream markets, which has even the probability of having anti-competitive effects.</w:t>
      </w:r>
    </w:p>
    <w:p>
      <w:r>
        <w:t>71. Therefore, according to the party, the Authority's sanctioning intervention would be essential to prevent the illicit creation of a monopoly.</w:t>
      </w:r>
    </w:p>
    <w:p>
      <w:r>
        <w:t>IV. EVALUATIONS</w:t>
      </w:r>
    </w:p>
    <w:p>
      <w:r>
        <w:t>Premise</w:t>
      </w:r>
    </w:p>
    <w:p>
      <w:r>
        <w:t>72. As clarified below and in light of the above, the evidence collected during the investigative activity regarding the possible restrictive effects of the conduct on competition has not been sufficient to confirm what was hypothesized in the initiation measure.</w:t>
      </w:r>
    </w:p>
    <w:p>
      <w:r>
        <w:t>73. Therefore, we will proceed to examine exclusively the main aspects of Husky's conduct reported in the initiation measure without delving into the specific elements that characterize the relevant markets (for which reference is made to what has been previously reported), the definition of which can therefore remain open in this context.</w:t>
      </w:r>
    </w:p>
    <w:p>
      <w:r>
        <w:t>Husky's conduct: the impossibility of confirming the hypothesis presented in the initiation</w:t>
      </w:r>
    </w:p>
    <w:p>
      <w:r>
        <w:t>74. The procedure in question aimed to ascertain Husky's alleged exclusionary strategy consisting of the technical tying of its latest generation machinery for the production of PET preforms with its latest generation molds, such as to prevent or make the replacement of molds with competing products strongly uneconomical.</w:t>
      </w:r>
    </w:p>
    <w:p>
      <w:r>
        <w:t>75. As emerges from the above, the documentation on file does not provide evidence suitable to support what was hypothesized, particularly regarding the suitability of Husky's conduct to constitute a significant restriction of competition, prohibited under Article 102 TFEU. Neither does the documentation recently produced by the whistleblower appear suitable to prove the existence of a prejudice to competition.</w:t>
      </w:r>
    </w:p>
    <w:p>
      <w:r>
        <w:t>76. The elements acquired show that Husky has introduced the ID Tag system in its machinery and its latest generation molds (so-called HPP) that allows for achieving a high production speed.</w:t>
      </w:r>
    </w:p>
    <w:p>
      <w:r>
        <w:rPr>
          <w:b/>
        </w:rPr>
        <w:t>[Pages 31–33]</w:t>
      </w:r>
    </w:p>
    <w:p>
      <w:r>
        <w:t>BULLETIN NO. 45 OF NOVEMBER 15, 2021 33</w:t>
      </w:r>
    </w:p>
    <w:p>
      <w:r>
        <w:t>77. The elements acquired show that Husky has introduced the ID Tag system in its latest generation machinery and molds (so-called HPP) which allows for high production speed.</w:t>
      </w:r>
    </w:p>
    <w:p>
      <w:r>
        <w:t>78. The use of molds not equipped with ID Tags in Husky's latest generation machinery does not prevent them from functioning, but requires an adjustment "of their performance to current market standards," given the activation of the so-called de-tuning mechanism.</w:t>
      </w:r>
    </w:p>
    <w:p>
      <w:r>
        <w:t>79. The effect of the automatic speed limitation mechanism of Husky HPP machinery results in a reduction of production speed by 10% compared to the maximum speed reached by the machine at full capacity. Therefore, it is not a matter of the impossibility of using third-party molds in Husky HPP machinery, but rather a reduction in the performance of the machinery, primarily in terms of production speed, in the event of using competitors' molds or older generation Husky molds. This limitation would be, according to Husky, justified by safety requirements.</w:t>
      </w:r>
    </w:p>
    <w:p>
      <w:r>
        <w:t>80. The alleged exclusionary conduct would have been implemented since 2014, that is, since the HPP systems (i.e., Husky machinery operating at maximum production potential only in conjunction with Husky molds equipped with ID Tags) were introduced to the market. However, as seen, from the responses to the questionnaires sent by the Authority, only one operator (Nuovaplast) believes that the speed limits of the latest generation Husky HPP machinery produce "tangible effects that limit their production activity."</w:t>
      </w:r>
    </w:p>
    <w:p>
      <w:r>
        <w:t>81. Furthermore, within the proceedings, it has not emerged that the factor of speed plays a central and decisive role in the choices of buyers of machinery and molds, considering that, in addition to speed, price and interoperability also represent important factors in the competition among machinery and mold manufacturers.</w:t>
      </w:r>
    </w:p>
    <w:p>
      <w:r>
        <w:t>82. In this sense, it is noted that the documentation recently produced by the complainant does not contradict what has been observed so far, as it consists of a single email dated August 6, 2021, coming from an operator who has already received the Authority's questionnaire and seems to have changed their opinion on the importance of the speed of their production cycles.</w:t>
      </w:r>
    </w:p>
    <w:p>
      <w:r>
        <w:t>83. It therefore does not appear that the reduction in production speed introduced by Husky with the de-tuning mechanism is actually detrimental to customers and is capable of differently orienting their purchasing choices to the detriment of competitors. On this point, it should be considered that, as claimed by Husky, in recent years its main competitors have recorded growth in terms of revenue.</w:t>
      </w:r>
    </w:p>
    <w:p>
      <w:r>
        <w:t>84. As for the alleged undue pressures exerted by Husky on customers to impose the combined purchase of machinery and molds, it is noted that, even following the inspection activities carried out, no evidence has emerged proving the cited conduct.</w:t>
      </w:r>
    </w:p>
    <w:p>
      <w:r>
        <w:t>85. It is therefore disproven the hypothesis that such products cannot be purchased separately, and the documentation produced by the complainant does not appear sufficient to demonstrate otherwise. The complainant, as seen previously, has limited themselves to producing, in this regard, two documents, neither of which – along with the findings of the investigation – is sufficient to confirm the accusatory hypothesis: i) in one email, Husky merely warns a customer of the possibility of incurring warranty limitations on the machinery when used with third-party molds, in accordance with the general warranty conditions adopted by the company, in line with industry practice; ii) the other document consists of a single commercial proposal whose content, contrary to what the complainant claims, is not integrated into Husky's general sales conditions, which have instead been obtained during the inspection and included in the investigation file.</w:t>
      </w:r>
    </w:p>
    <w:p>
      <w:r>
        <w:t>86. On this point, it should be considered that, contrary to what the complainant believes, in analogy to the jurisprudence and recent cases of the European Commission regarding technological tying, the presence of concrete evidence regarding the restrictive scope, even if potential, of Husky's conduct is a necessary and indispensable condition for establishing a violation of Article 102 TFEU.</w:t>
      </w:r>
    </w:p>
    <w:p>
      <w:r>
        <w:t>V. CONCLUSIONS</w:t>
      </w:r>
    </w:p>
    <w:p>
      <w:r>
        <w:t>87. The investigative activity carried out, including through inspection activities, has not allowed for the acquisition of sufficient elements to consider that Husky's conduct constitutes a significant restriction of competition, in violation of Article 102 TFEU, consisting of an abusive strategy capable of excluding competitors from the market.</w:t>
      </w:r>
    </w:p>
    <w:p>
      <w:r>
        <w:t>88. Therefore, regardless of an assessment regarding the existence of a dominant position of Husky in the markets involved in the proceedings, regarding the exact qualification of the conduct of the party and/or regarding the existence of justifying reasons for the same, it is believed that from the examination of all the documentation on record, no evidence or facts have emerged capable of confirming the ascertainment of an abuse of a dominant position of an exclusionary nature by Husky in violation of Article 102 TFEU.</w:t>
      </w:r>
    </w:p>
    <w:p>
      <w:r>
        <w:t>CONSIDERING, therefore, in light of the factual and legal elements illustrated, that the evidence on record does not allow for the demonstration that Husky Injection Molding Systems Ltd, Husky Injection Molding Systems S.A., and Husky Italia S.r.l. have engaged in the abusive conduct of the dominant position hypothesized in the initiation measure;</w:t>
      </w:r>
    </w:p>
    <w:p>
      <w:r>
        <w:t>BULLETIN NO. 45 OF NOVEMBER 15, 2021 35</w:t>
      </w:r>
    </w:p>
    <w:p>
      <w:r>
        <w:t>Having stated and considered all of the above:</w:t>
      </w:r>
    </w:p>
    <w:p>
      <w:r>
        <w:t>RESOLVES</w:t>
      </w:r>
    </w:p>
    <w:p>
      <w:r>
        <w:t>that based on the available information, the reasons for intervention, pursuant to Article 102 TFEU, against Husky Injection Molding Systems Ltd, Husky Injection Molding Systems S.A., and Husky Italia S.r.l., no longer exist.</w:t>
      </w:r>
    </w:p>
    <w:p>
      <w:r>
        <w:t>This decision will be notified to all parties involved in the proceedings and published in the Bulletin of the Italian Competition Authority.</w:t>
      </w:r>
    </w:p>
    <w:p>
      <w:r>
        <w:t>An appeal against this decision may be filed with the Regional Administrative Court (TAR) of Lazio, pursuant to Article 135, paragraph 1, letter b), of the Code of Administrative Procedure (Legislative Decree of July 2, 2010, No. 104), within sixty days from the date of notification of the decision, or an extraordinary appeal may be proposed to the President of the Republic, pursuant to Article 8, paragraph 2, of the Decree of the President of the Republic of November 24, 1971, No. 1199, within one hundred and twenty days from the date of notification of the decision.</w:t>
      </w:r>
    </w:p>
    <w:p>
      <w:r>
        <w:t>THE SECRETARY GENERAL THE PRESIDENT</w:t>
      </w:r>
    </w:p>
    <w:p>
      <w:r>
        <w:t>Filippo Arena Roberto Rustichelli</w:t>
      </w:r>
    </w:p>
    <w:p>
      <w:r>
        <w:rPr>
          <w:b/>
        </w:rPr>
        <w:t>[Pages 34–36]</w:t>
      </w:r>
    </w:p>
    <w:p>
      <w:r>
        <w:t>BULLETIN NO. 45 OF NOVEMBER 15, 2021</w:t>
      </w:r>
    </w:p>
    <w:p>
      <w:r>
        <w:t>36 A538 - MULTI-DIAMETER SEALING SYSTEMS FOR CABLES AND PIPES</w:t>
      </w:r>
    </w:p>
    <w:p>
      <w:r>
        <w:t>Provision No. 29872</w:t>
      </w:r>
    </w:p>
    <w:p>
      <w:r>
        <w:t>THE ITALIAN COMPETITION AUTHORITY</w:t>
      </w:r>
    </w:p>
    <w:p>
      <w:r>
        <w:t>IN THE MEETING of November 9, 2021;</w:t>
      </w:r>
    </w:p>
    <w:p>
      <w:r>
        <w:t>HEARD the Rapporteur, Professor Michele Ainis;</w:t>
      </w:r>
    </w:p>
    <w:p>
      <w:r>
        <w:t>HAVING REGARD to Article 102 of the Treaty on the Functioning of the European Union (TFEU);</w:t>
      </w:r>
    </w:p>
    <w:p>
      <w:r>
        <w:t>HAVING REGARD to Regulation No. 1/2003 of the Council of December 16, 2002, concerning the application of the competition rules laid down in Articles 81 and 82 of the EC Treaty (now Articles 101 and 102 TFEU);</w:t>
      </w:r>
    </w:p>
    <w:p>
      <w:r>
        <w:t>HAVING REGARD to Law No. 287 of October 10, 1990, and in particular, Article 14-ter;</w:t>
      </w:r>
    </w:p>
    <w:p>
      <w:r>
        <w:t>HAVING REGARD to the Decree of the President of the Republic No. 217 of April 30, 1998;</w:t>
      </w:r>
    </w:p>
    <w:p>
      <w:r>
        <w:t>HAVING REGARD to its provision of April 13, 2020, No. 29629, with which an investigation was initiated, pursuant to Article 14 of Law No. 287/90, against Roxtec AB and Roxtec Italia S.r.l. to ascertain the existence of violations of Article 102 TFEU;</w:t>
      </w:r>
    </w:p>
    <w:p>
      <w:r>
        <w:t>HAVING REGARD to the "Communication on the procedures for the application of Article 14-ter of Law No. 287 of October 10, 1990," adopted in the meeting of September 6, 2012, and published in the Bulletin of September 17, 2012, No. 35;</w:t>
      </w:r>
    </w:p>
    <w:p>
      <w:r>
        <w:t>HAVING REGARD to the communication of October 26, 2021 (see Annex 1 to this resolution), whereby Roxtec AB and Roxtec Italia S.r.l. submitted commitments, pursuant to Article 14-ter of Law No. 287/90, according to the modalities specifically indicated in the appropriate "Form for the submission of commitments pursuant to Article 14-ter of Law No. 287/90," consisting, in summary, of the commitment:</w:t>
      </w:r>
    </w:p>
    <w:p>
      <w:r>
        <w:t>1. to restrict the scope of the products included in the trademark registrations referred to in the initiation provision of this investigation and to withdraw the pending trademark registration applications, thereby allowing competing operators (including WallMax) to market sealing systems based on the same technology or on a technology similar to that used by Roxtec, without incurring in any case of trademark infringement;</w:t>
      </w:r>
    </w:p>
    <w:p>
      <w:r>
        <w:t>2. not to appeal the decision of the Court of Milan, published on May 28, 2021 (R.G.N. 69854/2016), as well as not to appeal the decision of the Court of Milan, published on July 20, 2021 (R.G.N. 52949/2017) for specifically indicated parts;</w:t>
      </w:r>
    </w:p>
    <w:p>
      <w:r>
        <w:t>3. to recognize the right of WallMax and any other competing operator to produce, market, distribute, and advertise worldwide the multilayer modules based on Multidiametro™ technology and, consequently, not to undertake any action worldwide against WallMax and other competitors to contest the violation of rights (excluding registered designs) that protect the aesthetics of multilayer products based on Multidiametro™ technology, provided that (i) they do not use in any way the color combination blue and black/black and blue, (ii) if the modules contain black concentric circles, they are alternated with concentric circles of at least two other colors and the circle in the center is not black, and (iii) the rectangular background outside the concentric circles is not blue.</w:t>
      </w:r>
    </w:p>
    <w:p>
      <w:r>
        <w:t>CONSIDERING that the commitments presented, as a whole, do not appear manifestly unfounded and are susceptible to publication, without prejudice to any assessment by the Authority regarding their suitability to resolve the competitive issues raised at the outset;</w:t>
      </w:r>
    </w:p>
    <w:p>
      <w:r>
        <w:t>THEREFORE, CONSIDERED to proceed with the publication of the aforementioned commitments presented by Roxtec AB and Roxtec Italia S.r.l. so that interested third parties may express their observations;</w:t>
      </w:r>
    </w:p>
    <w:p>
      <w:r>
        <w:t>RESOLVES</w:t>
      </w:r>
    </w:p>
    <w:p>
      <w:r>
        <w:t>a) to publish, on November 11, 2021, on the Authority's website the aforementioned commitments attached to this provision, which constitute an integral part thereof, presented by Roxtec AB and Roxtec Italia S.r.l. pursuant to Article 14-ter of Law No. 287/90;</w:t>
      </w:r>
    </w:p>
    <w:p>
      <w:r>
        <w:t>b) that any observations on the commitments presented by Roxtec AB and Roxtec Italia S.r.l. must be submitted in writing, no later than December 13, 2021, to the Directorate General for Competition – Manufacturing and Services Directorate of the Authority (Piazza G. Verdi, 6/A, 00198 Rome, Tel.: +39-06-85821.406, Fax: +39.06.85.821.433, pec: protocollo.agcm@pec.agcm.it);</w:t>
      </w:r>
    </w:p>
    <w:p>
      <w:r>
        <w:t>c) that any representations by Roxtec AB and Roxtec Italia S.r.l. of their position regarding the observations submitted by third parties on the commitments, as well as any introduction of ancillary modifications to them, must be submitted in writing to the Authority no later than January 12, 2022.</w:t>
      </w:r>
    </w:p>
    <w:p>
      <w:r>
        <w:t>THE SECRETARY GENERAL THE PRESIDENT</w:t>
      </w:r>
    </w:p>
    <w:p>
      <w:r>
        <w:t>Filippo Arena Roberto Rustichelli</w:t>
      </w:r>
    </w:p>
    <w:p>
      <w:r>
        <w:t>BULLETIN NO. 45 OF NOVEMBER 15, 2021</w:t>
      </w:r>
    </w:p>
    <w:p>
      <w:r>
        <w:t>CONCENTRATION OPERATIONS</w:t>
      </w:r>
    </w:p>
    <w:p>
      <w:r>
        <w:t>C12405 - ENEL PRODUZIONE/ERG HYDRO</w:t>
      </w:r>
    </w:p>
    <w:p>
      <w:r>
        <w:t>Provision No. 29870</w:t>
      </w:r>
    </w:p>
    <w:p>
      <w:r>
        <w:t>THE ITALIAN COMPETITION AUTHORITY</w:t>
      </w:r>
    </w:p>
    <w:p>
      <w:r>
        <w:t>IN ITS MEETING of October 29, 2021;</w:t>
      </w:r>
    </w:p>
    <w:p>
      <w:r>
        <w:t>HEARD the Rapporteur, President Roberto Rustichelli;</w:t>
      </w:r>
    </w:p>
    <w:p>
      <w:r>
        <w:t>HAVING REGARD to Regulation (EU) No. 139/2014;</w:t>
      </w:r>
    </w:p>
    <w:p>
      <w:r>
        <w:t>HAVING REGARD to Law No. 287 of October 10, 1990;</w:t>
      </w:r>
    </w:p>
    <w:p>
      <w:r>
        <w:t>HAVING REGARD to the D.P.R. No. 217 of April 30, 1998;</w:t>
      </w:r>
    </w:p>
    <w:p>
      <w:r>
        <w:t>HAVING REGARD to the communication received on October 1, 2021, from Enel Produzione S.p.A.;</w:t>
      </w:r>
    </w:p>
    <w:p>
      <w:r>
        <w:t>HAVING REGARD to the documentation on file;</w:t>
      </w:r>
    </w:p>
    <w:p>
      <w:r>
        <w:t>CONSIDERING the following:</w:t>
      </w:r>
    </w:p>
    <w:p>
      <w:r>
        <w:t>I. THE PARTIES</w:t>
      </w:r>
    </w:p>
    <w:p>
      <w:r>
        <w:t>1. Enel Produzione S.p.A. (hereinafter also "EP") is a company active in the production and wholesale sale of electricity, whose share capital is entirely held by Enel Italia S.p.A., which in turn is wholly controlled by Enel S.p.A. (hereinafter also "Enel"), the parent company of the homonymous industrial group primarily active in the electricity and natural gas sectors. Enel has been listed since 1999 on the electronic stock market organized and managed by Borsa Italiana S.p.A., and its share capital is currently held 23.6% by the Ministry of Economy and Finance, 62.3% by institutional investors, and the remaining 14.1% by individual investors. The consolidated revenue of Enel globally was, as of December 31, 2020, €62.6 billion, of which approximately €24 billion was generated in Italy. EP, as of the same date, generated revenue of over €4.1 billion.</w:t>
      </w:r>
    </w:p>
    <w:p>
      <w:r>
        <w:t>2. Erg Hydro S.r.l. (hereinafter also "EH") is the company holding the hydroelectric derivation concessions in Umbria, Lazio, and Marche, which constitute the so-called hydroelectric core of the ERG Group formed by thirteen large hydroelectric plants, pertaining to ten concessions (i.e., with an average annual nominal power exceeding 3,000 kW, hereinafter also only GDI) and fourteen small hydroelectric plants (i.e., with an average annual nominal power of less than 3,000 kW), pertaining to as many concessions, to which is added an additional small derivation concession named Visso Serafini, currently not operational. The installed capacity of the aforementioned hydroelectric core of the ERG Group is indicated as 527 MW. Also part of the aforementioned complex of hydroelectric plants are the dams of La Morica, Alviano, Aja, Marmore, which generate reservoirs classified as "basins," as well as the dams of Salto, Turano, and Corbara, which generate reservoirs classified as "tanks." The share capital of EH is entirely held by Erg Power Generation S.p.A. (Erg Power), which in turn</w:t>
      </w:r>
    </w:p>
    <w:p>
      <w:r>
        <w:rPr>
          <w:b/>
        </w:rPr>
        <w:t>[Pages 37–39]</w:t>
      </w:r>
    </w:p>
    <w:p>
      <w:r>
        <w:t>BULLETIN NO. 45 OF NOVEMBER 15, 2021 39</w:t>
      </w:r>
    </w:p>
    <w:p>
      <w:r>
        <w:t>entirely owned by Erg S.p.A. EH, as of December 31, 2020, generated a turnover of 121 million euros, entirely in Italy.</w:t>
      </w:r>
    </w:p>
    <w:p>
      <w:r>
        <w:t>II. DESCRIPTION OF THE OPERATION</w:t>
      </w:r>
    </w:p>
    <w:p>
      <w:r>
        <w:t>3. The notified operation (hereinafter also referred to as "the Operation") consists of the acquisition by EP of the entire share capital of EH currently held by Erg Power (hereinafter also referred to as "the Seller"). The operation is the result of the awarding in favor of EP of the divestiture procedure of EH by Erg, to which qualified national and foreign operators participated, both individually and in association with foreign investment companies or operators not active in hydroelectric generation and interested in expanding in this sector, during the final phase related to the submission of binding offers.</w:t>
      </w:r>
    </w:p>
    <w:p>
      <w:r>
        <w:t>4. The sale contract also provides for the signing of a Transitional Services Agreement (hereinafter, "TSA"), still in the process of being finalized, under which Erg Power commits to offer EH certain services related to IT systems as well as some energy management services for a limited period of time (i.e., a maximum period of nine months for IT services; an approximate duration of two months for energy management services). The purpose of the TSA is to avoid, in the meantime, the interruption of services strictly necessary for the operational continuity of EH, as the latter is not yet equipped with a fully self-sufficient IT architecture and, therefore, is not yet able to autonomously carry out energy management activities. The TSA will have no impact on the strategic choice of how to manage the acquired plants, which post-closing will be defined solely by EH and thus by the Enel Group.</w:t>
      </w:r>
    </w:p>
    <w:p>
      <w:r>
        <w:t>5. The TSA also provides for [omissis]*.</w:t>
      </w:r>
    </w:p>
    <w:p>
      <w:r>
        <w:t>III. QUALIFICATION OF THE OPERATION</w:t>
      </w:r>
    </w:p>
    <w:p>
      <w:r>
        <w:t>6. The notified operation, as it involves the acquisition of exclusive control of a company, constitutes a concentration pursuant to Article 5, paragraph 1, letter b), of Law No. 287/1990. It falls within the scope of application of Law No. 287/1990 as the conditions set out in Article 1 of EC Regulation No. 139/2004 do not apply, and it is subject to the obligation of prior notification provided for by Article 16, paragraph 1, of the same law, as the total turnover achieved in the last financial year at the national level by the group of companies involved exceeded 511 million euros, and the total turnover achieved individually in the last financial year at the national level by at least two of the companies involved exceeded 31 million euros.</w:t>
      </w:r>
    </w:p>
    <w:p>
      <w:r>
        <w:t>7. The TSA signed by the Parties and described above can be qualified as an ancillary restriction, as it is characterized by a close functional link with the Operation itself and limited to what is necessary to ensure the operational continuity of Erg Hydro as the company being acquired.</w:t>
      </w:r>
    </w:p>
    <w:p>
      <w:r>
        <w:t>* In this version, some data are omitted, as elements of confidentiality or secrecy of the information were deemed to exist.</w:t>
      </w:r>
    </w:p>
    <w:p>
      <w:r>
        <w:t>BULLETIN NO. 45 OF NOVEMBER 15, 2021 40</w:t>
      </w:r>
    </w:p>
    <w:p>
      <w:r>
        <w:t>8. The possibility of entering into [omissis] can also be considered an ancillary restriction to the Operation itself as it is limited to ensuring [omissis]1.</w:t>
      </w:r>
    </w:p>
    <w:p>
      <w:r>
        <w:t>IV. ASSESSMENT OF THE CONCENTRATION</w:t>
      </w:r>
    </w:p>
    <w:p>
      <w:r>
        <w:t>A) Relevant Markets</w:t>
      </w:r>
    </w:p>
    <w:p>
      <w:r>
        <w:t>9. Due to the activities carried out by the acquired company EH, the markets affected by the operation are identified in: (i) the market for the procurement and wholesale sale of electricity; (ii) the market for dispatching services; (iii) the markets for future public procedures for the assignment of large hydroelectric concessions (hereinafter also referred to as "GDI") for the attribution of concessions for large water derivations for hydroelectric use; and (iv) the market for the marketing of guarantees of origin.</w:t>
      </w:r>
    </w:p>
    <w:p>
      <w:r>
        <w:t>i. The market for the production and wholesale procurement of electricity</w:t>
      </w:r>
    </w:p>
    <w:p>
      <w:r>
        <w:t>10. Regarding the production and wholesale sale of electricity, the market includes forward and spot transactions concluded through platforms organized by GME (Gestore del Mercato Elettrico), or through bilateral contracts (OTC, over the counter). Within it, for example, the so-called "day-ahead market" ("MGP", where rights/commitments to withdraw/inject electricity for the following day are traded) and the "intraday market" ("MI", which provides for further bidding sessions to allow operators to make changes to the programs defined in the MGP) are included. In this regard, in its practice, the Authority does not make any distinction within this market based on the source of the produced energy or the methods of production or procurement.</w:t>
      </w:r>
    </w:p>
    <w:p>
      <w:r>
        <w:t>11. According to the Authority's practice, the geographical dimension of the market is sub-national, due to the macro-network constraints that, under certain circumstances, and in particular in cases where the allowed energy transit constraints of the network are exceeded, can lead to the splitting of the market into different zones, characterized by different equilibrium prices on the MGP. In particular, the presence of such macro-constraints has led the Authority to identify four "macro-zones" constituting four distinct geographical markets: the North macro-zone, the South macro-zone, the Sicily macro-zone, and the Sardinia macro-zone. Furthermore, based on the most recent data from GME, the intensity of market splitting phenomena observable in 2020 and early 2021 is lower than that observable in 2016. In any case, it is not necessary at this stage to question the breadth of the market in question because, as will be seen, regardless of the identified breadth, the assessment of the concentration does not change. In this specific case, due to the operations of the acquired company, the operation involves overlaps only in the South macro-zone (including the regions of Tuscany, Marche, Lazio, Abruzzo, Campania, Umbria, Molise, Puglia, Basilicata, and Calabria).</w:t>
      </w:r>
    </w:p>
    <w:p>
      <w:r>
        <w:t>1 See Commission Communication on restrictions directly related and necessary to concentrations (2005/C 56/03), §32-35.</w:t>
      </w:r>
    </w:p>
    <w:p>
      <w:r>
        <w:t>2 See decision No. 28498/2020 of non-initiation of investigation of concentration C12339 - Linea Group Holding/Agripower, in Bulletin No. 2/2021.</w:t>
      </w:r>
    </w:p>
    <w:p>
      <w:r>
        <w:t>BULLETIN NO. 45 OF NOVEMBER 15, 2021 41</w:t>
      </w:r>
    </w:p>
    <w:p>
      <w:r>
        <w:t>ii. The market for dispatching services</w:t>
      </w:r>
    </w:p>
    <w:p>
      <w:r>
        <w:t>12. The market for dispatching services concerns the procurement by the electricity network operator - Terna S.p.A. (hereinafter "Terna"), the only operator active on the demand side - of the resources (provided by production plants) necessary to resolve network congestions within each zone, to constitute adequate reserve capacity margins, or to maintain voltage on the network in order to ensure the safe dispatching of the energy injected into the system. In particular, this market is divided into an ex ante phase (called "MSD"), in which Terna procures the resources necessary to constitute the so-called secondary and tertiary reserve margins, to resolve local congestions, and to maintain voltage on the network to ensure the safe dispatching of the energy injected into the system, followed by a subsequent real-time balancing phase (hereinafter "MB"), consisting of offers aimed at ensuring real-time balance between withdrawals and injections on the network, resolving unplanned congestions, and reconstructing reserves, in which secondary regulation services and the so-called "other services" are distinguished.</w:t>
      </w:r>
    </w:p>
    <w:p>
      <w:r>
        <w:t>13. Due to the needs of the network, only generation plants that, pursuant to the Network Code, meet a series of requirements and flexibility characteristics (for example, the ability to modulate production throughout the day) are allowed to participate in the dispatching services market, and, in particular, the provision of secondary regulation service requires more stringent flexibility requirements than those necessary to provide the so-called "other services."</w:t>
      </w:r>
    </w:p>
    <w:p>
      <w:r>
        <w:t>14. In this specific case, only three of the acquired production units belonging to the hydroelectric core of the ERG Group (Neravelino 1, Cotilia 1, and Tevere 1) are equipped with the necessary flexibility requirements to operate in the dispatching services market, of which only one (Tevere 1) is authorized to provide the secondary regulation service.</w:t>
      </w:r>
    </w:p>
    <w:p>
      <w:r>
        <w:t>15. In its decision-making practice, the Authority has generally considered the MSD and MB phases and the different types of services offered as belonging to the same market, although in some cases it has hypothesized considering them as distinct. In this specific case, as will be discussed, it is not necessary to define the reference perimeter of the product market more precisely, as it would not change the outcome of the assessment.</w:t>
      </w:r>
    </w:p>
    <w:p>
      <w:r>
        <w:t>16. Regarding the geographical extent of the market, it depends on the geographical areas within which Terna can procure the services of interest, which, while sometimes coinciding with the macro-zones, can be broader or more restricted. The latter possibility, linked to the circumstance that specific groupings of neighboring plants (clusters) are crucial for resolving significant local congestions and maintaining network voltage in a particular area, based on the information provided by Terna, does not appear to be present in this specific case. Therefore, at this stage, the relevant geographical dimension can at least coincide with the South macro-zone.</w:t>
      </w:r>
    </w:p>
    <w:p>
      <w:r>
        <w:rPr>
          <w:b/>
        </w:rPr>
        <w:t>[Pages 40–42]</w:t>
      </w:r>
    </w:p>
    <w:p>
      <w:r>
        <w:t>42 BULLETIN NO. 45 OF NOVEMBER 15, 2021</w:t>
      </w:r>
    </w:p>
    <w:p>
      <w:r>
        <w:t>iii. The markets for future public procedures for the allocation of large water diversion concessions for hydroelectric purposes</w:t>
      </w:r>
    </w:p>
    <w:p>
      <w:r>
        <w:t>17. The Operation also concerns the markets for future procedures for the allocation of large water diversion concessions for hydroelectric use (GDI) currently held by EH, which, based on the information provided during the notification of the Operation, are a total of ten (some including two water diversions), of which seven are located in Umbria, three in Lazio, and one in the Marche, all expiring on December 31, 2029 (see table no. 1).</w:t>
      </w:r>
    </w:p>
    <w:p>
      <w:r>
        <w:t>Table no. 1: GDI concessions of EH in Umbria, Lazio, and Marche</w:t>
      </w:r>
    </w:p>
    <w:p>
      <w:r>
        <w:t>| No | Central | Nominal Power | Concessionaire | Expiration |</w:t>
        <w:br/>
        <w:t>|----|---------|---------------|----------------|------------|</w:t>
        <w:br/>
        <w:t>| 1  | Galletto 1 | 35.0 MW | EH | 31/12/2029 |</w:t>
        <w:br/>
        <w:t>| 2  | Galletto 2 | 89.5 MW | EH | " " |</w:t>
        <w:br/>
        <w:t>| 3  | Galletto Pennarossa | 3.5 MW | EH | " " |</w:t>
        <w:br/>
        <w:t>| 4  | Triponzo | 5.2 MW | EH | " " |</w:t>
        <w:br/>
        <w:t>| 5  | Monte Argento* | 37.4 MW | EH | " " |</w:t>
        <w:br/>
        <w:t>| 6  | Narni | 21.5 MW | EH | " " |</w:t>
        <w:br/>
        <w:t>| 7  | Nera Montoro | 18.1 MW | EH | " " |</w:t>
        <w:br/>
        <w:t>| 8  | Baschi* | 36.2 MW | EH | " " |</w:t>
        <w:br/>
        <w:t>| 9  | Alviano | 5.2 MW | EH | " " |</w:t>
      </w:r>
    </w:p>
    <w:p>
      <w:r>
        <w:t>Concessions of EH in Lazio</w:t>
      </w:r>
    </w:p>
    <w:p>
      <w:r>
        <w:t>| No | Central | Nominal Power | Concessionaire | Expiration |</w:t>
        <w:br/>
        <w:t>|----|---------|---------------|----------------|------------|</w:t>
        <w:br/>
        <w:t>| 8  | Cotilia Salto* | 16.1 MW | EH | 31/12/2029 |</w:t>
        <w:br/>
        <w:t>| 9  | Cotilia Canetra | 3.0 MW | EH | " " |</w:t>
        <w:br/>
        <w:t>| 10 | Sigillo | 3.1 MW | EH | " " |</w:t>
      </w:r>
    </w:p>
    <w:p>
      <w:r>
        <w:t>Concessions of EH in Marche</w:t>
      </w:r>
    </w:p>
    <w:p>
      <w:r>
        <w:t>| No | Central | Nominal Power | Concessionaire | Expiration |</w:t>
        <w:br/>
        <w:t>|----|---------|---------------|----------------|------------|</w:t>
        <w:br/>
        <w:t>| 23 | Preci | 10.9 MW | EH | 31/12/2029 |</w:t>
      </w:r>
    </w:p>
    <w:p>
      <w:r>
        <w:t>* Water diversions for hydroelectric purposes part of the same concession decree.</w:t>
      </w:r>
    </w:p>
    <w:p>
      <w:r>
        <w:t>Following the amendment of Legislative Decree 79/1999 by Article 11-quater of Law No. 12/2019 converting with modifications Decree-Law No. 135/2018, the assignment of GDI concessions has been devolved to the Regions, which may alternatively assign GDI concessions through public tender, a so-called double object tender, or through forms of partnership pursuant to Article 179 of the dispatching services. This circumstance, confirmed by Terna in response to a specific request from the Authority on the matter, is also evident from the 2021 Development Plan of the company, pages 119-120, available at the address: https://download.terna.it/terna/Piano_Sviluppo_2021_8d94126f94dc233.pdf.</w:t>
      </w:r>
    </w:p>
    <w:p>
      <w:r>
        <w:t>6 Legislative Decree of December 14, 2018, No. 135, containing "Urgent provisions regarding support and simplification for businesses and for public administration," converted with modifications by Law of February 11, 2019, No. 12 (so-called Simplification Decree).</w:t>
      </w:r>
    </w:p>
    <w:p>
      <w:r>
        <w:t>BULLETIN NO. 45 OF NOVEMBER 15, 2021 43</w:t>
      </w:r>
    </w:p>
    <w:p>
      <w:r>
        <w:t>7 of Legislative Decree 50/2016. The definition of the details of the assignment procedures is also entrusted to a specific regional law.</w:t>
      </w:r>
    </w:p>
    <w:p>
      <w:r>
        <w:t>18. Regarding the date by which the Regions must call the procedure for the reassignment of GDI concessions, the new version of Article 12, paragraph 1-quater, of Legislative Decree No. 79/1999 provides that the tender must be announced within two years from the entry into force of the aforementioned regional law; a deadline that, according to the legal provisions regarding the date by which the regional laws should have been issued (October 31, 2020, for Lazio and Umbria, end of May 2021 for the Marche), would have been set for October 31, 2022, for the concessions under the jurisdiction of the Lazio and Umbria regions and for the end of May 2023 for the concessions under the jurisdiction of the Marche region.</w:t>
      </w:r>
    </w:p>
    <w:p>
      <w:r>
        <w:t>19. However, the deadlines imposed by national legislation for the adoption of regional laws have elapsed without any of the three Regions competent for the assignment of the GDI concessions subject to acquisition having provided for it, with the consequence that, at present, it is not concretely identifiable for any of the concessions in question the two-year deadline within which tenders must be called for their reassignment.</w:t>
      </w:r>
    </w:p>
    <w:p>
      <w:r>
        <w:t>20. However, current legislation does not allow for the failure to exercise their prerogatives by the regions to result in a stalemate that indefinitely prevents the conduct of tenders. Article 12, paragraph 1-quater, second sentence of Legislative Decree No. 79/1999, in fact, provides for a substitute power in the Ministry of Infrastructure and Transport (now, Ministry of Infrastructure and Sustainable Mobility), which must proceed with the assignment of the concessions based on a specific ministerial decree, to be adopted by July 31, 2022. Therefore, despite a certain degree of intrinsic instability of the regulatory framework, the conduct of tenders appears to be a certain and relatively imminent event. It is thus possible, in line with a constant practice of the Authority, confirmed also (with reference to similar future tenders for the so-called ATEM concessions for the distribution of natural gas) by the Administrative Judge, to identify a market for each of the ten future public procedures for the assignment of large hydroelectric diversion concessions currently held by the acquired company, each of which is subject to different competitive constraints determined by the intrinsic characteristics of the concession put to tender and by the expected framework of participants in the tender itself.</w:t>
      </w:r>
    </w:p>
    <w:p>
      <w:r>
        <w:t>iv. The market for the commercialization of origin certificates</w:t>
      </w:r>
    </w:p>
    <w:p>
      <w:r>
        <w:t>21. The Guarantee of Origin (GO) is a certification that attests to the origin from renewable sources of the energy produced by plants qualified as "guarantee of origin plants" (IGO). The quantity of GO that an operator can hold is proportional to the amount of renewable energy that has been fed into the market. The certificates are issued monthly and expire one year after the production of the electricity to which they refer. They serve the function of proving to the end consumer that a certain amount of the energy purchased has been produced from renewable sources. Therefore, it is a tool for tracking energy produced from renewable sources that fulfills a transparency function regarding the commercial statements of the energy seller about the composition of the energy mix sold to the end customer and, consequently, prevents the same quantity of renewable energy from being included in multiple sales contracts.</w:t>
      </w:r>
    </w:p>
    <w:p>
      <w:r>
        <w:t>22. GOs are certificates that can be transferred separately from the energy for which they were issued. They can, therefore, be traded in the venue provided by the GSE or be subject to free negotiation or assignment through auctions organized by the GSE, and unsold certificates are withdrawn by the GSE at the end of the reference period. As for the geographical scope of this market, in a decision of its own, the European Commission, while not making a definitive statement, did not exclude a euro-unitary dimension. Even in this case, the definition can be left open due to the fact that, while assuming a national dimension, it does not change the outcome of the assessment.</w:t>
      </w:r>
    </w:p>
    <w:p>
      <w:r>
        <w:t>B) Effects of the operation on the affected markets</w:t>
      </w:r>
    </w:p>
    <w:p>
      <w:r>
        <w:t>i. The market for the production and wholesale supply of electricity</w:t>
      </w:r>
    </w:p>
    <w:p>
      <w:r>
        <w:t>23. Regarding the market for the production and wholesale supply of electricity, in 2020 the acquiring group Enel held in the macro-zone south a share of about [20-25%] in terms of installed capacity, which corresponded to a production share of about [15-20%]. To these positions, a very limited share attributable to the acquired plants would be added as a result of the operation, amounting to about [1-5%] in terms of installed capacity and [1-5%] in terms of production, for a cumulative share attributable to the merged entity of [20-25%] and [15-20%], respectively.</w:t>
      </w:r>
    </w:p>
    <w:p>
      <w:r>
        <w:rPr>
          <w:b/>
        </w:rPr>
        <w:t>[Pages 43–45]</w:t>
      </w:r>
    </w:p>
    <w:p>
      <w:r>
        <w:t>BULLETIN NO. 45 OF NOVEMBER 15, 2021 45</w:t>
      </w:r>
    </w:p>
    <w:p>
      <w:r>
        <w:t>24. At the national level, the Enel group holds a comparable pre-merger market share, amounting to approximately [20-25%] in terms of installed capacity and [10-15%] in terms of production, whereas the contribution represented by the target company is, of course, still very much lower when measured at the national level, amounting to approximately [less than 1%] in terms of installed capacity and [less than 1%] in terms of production. In addition, based on the data provided by the Parties, the programmable plants of Enel and those subject to acquisition have never been "pivotal" in the macro-zone south during the year 2020. Based on this data, the operation does not appear to constitute or strengthen a dominant position in the markets for the production and wholesale supply of energy.</w:t>
      </w:r>
    </w:p>
    <w:p>
      <w:r>
        <w:t>ii. The market for dispatching services</w:t>
      </w:r>
    </w:p>
    <w:p>
      <w:r>
        <w:t>25. Regarding the market for dispatching services, it is noted, in general, that the operations of the target company in this market are extremely limited. In fact, in 2020, the acquiring group Enel held in the macro-zone south a share of total transactions (including quantities sold upward and downward) of approximately [30-35%] (corresponding to a share of [40-45%] for quantities sold upward and [10-15%] for quantities sold downward), while the share attributable to the production units of the target company is extremely limited, amounting to approximately [less than 1%] of total transactions (and in particular [less than 1%] of quantities sold upward and [less than 1%] of quantities sold downward).</w:t>
      </w:r>
    </w:p>
    <w:p>
      <w:r>
        <w:t>26. Furthermore, even when distinguishing by type of service between ex ante MSD, Balancing for "other services," and Balancing for secondary regulation, the Enel group holds similar positions (specifically approximately [30-35%] in the MSD market, [30-35%] in the Balancing services for "other services," and [10-15%] in the secondary regulation market), while the market shares attributable to the target are all well below 1%.</w:t>
      </w:r>
    </w:p>
    <w:p>
      <w:r>
        <w:t>27. Also taking into account the fact that, as mentioned, the plants of the acquired company do not operate on critical nodes of the network and do not belong to relevant clusters for dispatching services, the operation does not appear capable of significantly impacting competition in the dispatching services markets.</w:t>
      </w:r>
    </w:p>
    <w:p>
      <w:r>
        <w:t>28. The assessment of the impact of the operation on future markets for the awarding of concessions for large water derivations for hydroelectric purposes involves an analysis of the expected participation in the tenders themselves, to be carried out through the identification of incentives, barriers, and expectations related to potential participants. If, as a result of the analysis, the expected structure of participation in one or more of the reassignment procedures is limited to very few subjects – including the Parties to the operation – the latter would be likely to have a significant effect on competition in the market for the future procedure (or future procedures, if more than one of those involved were in such conditions).</w:t>
      </w:r>
    </w:p>
    <w:p>
      <w:r>
        <w:t>29. In order to acquire useful elements to better understand the variables that most influence the decision to participate or not in the public reassignment procedures for GDI concessions and, consequently, the potential interest in participating in those related to the concessions subject to acquisition, a request for information was sent to fourteen operators, including all the main holders of large hydroelectric concessions and some potential new entrants: responses were received from eleven of the involved operators.</w:t>
      </w:r>
    </w:p>
    <w:p>
      <w:r>
        <w:t>30. Following the market survey, the elements that significantly influence the definition of participation strategies in the public awarding procedures for the concessions in question were indicated as the historical uncertainty of the national regulatory framework, marked by the succession of extensions of deadlines, and the incompleteness of the regional regulatory framework, given that the three affected Regions (Lazio, Umbria, and Marche), like the majority of Regions, have not adopted, within the prescribed time, the law referred to in Article 12, paragraph 1-ter, Legislative Decree No. 79/1999 and the related implementing regulations. It is also considered that there is a high risk that the ministerial decree, which must regulate the Government's substitute power in case of inertia of the Regions in starting the awarding procedures for the concessions (Article 12, paragraph 1-quater, Legislative Decree No. 79/1999), will not be adopted by the deadline of July 22, 2022.</w:t>
      </w:r>
    </w:p>
    <w:p>
      <w:r>
        <w:t>31. Equally important for the decision to participate in future GDI tenders is considered by the interviewed operators the choice, by the Region-contracting authority, of the awarding procedure among those possible (i.e., tender, double-object tender; forms of public-private partnership), the setting of the duration of the assignment, the possible aggregation or separation of the water derivations subject to concession, as well as the methods to ensure control over the tender documentation to guarantee the neutrality of the Contracting Authority, equal participation, and transparency.</w:t>
      </w:r>
    </w:p>
    <w:p>
      <w:r>
        <w:t>32. In light of these contextual elements, which could, at least in theory, significantly reduce the expected number of participants in the tenders, it is observed that the Parties could represent, in the absence of the concentration, two potential participants in the tenders: the acquired company as the outgoing manager of each individual concession and Enel, capable, due to its size and expertise, of participating in all GDI tenders.</w:t>
      </w:r>
    </w:p>
    <w:p>
      <w:r>
        <w:t>33. In this regard, it must also be considered that, regardless of the Operation, the Enel Group, which holds a prominent position throughout the national territory, is already present in the regions competent for the reassignment of the concessions subject to acquisition. The Enel Group, through EP and Enel Green Power S.r.l., in fact, holds a total of twenty-two large hydroelectric concessions in Lazio and Marche (thirteen in Lazio and nine in Marche), some of which include two or more large derivations, all with a deadline set, by law, for March 31, 2029.</w:t>
      </w:r>
    </w:p>
    <w:p>
      <w:r>
        <w:t>34. However, of the eleven responding operators, only three stated that the Operation could reduce their respective incentives to compete in the reassignment procedures for the concessions in question. In particular, two operators believe that the Operation increases, in the same territorial area, the gap between Enel and other competitors (especially if non-sector operators). The third operator, on the other hand, does not rule out being able to reconsider positively its decision to participate in the reassignment procedures for the GDI concessions in question, in the event that objective guarantees of third-party neutrality and non-discrimination are included in the regional laws, implementing regulations, and tender notices.</w:t>
      </w:r>
    </w:p>
    <w:p>
      <w:r>
        <w:t>35. In general, the majority of responses to the requests for information highlight the conviction of the sector Operators that participation in the tenders will not be reduced, even in the presence of the Operation. It should also be added that, as indicated by the notifying Company, other companies are currently active in the exploitation of GDI concessions in the affected regions (in Lazio, in particular, the Acea Group is already present, with four large hydroelectric concessions, and in Marche ASMM with one concession) which could be interested in making their offer in the procedures for the reassignment of EH concessions in the territorial area in which they operate.</w:t>
      </w:r>
    </w:p>
    <w:p>
      <w:r>
        <w:t>36. Many of the interviewed Operators, including those not currently active in hydroelectric generation, have also stated that they have a concrete or, in any case, possible interest in participating in the reassignment procedures for the concessions subject to acquisition, although non-sector Operators complain – as mentioned – about the barrier of the necessary fulfillment of the technical participation requirements. In this regard, it is noted, however, that this inevitable barrier can be overcome by participating in the reassignment procedures in association with sector operators, just as occurred during the sale procedure of EH (for example, during this procedure, an operator completely unrelated to the electricity generation sector has participated).</w:t>
      </w:r>
    </w:p>
    <w:p>
      <w:r>
        <w:t>20 In addition to the concessions held in the regions where EH's activities are concentrated, the Enel Group holds an additional one hundred seventy-seven large hydroelectric concessions – some of which include multiple large water derivations – in thirteen different regions, of which almost 70% are granted in Piedmont, Lombardy, and Veneto, and these concessions also all expire, by law, on March 31, 2029.</w:t>
      </w:r>
    </w:p>
    <w:p>
      <w:r>
        <w:t>21 See Article 12, paragraph 6, Legislative Decree No. 79/1999 and subsequent amendments, implementing "Directive 96/92/EC laying down common rules for the internal electricity market" (so-called Bersani decree).</w:t>
      </w:r>
    </w:p>
    <w:p>
      <w:r>
        <w:rPr>
          <w:b/>
        </w:rPr>
        <w:t>[Pages 46–48]</w:t>
      </w:r>
    </w:p>
    <w:p>
      <w:r>
        <w:t>48 BULLETIN NO. 45 OF NOVEMBER 15, 2021</w:t>
      </w:r>
    </w:p>
    <w:p>
      <w:r>
        <w:t>submitted a binding offer together with a qualified operator active in large water diversion hydroelectric generation.</w:t>
      </w:r>
    </w:p>
    <w:p>
      <w:r>
        <w:t>37. The interest in participation therefore appears to remain, especially considering the recognized value of the water diversions subject to the concessions under examination. The majority opinion of the Companies that responded to the market survey believes, in fact, that the specific merit of the concessions in question assumes, even for Operators rooted in other areas of the Country, significant importance in order to implement a strategy of territorial diversification functional to a better management of risk concerning the variables of water availability and market without causing specific management complications given that many services can be managed remotely.</w:t>
      </w:r>
    </w:p>
    <w:p>
      <w:r>
        <w:t>38. More generally, there is a widespread belief among Operators of significant participation in the future allocation procedures for the concessions under examination both by primary foreign operators, individually or in aggregation with other entities, and by operators outside the sector who would therefore contribute to exerting significant competitive pressure. It should be noted in this regard that among the entities that submitted a binding offer for the purchase of EH are also included primary foreign energy operators and important international investors who participated in the final phase of the transfer procedure in association with both national and foreign hydroelectric operators.</w:t>
      </w:r>
    </w:p>
    <w:p>
      <w:r>
        <w:t>39. In conclusion, therefore, although the Operation eliminates a significant potential competitor in the future allocation procedures for the concessions subject to acquisition, the indications provided by the market survey and the information regarding the submission of binding offers for the acquisition of EH demonstrate a widespread and concrete interest from qualified national and foreign operators in the sector, even in association with operators completely unrelated to the electricity generation market or with significant financial investors. It can therefore be concluded that the operation will not lead to the establishment or strengthening of a dominant position in the market for future tenders for the allocation of the GDI concessions subject to acquisition.</w:t>
      </w:r>
    </w:p>
    <w:p>
      <w:r>
        <w:t>iv. The market for the commercialization of origin certificates</w:t>
      </w:r>
    </w:p>
    <w:p>
      <w:r>
        <w:t>40. As mentioned, the market for the commercialization of GO could also have a euro-unitary geographical scope. Even limiting itself to the presence in the national context alone, however, the Operation does not appear to be suitable to establish or strengthen a dominant position, due to the fact that the acquiring company holds a market share at the national level of [15-20%] and that the post-merger increase is less than 2%.</w:t>
      </w:r>
    </w:p>
    <w:p>
      <w:r>
        <w:t>CONSIDERED, therefore, that the operation in question does not entail, pursuant to Article 6, paragraph 1, of Law No. 287/1990, the establishment or strengthening of a dominant position in the relevant markets, such as to eliminate or substantially and durably reduce competition;</w:t>
      </w:r>
    </w:p>
    <w:p>
      <w:r>
        <w:t>CONSIDERED, furthermore, that the TSA and the further agreement that may be stipulated between the Parties constitute an ancillary restriction to the Operation;</w:t>
      </w:r>
    </w:p>
    <w:p>
      <w:r>
        <w:t>49 BULLETIN NO. 45 OF NOVEMBER 15, 2021</w:t>
      </w:r>
    </w:p>
    <w:p>
      <w:r>
        <w:t>RESOLVES</w:t>
      </w:r>
    </w:p>
    <w:p>
      <w:r>
        <w:t>not to initiate the investigation referred to in Article 16, paragraph 4, of Law No. 287/1990.</w:t>
      </w:r>
    </w:p>
    <w:p>
      <w:r>
        <w:t>The above conclusions will be communicated, pursuant to Article 16, paragraph 4, of Law No. 287/1990, to the companies concerned and to the Minister of Economic Development.</w:t>
      </w:r>
    </w:p>
    <w:p>
      <w:r>
        <w:t>This decision will be published in the Bulletin of the Italian Competition Authority.</w:t>
      </w:r>
    </w:p>
    <w:p>
      <w:r>
        <w:t>THE SECRETARY GENERAL THE PRESIDENT</w:t>
      </w:r>
    </w:p>
    <w:p>
      <w:r>
        <w:t>Filippo Arena Roberto Rustichelli</w:t>
      </w:r>
    </w:p>
    <w:p>
      <w:r>
        <w:t>50 BULLETIN NO. 45 OF NOVEMBER 15, 2021</w:t>
      </w:r>
    </w:p>
    <w:p>
      <w:r>
        <w:t>UNFAIR TRADE PRACTICES</w:t>
      </w:r>
    </w:p>
    <w:p>
      <w:r>
        <w:t>IP347 - IMMOBILIARE.IT - DECEPTIVE AND COMPARATIVE MESSAGES</w:t>
      </w:r>
    </w:p>
    <w:p>
      <w:r>
        <w:t>Provision No. 29871</w:t>
      </w:r>
    </w:p>
    <w:p>
      <w:r>
        <w:t>THE ITALIAN COMPETITION AUTHORITY</w:t>
      </w:r>
    </w:p>
    <w:p>
      <w:r>
        <w:t>IN ITS MEETING of November 4, 2021;</w:t>
      </w:r>
    </w:p>
    <w:p>
      <w:r>
        <w:t>HEARD the Rapporteur, President Roberto Rustichelli;</w:t>
      </w:r>
    </w:p>
    <w:p>
      <w:r>
        <w:t>SEEN Part II, Title III, of Legislative Decree No. 206 of September 6, 2005, containing the "Consumer Code" and subsequent amendments (hereinafter, Consumer Code);</w:t>
      </w:r>
    </w:p>
    <w:p>
      <w:r>
        <w:t>SEEN in particular Article 27, paragraph 12, of the Consumer Code, pursuant to which in case of non-compliance with urgent measures or those prohibitory or for the removal of effects, and in case of failure to comply with the commitments undertaken, the Authority applies an administrative pecuniary sanction from €10,000 to €5,000,000 and in cases of repeated non-compliance the Authority may order the suspension of business activity for a period not exceeding thirty days;</w:t>
      </w:r>
    </w:p>
    <w:p>
      <w:r>
        <w:t>SEEN Law No. 689 of November 24, 1981;</w:t>
      </w:r>
    </w:p>
    <w:p>
      <w:r>
        <w:t>SEEN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r>
    </w:p>
    <w:p>
      <w:r>
        <w:t>SEEN the communication of October 22, 2015, with which an investigation was initiated against Immobiliare.it S.p.A., to ascertain the possible existence of violations of Articles 20, 21, paragraph 1, and 22 of the Consumer Code, in the activity of real estate listings on the platform www.immobiliare.it, through claims of alleged primacy achieved by the professional in the market of collection and online publication of real estate listings;</w:t>
      </w:r>
    </w:p>
    <w:p>
      <w:r>
        <w:t>SEEN its provision of March 17, 2016, No. 25935, with which it was resolved to close the procedure PS10092 without ascertaining the infringement, making the commitments proposed by Immobiliare.it S.p.A. mandatory, pursuant to and for the effects of Article 27, paragraph 7, of the Consumer Code;</w:t>
      </w:r>
    </w:p>
    <w:p>
      <w:r>
        <w:t>SEEN the acts of the procedure;</w:t>
      </w:r>
    </w:p>
    <w:p>
      <w:r>
        <w:t>CONSIDERED the following:</w:t>
      </w:r>
    </w:p>
    <w:p>
      <w:r>
        <w:t>I. THE PROVISION ACCEPTING THE COMMITMENTS NO. 25935 OF MARCH 17, 2016</w:t>
      </w:r>
    </w:p>
    <w:p>
      <w:r>
        <w:t>1. With provision No. 25935 of March 17, 2016, the Authority accepted the commitments presented by Immobiliare.it S.p.A. (hereinafter Immobiliare.it, Immobiliare or Company). In particular, the measures</w:t>
      </w:r>
    </w:p>
    <w:p>
      <w:r>
        <w:rPr>
          <w:b/>
        </w:rPr>
        <w:t>[Pages 49–51]</w:t>
      </w:r>
    </w:p>
    <w:p>
      <w:r>
        <w:t>BULLETIN NO. 45 OF NOVEMBER 15, 2021 51</w:t>
      </w:r>
    </w:p>
    <w:p>
      <w:r>
        <w:t>submitted by the Company on November 26, 2015, with subsequent integration on January 16, 2016, concerned:</w:t>
      </w:r>
    </w:p>
    <w:p>
      <w:r>
        <w:t>A) Structural Commitments</w:t>
        <w:br/>
        <w:t>Immobiliare.it introduced the following guidelines:</w:t>
        <w:br/>
        <w:t>Updating of data and their sources with a more detailed indication in order to ensure maximum transparency and readability.</w:t>
        <w:br/>
        <w:t>Clarification of the reasons supporting the commercial claim, also present in the logo, "The No. 1 in real estate listings."</w:t>
        <w:br/>
        <w:t>Removal of comparisons or comparisons with competitors.</w:t>
      </w:r>
    </w:p>
    <w:p>
      <w:r>
        <w:t>B) Behavioral Commitments</w:t>
        <w:br/>
        <w:t>Immobiliare.it will refrain from including comparative graphs, limiting itself to providing links to its sources in order to give transparency to the metrics used.</w:t>
        <w:br/>
        <w:t>The aforementioned measures are also articulated in the following additional activities:</w:t>
        <w:br/>
        <w:t>- constantly monitor and update the data (reporting only data not older than three months) in order to ensure correct and current information for the reader;</w:t>
        <w:br/>
        <w:t>- immediate removal of the claim of primacy in the event that an indicator or a source among those indicated no longer reported the company immobiliare.it in a position of supremacy compared to its competitors.</w:t>
      </w:r>
    </w:p>
    <w:p>
      <w:r>
        <w:t>2. In summary, the Company had essentially committed to maintaining the claim of primacy with the indication of "No. 1," provided that it was accompanied by the indication of the reference sources, kept constantly updated to the three months preceding the publication of the data, useful to support its position of primacy in the online real estate listings market, and to remove it if any of the indicators used no longer confirmed its supremacy.</w:t>
      </w:r>
    </w:p>
    <w:p>
      <w:r>
        <w:t>3. The provision was communicated to the parties on April 12, 2016.</w:t>
      </w:r>
    </w:p>
    <w:p>
      <w:r>
        <w:t>II. THE REPORT OF NON-COMPLIANCE WITH RESOLUTION NO. 25935 OF MARCH 17, 2016</w:t>
      </w:r>
    </w:p>
    <w:p>
      <w:r>
        <w:t>4. With a request for intervention received on August 4, 2021, the company Idealista S.p.A. (hereinafter Idealista or Reporting Party) brought to the attention of the Authority the failure to comply with the measures to which Immobiliare.it had committed in the context of proceeding PS10092, concluded with the acceptance of commitments provision of March 17, 2016, No. 25935.</w:t>
      </w:r>
    </w:p>
    <w:p>
      <w:r>
        <w:t>5. The reporting party highlighted that Immobiliare.it had not implemented the measures accepted by the Authority with the aforementioned provision due to the lack of updates for a duration of three years (from January 2018) of the data, until April 2021, on which the claimed position of primacy exalted by Immobiliare.it should be based; the data currently available from April 2021 would also be contradicted by the information contained in the section dedicated to the 'Methodological Note' which still reports data dating back to January 2018.</w:t>
      </w:r>
    </w:p>
    <w:p>
      <w:r>
        <w:t>6. The report emphasizes that the non-compliance of Immobiliare.it with the commitments previously accepted by the Authority with the aforementioned provision would also concern the asserted primacy claimed through the data on the number of downloads of the Immobiliare.it app.</w:t>
      </w:r>
    </w:p>
    <w:p>
      <w:r>
        <w:t>7. With reference to the data on app downloads, the Reporting Party emphasized that this indicator represents an important element for assessing which of the various competitors in the online real estate listing market should be considered the leader. In this regard, the data available on AppBrain would have shown that, as of June 3, 2021, the Immobiliare.it app had been downloaded significantly fewer times than the Idealista app. Furthermore, the data on the number of downloads of the Idealista app between December 2020 and June 2021 show a significant increase for the Italian market starting from April 2021, compared to other European countries where download data remained constant.</w:t>
      </w:r>
    </w:p>
    <w:p>
      <w:r>
        <w:t>III. THE CURRENT VERSION OF THE IMMOBILIARE.IT WEBSITE</w:t>
      </w:r>
    </w:p>
    <w:p>
      <w:r>
        <w:t>8. The current version of the Immobiliare.it website, from which some pages were extracted ex officio on September 6, 2021, reports:</w:t>
        <w:br/>
        <w:t>- on the page https://www.immobiliare.it/info/leader/, leadership statements such as "Immobiliare.it is number 1 in Italy in real estate listings" or references to a company that invests "in the development of the best real estate search technology, used every month by millions of Italians," followed by numerical data on pages visited in a month, the number of listings published, as well as the number of times the app has been downloaded across various mobile devices. Reference is made to the sources, the date of update, and the reviews obtained (for the website, the indication "Over 57 million visits and 320 million pages viewed per month (source Google Analytics - Apr. 2021)" and, for the Application, the indication "Over 8.3 million downloads and 220,000 reviews with an average rating of 4.6 stars out of 5 (Source Apple, Google, App Gallery - Apr. 2021)");</w:t>
        <w:br/>
        <w:t>- on the same webpage, there is a section explaining the "Methodology and data collection," the button 'read more' allows the opening of a screen in which information on website traffic extracted from the SimilarWeb platform is reported, with indications of the reference parameters, such as: i) the total number of visits; ii) the total number of pages consulted ("pages viewed"); iii) the time spent on the site by users, with data relating to January 2018: "In January 2018, Immobiliare.it was the most used real estate website in Italy for total number of visits, pages viewed, and total time spent by users (Source: SimilarWeb.com)." The same section also reports the data on which Immobiliare bases its position of primacy regarding the total number of App installations, recorded in January 2018: "In January 2018, Immobiliare.it was the No. 1 real estate application in Italy for total number of installations, number of reviews, and quality of reviews (Sources: Google Play, App Store, Windows Market, AppBrain, AppAnnie)";</w:t>
        <w:br/>
        <w:t>- the hypertext link 'discover more,' located under the statement 'Immobiliare.it is number 1 in Italy in real estate listings,' allows landing on another webpage (web address: https://www.immobiliare.it/info/chi-siamo/), where in addition to the claim "Immobiliare.it is the No. 1 real estate portal in Italy," data in terms of visits (updated to April 2021), number of listings published, and real estate agencies using the service are indicated: "+77 million Visits per month on the site and applications (data Apr. '21), +1.2 million Listings published on the site, searchable at any time, +20,000 Real estate agencies using the service."</w:t>
      </w:r>
    </w:p>
    <w:p>
      <w:r>
        <w:t>IV. EVALUATIVE CONSIDERATIONS</w:t>
      </w:r>
    </w:p>
    <w:p>
      <w:r>
        <w:t>9. With reference to the alleged non-compliance with the resolution of March 17, 2016, No. 25935, it is highlighted that the subject of the commitments presented by Immobiliare.it essentially involved, (i) the verifiability of the claims of leadership and primacy achieved "based on three reference parameters, such as the number of visits, pages viewed, and time spent," as well as (ii) the constant updating of the data on which they were based, "reporting only data not older than three months."</w:t>
      </w:r>
    </w:p>
    <w:p>
      <w:r>
        <w:t>1) The lack of data updates</w:t>
        <w:br/>
        <w:t>The current version of the site reports on the webpage some explanations regarding the primacy the data, updated to April 2021, on the reference parameters, such as: the total number of visits; the total number of pages consulted ("pages viewed"); the time spent on the site by users.</w:t>
        <w:br/>
        <w:t>Furthermore, it is noted that until the summer of 2021, the reported data remained updated only to January 2018 and, even today, the contradiction between the data updated to April 2021 and those reported in the "methodology and data collection" section, which still refers to the observations of January 2018, should be emphasized. The data from April 2021 also do not align with the commitment that provided for constant monitoring and updating "reporting only data not older than three months."</w:t>
      </w:r>
    </w:p>
    <w:p>
      <w:r>
        <w:t>10. From the perspective of the lack of data updates, it is therefore possible to argue non-compliance regarding the commitment of "updating the data and their sources [...]," as well as "constantly monitoring and updating the data (reporting only data not older than three months) in order to ensure correct and current information for the reader."</w:t>
      </w:r>
    </w:p>
    <w:p>
      <w:r>
        <w:t>2) The number of app downloads and other parameters used</w:t>
        <w:br/>
        <w:t>Among the criteria that Immobiliare uses to support its claims of primacy is the number of times the app has been downloaded across various mobile devices. Idealista has provided evidence.</w:t>
      </w:r>
    </w:p>
    <w:p>
      <w:r>
        <w:rPr>
          <w:b/>
        </w:rPr>
        <w:t>[Pages 52–54]</w:t>
      </w:r>
    </w:p>
    <w:p>
      <w:r>
        <w:t>54 BULLETIN NO. 45 OF NOVEMBER 15, 2021</w:t>
      </w:r>
    </w:p>
    <w:p>
      <w:r>
        <w:t>for which its app would instead be the most downloaded. It is recalled that among the commitments of Immobiliare was the removal of claims of primacy should the indicators used cease to confirm the professional's leadership. With reference to the number of downloads of the app, therefore, although the criterion currently used by Immobiliare.it on its site does not fall within the parameters considered at the time of the aforementioned resolution of March 2016, it is believed that the persistence of claims of primacy in the presence of indicators no longer able to confirm it, such as the one considered here, constitutes a non-compliance with the same resolution.</w:t>
      </w:r>
    </w:p>
    <w:p>
      <w:r>
        <w:t>Furthermore, it is possible to argue the failure to comply with the aforementioned resolution regarding the number of listings published and the number of agencies using the service, data that should demonstrate the truthfulness of the claim "Immobiliare.it is the real estate portal No. 1 in Italy," for which, however, no source of reference is indicated. Therefore, the asserted primacy achieved through the use of third-party data is unproven, contrary to what the company had committed to do.</w:t>
      </w:r>
    </w:p>
    <w:p>
      <w:r>
        <w:t>11. Therefore, from the documentary evidence, it appears that Immobiliare.it S.p.A. has not complied with the commitments set forth in the provision of March 17, 2016, No. 25935.</w:t>
      </w:r>
    </w:p>
    <w:p>
      <w:r>
        <w:t>12. In conclusion, the prerequisites for the initiation of the procedure provided for by Article 27, paragraph 12, of the Consumer Code, aimed at imposing an administrative pecuniary sanction from €10,000 to €5,000,000, are met.</w:t>
      </w:r>
    </w:p>
    <w:p>
      <w:r>
        <w:t>CONSIDERING, therefore, that the circumstances described above are suitable to constitute a case of non-compliance with the Authority's resolution of March 17, 2016, No. 25935, pursuant to Article 27, paragraph 12, of the Consumer Code;</w:t>
      </w:r>
    </w:p>
    <w:p>
      <w:r>
        <w:t>RESOLVES</w:t>
      </w:r>
    </w:p>
    <w:p>
      <w:r>
        <w:t>a) to contest to Immobiliare.it S.p.A. the violation referred to in Article 27, paragraph 12, of the Consumer Code, for failing to respect the commitments undertaken in procedure PS10092 and made mandatory by the Authority's resolution of March 17, 2016, No. 25935;</w:t>
      </w:r>
    </w:p>
    <w:p>
      <w:r>
        <w:t>b) the initiation of the procedure for the possible imposition of the pecuniary sanction provided for by Article 27, paragraph 12, of the Consumer Code;</w:t>
      </w:r>
    </w:p>
    <w:p>
      <w:r>
        <w:t>c) that the person responsible for the procedure is Dr. Francesca Sebastio;</w:t>
      </w:r>
    </w:p>
    <w:p>
      <w:r>
        <w:t>d) that the acts of the procedure can be viewed at Direction B, of the General Directorate for Consumer Protection, of the Authority, by the legal representatives of the professionals, or by persons delegated by them;</w:t>
      </w:r>
    </w:p>
    <w:p>
      <w:r>
        <w:t>e) that, within thirty days from the communication of this provision, the interested parties may submit to the Authority defensive writings and documents, as well as request to be heard;</w:t>
      </w:r>
    </w:p>
    <w:p>
      <w:r>
        <w:t>f) that the procedure must be concluded within one hundred and twenty days from the date of communication of this provision.</w:t>
      </w:r>
    </w:p>
    <w:p>
      <w:r>
        <w:t>This provision will be communicated to the interested parties and published in the Bulletin of the Italian Competition Authority.</w:t>
      </w:r>
    </w:p>
    <w:p>
      <w:r>
        <w:t>THE SECRETARY GENERAL THE PRESIDENT</w:t>
      </w:r>
    </w:p>
    <w:p>
      <w:r>
        <w:t>Filippo Arena Roberto Rustichelli</w:t>
      </w:r>
    </w:p>
    <w:p>
      <w:r>
        <w:t>Italian Competition Authority Weekly Bulletin of Competition and Market Year XXXI - No. 45 - 2021</w:t>
      </w:r>
    </w:p>
    <w:p>
      <w:r>
        <w:t>Editorial Coordination Giulia Antenucci</w:t>
      </w:r>
    </w:p>
    <w:p>
      <w:r>
        <w:t>Editorial Staff Valerio Ruocco, Simonetta Schettini, Manuela Villani</w:t>
      </w:r>
    </w:p>
    <w:p>
      <w:r>
        <w:t>Italian Competition Authority Office of Statistics and IT Applications Piazza Giuseppe Verdi, 6/a - 00198 Rome Tel.: 06-858211 Fax: 06-85821256 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