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https://www.agcm.it/dotcmsdoc/bollettini/2019/46-19.pdf</w:t>
      </w:r>
    </w:p>
    <w:p>
      <w:r>
        <w:t>Pages translated : 133</w:t>
      </w:r>
    </w:p>
    <w:p/>
    <w:p>
      <w:r>
        <w:rPr>
          <w:b/>
        </w:rPr>
        <w:t>[Pages 1–3]</w:t>
      </w:r>
    </w:p>
    <w:p>
      <w:r>
        <w:t>Bulletin</w:t>
        <w:br/>
        <w:t>Weekly</w:t>
        <w:br/>
        <w:t>Year XXIX - No. 46</w:t>
        <w:br/>
        <w:t>Published on the website www.agcm.it</w:t>
        <w:br/>
        <w:t>November 18, 2019</w:t>
      </w:r>
    </w:p>
    <w:p>
      <w:r>
        <w:t>SUMMARY</w:t>
        <w:br/>
        <w:t>AGREEMENTS AND ABUSE OF DOMINANT POSITION 5</w:t>
        <w:br/>
        <w:t>I783 - AGREEMENT BETWEEN OPERATORS IN THE VENDING SECTOR</w:t>
        <w:br/>
        <w:t>Decision No. 27974 5</w:t>
        <w:br/>
        <w:t>CONCENTRATION OPERATIONS 8</w:t>
        <w:br/>
        <w:t>C12263 - LVMH MOET HENNESSY - LOUIS VUITTON-STELLA MCCARTNEY/ANIN STAR HOLDING</w:t>
        <w:br/>
        <w:t>LIMITED</w:t>
        <w:br/>
        <w:t>Decision No. 27973 8</w:t>
        <w:br/>
        <w:t>C12247 - BDC ITALIA-CONAD/AUCHAN</w:t>
        <w:br/>
        <w:t>Decision No. 27983 12</w:t>
        <w:br/>
        <w:t>C12245 - F2I S.G.R./PERSIDERA</w:t>
        <w:br/>
        <w:t>Decision No. 27984 27</w:t>
        <w:br/>
        <w:t>REPORTING AND CONSULTATIVE ACTIVITIES 83</w:t>
        <w:br/>
        <w:t>AS1622 – GROWTH DECREE - MODALITIES FOR RECOVERY OF CREDIT BY THE ASSIGNEE</w:t>
        <w:br/>
        <w:t>WITHIN THE FRAMEWORK OF TAX INCENTIVES FOR INSTALLATION OF PHOTOVOLTAIC SYSTEMS 83</w:t>
        <w:br/>
        <w:t>AS1623 – MUNICIPALITY OF NAGO TORBOLE (TN) – ASSIGNMENT OF SPORTS COMPLEX 87</w:t>
        <w:br/>
        <w:t>UNFAIR COMMERCIAL PRACTICES 89</w:t>
        <w:br/>
        <w:t>PS11376 - COPYRIGHT - PAYMENT REQUESTS</w:t>
        <w:br/>
        <w:t>Decision No. 27920 89</w:t>
        <w:br/>
        <w:t>IP310 - GOLDCAR - INSURANCE COVERAGE AND OTHER PROFILES</w:t>
        <w:br/>
        <w:t>Decision No. 27959 99</w:t>
        <w:br/>
        <w:t>PS11401 - DEUTSCHE BANK - DO +1%</w:t>
        <w:br/>
        <w:t>Decision No. 27977 122</w:t>
      </w:r>
    </w:p>
    <w:p>
      <w:r>
        <w:t>BULLETIN NO. 46 OF NOVEMBER 18, 2019 5</w:t>
        <w:br/>
        <w:t>AGREEMENTS AND ABUSE OF DOMINANT POSITION</w:t>
        <w:br/>
        <w:t>I783 - AGREEMENT BETWEEN OPERATORS IN THE VENDING SECTOR</w:t>
        <w:br/>
        <w:t>Decision No. 27974</w:t>
        <w:br/>
        <w:t>THE ANTITRUST AUTHORITY</w:t>
        <w:br/>
        <w:t>IN ITS MEETING of October 29, 2019;</w:t>
        <w:br/>
        <w:t>HEARD the Rapporteur Dr. Gabriella Muscolo;</w:t>
        <w:br/>
        <w:t>HAVING REGARD to the law of October 10, 1990, No. 287;</w:t>
        <w:br/>
        <w:t>HAVING REGARD to its resolution of October 22, 2014, which adopted the Guidelines on the</w:t>
        <w:br/>
        <w:t>modalities for applying the criteria for quantifying administrative pecuniary sanctions</w:t>
        <w:br/>
        <w:t>imposed by the Authority in application of Article 15, paragraph 1, of Law No. 287/90 (hereinafter,</w:t>
        <w:br/>
        <w:t>briefly, "Guidelines");</w:t>
        <w:br/>
        <w:t>HAVING REGARD to its decision No. 26064 of June 8, 2016, adopted at the conclusion of</w:t>
        <w:br/>
        <w:t>proceeding No. I783 - Agreement between operators in the Vending sector, with which the Authority</w:t>
        <w:br/>
        <w:t>ascertained that the behaviors carried out by Gruppo Argenta S.p.A.; D.A.EM. S.p.A. and its subsidiaries</w:t>
        <w:br/>
        <w:t>Molinari S.p.A., Dist.Illy S.r.l., Aromi S.r.l., Dolomatic S.r.l. and Govi S.r.l. (all belonging to the</w:t>
        <w:br/>
        <w:t>Buonristoro group); GE.SA. S.p.A.; Gruppo Illiria S.p.A.; IVS Italia S.p.A.; Liomatic S.p.A.;</w:t>
        <w:br/>
        <w:t>Ovdamatic S.r.l. (now Ovdamatic S.p.A.); Sellmat S.r.l.; Serim S.r.l.; Sogeda S.r.l.; Supermatic S.p.A.</w:t>
        <w:br/>
        <w:t>and CONFIDA (Italian Association of Automatic Distribution), consisting of the coordination of</w:t>
        <w:br/>
        <w:t>commercial policies aimed at limiting competitive comparison among the companies involved on prices,</w:t>
        <w:br/>
        <w:t>territorial areas of operation, and respective clientele in the Italian market for services related to</w:t>
        <w:br/>
        <w:t>the management of automatic and semi-automatic vending machines, constituted a restrictive</w:t>
        <w:br/>
        <w:t>agreement of competition in violation of Article 101 TFEU, sanctioning the aforementioned companies;</w:t>
        <w:br/>
        <w:t>HAVING REGARD to the ruling of the Regional Administrative Court for Lazio (hereinafter "Tar Lazio") No.</w:t>
        <w:br/>
        <w:t>9050 of July 28, 2017, with which part of the appeal filed by Ovdamatic S.r.l. was upheld and, as a result,</w:t>
        <w:br/>
        <w:t>Decision No. 26064 of June 8, 2016 was annulled only in relation to the determination of the sanction against</w:t>
        <w:br/>
        <w:t>Ovdamatic S.r.l. (now Ovdamatic S.p.A.);</w:t>
        <w:br/>
        <w:t>HAVING REGARD to its decision No. 26753 of September 20, 2017, with which a procedure was initiated for</w:t>
        <w:br/>
        <w:t>the re-determination of the aforementioned sanction against Ovdamatic S.r.l. (now Ovdamatic S.p.A.);</w:t>
        <w:br/>
        <w:t>HAVING REGARD to its decision No. 27017 of January 31, 2017, with which the sanction imposed on the</w:t>
        <w:br/>
        <w:t>company Ovdamatic S.r.l. (now Ovdamatic S.p.A.) was re-determined to an amount of</w:t>
        <w:br/>
        <w:t>1,459,190 euros;</w:t>
        <w:br/>
        <w:t>HAVING REGARD to the ruling of the Council of State No. 6565 of October 1, 2019, with which, in acceptance of</w:t>
        <w:br/>
        <w:t>the incidental appeal of Ovdamatic S.r.l. (now Ovdamatic S.p.A.), Decision No. 26064 of June 8, 2016 was annulled</w:t>
        <w:br/>
        <w:t>only in the part concerning the determination of the sanction against Ovdamatic S.r.l. (now Ovdamatic S.p.A.);</w:t>
      </w:r>
    </w:p>
    <w:p>
      <w:r>
        <w:rPr>
          <w:b/>
        </w:rPr>
        <w:t>[Pages 4–6]</w:t>
      </w:r>
    </w:p>
    <w:p>
      <w:r>
        <w:t>6 BULLETIN NO. 46 OF NOVEMBER 18, 2019</w:t>
      </w:r>
    </w:p>
    <w:p>
      <w:r>
        <w:t>WHEREAS the reasoning part of the judgment in which the Council of State held that "the mitigating circumstance constituted by having played a marginal role in the participation in the infringement should have been applied by the Authority in light of what emerged from the investigation [...]. If, in fact, the appellant's arguments are not sufficient to consider their participation in the unique and complex agreement non-existent, they should have led the Authority to apply the mitigating circumstance in question."</w:t>
      </w:r>
    </w:p>
    <w:p>
      <w:r>
        <w:t>WHEREAS the parameters for the recalculation of the amount of the pecuniary sanction imposed, as identified by the administrative judge in the reasoning part of said ruling, in which it was deemed that "In this case, therefore, the sanction must be reduced by 15 percent";</w:t>
      </w:r>
    </w:p>
    <w:p>
      <w:r>
        <w:t>CONSIDERING that the criteria identified by the Council of State in the exercise of its jurisdiction on the merits for the recalculation of the sanction imposed on Ovdamatic S.r.l. (now Ovdamatic S.p.A.) are precise, objective, and of automatic application and do not leave discretionary margin in the implementation of the conforming obligation arising from the judgment to be executed;</w:t>
      </w:r>
    </w:p>
    <w:p>
      <w:r>
        <w:t>THEREFORE, CONSIDERING it necessary to proceed, in compliance with the judgment of the Council of State No. 6565 of October 1, 2019, to the recalculation of the sanction imposed by provision No. 26064 of June 8, 2016, against Ovdamatic S.r.l. (now Ovdamatic S.p.A.), as already recalculated by provision No. 27017 of January 31, 2019;</w:t>
      </w:r>
    </w:p>
    <w:p>
      <w:r>
        <w:t>HAVING REGARD TO the acts of the procedure;</w:t>
      </w:r>
    </w:p>
    <w:p>
      <w:r>
        <w:t>CONSIDERING that in accordance with the indications and the parameter indicated by the administrative judge, the sanction imposed on Ovdamatic S.r.l. (now Ovdamatic S.p.A.), amounting to 1,459,190 euros, must be reduced by a percentage of 15% and that the final amount of the sanction to be imposed on Ovdamatic S.r.l. (now Ovdamatic S.p.A.) is therefore equal to 1,240,312 euros;</w:t>
      </w:r>
    </w:p>
    <w:p>
      <w:r>
        <w:t>All of the above having been stated and considered;</w:t>
      </w:r>
    </w:p>
    <w:p>
      <w:r>
        <w:t>RESOLVES</w:t>
      </w:r>
    </w:p>
    <w:p>
      <w:r>
        <w:t>that the administrative pecuniary sanction to be imposed on Ovdamatic S.r.l. (now Ovdamatic S.p.A.) for the behavior attributed to it in the Authority's provision No. 26064 of June 8, 2016, is recalculated in the amount of 1,240,312 euros.</w:t>
      </w:r>
    </w:p>
    <w:p>
      <w:r>
        <w:t>This provision will be notified to the interested party and published in the Bulletin of the Competition and Market Authority.</w:t>
      </w:r>
    </w:p>
    <w:p>
      <w:r>
        <w:t>BULLETIN NO. 46 OF NOVEMBER 18, 2019 7</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8 BULLETIN NO. 46 OF NOVEMBER 18, 2019</w:t>
      </w:r>
    </w:p>
    <w:p>
      <w:r>
        <w:t>CONCENTRATION OPERATIONS</w:t>
        <w:br/>
        <w:t>C12263 - LVMH MOET HENNESSY - LOUIS VUITTON-STELLA MCCARTNEY/ANIN STAR HOLDING LIMITED</w:t>
        <w:br/>
        <w:t>Provision No. 27973</w:t>
      </w:r>
    </w:p>
    <w:p>
      <w:r>
        <w:t>THE COMPETITION AND MARKET AUTHORITY</w:t>
      </w:r>
    </w:p>
    <w:p>
      <w:r>
        <w:t>IN ITS MEETING of October 29, 2019;</w:t>
      </w:r>
    </w:p>
    <w:p>
      <w:r>
        <w:t>HEARD the Rapporteur Dr. Gabriella Muscolo;</w:t>
      </w:r>
    </w:p>
    <w:p>
      <w:r>
        <w:t>HAVING REGARD TO Law No. 287 of October 10, 1990;</w:t>
      </w:r>
    </w:p>
    <w:p>
      <w:r>
        <w:t>HAVING REGARD TO D.P.R. No. 217 of April 30, 1998;</w:t>
      </w:r>
    </w:p>
    <w:p>
      <w:r>
        <w:t>HAVING REGARD TO the act of the company LVMH Moet Hennessy – Louis Vuitton S.E., received on September 30, 2019;</w:t>
      </w:r>
    </w:p>
    <w:p>
      <w:r>
        <w:t>CONSIDERING the following:</w:t>
      </w:r>
    </w:p>
    <w:p>
      <w:r>
        <w:t>I. THE PARTIES</w:t>
      </w:r>
    </w:p>
    <w:p>
      <w:r>
        <w:t>1. LVMH Moet Hennessy – Louis Vuitton S.E. (hereinafter, LVMH) is a holding company that controls, through a series of controlled companies (LVMH Group), a portfolio of over 70 luxury brands and over 4,590 retail outlets worldwide. The LVMH Group, active in about 70 countries, employs approximately 156,088 people globally. The LVMH Group operates in the luxury market, particularly in the following areas: wines and spirits; fashion and leather goods, including accessories; perfumes and cosmetics; watches and jewelry; selective retail distribution; and other activities (including those related to the media sector, hospitality, and the luxury yacht industry).</w:t>
      </w:r>
    </w:p>
    <w:p>
      <w:r>
        <w:t>2. LVMH is ultimately controlled by the Arnault Family Group, which directly and indirectly holds 47.16% of the share capital of LVMH and 63.27% of the voting rights in LVMH (as of December 31, 2018). The Arnault Family Group consists of the Arnault family and the companies controlled by it.</w:t>
      </w:r>
    </w:p>
    <w:p>
      <w:r>
        <w:t>3. In 2018, LVMH achieved a global turnover of approximately 46.8 billion euros, of which approximately [10-20]* billion euros from sales in the European Union and approximately [2-3] billion euros from sales in Italy.</w:t>
      </w:r>
    </w:p>
    <w:p>
      <w:r>
        <w:t>4. Anin Star Holding Limited is the newly established holding company of the Stella McCartney Group (hereinafter, SMC Group). The SMC Group offers luxury products under the Stella McCartney brand and, in particular, women's, men's, and children's clothing, as well as shoes and bags. Furthermore, following the conclusion of licensing agreements, the brand has also developed eyewear (prescription and sunglasses).</w:t>
      </w:r>
    </w:p>
    <w:p>
      <w:r>
        <w:t>* In this version, some data are omitted, as elements of confidentiality or secrecy of the information were deemed to exist.</w:t>
      </w:r>
    </w:p>
    <w:p>
      <w:r>
        <w:rPr>
          <w:b/>
        </w:rPr>
        <w:t>[Pages 7–9]</w:t>
      </w:r>
    </w:p>
    <w:p>
      <w:r>
        <w:t>BULLETIN NO. 46 OF NOVEMBER 18, 2019 9</w:t>
      </w:r>
    </w:p>
    <w:p>
      <w:r>
        <w:t>sun glasses), underwear, swimwear, and perfumes, as well as sportswear within the framework of a long-term collaboration with Adidas. The Stella McCartney brand is a luxury brand characterized by a strong commitment to sustainability and ethical values, which considers the company responsible for the resources it uses and the impact it has on the environment. In light of these values, Stella McCartney's design does not allow for the use of leather and/or fur under any circumstances.</w:t>
      </w:r>
    </w:p>
    <w:p>
      <w:r>
        <w:t>5. The share capital of Anin Star Holding Limited is 100% held by a natural person (hereinafter, the Seller).</w:t>
      </w:r>
    </w:p>
    <w:p>
      <w:r>
        <w:t>6. In 2018, SMC achieved a global turnover of approximately [100-498] million euros, of which approximately [100-498] million euros were from sales in the European Union and approximately [30-100] million euros from sales in Italy.</w:t>
      </w:r>
    </w:p>
    <w:p>
      <w:r>
        <w:t>II. DESCRIPTION OF THE TRANSACTION</w:t>
      </w:r>
    </w:p>
    <w:p>
      <w:r>
        <w:t>7. By virtue of the contract signed by the Parties, post-transaction the Seller will remain the majority shareholder of Anin Star Holding Limited, while the remaining part of the share capital will be acquired by LVMH. Both Parties will have the right to appoint their representatives to the Board of Directors, which, in relation to certain matters, may validly deliberate only with the favorable vote of at least one of the members of the Board of Directors appointed by each Party. Such matters concern, inter alia, the appointment and remuneration of top management, the approval of the annual business plan, as well as the budget.</w:t>
      </w:r>
    </w:p>
    <w:p>
      <w:r>
        <w:t>8. According to the statements made by the Parties, the transaction does not involve ancillary restrictions.</w:t>
      </w:r>
    </w:p>
    <w:p>
      <w:r>
        <w:t>III. QUALIFICATION OF THE TRANSACTION</w:t>
      </w:r>
    </w:p>
    <w:p>
      <w:r>
        <w:t>9. The communicated transaction, as it involves the acquisition of joint control of a company, constitutes a concentration pursuant to Article 5, paragraph 1, letter b), of Law No. 287/90.</w:t>
      </w:r>
    </w:p>
    <w:p>
      <w:r>
        <w:t>10. It falls within the scope of application of Law No. 287/90, as the conditions of Article 1 of EC Regulation No. 139/04 are not met, and is subject to the obligation of prior notification provided for by Article 16, paragraph 1, of the same law, as amended by Article 1, paragraph 177, of Law No. 124 of August 4, 2017, since the total turnover achieved in the last financial year at the national level by the group of companies involved exceeded 498 million euros and the turnover achieved individually at the national level by at least two of the companies involved exceeded 30 million euros.</w:t>
      </w:r>
    </w:p>
    <w:p>
      <w:r>
        <w:t>IV. ASSESSMENT OF THE CONCENTRATION</w:t>
      </w:r>
    </w:p>
    <w:p>
      <w:r>
        <w:t>The product market</w:t>
      </w:r>
    </w:p>
    <w:p>
      <w:r>
        <w:t>11. From a commodity perspective, the sector concerned by the transaction in question is that of luxury goods where the target group operates.</w:t>
      </w:r>
    </w:p>
    <w:p>
      <w:r>
        <w:t>12. In particular, it involves the design, production, and marketing of a wide range of goods considered, according to the community and Authority's orientation, as a single commodity area, that of luxury. In this area, in addition to the target group, the buyer LVMH is also present.</w:t>
      </w:r>
    </w:p>
    <w:p>
      <w:r>
        <w:t>13. On the demand side, luxury goods are characterized as high-quality items and are typically sold at high prices under prestigious brands. Precisely because of the added value represented by the brand, luxury goods are distinguished by a low degree of substitutability with goods that belong to the same commodity category but are sold under unknown brands, at significantly lower prices and in non-luxury retail outlets.</w:t>
      </w:r>
    </w:p>
    <w:p>
      <w:r>
        <w:t>14. High quality, exclusive design, image, and prestige of the products are therefore aspects that position luxury goods as the top items in each individual commodity category concerned. Consequently, the purchase of luxury products can be seen, regardless of their actual use and consumption, in terms of the image and idea of prestige they convey. The purchase of such products tends, in fact, to represent something different from their simple material enjoyment; such a characteristic related to lifestyle is not found in relation to goods of the same commodity category but intended for mass consumption.</w:t>
      </w:r>
    </w:p>
    <w:p>
      <w:r>
        <w:t>15. On the supply side, the development strategy followed by most luxury goods manufacturers is focused on creating a wide range of products characterized by a high degree of diversification and innovation. The development of the brand concept as a lifestyle and the constant launch of new products are indicative of relatively low costs to modify productions (the switching costs incurred by luxury goods producers) and significant substitutability on the supply side. Such a strategy makes inappropriate a classification by commodity groupings of individual products.</w:t>
      </w:r>
    </w:p>
    <w:p>
      <w:r>
        <w:t>16. That said, within the luxury market, the parties still believe it is possible to identify some segments such as clothing articles, leather goods, and accessories (so-called fashion and leather goods); perfumes and cosmetics; jewelry and watches; wines and spirits. In this specific case, the transaction concerns the specific segment of high fashion, leather goods, and accessories, as well as the specific segment of luxury perfumes and cosmetics.</w:t>
      </w:r>
    </w:p>
    <w:p>
      <w:r>
        <w:t>The geographic market</w:t>
      </w:r>
    </w:p>
    <w:p>
      <w:r>
        <w:t>17. As for the geographical relevance, the size of the market can be considered supranational, tending to be global according to the parties and considering the aforementioned community and national orientation.</w:t>
      </w:r>
    </w:p>
    <w:p>
      <w:r>
        <w:t>18. This hypothesis arises from several elements such as, in particular, the presence of a large number of producers operating worldwide; the realization on an international scale of advertising, promotional, and marketing campaigns; the absence of a particular consumer preference in favor of national brands; the low incidence of transportation costs compared to the particularly high price of luxury goods. It is also noteworthy that most operators are now able to export their products worldwide from a limited number of production sites.</w:t>
      </w:r>
    </w:p>
    <w:p>
      <w:r>
        <w:t>Effects of the transaction</w:t>
      </w:r>
    </w:p>
    <w:p>
      <w:r>
        <w:t>19. Both globally and nationally, in the luxury market as well as in the high fashion, leather goods, and accessories segment, and in the luxury perfumes and cosmetics segment, the SMC Group holds a share of less than or equal to 1% while LVMH holds a share of less than or equal to [10-15%]. Therefore, the transaction is not likely to produce significant horizontal overlaps.</w:t>
      </w:r>
    </w:p>
    <w:p>
      <w:r>
        <w:t>20. It is also noted that a vertical relationship can be hypothesized between the luxury perfumes and cosmetics segment and the selective distribution market for perfumes and cosmetics, where the SMC Group is not active, while LVMH is active, holding, however, in Italy a market share of less than [10-15%]. Considering the value of the shares held by the parties, it is believed that the transaction is not likely to produce significant vertical competitive effects.</w:t>
      </w:r>
    </w:p>
    <w:p>
      <w:r>
        <w:t>23. Numerous and qualified competitors are present in these markets.</w:t>
      </w:r>
    </w:p>
    <w:p>
      <w:r>
        <w:t>24. In light of the above, it is believed that in the relevant markets the transaction will not have detrimental effects on competition, not resulting in substantial changes in the competitive structure of the same.</w:t>
      </w:r>
    </w:p>
    <w:p>
      <w: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t>5 This data is confirmed both with regard to the value of the global market reported in the form as an estimate of the Party, and by referencing the smallest market value obtainable from the databases available to the Authority.</w:t>
      </w:r>
    </w:p>
    <w:p>
      <w:r>
        <w:rPr>
          <w:b/>
        </w:rPr>
        <w:t>[Pages 10–12]</w:t>
      </w:r>
    </w:p>
    <w:p>
      <w:r>
        <w:t xml:space="preserve">12 BULLETIN NO. 46 OF NOVEMBER 18, 2019  </w:t>
        <w:br/>
        <w:t xml:space="preserve">C12247 - BDC ITALIA-CONAD/AUCHAN  </w:t>
        <w:br/>
        <w:t xml:space="preserve">Provision No. 27983  </w:t>
        <w:br/>
        <w:t xml:space="preserve">THE ANTITRUST AUTHORITY  </w:t>
        <w:br/>
        <w:t xml:space="preserve">IN ITS MEETING of November 5, 2019;  </w:t>
        <w:br/>
        <w:t xml:space="preserve">HEARD the Rapporteur Professor Michele Ainis;  </w:t>
        <w:br/>
        <w:t xml:space="preserve">SEEN Regulation (EC) No. 139/2004;  </w:t>
        <w:br/>
        <w:t xml:space="preserve">SEEN Law No. 287 of October 10, 1990;  </w:t>
        <w:br/>
        <w:t xml:space="preserve">SEEN D.P.R. No. 217 of April 30, 1998;  </w:t>
        <w:br/>
        <w:t xml:space="preserve">SEEN the communication from the companies BDC Italia S.p.A. and CONAD Consorzio Nazionale Dettaglianti Soc. Coop., received on July 19, 2019;  </w:t>
        <w:br/>
        <w:t xml:space="preserve">SEEN the request for information, sent on August 1, 2019, with consequent interruption of the deadlines pursuant to Article 5, paragraph 3, of D.P.R. No. 217 of April 30, 1998;  </w:t>
        <w:br/>
        <w:t xml:space="preserve">SEEN the additional information sent by the companies BDC Italia S.p.A. and CONAD Consorzio Nazionale Dettaglianti Soc. Coop., received on September 11, 2019, and supplemented on October 4, 11, 14, 29, and 30, 2019;  </w:t>
        <w:br/>
        <w:t xml:space="preserve">SEEN the documentation on file;  </w:t>
        <w:br/>
        <w:t xml:space="preserve">CONSIDERED the following:  </w:t>
        <w:br/>
        <w:t xml:space="preserve">I. THE PARTIES  </w:t>
        <w:br/>
        <w:t xml:space="preserve">1. CONAD Consorzio Nazionale Dettaglianti Soc. Coop. (hereinafter also "CONAD") is a cooperative society that gathers and represents six large cooperative groups, distributed throughout the Italian territory at the regional or supra-regional level (Pac2000A Soc. Coop., Conad Nord Ovest Soc. Coop., Commercianti Indipendenti Associati Soc. Coop., Conad Centro Nord Soc. Coop., Conad Adriatico Soc. Coop., Conad Sicilia Soc. Coop., hereinafter collectively referred to as "the Cooperatives").  </w:t>
        <w:br/>
        <w:t xml:space="preserve">The organizational model of CONAD (hereinafter also "CONAD system") is structured on three levels:  </w:t>
        <w:br/>
        <w:t xml:space="preserve">i) individual entrepreneurs, members of the cooperatives and owners of retail outlets active in the territory (hereinafter also "retailers"), who operate independently and at their own business risk in the Organized Large Distribution ("GDO"), availing themselves of the supply of goods and services from the individual Cooperative;  </w:t>
        <w:br/>
        <w:t xml:space="preserve">ii) the Cooperatives, members of the national CONAD consortium and each operating in a specific area of the national territory, which support and coordinate the individual entrepreneurs by providing administrative, commercial, logistical, and financial services;  </w:t>
        <w:br/>
        <w:t xml:space="preserve">iii) the national CONAD consortium, which operates as a purchasing and service center, is responsible for strategic planning, marketing, and communication activities for the entire system, as well as the production, promotion, and development of the CONAD brand.  </w:t>
        <w:br/>
        <w:t xml:space="preserve">The individual Cooperatives and CONAD provide, among other things, support services for commercial activities and marketing as well as administrative, financial, and human resource management services, in addition to organizing the supply and joint purchase of consumer goods, as well as incentivizing and promoting innovation and modernization of the distribution structures of the members.  </w:t>
        <w:br/>
        <w:t xml:space="preserve">CONAD associates over 2,600 retailers operating in the national territory under the CONAD City, CONAD, CONAD Superstore, and CONAD hypermarket brands; in 2018, CONAD achieved a turnover of approximately 1.4 billion euros in Italy.  </w:t>
        <w:br/>
        <w:t xml:space="preserve">2. Pac2000A Soc. Coop. a r.l. (hereinafter also "PAC2000"), with approximately 880 associated retailers, is the largest cooperative associated with CONAD. It oversees over a thousand retail outlets (hereinafter also "pv"), located in Central-Southern Italy – specifically in Lazio, Umbria, Basilicata, Calabria, and Campania – in addition to a discount network (under the Todis brand) distributed throughout the national territory. PAC2000 achieved a turnover of approximately 2.5 billion euros in 2017.  </w:t>
        <w:br/>
        <w:t xml:space="preserve">3. Conad Nord Ovest Soc. Coop. (hereinafter also "Conad Nord Ovest") is a recently established company following the merger between Nordiconad Soc. Coop. and Conad del Tirreno Soc. Coop., which took place on September 16, 2019. The two cooperatives collectively associated 411 retailers, with a sales network composed of over 800 retail outlets located in Liguria, Lazio, Sardinia, Tuscany, Lombardy, Piedmont, Aosta Valley, Emilia-Romagna, and Veneto. Nordiconad Soc. Coop. achieved a turnover of approximately 810 million euros in 2017, while Conad del Tirreno Soc. Coop. achieved a turnover of approximately 1.6 billion euros during the same period.  </w:t>
        <w:br/>
        <w:t xml:space="preserve">4. Commercianti Indipendenti Associati Soc. Coop. (hereinafter also "CIA") associates 157 entrepreneurs, who manage a network of 222 retail outlets located in Emilia-Romagna, Friuli Venezia-Giulia, Marche, and Veneto. The cooperative's turnover was approximately 1.2 billion euros in 2018.  </w:t>
        <w:br/>
        <w:t xml:space="preserve">5. Conad Centro Nord Soc. Coop. (hereinafter also "Conad Centro Nord") associates 165 retailers, who manage a network of approximately 240 active retail outlets in Lombardy and Emilia-Romagna. The cooperative achieved a turnover of approximately 876 million euros in 2018.  </w:t>
        <w:br/>
        <w:t xml:space="preserve">6. Conad Adriatico Soc. Coop (hereinafter also "Conad Adriatico") associates 261 retailers, who manage approximately 400 retail outlets located in the regions of Marche, Abruzzo, Puglia, Basilicata, and Molise. It achieved a turnover of approximately 744 million euros in 2018.  </w:t>
        <w:br/>
        <w:t xml:space="preserve">7. Conad Sicilia Soc. Coop. (hereinafter also "Conad Sicilia") associates approximately 180 entrepreneurs who manage over 350 retail outlets located in Calabria and Sicily. It achieved a turnover of approximately 562 million euros in 2018.  </w:t>
        <w:br/>
        <w:t xml:space="preserve">8. BDC Italia S.p.A. (hereinafter also "BDC") is a vehicle company established on February 14, 2019, and is subject to the control of CONAD, which holds 51% of its share capital. The remaining share capital is held by POP18 S.a.r.l., a company controlled by Time Life S.A., a holding company of the WRM group, active in various fields, including private equity, corporate restructuring, and real estate investments. BDC's role is limited to the acquisition and management of the stake in Auchan S.p.A.  </w:t>
        <w:br/>
        <w:t xml:space="preserve">9. Auchan S.p.A. (hereinafter also "Auchan") is an Italian company active in the modern distribution sector of food and non-food products of mass and general consumption, through a network of 269 retail outlets (hereinafter also "pv") managed directly or through controlled companies (in particular, the companies SMA S.p.A., hereinafter also "SMA," and Società Generale Distribuzione S.p.A., hereinafter also "SDG") under the brands Simply, Punto Simply, SimplyCity, La Bottega, Auchan, My Auchan, and Ipersimply, spread throughout the national territory. Auchan is also the owner of an additional 49 pv currently leased to third parties. Additionally, 201 pv are affiliated with SMA under franchise agreements (of which 10 are expiring in 2019), as well as an additional 775 pv with six master franchise agreements (of which 3 are expiring by January 1, 2020).  </w:t>
        <w:br/>
        <w:t xml:space="preserve">Auchan is also marginally active in the online sales and fuel distribution sectors.  </w:t>
        <w:br/>
        <w:t xml:space="preserve">Auchan S.p.A. is 100% owned by Soldanelle SA, which is in turn subject to the control of the French company Auchan Holding SA.  </w:t>
        <w:br/>
        <w:t xml:space="preserve">In 2018, Auchan's turnover in Italy was approximately [1-2]* billion euros.  </w:t>
        <w:br/>
        <w:t xml:space="preserve">II. DESCRIPTION OF THE OPERATION  </w:t>
        <w:br/>
        <w:t xml:space="preserve">10. The operation in question consists of the acquisition by BDC, a vehicle company specifically established and controlled by CONAD, of the entire share capital of Auchan to facilitate the transfer, in whole or in part, of the acquired pv to the member Cooperatives.  </w:t>
        <w:br/>
        <w:t xml:space="preserve">In particular, the 269 pv directly managed by Auchan or its subsidiaries (hereinafter, "direct pv") as well as the 49 pv subject to lease to third parties (hereinafter, "leased pv") acquired by CONAD in the context of this operation will be, in whole or in part, transferred by CONAD to the individual Cooperatives of the CONAD system, based on their respective geographical location. This involves 318 pv (78 hypermarkets, 176 supermarkets, and 64 convenience stores) that, based on the existing geographical distribution scheme within the CONAD system, will be, in whole or in part, transferred to: CIA (up to 131 pv), Conad Centro Nord (up to 70 pv), PAC2000 (up to 48 pv), Conad Adriatico (up to 37 pv), Coop Nord Ovest (up to 27 pv), and Conad Sicilia (up to 5 pv).  </w:t>
        <w:br/>
        <w:t xml:space="preserve">The franchised and master franchised pv affiliated with SMA will not be transferred to the Cooperatives, as these business models are not compatible with the CONAD system. Therefore, these pv will be managed by CONAD only until the natural expiration of the original contract with SMA or until any early termination by the same, continuing to operate under the brands.  </w:t>
        <w:br/>
        <w:t xml:space="preserve">* In this version, some data are omitted, as elements of confidentiality or secrecy of the information were deemed to exist.  </w:t>
        <w:br/>
        <w:t>3 The acquisition was completed on July 31, 2019.</w:t>
      </w:r>
    </w:p>
    <w:p>
      <w:r>
        <w:rPr>
          <w:b/>
        </w:rPr>
        <w:t>[Pages 13–15]</w:t>
      </w:r>
    </w:p>
    <w:p>
      <w:r>
        <w:t>BULLETIN NO. 46 OF NOVEMBER 18, 2019 15</w:t>
      </w:r>
    </w:p>
    <w:p>
      <w:r>
        <w:t>current (referring to Auchan) and according to the methods provided for in the existing contract. Franchisees who wish to associate themselves, as retailers, with the individual Cooperatives may submit a request in compliance with the relevant requirements and according to timelines to be defined from time to time between the parties.</w:t>
      </w:r>
    </w:p>
    <w:p>
      <w:r>
        <w:t>11. Soldanelle SA and its affiliates have committed, for a period of three years from the transfer of Auchan, to refrain from carrying out in Italy, directly or indirectly, wholesale activities, management of hypermarkets, supermarkets, and small supermarkets, and any further type of large-scale distribution of food products (including alcoholic beverages) and pet food.</w:t>
      </w:r>
    </w:p>
    <w:p>
      <w:r>
        <w:t>III. QUALIFICATION OF THE OPERATION</w:t>
      </w:r>
    </w:p>
    <w:p>
      <w:r>
        <w:t>12. The operation in question, as it involves the acquisition of exclusive control over multiple business entities, constitutes a concentration pursuant to Article 5, paragraph 1, letter b), of Law No. 287/90.</w:t>
      </w:r>
    </w:p>
    <w:p>
      <w:r>
        <w:t>13. It falls within the scope of application of Law No. 287/90, as the conditions set out in Article 1 of Regulation No. 139/2004 do not apply, and it is subject to the obligation of prior notification provided for by Article 16, paragraph 1, of the same law4, as the total turnover achieved in the last financial year at the national level by the group of companies involved was over 498 million euros and as the total turnover achieved individually at the national level by at least two of the companies involved was over 30 million euros.</w:t>
      </w:r>
    </w:p>
    <w:p>
      <w:r>
        <w:t>14. In particular, with regard to the points of sale included in the scope of the operation, the direct and leased points of sale are relevant, while the remaining franchised and master franchised points of sale do not fall within the concentration operation in question. This is because they were linked to Auchan and/or its subsidiaries – and will now be linked to CONAD – by a contractual supply obligation, which does not constitute a control situation under antitrust law.</w:t>
      </w:r>
    </w:p>
    <w:p>
      <w:r>
        <w:t>IV. EVALUATION OF THE OPERATION</w:t>
      </w:r>
    </w:p>
    <w:p>
      <w:r>
        <w:t>IV.I. Relevant markets</w:t>
      </w:r>
    </w:p>
    <w:p>
      <w:r>
        <w:t>15. For the purposes of evaluating this operation, the markets for the retail sale and procurement of food and non-food consumer goods are relevant. Other markets in which the Parties are active (online sales and fuel distribution) are not affected by this operation, as there are no significant horizontal overlaps in such markets as a result of the operation.</w:t>
      </w:r>
    </w:p>
    <w:p>
      <w:r>
        <w:t>The markets for the retail sale of food and non-food consumer goods</w:t>
      </w:r>
    </w:p>
    <w:p>
      <w:r>
        <w:t>16. According to the established practice of the Authority5, in the organized large-scale distribution (GDO) sector, multiple operators with varying sizes, characteristics, and organizational formulas operate at the national level. In particular, GDO is usually divided into: Large Distribution (GD), which includes large organized distribution chains structured as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17. Within the GDO, different categories of points of sale can be distinguished (hypermarkets, supermarkets, small supermarkets, and discount stores), which differ based on a set of characteristics (size, positioning, range of products offered, presence of fresh food counters, etc.) that contribute to determining their quality and level of services offered.</w:t>
      </w:r>
    </w:p>
    <w:p>
      <w:r>
        <w:t>18. Based on a consolidated orientation of the Authority, there exists a chain of substitutability among the different types of points of sale, which means that the most significant relationships for the purposes of market delineation are limited to categories that are immediately adjacent to each other in terms of size. The relationships of substitutability are not necessarily symmetric, as it can be hypothesized that larger points of sale exert greater competitive pressure.</w:t>
      </w:r>
    </w:p>
    <w:p>
      <w:r>
        <w:t>19. In its previous decisions, the Authority has consequently identified the existence of distinct product markets for each size category of points of sale, defined in particular as follows:</w:t>
        <w:br/>
        <w:t>i) the market for small supermarkets (100-400 sqm), composed of small supermarkets and medium-small supermarkets (with an area between 400 and 1,500 sqm);</w:t>
        <w:br/>
        <w:t>ii) the market for supermarkets (400-2,500 sqm), composed of all supermarkets, small supermarkets, and hypermarkets;</w:t>
        <w:br/>
        <w:t>iii) the market for hypermarkets (from 2,500 sqm and above), composed of hypermarkets and large supermarkets (of size equal to or greater than 1,500 sqm).</w:t>
      </w:r>
    </w:p>
    <w:p>
      <w:r>
        <w:t>20. With specific reference to the discount channel, the Authority, in its most recent decisions6, while considering that a chain of substitutability exists, extending from hard discount and soft discount to other points of sale in modern distribution of corresponding size category, has left the definition of the product market open, calculating market shares both in the hypothesis of including discounts in the aforementioned product markets and in the hypothesis of a relevant market constituted solely by discounts. Since the effects of the concentration in question differ significantly depending on whether or not the discount category is included in the relevant market, it appears necessary in this investigation to deepen the relationship of substitutability (i.e., the degree of mutual competition) currently existing between discount-type points of sale and "traditional" points of sale.</w:t>
      </w:r>
    </w:p>
    <w:p>
      <w:r>
        <w:t>21. Based on the practice adopted so far by the Authority, for the 64 points of sale smaller than 400 sqm, the market for the product involved in this operation is that of small supermarkets; for the 176 points of sale larger than 400 sqm and smaller than 2,500 sqm, the product market is that of supermarkets; for the additional 78 points of sale, whose sizes exceed 2,500 sqm, the product market is that of hypermarkets. Even from this perspective, however, it appears necessary in this investigation to deepen the relationship of substitutability (i.e., the degree of mutual competition) currently existing between points of sale of different sizes and characteristics.</w:t>
      </w:r>
    </w:p>
    <w:p>
      <w:r>
        <w:t>22. From a geographical perspective, the markets of GDO have a local dimension, considering consumers' purchasing behaviors and the importance they attribute to the proximity of points of sale. The exact delineation of the geographical dimension of the markets must, however, be carried out on a case-by-case basis, based on the size of the catchment areas of the individual points of sale of the companies involved and their level of overlap. It is the Authority's practice to evaluate the competitive conditions existing in specific portions of territory delineated by isochrone or isometric curves, constructed around the individual points of sale involved in the operation7.</w:t>
      </w:r>
    </w:p>
    <w:p>
      <w:r>
        <w:t>23. As a preliminary definition, based on the Authority's precedents, the geographical markets affected by this operation are identified by the area delineated by 20-minute driving isochrones, constructed around the points of sale involved.</w:t>
      </w:r>
    </w:p>
    <w:p>
      <w:r>
        <w:t>24. However, it is already evident that a more precise definition of the geographical dimension of the relevant markets can only be reached following the examination of further informational elements that will be acquired during the investigation.</w:t>
      </w:r>
    </w:p>
    <w:p>
      <w:r>
        <w:t>The markets for the procurement of food and non-food consumer goods</w:t>
      </w:r>
    </w:p>
    <w:p>
      <w:r>
        <w:t>25. The procurement markets relate to purchases made by GDO chains, which represent the demand side, directly from producers of food and non-food consumer goods, which constitute the supply side, for resale in the modern distribution channel.</w:t>
      </w:r>
    </w:p>
    <w:p>
      <w:r>
        <w:t>26. Since the service offered by GDO to consumers consists of the possibility of purchasing the entire basket of food and non-food products, of everyday use, each belonging to a distinct product category, the Authority has previously considered that different procurement markets could be identified, distinct by product categories8. Within the GDO's offering, it is also possible to distinguish procurement markets based on the brand of the products (e.g., private label or distributor brands, industry brands, unbranded products).</w:t>
      </w:r>
    </w:p>
    <w:p>
      <w:r>
        <w:t>27. In order to obtain more favorable conditions regarding the quantities demanded for industry-branded products, aggregation among GDO chains (in the form of business associations and medium-large consortia) in so-called "buying groups"9 is common. In order to optimize negotiations with multinational producers, these buying groups have, in recent years, established a path of aggregation with similar entities through international agreements.</w:t>
      </w:r>
    </w:p>
    <w:p>
      <w:r>
        <w:rPr>
          <w:b/>
        </w:rPr>
        <w:t>[Pages 16–18]</w:t>
      </w:r>
    </w:p>
    <w:p>
      <w:r>
        <w:t>18 BULLETIN NO. 46 OF NOVEMBER 18, 2019</w:t>
      </w:r>
    </w:p>
    <w:p>
      <w:r>
        <w:t>28. The supply markets are generally of national size, with both purchases and related negotiations taking place at the national level. Exceptions may apply to certain categories of fresh products or local specialties, characterized by more limited market sizes, which are generally excluded from the scope of negotiation of purchasing centers.</w:t>
      </w:r>
    </w:p>
    <w:p>
      <w:r>
        <w:t>IV.II. The effects of the operation</w:t>
      </w:r>
    </w:p>
    <w:p>
      <w:r>
        <w:t>Retail markets for food and non-food consumer products</w:t>
      </w:r>
    </w:p>
    <w:p>
      <w:r>
        <w:t>29. As a result of the concentration described above, based on the data contained in the Nielsen GNLC report – September 2018 edition, the CONAD branded chain, currently the second largest chain in the GDO at the Italian level with a market share of 12.9% of national turnover, would become the leading operator with a market share of 18.5%. The increase in national market share attributable to the operation would indeed be 5.6%. The main competing chains at the national level are Coop (13.8%), Selex (9.9%), and Esselunga (9%).</w:t>
      </w:r>
    </w:p>
    <w:p>
      <w:r>
        <w:t>30. At the local level, the notified operation results in significant horizontal overlaps between the activities of the Parties in numerous retail markets.</w:t>
      </w:r>
    </w:p>
    <w:p>
      <w:r>
        <w:t>31. The operations under examination are indeed likely to create significant horizontal overlaps in 17 local supermarket markets (see Table 1), 92 local supermarket markets (see Table 2), and 38 local hypermarket markets (see Table 3), constituted by the isochrones centered on the points of sale listed in the following tables. In these local markets, the post-merger market shares of the Parties10, calculated preliminarily on isochrones of 20 minutes of driving, constructed around the affected points of sale and considering the discount channel as not belonging to the relevant markets, are positioned at levels above 25%11, with non-negligible increases attributable to the concentration under examination. However, it cannot be excluded that, following the acquisition of further information during the investigation, the market shares and local areas likely to raise competitive concerns may partially change.</w:t>
      </w:r>
    </w:p>
    <w:p>
      <w:r>
        <w:t>10 The value shares were calculated based on the data provided by the party regarding the turnover achieved in 2018 by each of its own points of sale, acquired and competitors.</w:t>
      </w:r>
    </w:p>
    <w:p>
      <w:r>
        <w:t>11 See Council Regulation (EC) No. 139/2004 of January 20, 2004, on the control of concentrations between undertakings, paragraph 32: “Concentrations may be presumed compatible with the common market where, given the modest market share of the undertakings concerned, they are not such as to impede effective competition. Subject to Articles 81 [101 TFEU] and 82 [102 TFEU] of the Treaty, an indication in this sense exists where the market share of the undertakings concerned does not exceed 25% either in the common market or in a substantial part thereof.”</w:t>
      </w:r>
    </w:p>
    <w:p>
      <w:r>
        <w:t>BULLETIN NO. 46 OF NOVEMBER 18, 2019</w:t>
      </w:r>
    </w:p>
    <w:p>
      <w:r>
        <w:t>Table 1 – Local supermarket markets where significant overlaps occur</w:t>
      </w:r>
    </w:p>
    <w:p>
      <w:r>
        <w:t>Share of</w:t>
        <w:br/>
        <w:t>Share of Share of</w:t>
        <w:br/>
        <w:t>market</w:t>
        <w:br/>
        <w:t>no. Relevant isochrones (brand, address, province) market market</w:t>
        <w:br/>
        <w:t>aggregated</w:t>
        <w:br/>
        <w:t>Conad Auchan</w:t>
        <w:br/>
        <w:t>Parties</w:t>
        <w:br/>
        <w:t>1 PUNTO SIMPLY [omitted] RM [15-20%] [10-15%] [25-30%]</w:t>
        <w:br/>
        <w:t>2 PUNTO SIMPLY [omitted] RM [20-25%] [5-10%] [30-35%]</w:t>
        <w:br/>
        <w:t>3 PUNTO SIMPLY [omitted] RM [20-25%] [5-10%] [30-35%]</w:t>
        <w:br/>
        <w:t>4 MYAUCHAN [omitted] SO [25-30%] [20-25%] [45-50%]</w:t>
        <w:br/>
        <w:t>5 MYAUCHAN [omitted] SO [25-30%] [20-25%] [45-50%]</w:t>
        <w:br/>
        <w:t>6 PUNTO SIMPLY [omitted] FE [40-45%] [1-5%] [40-45%]</w:t>
        <w:br/>
        <w:t>7 PUNTO SIMPLY [omitted] FE [50-55%] [1-5%] [50-55%]</w:t>
        <w:br/>
        <w:t>8 PUNTO SIMPLY [omitted] VE [40-45%] [5-10%] [50-55%]</w:t>
        <w:br/>
        <w:t>9 PUNTO SIMPLY [omitted] FM [25-30%] [20-25%] [50-55%]</w:t>
        <w:br/>
        <w:t>10 PUNTO SMA [omitted] FC [45-50%] [1-5%] [50-55%]</w:t>
        <w:br/>
        <w:t>11 PUNTO SIMPLY [omitted] MC [25-30%] [1-5%] [30-35%]</w:t>
        <w:br/>
        <w:t>12 PUNTO SIMPLY [omitted] FM [30-35%] [20-25%] [50-55%]</w:t>
        <w:br/>
        <w:t>13 PUNTO SIMPLY [omitted] FM [40-45%] [5-10%] [45-50%]</w:t>
        <w:br/>
        <w:t>14 PUNTO SIMPLY [omitted] FM [40-45%] [15-20%] [60-65%]</w:t>
        <w:br/>
        <w:t>15 PUNTO SIMPLY [omitted] MC [20-25%] [5-10%] [30-35%]</w:t>
        <w:br/>
        <w:t>16 PUNTO SIMPLY [omitted] FM [30-35%] [20-25%] [50-55%]</w:t>
        <w:br/>
        <w:t>17 PUNTO SIMPLY [omitted] RM [20-25%] [5-10%] [30-35%]</w:t>
      </w:r>
    </w:p>
    <w:p>
      <w:r>
        <w:t>Source: the Parties. Elaborations: AGCM.</w:t>
      </w:r>
    </w:p>
    <w:p>
      <w:r>
        <w:t>Table 2 – Local supermarket markets where significant overlaps occur</w:t>
      </w:r>
    </w:p>
    <w:p>
      <w:r>
        <w:t>Share of</w:t>
        <w:br/>
        <w:t>Share of Share of</w:t>
        <w:br/>
        <w:t>Relevant isochrones (brand, address, market</w:t>
        <w:br/>
        <w:t>no. market market</w:t>
        <w:br/>
        <w:t>province) aggregated</w:t>
        <w:br/>
        <w:t>Conad AUCHAN</w:t>
        <w:br/>
        <w:t>Parties</w:t>
        <w:br/>
        <w:t>1 SIMPLY [omitted] BG [20-25%] [1-5%] [25-30%]</w:t>
        <w:br/>
        <w:t>2 IPERSIMPLY [omitted] BS [15-20%] [20-25%] [35-40%]</w:t>
        <w:br/>
        <w:t>3 SIMPLY [omitted] FC [60-65%] [1-5%] [65-70%]</w:t>
        <w:br/>
        <w:t>4 SMA [omitted] MC [10-15%] [15-20%] [30-35%]</w:t>
        <w:br/>
        <w:t>5 SIMPLY [omitted] MC [1-5%] [35-40%] [35-40%]</w:t>
        <w:br/>
        <w:t>6 SIMPLY [omitted] PE [20-25%] [25-30%] [45-50%]</w:t>
        <w:br/>
        <w:t>7 IPERSIMPLY [omitted] TE [20-25%] [15-20%] [35-40%]</w:t>
        <w:br/>
        <w:t>8 MY AUCHAN [omitted] RM [15-20%] [10-15%] [25-30%]</w:t>
        <w:br/>
        <w:t>9 SIMPLY [omitted] BS [5-10%] [25-30%] [30-35%]</w:t>
        <w:br/>
        <w:t>10 PUNTO SIMPLY [omitted] BS [5-10%] [25-30%] [35-40%]</w:t>
        <w:br/>
        <w:t>11 SIMPLY [omitted] AN [1-5%] [30-35%] [35-40%]</w:t>
        <w:br/>
        <w:t>12 SIMPLY [omitted] RN [70-75%] [1-5%] [75-80%]</w:t>
        <w:br/>
        <w:t>13 IPERSIMPLY [omitted] PE [30-35%] [15-20%] [50-55%]</w:t>
        <w:br/>
        <w:t>14 SIMPLY [omitted] PE [30-35%] [20-25%] [55-60%]</w:t>
        <w:br/>
        <w:t>15 PUNTO SIMPLY [omitted] PC [10-15%] [15-20%] [25-30%]</w:t>
        <w:br/>
        <w:t>16 PUNTO SIMPLY [omitted] PC [5-10%] [15-20%] [25-30%]</w:t>
        <w:br/>
        <w:t>17 MYAUCHAN [omitted] PC [10-15%] [15-20%] [25-30%]</w:t>
        <w:br/>
        <w:t>18 SIMPLY [omitted] PR [30-35%] [5-10%] [40-45%]</w:t>
        <w:br/>
        <w:t>19 PUNTO SIMPLY [omitted] PC [50-60%] [10-15%] [60-65%]</w:t>
        <w:br/>
        <w:t>20 PUNTO SIMPLY [omitted] RM [15-20%] [15-20%] [35-40%]</w:t>
        <w:br/>
        <w:t>21 SIMPLY CITY [omitted] RM [15-20%] [10-15%] [30-35%]</w:t>
        <w:br/>
        <w:t>22 SIMPLY CITY [omitted] RM [15-20%] [10-15%] [30-35%]</w:t>
        <w:br/>
        <w:t>23 SIMPLY [omitted] RM [20-25%] [5-10%] [25-30%]</w:t>
        <w:br/>
        <w:t>24 PUNTO SIMPLY [omitted] RM [15-20%] [10-15%] [25-30%]</w:t>
        <w:br/>
        <w:t>25 SIMPLY [omitted] RM [25-30%] [1-5%] [30-35%]</w:t>
      </w:r>
    </w:p>
    <w:p>
      <w:r>
        <w:rPr>
          <w:b/>
        </w:rPr>
        <w:t>[Pages 19–21]</w:t>
      </w:r>
    </w:p>
    <w:p>
      <w:r>
        <w:t>BULLETIN NO. 46 OF NOVEMBER 18, 2019 21</w:t>
        <w:br/>
        <w:t>Share of</w:t>
        <w:br/>
        <w:t>Share of Share of</w:t>
        <w:br/>
        <w:t>Relevant isochrones (sign, address, market</w:t>
        <w:br/>
        <w:t>no. market market</w:t>
        <w:br/>
        <w:t>province) aggregated</w:t>
        <w:br/>
        <w:t>Conad AUCHAN</w:t>
        <w:br/>
        <w:t>Parties</w:t>
        <w:br/>
        <w:t>26 SIMPLY [omitted] RM [30-35%] [10-15%] [40-45%]</w:t>
        <w:br/>
        <w:t>27 SIMPLY [omitted] RM [20-25%] [5-10%] [25-30%]</w:t>
        <w:br/>
        <w:t>28 PUNTO SIMPLY [omitted] RM [10-15%] [20-25%] [30-35%]</w:t>
        <w:br/>
        <w:t>29 SIMPLY [omitted] RM [15-20%] [10-15%] [25-30%]</w:t>
        <w:br/>
        <w:t>30 SIMPLY CITY [omitted] RM [20-25%] [10-15%] [30-35%]</w:t>
        <w:br/>
        <w:t>31 SIMPLY [omitted] RM [10-15%] [20-25%] [35-40%]</w:t>
        <w:br/>
        <w:t>32 SIMPLY [omitted] RM [15-20%] [5-10%] [25-30%]</w:t>
        <w:br/>
        <w:t>33 SIMPLY [omitted] RM [20-25%] [5-10%] [30-35%]</w:t>
        <w:br/>
        <w:t>34 SIMPLY [omitted] RM [15-20%] [5-10%] [25-30%]</w:t>
        <w:br/>
        <w:t>35 SIMPLY [omitted] RM [20-25%] [5-10%] [30-35%]</w:t>
        <w:br/>
        <w:t>36 SIMPLY [omitted] RM [20-25%] [5-10%] [30-35%]</w:t>
        <w:br/>
        <w:t>37 SIMPLY [omitted] RM [15-20%] [5-10%] [25-30%]</w:t>
        <w:br/>
        <w:t>38 SIMPLY [omitted] RM [30-35%] [10-15%] [40-45%]</w:t>
        <w:br/>
        <w:t>39 SIMPLY [omitted] RM [10-15%] [15-20%] [30-35%]</w:t>
        <w:br/>
        <w:t>40 SIMPLY [omitted] RM [15-20%] [5-10%] [25-30%]</w:t>
        <w:br/>
        <w:t>41 SIMPLY [omitted] RM [25-30%] [5-10%] [35-40%]</w:t>
        <w:br/>
        <w:t>42 SIMPLY [omitted] RM [10-15%] [20-25%] [30-35%]</w:t>
        <w:br/>
        <w:t>43 SIMPLY [omitted] BG [30-35%] [20-25%] [55-60%]</w:t>
        <w:br/>
        <w:t>44 SIMPLY [omitted] RM [25-30%] [5-10%] [35-40%]</w:t>
        <w:br/>
        <w:t>45 SIMPLY [omitted] RM [20-25%] [5-10%] [25-30%]</w:t>
        <w:br/>
        <w:t>46 SIMPLY [omitted] RM [15-20%] [10-15%] [25-30%]</w:t>
        <w:br/>
        <w:t>47 SIMPLY [omitted] RM [35-40%] [10-15%] [45-50%]</w:t>
        <w:br/>
        <w:t>48 SIMPLY [omitted] RM [15-20%] [10-15%] [30-35%]</w:t>
        <w:br/>
        <w:t>49 SIMPLY [omitted] BS [5-10%] [25-30%] [30-35%]</w:t>
        <w:br/>
        <w:t>50 AUCHAN [omitted] BS [10-15%] [15-20%] [30-35%]</w:t>
        <w:br/>
        <w:t>51 SIMPLY [omitted] MI [40-45%] [10-15%] [55-60%]</w:t>
      </w:r>
    </w:p>
    <w:p>
      <w:r>
        <w:t>22 BULLETIN NO. 46 OF NOVEMBER 18, 2019</w:t>
        <w:br/>
        <w:t>Share of</w:t>
        <w:br/>
        <w:t>Share of Share of</w:t>
        <w:br/>
        <w:t>Relevant isochrones (sign, address, market</w:t>
        <w:br/>
        <w:t>no. market market</w:t>
        <w:br/>
        <w:t>province) aggregated</w:t>
        <w:br/>
        <w:t>Conad AUCHAN</w:t>
        <w:br/>
        <w:t>Parties</w:t>
        <w:br/>
        <w:t>52 SIMPLY [omitted] BS [15-20%] [25-30%] [40-45%]</w:t>
        <w:br/>
        <w:t>53 SIMPLY [omitted] BS [15-20%] [10-15%] [25-30%]</w:t>
        <w:br/>
        <w:t>54 IPERSIMPLY [omitted] BS [5-10%] [30-35%] [35-40%]</w:t>
        <w:br/>
        <w:t>55 AUCHAN [omitted] BS [10-15%] [10-15%] [25-30%]</w:t>
        <w:br/>
        <w:t>56 SIMPLY [omitted] BS [1-5%] [30-35%] [35-40%]</w:t>
        <w:br/>
        <w:t>57 SIMPLY [omitted] BS [1-5%] [25-30%] [30-35%]</w:t>
        <w:br/>
        <w:t>58 SIMPLY [omitted] BS [5-10%] [25-30%] [35-40%]</w:t>
        <w:br/>
        <w:t>59 AUCHAN [omitted] BS [5-10%] [25-30%] [30-35%]</w:t>
        <w:br/>
        <w:t>60 AUCHAN [omitted] BS [1-5%] [30-35%] [30-35%]</w:t>
        <w:br/>
        <w:t>61 SIMPLY [omitted] BS [5-10%] [20-25%] [30-35%]</w:t>
        <w:br/>
        <w:t>62 SIMPLY [omitted] PU [35-40%] [5-10%] [45-50%]</w:t>
        <w:br/>
        <w:t>63 PUNTO SIMPLY [omitted] PU [40-45%] [1-5%] [40-45%]</w:t>
        <w:br/>
        <w:t>64 SIMPLY [omitted] PU [35-40%] [5-10%] [45-50%]</w:t>
        <w:br/>
        <w:t>65 IPERSIMPLY [omitted] AN [10-15%] [30-35%] [40-45%]</w:t>
        <w:br/>
        <w:t>66 SIMPLY [omitted] AN [5-10%] [40-45%] [45-50%]</w:t>
        <w:br/>
        <w:t>67 SIMPLY [omitted] PU [30-35%] [5-10%] [40-45%]</w:t>
        <w:br/>
        <w:t>68 IPERSIMPLY [omitted] AN [less than 1%] [40-45%] [40-45%]</w:t>
        <w:br/>
        <w:t>69 SIMPLY [omitted] PU [60-65%] [15-20%] [75-80%]</w:t>
        <w:br/>
        <w:t>70 SIMPLY [omitted] AN [5-10%] [40-45%] [45-50%]</w:t>
        <w:br/>
        <w:t>71 PUNTO SIMPLY [omitted] Ancona AN [1-5%] [30-35%] [30-35%]</w:t>
        <w:br/>
        <w:t>72 SIMPLY [omitted] FM [20-25%] [15-20%] [35-40%]</w:t>
        <w:br/>
        <w:t>73 IPERSIMPLY [omitted] MC [10-15%] [15-20%] [30-35%]</w:t>
        <w:br/>
        <w:t>74 SIMPLY [omitted] PG [40-45%] [1-5%] [45-50%]</w:t>
        <w:br/>
        <w:t>75 IPERSIMPLY [omitted] PE [35-40%] [15-20%] [50-55%]</w:t>
        <w:br/>
        <w:t>76 PUNTO SIMPLY [omitted] VE [40-45%] [10-15%] [55-60%]</w:t>
        <w:br/>
        <w:t>77 SIMPLY [omitted] BS [5-10%] [25-30%] [35-40%]</w:t>
      </w:r>
    </w:p>
    <w:p>
      <w:r>
        <w:t>BULLETIN NO. 46 OF NOVEMBER 18, 2019 23</w:t>
        <w:br/>
        <w:t>Share of</w:t>
        <w:br/>
        <w:t>Share of Share of</w:t>
        <w:br/>
        <w:t>Relevant isochrones (sign, address, market</w:t>
        <w:br/>
        <w:t>no. market market</w:t>
        <w:br/>
        <w:t>province) aggregated</w:t>
        <w:br/>
        <w:t>Conad AUCHAN</w:t>
        <w:br/>
        <w:t>Parties</w:t>
        <w:br/>
        <w:t>78 SIMPLY [omitted] FM [25-30%] [15-20%] [40-45%]</w:t>
        <w:br/>
        <w:t>79 PUNTO SIMPLY [omitted] AN [1-5%] [30-35%] [30-35%]</w:t>
        <w:br/>
        <w:t>80 SIMPLY [omitted] PU [25-30%] [5-10%] [30-35%]</w:t>
        <w:br/>
        <w:t>81 PUNTO SIMPLY [omitted] MC [1-5%] [20-25%] [25-30%]</w:t>
        <w:br/>
        <w:t>82 SIMPLY [omitted] FC [40-45%] [1-5%] [40-45%]</w:t>
        <w:br/>
        <w:t>83 SIMPLY [omitted] AN [5-10%] [45-50%] [55-60%]</w:t>
        <w:br/>
        <w:t>84 PUNTO SIMPLY [omitted] AN [1-5%] [30-35%] [30-35%]</w:t>
        <w:br/>
        <w:t>85 SIMPLY [omitted] AN [5-10%] [20-25%] [30-35%]</w:t>
        <w:br/>
        <w:t>86 SIMPLY CITY [omitted] FC [60-65%] [1-5%] [65-70%]</w:t>
        <w:br/>
        <w:t>87 PUNTO SIMPLY [omitted] PU [25-30%] [30-35%] [60-65%]</w:t>
        <w:br/>
        <w:t>88 PUNTO SIMPLY [omitted] MC [5-10%] [20-25%] [30-35%]</w:t>
        <w:br/>
        <w:t>89 PUNTO SIMPLY [omitted] RM [15-20%] [15-20%] [35-40%]</w:t>
        <w:br/>
        <w:t>90 PUNTO SIMPLY [omitted] RM [15-20%] [10-15%] [25-30%]</w:t>
        <w:br/>
        <w:t>91 PUNTO SIMPLY [omitted] RM [15-20%] [10-15%] [25-30%]</w:t>
        <w:br/>
        <w:t>92 SIMPLY [omitted] NA [20-25%] [5-10%] [25-30%]</w:t>
        <w:br/>
        <w:t>Source: the Parties. Elaborations: AGCM.</w:t>
        <w:br/>
        <w:t>Table No. 3 – Local markets of hypermarkets where significant overlaps occur</w:t>
        <w:br/>
        <w:t>Share of</w:t>
        <w:br/>
        <w:t>Share of Share of</w:t>
        <w:br/>
        <w:t>market</w:t>
        <w:br/>
        <w:t>no. Relevant isochrones (sign, address, province) market market</w:t>
        <w:br/>
        <w:t>aggregated</w:t>
        <w:br/>
        <w:t>Conad AUCHAN</w:t>
        <w:br/>
        <w:t>Parties</w:t>
        <w:br/>
        <w:t>1 AUCHAN [omitted] LO [5-10%] [15-20%] [25-30%]</w:t>
        <w:br/>
        <w:t>2 SIMPLY [omitted] FR [25-30%] [5-10%] [30-35%]</w:t>
        <w:br/>
        <w:t>3 IPERSIMPLY [omitted] AP [10-15%] [20-25%] [35-40%]</w:t>
        <w:br/>
        <w:t>4 AUCHAN [omitted] FM [15-20%] [20-25%] [40-45%]</w:t>
        <w:br/>
        <w:t>5 AUCHAN [omitted] CA [25-30%] [45-50%] [70-75%]</w:t>
        <w:br/>
        <w:t>6 AUCHAN [omitted] OT [25-30%] [45-50%] [75-80%]</w:t>
        <w:br/>
        <w:t>7 AUCHAN [omitted] NA [30-35%] [45-50%] [80-85%]</w:t>
      </w:r>
    </w:p>
    <w:p>
      <w:r>
        <w:rPr>
          <w:b/>
        </w:rPr>
        <w:t>[Pages 22–24]</w:t>
      </w:r>
    </w:p>
    <w:p>
      <w:r>
        <w:t>24 BULLETIN NO. 46 OF NOVEMBER 18, 2019</w:t>
        <w:br/>
        <w:t>Share of</w:t>
        <w:br/>
        <w:t>Share of Share of</w:t>
        <w:br/>
        <w:t>market</w:t>
        <w:br/>
        <w:t>no. Relevant isochrones (sign, address, province) market market</w:t>
        <w:br/>
        <w:t>aggregated</w:t>
        <w:br/>
        <w:t>Conad AUCHAN</w:t>
        <w:br/>
        <w:t>Parties</w:t>
        <w:br/>
        <w:t>8 IPERSIMPLY [omitted] MC [5-10%] [35-40%] [45-50%]</w:t>
        <w:br/>
        <w:t>9 AUCHAN [omitted] PE [20-25%] [30-35%] [50-55%]</w:t>
        <w:br/>
        <w:t>10 AUCHAN [omitted] NA [25-30%] [35-40%] [60-65%]</w:t>
        <w:br/>
        <w:t>11 AUCHAN [omitted] [5-10%] [25-30%] [30-35%]</w:t>
        <w:br/>
        <w:t>12 SIMPLY [omitted] LT [25-30%] [5-10%] [30-35%]</w:t>
        <w:br/>
        <w:t>13 IPERSIMPLY [omitted] MN [40-45%] [15-20%] [55-60%]</w:t>
        <w:br/>
        <w:t>14 AUCHAN [omitted] CN [15-20%] [25-30%] [40-45%]</w:t>
        <w:br/>
        <w:t>15 IPERSIMPLY [omitted] TE [15-20%] [20-25%] [35-40%]</w:t>
        <w:br/>
        <w:t>16 AUCHAN [omitted] PE [20-25%] [30-35%] [55-60%]</w:t>
        <w:br/>
        <w:t>17 AUCHAN [omitted] NA [15-20%] [35-40%] [50-55%]</w:t>
        <w:br/>
        <w:t>18 AUCHAN [omitted] NA [20-25%] [35-40%] [60-65%]</w:t>
        <w:br/>
        <w:t>19 AUCHAN [omitted] RM [30-35%] [65-70%] [90-100%]</w:t>
        <w:br/>
        <w:t>20 IPERSIMPLY [omitted] BS [5-10%] [25-30%] [35-40%]</w:t>
        <w:br/>
        <w:t>21 IPERSIMPLY [omitted] BS [5-10%] [35-40%] [40-45%]</w:t>
        <w:br/>
        <w:t>22 AUCHAN [omitted] BS [5-10%] [30-35%] [40-45%]</w:t>
        <w:br/>
        <w:t>23 AUCHAN [omitted] RM [15-20%] [30-35%] [45-50%]</w:t>
        <w:br/>
        <w:t>24 IPERSIMPLY [omitted] BS [15-20%] [25-30%] [40-45%]</w:t>
        <w:br/>
        <w:t>25 AUCHAN [omitted] BS [1-5%] [30-35%] [35-40%]</w:t>
        <w:br/>
        <w:t>26 IPERSIMPLY [omitted] LO [10-15%] [45-50%] [60-65%]</w:t>
        <w:br/>
        <w:t>27 IPERSIMPLY [omitted] BS [5-10%] [30-35%] [35-40%]</w:t>
        <w:br/>
        <w:t>28 AUCHAN [omitted] BS [5-10%] [35-40%] [40-45%]</w:t>
        <w:br/>
        <w:t>29 AUCHAN [omitted] BG [10-15%] [35-40%] [45-50%]</w:t>
        <w:br/>
        <w:t>30 IPERSIMPLY [omitted] AN [5-10%] [40-45%] [45-50%]</w:t>
        <w:br/>
        <w:t>31 IPERSIMPLY [omitted] MC [5-10%] [45-50%] [55-60%]</w:t>
        <w:br/>
        <w:t>32 AUCHAN [omitted] SS [40-45%] [25-30%] [65-70%]</w:t>
        <w:br/>
        <w:t>33 AUCHAN [omitted] CA [25-30%] [30-35%] [55-60%]</w:t>
      </w:r>
    </w:p>
    <w:p>
      <w:r>
        <w:t>BULLETIN NO. 46 OF NOVEMBER 18, 2019 25</w:t>
        <w:br/>
        <w:t>Share of</w:t>
        <w:br/>
        <w:t>Share of Share of</w:t>
        <w:br/>
        <w:t>market</w:t>
        <w:br/>
        <w:t>no. Relevant isochrones (sign, address, province) market market</w:t>
        <w:br/>
        <w:t>aggregated</w:t>
        <w:br/>
        <w:t>Conad AUCHAN</w:t>
        <w:br/>
        <w:t>Parties</w:t>
        <w:br/>
        <w:t>34 AUCHAN [omitted] PA [10-15%] [35-40%] [50-55%]</w:t>
        <w:br/>
        <w:t>35 AUCHAN [omitted] PA [5-10%] [45-50%] [50-55%]</w:t>
        <w:br/>
        <w:t>36 IPERSIMPLY [omitted] PG [15-20%] [20-25%] [40-45%]</w:t>
        <w:br/>
        <w:t>37 AUCHAN [omitted] RM [1-5%] [25-30%] [30-35%]</w:t>
        <w:br/>
        <w:t>38 AUCHAN [omitted] RM [1-5%] [25-30%] [30-35%]</w:t>
        <w:br/>
        <w:t>Source: the Parties. Elaborations: AGCM.</w:t>
        <w:br/>
        <w:t>32. Considering the aggregated level of shares - which, in some areas, are well above 50% - together with the significant and widespread presence of CONAD system sales points across the national territory and the importance and notoriety of the acquired sales points' brands, it is believed that the operation in question may significantly hinder effective competition in the 147 identified local retail markets, resulting in the strengthening or establishment of a dominant position, also to the detriment of consumers.</w:t>
        <w:br/>
        <w:t>The markets for the supply of consumer goods, both food and non-food</w:t>
        <w:br/>
        <w:t>33. Regarding the supply markets, CONAD's position following the concentration can be approximated by the sum of the sales shares made at the national level by the companies adhering to the CONAD purchasing center – Finiper (14.9%) and the sales made by Auchan and other chains adhering to the Levante Group purchasing center (overall 9%)12. Therefore, the post-merger share of CONAD in the supply market is estimated, based on the data provided by the Parties, to be around 24%, allowing CONAD to become the leading operator in the market, followed by ESD Italia (20%) and Coop Italia (13%).</w:t>
        <w:br/>
        <w:t>34. The market power of a purchasing center in the supply markets must also be evaluated considering the market shares that the adhering companies jointly hold in the local GDO markets: the distribution of sales shares across the territory can indeed influence the bargaining power of the center during the purchasing phase: a producing company that wants to ensure a widespread presence in all geographical areas, for example, is somewhat "obliged" to engage with distribution companies that hold strong positions even in a few downstream markets.</w:t>
        <w:br/>
        <w:t>35. Considering that CONAD, following the concentration, will constitute the leading operator in the supply markets and that the Cooperatives of the CONAD system will hold particularly significant shares in some local retail markets, the operation in question appears likely to raise competitive concerns regarding the possible strengthening or establishment of a dominant position in the supply markets.</w:t>
        <w:br/>
        <w:t>CONSIDERING, therefore, that the operation in question is likely to create or strengthen a dominant position in the supply markets, as well as in multiple local retail markets of the GDO, such as to eliminate or substantially and durably reduce competition in the same markets;</w:t>
        <w:br/>
        <w:t>RESOLVES</w:t>
        <w:br/>
        <w:t>a) to initiate the investigation, pursuant to Article 16, paragraph 4, of Law No. 287/90, against the companies BDC Italia S.p.A. and CONAD Consorzio Nazionale Dettaglianti Soc. Coop., Pac2000A Soc. Coop., Conad Nord Ovest Soc. Coop., Commercianti Indipendenti Associati Soc. Coop., Conad Centro Nord Soc. Coop., Conad Adriatico Soc. Coop., Conad Sicilia Soc. Coop.;</w:t>
        <w:b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Agro-food, Pharmaceutical and Transport Directorate of the Directorate General for Competition of this Authority at least three days before the expiration of the above-mentioned deadline;</w:t>
        <w:br/>
        <w:t>c) that the person responsible for the procedure is Dr. Bianca Maria Cammino;</w:t>
        <w:br/>
        <w:t>d) that the acts of the procedure can be viewed at the Agro-food, Pharmaceutical and Transport Directorate of the Directorate General for Competition of this Authority by the legal representatives of the Parties, as well as by persons with a legally relevant interest or by persons delegated by them;</w:t>
        <w:br/>
        <w:t>e) that the procedure must be concluded within forty-five days from the date of resolution of this provision.</w:t>
        <w:br/>
        <w:t>This provision will be notified to the interested parties and published in the Bulletin of the Antitrust Authority.</w:t>
        <w:br/>
        <w:t>THE SECRETARY GENERAL THE PRESIDENT</w:t>
        <w:br/>
        <w:t>Filippo Arena Roberto Rustichelli</w:t>
      </w:r>
    </w:p>
    <w:p>
      <w:r>
        <w:rPr>
          <w:b/>
        </w:rPr>
        <w:t>[Pages 25–27]</w:t>
      </w:r>
    </w:p>
    <w:p>
      <w:r>
        <w:t xml:space="preserve">BULLETIN NO. 46 OF NOVEMBER 18, 2019 27  </w:t>
        <w:br/>
        <w:t xml:space="preserve">C12245 - F2I S.G.R./PERSIDERA  </w:t>
        <w:br/>
        <w:t xml:space="preserve">Provision No. 27984  </w:t>
        <w:br/>
        <w:t xml:space="preserve">THE ANTITRUST AUTHORITY  </w:t>
        <w:br/>
        <w:t xml:space="preserve">IN ITS MEETING of November 12, 2019;  </w:t>
        <w:br/>
        <w:t xml:space="preserve">HEARD the Rapporteur Dr. Gabriella Muscolo;  </w:t>
        <w:br/>
        <w:t xml:space="preserve">HAVING REGARD to Law No. 287 of October 10, 1990;  </w:t>
        <w:br/>
        <w:t xml:space="preserve">HAVING REGARD to D.P.R. No. 217 of April 30, 1998;  </w:t>
        <w:br/>
        <w:t xml:space="preserve">HAVING REGARD to the communication from F2i SGR S.p.A. received on July 1, 2019;  </w:t>
        <w:br/>
        <w:t xml:space="preserve">HAVING REGARD to the request for information sent on July 30, 2019, with consequent interruption of the terms pursuant to Article 5, paragraph 3, of D.P.R. No. 217 of April 30, 1998;  </w:t>
        <w:br/>
        <w:t xml:space="preserve">HAVING REGARD to the additional information sent by F2i SGR S.p.A. received on August 12, 2019, subsequently supplemented on August 26, 2019;  </w:t>
        <w:br/>
        <w:t xml:space="preserve">HAVING REGARD to its resolution of September 4, 2019, No. 27885, with which it initiated, pursuant to Article 16, paragraph 4, of Law No. 287/90, the proceedings against F2i S.G.R. S.p.A., EI Towers S.p.A., Persidera S.p.A. and Mediaset S.p.A.;  </w:t>
        <w:br/>
        <w:t xml:space="preserve">HAVING REGARD to the requests for participation in the proceedings submitted by Cairo Network S.r.l., Rai – Radiotelevisione Italiana S.p.A. and Rai Way S.p.A.;  </w:t>
        <w:br/>
        <w:t xml:space="preserve">HAVING REGARD to the communication of September 23, 2019, with which F2i S.G.R. S.p.A., EI Towers S.p.A. and Mediaset S.p.A. presented commitments aimed at addressing the concerns raised in the initiation provision of September 4, 2019, No. 27885;  </w:t>
        <w:br/>
        <w:t xml:space="preserve">HAVING REGARD to the Communication of Investigative Results transmitted on September 26, 2019;  </w:t>
        <w:br/>
        <w:t xml:space="preserve">HAVING REGARD to the concluding memoranda submitted by Rai Way S.p.A.;  </w:t>
        <w:br/>
        <w:t xml:space="preserve">HAVING REGARD to the waiver of F2i S.G.R. S.p.A. to participate in the final hearing;  </w:t>
        <w:br/>
        <w:t xml:space="preserve">HAVING REGARD to the opinion of the Authority for Communications Guarantees, received on November 7, 2019;  </w:t>
        <w:br/>
        <w:t xml:space="preserve">HAVING REGARD to the acts of the proceedings and the documentation acquired during the investigation;  </w:t>
        <w:br/>
        <w:t xml:space="preserve">CONSIDERING the following:  </w:t>
        <w:br/>
        <w:t xml:space="preserve">I. THE PARTIES  </w:t>
        <w:br/>
        <w:t xml:space="preserve">1. F2i S.G.R. S.p.A. (hereinafter also "F2i") is an asset management company, active in the management of two mutual investment funds (F2i-Second Italian Fund for Infrastructure and F2i-Third Fund for Infrastructure), specialized in the infrastructure sector. In the last financial year, which ended in 2018, the F2i Group achieved a consolidated revenue at the global level of approximately [2-3]* billion euros, of which [2-3] were generated in Italy.  </w:t>
        <w:br/>
        <w:t>* In this version, some data are omitted, as there were deemed to be elements of confidentiality or secrecy of the information.</w:t>
      </w:r>
    </w:p>
    <w:p>
      <w:r>
        <w:t xml:space="preserve">28 BULLETIN NO. 46 OF NOVEMBER 18, 2019  </w:t>
        <w:br/>
        <w:t xml:space="preserve">2. EI Towers S.p.A. (hereinafter also "EI Towers") is a company operating in the network infrastructure sector and integrated services for electronic communications offered to operators in the radio, television, and mobile telecommunications sectors. The company was formed from the merger of the business branch of Elettronica Industriale, which included the activities of building and managing towers and masts for hosting television systems, and Digital Multimedia Technologies, an entity active in providing the same services, which took place in December 2011 and is subject to compliance with Measures imposed by the Authority as a result of this concentration. In 2018, F2i acquired control of EI Towers, previously held indirectly by Mediaset S.p.A. The latter retained a 40% stake in EI Towers and certain powers granted to the minority shareholder by virtue of the shareholders' agreements, which allow it to express certain veto prerogatives, particularly on transactions involving Related Parties.  </w:t>
        <w:br/>
        <w:t xml:space="preserve">3. Mediaset S.p.A. (hereinafter also "Mediaset") is the parent company of the homonymous corporate group active, among other things, (i) in the construction, maintenance, and management of television networks, having five national multiplexes, (ii) in the production and management of television content, (iii) in the broadcasting of television content in free and pay modes, (iv) in advertising collection, and (v) in film distribution. The consolidated revenue of Mediaset for the 2018 financial year is approximately 3.4 billion euros, of which 2.42 were generated in Italy. Mediaset indirectly controls Elettronica Industriale S.p.A. (hereinafter "EI" or "Elettronica Industriale"), which holds the usage rights of five terrestrial television frequencies in DVB-T transmission technology and manages in full-service mode an additional two television frequencies of the operators Elettronica Industriale S.p.A. (belonging to the Wind Tre S.p.A. group) and Prima TV S.p.A.  </w:t>
        <w:br/>
        <w:t xml:space="preserve">4. Persidera S.p.A. (hereinafter also "Persidera") is an operator active in the construction, maintenance, and management of television frequency networks (so-called "multiplexes") that currently holds the usage rights of five terrestrial television frequencies in DVB-T transmission technology. In 2018, Persidera achieved a revenue of 76.1 million euros, entirely in Italy.  </w:t>
        <w:br/>
        <w:t xml:space="preserve">II. THE THIRD PARTIES  </w:t>
        <w:br/>
        <w:t xml:space="preserve">5. During the proceedings, the companies Cairo Network S.r.l., Rai Way S.p.A. and Rai – Radiotelevisione Italiana S.p.A. submitted a request to intervene in the proceedings pursuant to Article 7, paragraph 1, letter b), of D.P.R. No. 217 of April 10, 1998. The aforementioned companies were admitted to the proceedings on September 10 and 17, 2019.  </w:t>
        <w:br/>
        <w:t xml:space="preserve">6. Cairo Network S.r.l. (hereinafter "Cairo Network" or "Cairo") is a company of the Cairo Communication S.p.A. group ("Cairo Group"), which holds 100% of its capital, active in the digital broadcasting market as a network operator. In particular, in 2014, the Cairo Group participated, through Cairo Network S.r.l., in the assignment procedure for three television frequencies initiated with a tender published in the Official Gazette No. 17 of February 12, 2014, Part V, winning the L3 lot consisting of one frequency (multiplex). The Cairo Network was built by EI Towers and is currently managed by it with a so-called "turnkey" service, also referred to as "full service."  </w:t>
        <w:br/>
        <w:t xml:space="preserve">7. Rai Way S.p.A. (hereinafter "Rai Way") is a listed company operating in the network infrastructure sector for the transmission of radio, television, and mobile telecommunications, offering its services both to its parent company Rai – Radiotelevisione Italiana S.p.A. and to third-party operators. Rai Way is subject to the direction and coordination of Rai – Radiotelevisione Italiana S.p.A., which holds approximately 64.97% of its share capital. The remaining 35.03% of the capital is floating.  </w:t>
        <w:br/>
        <w:t xml:space="preserve">8. Rai – Radiotelevisione Italiana S.p.A. (hereinafter "Rai") is the company entrusted exclusively, until April 30, 2027, with the public service of broadcasting radio and television programs. Rai holds the usage rights of five terrestrial digital frequencies (multiplex) which it exercises through the Rai Way network, which holds the facilities.  </w:t>
        <w:br/>
        <w:t xml:space="preserve">III. DESCRIPTION OF THE OPERATION  </w:t>
        <w:br/>
        <w:t xml:space="preserve">9. The communicated operation consists of the acquisition by F2i of the exclusive control of Persidera S.p.A., which holds the usage rights and the related network of five multiplexes. The capital of Persidera is currently held 70% by Telecom Italia S.p.A. ("TIM") and 30% by GEDI Gruppo Editoriale S.p.A. ("GEDI"). The business complex of Persidera will therefore be divided into NetCo – to which the business complex of the network will be transferred – and MuxCo – to which the intangible activities (usage rights) and marginal tangible activities will be allocated. NetCo will be acquired by EI Towers, while MuxCo will be acquired by F2i SGR (see Figure below). MuxCo will also enter into a service contract with NetCo and EI Towers for the use of the physical network of Persidera transferred to NetCo.  </w:t>
        <w:br/>
        <w:t xml:space="preserve">5 See doc. 4, 45, 82.  </w:t>
        <w:br/>
        <w:t xml:space="preserve">6 See doc. 52, 53, 54, 55, 56, 83, 84, 85, 86, 87.  </w:t>
        <w:br/>
        <w:t>7 See D.P.C.M. April 28, 2017, "Awarding of the public radio, television, and multimedia service and approval of the attached draft agreement," G.U. General Series No. 118 of May 23, 2017.</w:t>
      </w:r>
    </w:p>
    <w:p>
      <w:r>
        <w:rPr>
          <w:b/>
        </w:rPr>
        <w:t>[Pages 28–30]</w:t>
      </w:r>
    </w:p>
    <w:p>
      <w:r>
        <w:t xml:space="preserve">30 BULLETIN NO. 46 OF NOVEMBER 18, 2019  </w:t>
        <w:br/>
        <w:t xml:space="preserve">Figure 1 – Scheme of the operation represented by the notifying Party  </w:t>
        <w:br/>
        <w:t xml:space="preserve">IV. QUALIFICATION OF THE OPERATION  </w:t>
        <w:br/>
        <w:t xml:space="preserve">10. The communicated operation, as it involves the acquisition of control of a company, constitutes a concentration pursuant to Article 5, paragraph 1, letter b), of Law No. 287/90. It falls within the scope of application of Law No. 287/90 as the conditions set forth in Article 1 of Regulation (EC) No. 139/2004 do not apply, and it is subject to the obligation of prior notification established by Article 16, paragraph 1, of the same law, as the total turnover achieved in the last financial year, at the national level, by the group of companies involved exceeded 498 million euros and the total turnover achieved in the last financial year, at the national level, by at least two of the companies involved exceeded 30 million euros.  </w:t>
        <w:br/>
        <w:t xml:space="preserve">V. THE INSTRUCTION ACTIVITY  </w:t>
        <w:br/>
        <w:t xml:space="preserve">11. On September 4, 2019, the Authority initiated, pursuant to Article 16, paragraph 4, of Law No. 287/90, the investigation against the companies F2i S.G.R. S.p.A., EI Towers S.p.A., Persidera S.p.A., and Mediaset S.p.A., believing that the present operation could be likely to result, pursuant to Article 6, paragraph 1, of Law No. 287/90, in the establishment or strengthening of a dominant position in the markets i) of infrastructure for television broadcasting and ii) of television broadcasting services on terrestrial networks in digital technology (so-called digital broadcasting), such as to eliminate or substantially and durably reduce competition in these markets and in the markets downstream of them.  </w:t>
        <w:br/>
        <w:t xml:space="preserve">12. During the proceedings, the Parties to the proceedings and various operators in the market were heard, in particular: 3lettronica Industriale S.p.A. (a company of the Wind Tre S.p.A. group, hereinafter referred to as "3LI")8, Cairo Network9, F2i (jointly with EI Towers)10, Mediaset11, Persidera12, Premiata Ditta Borghini &amp; Stocchetti di Torino S.r.l. ("PDBS")13, Rai Way14. Furthermore, several requests for information were sent to: 3LI, Cairo Network, De Agostini Editore S.p.A. ("De Agostini"), Discovery Italia S.r.l. ("Discovery"), Elettronica Industriale, Europa Way S.r.l. ("Europa Way"), F2i, Sky Italia S.r.l. ("Sky"), Persidera, PDBS, Prima TV S.p.A. ("Prima TV"), Rai Way, Viacom International Media Networks Italia S.r.l. ("Viacom")15. Additionally, Cairo Network submitted comments regarding the concentration operation on September 23, 201916.  </w:t>
        <w:br/>
        <w:t xml:space="preserve">13. On September 25, 2019, the Authority, having verified the profiles related to the validity of the investigative findings, authorized the sending of the Communication of the Investigative Findings, transmitted to the Parties and Third Interveners on September 26, 2019. On September 30, 201917 Rai Way submitted comments regarding the communication of the investigative findings.  </w:t>
        <w:br/>
        <w:t xml:space="preserve">14. The final hearing did not take place due to the express waiver of F2i18 and the lack of interest in participation from the other Parties to the proceedings, as well as due to the circumstance that Rai Way and Cairo Network conditioned their participation in the final hearing on the participation of the Parties to the proceedings19.  </w:t>
        <w:br/>
        <w:t xml:space="preserve">VI. THE INVESTIGATIVE FINDINGS  </w:t>
        <w:br/>
        <w:t xml:space="preserve">VI.I Relevant markets  </w:t>
        <w:br/>
        <w:t xml:space="preserve">VI.I.1 The television supply chain and the definition of relevant markets  </w:t>
        <w:br/>
        <w:t xml:space="preserve">15. Due to the activities carried out by the companies EI Towers and Persidera, the concentration in question concerns the television supply chain, with particular reference to the services that allow the transmission of content on terrestrial frequencies in digital technology (DTT, see Figure below).  </w:t>
        <w:br/>
        <w:t xml:space="preserve">8 See doc. 90.  </w:t>
        <w:br/>
        <w:t xml:space="preserve">9 See doc. 10. See also document 106, containing Cairo Network's comments on the concentration operation.  </w:t>
        <w:br/>
        <w:t xml:space="preserve">10 See doc. 77, 102.  </w:t>
        <w:br/>
        <w:t xml:space="preserve">11 See doc. 98.  </w:t>
        <w:br/>
        <w:t xml:space="preserve">12 See doc. 80.  </w:t>
        <w:br/>
        <w:t xml:space="preserve">13 See doc. 100.  </w:t>
        <w:br/>
        <w:t xml:space="preserve">14 See doc. 91.  </w:t>
        <w:br/>
        <w:t xml:space="preserve">15 See doc. PN.3, PN.4, PN.5, PN.6, PN.7, PN.8, PN.9, PN.10, PN.13, PN.14, PN.16, PN.17, PN.18, PN.19, PN.20, PN.21, PN.22, PN.23, PN.26, PN.27, PN.28, PN.29, PN.30, PN.33, PN.34, PN.35, PN.36, 15, 16, 80, 88, 94, and 96.  </w:t>
        <w:br/>
        <w:t xml:space="preserve">16 See doc. 106.  </w:t>
        <w:br/>
        <w:t xml:space="preserve">17 See doc. 128.  </w:t>
        <w:br/>
        <w:t xml:space="preserve">18 See doc. 126.  </w:t>
        <w:br/>
        <w:t>19 See doc. 124, 125, and 127.</w:t>
      </w:r>
    </w:p>
    <w:p>
      <w:r>
        <w:t xml:space="preserve">32 BULLETIN NO. 46 OF NOVEMBER 18, 2019  </w:t>
        <w:br/>
        <w:t xml:space="preserve">Figure 2 – Scheme relating to the television market supply chain with particular reference to the distribution of the digital terrestrial television signal  </w:t>
        <w:br/>
        <w:t xml:space="preserve">a) The market for infrastructure for television broadcasting  </w:t>
        <w:br/>
        <w:t xml:space="preserve">16. As the first level of the supply chain, it is possible to identify that relating to the infrastructure dedicated to hosting television signal broadcasting facilities ("tower business"), consisting of vertical infrastructures (towers, poles, masts) suitable for hosting the antennas and transmission and broadcasting equipment of network operators, and buildings equipped for hosting transmitting devices. According to the Authority's guidelines20, it is believed that, due to the technical characteristics of television signals21, it is possible to identify three distinct relevant markets from a commodity perspective: (i) market for infrastructure for television broadcasting; (ii) market for infrastructure for sound broadcasting; (iii) market for infrastructure for mobile telecommunications.  </w:t>
        <w:br/>
        <w:t xml:space="preserve">20 See AGCM Decision No. 23117 of December 14, 2011, case C11205 – Elettronica Industriale/Digital Multimedia Technologies; AGCM Decision No. 27315 of September 13, 2018, case C12179 – F2i S.G.R./EI Towers.  </w:t>
        <w:br/>
        <w:t>21 With regard to the definition of the market, it is indeed necessary to consider the characteristics of the transmission signal for the identification of sites and infrastructures suitable for hosting transmitting devices. In particular, the mobile cellular network is characterized by bidirectionality and low power, in areas of high population density, and this characteristic requires the use of a large number of sites predominantly located in urban areas. In contrast, the directionality of the facilities used for receiving the television signal (the receiving antennas must be oriented towards the point of emission of the signal) requires that the installation of transmission facilities be carried out at well-defined points to allow for the best usability of the signal. In fact, the television signal is directional, so the fundamental driver for the choice of hosting sites is the orientation of the receiving antennas. Therefore, this requires a presence at those sites that have historically been used by the main operators (Rai and Mediaset), to which the receiving antennas of users have been oriented. In contrast, mobile and radio signals are omnidirectional, and therefore their positioning is not relevant but rather their proximity to receiving devices. See AGCM Decision No. 23117 of December 14, 2011, case C11205 – Elettronica Industriale/Digital Multimedia Technologies; AGCM Decision No. 27315 of September 13, 2018, case C12179 – F2i S.G.R./EI Towers. See also documents PN.26 and 1.</w:t>
      </w:r>
    </w:p>
    <w:p>
      <w:r>
        <w:rPr>
          <w:b/>
        </w:rPr>
        <w:t>[Pages 31–33]</w:t>
      </w:r>
    </w:p>
    <w:p>
      <w:r>
        <w:t>BULLETIN NO. 46 OF NOVEMBER 18, 2019 33</w:t>
      </w:r>
    </w:p>
    <w:p>
      <w:r>
        <w:t>17. The services offered by tower companies consist of making available the infrastructure to house transmission22 and broadcasting23 equipment and signal radiation systems (antennas) as well as auxiliary systems (power supply systems, electrical protection, air conditioning). In addition to these services, tower companies usually offer installation and preventive and corrective maintenance services for the systems and equipment, as well as other related services such as electrical connections, powering of devices, powering of services (such as ventilation), maintenance of electrical systems, and any other activities related to them.</w:t>
      </w:r>
    </w:p>
    <w:p>
      <w:r>
        <w:t>18. It should be noted that the services provided by tower companies have evolved over time, with an increasingly significant technological impact. In particular, there has been a transition from services with a low technological component – such as hosting services (consisting of renting spaces to place the operators' systems and antennas) and maintenance (maintenance of the systems) – to more complex services, which consist of the complete management of the frequency network of the network operator (so-called "turnkey" model or "full service" contract).</w:t>
      </w:r>
    </w:p>
    <w:p>
      <w:r>
        <w:t>19. The full service management mode has historically been carried out in a relationship of vertical integration (EI Towers in favor of Elettronica Industriale and Rai Way in favor of Rai)24. However, there has been an extension of such services also in favor of third-party operators not vertically integrated, especially smaller ones. In particular, currently the full service25 of EI Towers is provided in favor of Prima TV, 3LI26, and Cairo Network27.</w:t>
      </w:r>
    </w:p>
    <w:p>
      <w:r>
        <w:t>20. In this specific case, due to the activities of EI Towers and Persidera, the operation concerns the market for broadcasting infrastructure. The following table shows the market shares in volume, considering the number of transmission sites (towers) and in value, considering the revenue generated in 201828.</w:t>
      </w:r>
    </w:p>
    <w:p>
      <w:r>
        <w:t>22 Transmission (or contribution) equipment is functional to the provision of contribution services understood as unidirectional transport between predetermined sites or between sites and satellites of audio, video, voice, and data signals.</w:t>
      </w:r>
    </w:p>
    <w:p>
      <w:r>
        <w:t>23 Broadcasting equipment are devices capable of performing broadcasting services, that is, services that consist of (i) encoding and composition (multiplexing) of television, radio, etc. signals; (ii) transporting the set of signals (bouquet) to broadcasting stations (towers, satellites); (iii) transporting the signal to the end user. The various phases of broadcasting differ in the technologies used to perform these functions depending on the chosen transmission medium (digital terrestrial, analog, satellite).</w:t>
      </w:r>
    </w:p>
    <w:p>
      <w:r>
        <w:t>24 See doc. 1, 13, and 14.</w:t>
      </w:r>
    </w:p>
    <w:p>
      <w:r>
        <w:t>25 The full service approach involves offering a set of services provided to network operators that are suitable for influencing broadcasting systems (active systems) which include, among other things, (i) monitoring and supervision of broadcasting equipment; (ii) continuous control of the level and quality of the broadcast signal; (iii) the removal, as quickly as possible, of interfering causes; (iv) assistance for the implementation of new technologies related to the transmission network according to the strategic plans identified by the network operator, with particular regard to evolutionary services. This approach, therefore, involves the management of heterogeneous services, with an advanced technological component whose management entails greater control over the operational levels of a broadcasting network by the service provider, which assumes a high degree of autonomy in the performance capable of impacting the quality and coverage of the signal.</w:t>
      </w:r>
    </w:p>
    <w:p>
      <w:r>
        <w:t>26 On this point, the Authority noted that, although there was no vertical integration relationship, Prima TV and 3LI transported channels published by Mediaset (to which EI Towers belonged) or third-party channels that complemented Mediaset Premium's pay offer. See AGCM Provision No. 26258 of November 30, 2016, case IC41 – Inquiry into the audiovisual sector. This circumstance is also confirmed by F2i documents, which believe that the multiplexes of Elettronica Industriale, Prima TV (Dfree), and 3LI (H3G) are substantially captive (see doc. 14, annex 11.1_A).</w:t>
      </w:r>
    </w:p>
    <w:p>
      <w:r>
        <w:t>27 See doc. 1, 14.</w:t>
      </w:r>
    </w:p>
    <w:p>
      <w:r>
        <w:t>28 The revenue was derived from the expenses incurred by network operators for hosting, maintenance, and full service.</w:t>
      </w:r>
    </w:p>
    <w:p>
      <w:r>
        <w:t>34 BULLETIN NO. 46 OF NOVEMBER 18, 2019</w:t>
      </w:r>
    </w:p>
    <w:p>
      <w:r>
        <w:t>Table 1 – Market for broadcasting infrastructure29</w:t>
      </w:r>
    </w:p>
    <w:p>
      <w:r>
        <w:t>Revenue 2018</w:t>
        <w:br/>
        <w:t>Revenue 2018 (excluding</w:t>
        <w:br/>
        <w:t>Num. Towers % % %</w:t>
        <w:br/>
        <w:t>(million Euro) intra-group,</w:t>
        <w:br/>
        <w:t>million Euro)</w:t>
        <w:br/>
        <w:t>EI Towers [2,100-2,200] [35-40%] [100-300] [40-45%] [30-100] [70-75%]</w:t>
        <w:br/>
        <w:t>Rai Way [2,000-2,100] [35-40%] [100-300] [40-45%] [1-10] [5-10%]</w:t>
        <w:br/>
        <w:t>Local operators [1,400-1,500] [25-30%] [10-30] [1-5%] [10-30] [15-20%]</w:t>
        <w:br/>
        <w:t>Total [5,500-6,000] [300-500] [30-100]</w:t>
      </w:r>
    </w:p>
    <w:p>
      <w:r>
        <w:t>21. On this point, it should be noted that – given the almost equal number of towers between EI Towers and Rai Way and the presence of several local operators – excluding the captive component (i.e., intra-group), the market shares of EI Towers appear to be extremely higher due to the lower presence of Rai Way, compared to EI Towers, in providing services to third-party digital broadcasters.</w:t>
      </w:r>
    </w:p>
    <w:p>
      <w:r>
        <w:t>22. In this regard, it should be noted that Rai Way itself has stated that, despite the listing, Rai continues to be the client from which almost all revenues from broadcasters depend, with a share exceeding [95-100%]30. PDBST observes that the lower incidence of Rai Way in the market is also dictated by technical conditions. In particular, Rai Way's towers have historically been designed for the frequencies held by Rai and, in particular, for the frequency in band III. The only network operators holding frequencies in band III are Rai and Europa Way, while other network operators hold frequencies in bands IV and V. Therefore, for other network operators, the lower use of Rai Way's towers is due to the fact that the television antennas installed at users, directed towards the sites where frequencies in bands IV and V have historically been used, would render the signal unusable31.</w:t>
      </w:r>
    </w:p>
    <w:p>
      <w:r>
        <w:t>23. This element also appears to be confirmed by the evidence regarding the percentage of spending (or towers) of network operators related to the supplies of EI Towers, Rai Way, and local operators (see Table below).</w:t>
      </w:r>
    </w:p>
    <w:p>
      <w:r>
        <w:t>29 Elaborations on the spending data of network operators, see doc. PN.23, PN.26, PN.28, PN.29, PN.33, PN.34, PN.26, 13, 14, and 91. It should be noted that, regarding the revenue excluding intra-group of EI Towers, the data has been counted against Prima TV and 3LI (which fall under the contract with Elettronica Industriale). It is also noted that since November 2018, the non-captive revenue should also include the revenue of Elettronica Industriale (Mediaset). This circumstance would increase the market share excluding intra-group of EI Towers. The exclusion of the revenues of Elettronica Industriale in the non-intra-group component is, therefore, a precautionary hypothesis for the party.</w:t>
      </w:r>
    </w:p>
    <w:p>
      <w:r>
        <w:t>30 See doc. 91.</w:t>
      </w:r>
    </w:p>
    <w:p>
      <w:r>
        <w:t>31 See doc. 100.</w:t>
      </w:r>
    </w:p>
    <w:p>
      <w:r>
        <w:t>BULLETIN NO. 46 OF NOVEMBER 18, 2019 35</w:t>
      </w:r>
    </w:p>
    <w:p>
      <w:r>
        <w:t>Table 2 – Distribution of supplies of network operators32</w:t>
      </w:r>
    </w:p>
    <w:p>
      <w:r>
        <w:t>EI Towers Rai Way Others</w:t>
        <w:br/>
        <w:t>Elettronica Industriale 95-100% &lt;1% &lt;1%</w:t>
        <w:br/>
        <w:t>Prima TV 95-100% 1-5% &lt;1%</w:t>
        <w:br/>
        <w:t>3LI 95-100% &lt;1% &lt;1%</w:t>
        <w:br/>
        <w:t>Rai &lt;1% 95-100% 1-5%</w:t>
        <w:br/>
        <w:t>Cairo 95-100% &lt;1% &lt;1%</w:t>
        <w:br/>
        <w:t>Persidera 40-45% 5-10% 45-50%</w:t>
        <w:br/>
        <w:t>PDBS 5-10% &lt;1% 95-100%</w:t>
        <w:br/>
        <w:t>Europa Way &lt;1% 90-95% 5-10%</w:t>
      </w:r>
    </w:p>
    <w:p>
      <w:r>
        <w:t>24. In particular, although the number of Rai Way sites is equal to that of EI Towers, there is a different propensity to purchase services offered by Rai Way by network operators with frequencies in bands IV and V. Conversely, Rai and Europa Way more frequently use the services offered by the Rai Way supplier. The latter also emphasizes that the presence of long-term contracts and technical issues make it complex to migrate an entire national network from one infrastructure operator to another, thus leaving the possibility of implementing only small relocations and optimization processes33.</w:t>
      </w:r>
    </w:p>
    <w:p>
      <w:r>
        <w:t>25. In conclusion, from the perspective of the substitutability of services between EI Towers and Rai Way, there is a greater stickiness of demand due to technical issues related to the orientation of antennas. It should be clarified that this technological element does not imply an absence of absolute substitutability between the two operators, who remain competitors, but it affects the market power of EI Towers, which can leverage the demand frictions related to the technical characteristics of the networks to its advantage.</w:t>
      </w:r>
    </w:p>
    <w:p>
      <w:r>
        <w:t>26. Regarding local operators, during the proceedings, it was observed that they do not hold a number of infrastructures sufficient to create a national network with a population coverage exceeding 90%34. Some operators have emphasized the levels of</w:t>
      </w:r>
    </w:p>
    <w:p>
      <w:r>
        <w:t>32 Elaborations on the spending data of network operators, see doc. PN.23, PN.26, PN.28, PN.29, PN.33, PN.34, PN.26, 13, 14, 91, and 100. It should be noted that for PDBS the percentage is based on the number of hosting.</w:t>
      </w:r>
    </w:p>
    <w:p>
      <w:r>
        <w:t>33 See doc. 91. On this point, it should be noted that Persidera has confirmed that in the process of optimizing its network related to the merger between TIMB and ReteA, "considering the abandoned sites and those acquired, the number of sites of EI Towers no longer used is almost marginal, as EI Towers is currently an important supplier of hospitality and maintenance services for Persidera, also considering the quality of the services provided" (see doc. 80).</w:t>
      </w:r>
    </w:p>
    <w:p>
      <w:r>
        <w:t>34 See doc. PN.23, PN.26, PN.35, PN.36, and 100. On this point, it is noted that Elettronica Industriale (Mediaset) considers it plausible that local operators allow reaching a coverage of 80% of the population, not excluding that a population of 90% can be reached (see doc. PN.33). Prima TV indicates a coverage of about 85% of the population reachable through the use of local operators (see PN.34). PDBST reported that it "attempted in recent months to initiate an industrial consortium project aimed at making such infrastructures more open to the market. This</w:t>
      </w:r>
    </w:p>
    <w:p>
      <w:r>
        <w:rPr>
          <w:b/>
        </w:rPr>
        <w:t>[Pages 34–36]</w:t>
      </w:r>
    </w:p>
    <w:p>
      <w:r>
        <w:t>36 BULLETIN NO. 46 OF NOVEMBER 18, 2019</w:t>
      </w:r>
    </w:p>
    <w:p>
      <w:r>
        <w:t>of service and continuity of the signal that would not be guaranteed by local operators35, believing that their services only serve to complement the infrastructures of national operators in specific areas for orographic reasons36. PDBST believes that37, in theory, a good coverage (but below 90%38) could be achieved using the infrastructures of local operators, although the infrastructures of local broadcasters are inferior to those of EI Towers and Rai Way in terms of the number of towers, equipment, devices, and consistency. There would also be some sites (at least between ten and twenty) exclusively owned by EI Towers and Rai Way located in primary positions and with a large user base39. It has also been noted that, in recent years, EI Towers has acquired some local tower companies, reducing the number of local operators40.</w:t>
      </w:r>
    </w:p>
    <w:p>
      <w:r>
        <w:t>27. An additional difference between national operators and local operators lies in the ability to provide services throughout the national territory and, in particular, full-service management of a national frequency network. Specifically, it has emerged in the proceedings that local operators, although they can provide substitutable services to national tower companies for hosting at individual sites, albeit limited to certain areas of the nation, are not able to offer full-service. In fact, managing a national network requires presence throughout the national territory, a circumstance that is incompatible with the nature of local tower companies.</w:t>
      </w:r>
    </w:p>
    <w:p>
      <w:r>
        <w:t>28. Such considerations are confirmed by the evidence that emerged during the proceedings. In particular, F2i has confirmed that local operators cannot directly provide such services41; it would indeed be necessary to have an operator – like Persidera – that places the systems at the sites and then provides the full-service. Both Cairo Network42 and Persidera43 believe that local operators are not capable of providing full-service on a national basis.</w:t>
      </w:r>
    </w:p>
    <w:p>
      <w:r>
        <w:t>29. Furthermore, Wind Tre – which is both a mobile telecommunications operator and a digital terrestrial television network operator (through its subsidiary 3LI) – believes that there can be no substitutability from the supply side between telecommunications operators and those of television broadcasting, whose activities, although they may seem similar, require different technical skills to develop44. This is also confirmed by the fact that 3LI itself has entrusted the full-service management of its multiplex to EI Towers (through Elettronica Industriale) and not to the parent company Wind Tre45. In this regard, it is noted that Rai Way believes that the number of operators capable of providing full-service is conditioned, in addition to the need to possess specific skills, also by the necessity of having a minimum scale, which would be difficult for new entrants to achieve46.</w:t>
      </w:r>
    </w:p>
    <w:p>
      <w:r>
        <w:t>b) The market for television broadcasting services on terrestrial networks in digital technology (DTT)</w:t>
      </w:r>
    </w:p>
    <w:p>
      <w:r>
        <w:t>30. Moving to the second level of the supply chain, according to a now consolidated definition47 by the Authority, the market for television broadcasting services on terrestrial networks in digital technology (DTT) (so-called digital broadcasting) concerns the transmission capacity (plants and frequencies) intended for the transmission of terrestrial television signals via digital networks. From a geographical point of view, it should be noted that there is a distinction between national digital terrestrial television networks and local (regional) digital terrestrial television networks, considering the specific national regulatory regimes and the geographical extent of the signal. Network operators hold the rights to use the frequencies. Their activity consists of setting up transmission capacity to sell to content providers, transmitting the signal, and carrying out ancillary activities for this purpose (installing radiating systems, transmitting the signal, maintaining equipment, controlling signal quality, etc.)48.</w:t>
      </w:r>
    </w:p>
    <w:p>
      <w:r>
        <w:t>31. Network operators are the entities holding the right to install, operate, and provide an electronic communication network on terrestrial frequencies and broadcasting, multiplexing, distribution, and dissemination facilities of frequency resources (multiplexes) that allow the transmission of programs to users49. These entities operate downstream from the previously identified market. The regulations allow the network operator to lease the necessary infrastructures also from third-party companies (the tower companies). Furthermore, the Electronic Communications Code50 identifies as a network operator, subject to the issuance of the relevant enabling title, also the provider of a resource related to the public communication network, such as the physical transmission infrastructures51.</w:t>
      </w:r>
    </w:p>
    <w:p>
      <w:r>
        <w:t>32. According to what emerges from F2i's internal documents, digital terrestrial television "is the main transmission platform in Italy, used both for Free to Air TV and for Pay-TV. Satellite is mainly used for Pay-TV (Sky). The massive adoption of DTT in Italy has been favored by the lack of cable networks and a limited presence of IPTV offerings, also due to a lack of broadband network coverage"52 (see Figure below).</w:t>
      </w:r>
    </w:p>
    <w:p>
      <w:r>
        <w:t>Figure 3 – Penetration of television platforms in Italian households53</w:t>
      </w:r>
    </w:p>
    <w:p>
      <w:r>
        <w:t>33. The prevalence of DTT appears to be a peculiarity of Italy due to a greater incidence of free television content as well as a market structure related to audiovisual content that has influenced the adoption of new platforms54. This coincides with a greater number of multiplexes and channels compared to other European countries55: in Italy, there are twenty multiplexes and about 130-140 channels, in the United Kingdom eight multiplexes and about 90 channels, in France six multiplexes and about 30-40 channels, in Germany four multiplexes and about 30-40 channels, in Spain seven multiplexes and about 27 channels. Regarding the evolution of transmission platforms, F2i's corporate documentation confirms that even in the medium to long term, DTT will continue to be the main transmission platform in Italy56. Mediaset shares the same view, noting that digital terrestrial is a "platform that will continue to play a primary role in the Italian television market"57.</w:t>
      </w:r>
    </w:p>
    <w:p>
      <w:r>
        <w:rPr>
          <w:b/>
        </w:rPr>
        <w:t>[Pages 37–39]</w:t>
      </w:r>
    </w:p>
    <w:p>
      <w:r>
        <w:t>BULLETIN NO. 46 OF NOVEMBER 18, 2019 39</w:t>
      </w:r>
    </w:p>
    <w:p>
      <w:r>
        <w:t>considered by the legislator as of national interest and by the European Union as overwhelmingly predominant, until 2030, for the reception of free-to-air linear television”57.</w:t>
      </w:r>
    </w:p>
    <w:p>
      <w:r>
        <w:t>34. Several operators have noted that digital terrestrial television is considered by the national legislator as a predominant platform at least until 202658, with high public relevance59. EI Towers, in a presentation from January 2019, analyzes the adoption process of the internet platform and believes that “in the future, there is a good chance that DTT will maintain its strong position: - the penetration of connected TVs can strengthen linear content with complementary offers and services without creating substitution effects (HbbTV – personalized advertising); - high-quality standards (HD and 4K) will be widely available on DTT”60 (emphasis already present in the text). In the same presentation, it is evident that “OTT offers still represent a niche in the market,” “with low impact on total audience”61. According to EI Towers' business analyses, therefore, “in the future, it is extremely unlikely that there will be competition between platforms for the same service. Instead, there will be specialization and complementarity among the different platforms”62.</w:t>
      </w:r>
    </w:p>
    <w:p>
      <w:r>
        <w:t>35. Regarding market entry barriers, it should be noted that the number of frequencies is the result of regulatory planning. Furthermore, as will be seen later, the current twenty national frequencies will be reduced to twelve, resulting in a contraction of resources. In this scenario, Persidera believes that the current market context will not allow the entry of new operators63. Almost all respondents also believe that the current transformation process may exacerbate the risks of concentration in the sector, favoring larger operators (Elettronica Industriale, Rai, and Persidera) and disadvantaging those holding only one multiplex64.</w:t>
      </w:r>
    </w:p>
    <w:p>
      <w:r>
        <w:t>36. With reference to Persidera's market positioning, it should be noted that it is the only non-vertically integrated operator holding five frequencies (multiplexes) of digital terrestrial television. It plays an important role in the Italian television market. See also attachments 11.1_A, 11.6, and 11.6_A to doc. 14.</w:t>
      </w:r>
    </w:p>
    <w:p>
      <w:r>
        <w:t>57 See doc. PN.33.</w:t>
      </w:r>
    </w:p>
    <w:p>
      <w:r>
        <w:t>58 See doc. PN.34.</w:t>
      </w:r>
    </w:p>
    <w:p>
      <w:r>
        <w:t>59 See doc. 80.</w:t>
      </w:r>
    </w:p>
    <w:p>
      <w:r>
        <w:t>60 See doc. 14 (annex 9.O).</w:t>
      </w:r>
    </w:p>
    <w:p>
      <w:r>
        <w:t>61 See doc. 14 (annex 9.O).</w:t>
      </w:r>
    </w:p>
    <w:p>
      <w:r>
        <w:t>62 See doc. 14 (annex 9.O).</w:t>
      </w:r>
    </w:p>
    <w:p>
      <w:r>
        <w:t>63 See doc. 80.</w:t>
      </w:r>
    </w:p>
    <w:p>
      <w:r>
        <w:t>64 See doc. PN.23, PN.26, PN.36, PN.28, 10, and 100. On this point, PDBST also observes that the market has experienced “an increase in entry barriers (or continuation of activity), such as with reference to the amounts of concession fees that were previously calculated as a percentage applied to the revenue generated by the network operator, whereas now they are substantially fixed and the same for all, to the detriment of small operators” (see doc. 100). Prima TV believes that there are no entry barriers, which could be inferred from the fact that there are eight network operators and that some operators prefer to incur expenses for legal disputes rather than making an efficient network (see PN.34).</w:t>
      </w:r>
    </w:p>
    <w:p>
      <w:r>
        <w:t>40 BULLETIN NO. 46 OF NOVEMBER 18, 2019</w:t>
      </w:r>
    </w:p>
    <w:p>
      <w:r>
        <w:t>Table 3 – National market for television broadcasting services on digital terrestrial networks (so-called digital broadcasting)</w:t>
      </w:r>
    </w:p>
    <w:p>
      <w:r>
        <w:t>Network Operator | Multiplex | Int. | Vert.</w:t>
        <w:br/>
        <w:t>--- | --- | --- | ---</w:t>
        <w:br/>
        <w:t>Elettronica Industriale* (Mediaset) | 5 | 25% | yes</w:t>
        <w:br/>
        <w:t>Persidera | 5 | 25% | no</w:t>
        <w:br/>
        <w:t>Rai | 5 | 25% | yes</w:t>
        <w:br/>
        <w:t>Premiata Ditta Borghini e Stocchetti Torino (PDBST) | 1 | 5% | yes</w:t>
        <w:br/>
        <w:t>Prima TV** | 1 | 5% | no</w:t>
        <w:br/>
        <w:t>Europa Way | 1 | 5% | yes</w:t>
        <w:br/>
        <w:t>3lettronica Industriale (Wind Tre S.p.A.)** | 1 | 5% | no</w:t>
        <w:br/>
        <w:t>Cairo Network* | 1 | 5% | yes</w:t>
      </w:r>
    </w:p>
    <w:p>
      <w:r>
        <w:t xml:space="preserve">* managed in full-service mode by EI Towers  </w:t>
        <w:br/>
        <w:t>** managed in full-service mode by EI Towers through Elettronica Industriale</w:t>
      </w:r>
    </w:p>
    <w:p>
      <w:r>
        <w:t>37. Furthermore, observing the market shares in value, it is noted that Persidera represents the main non-captive operator – that is, it offers its services to third-party publishers not vertically integrated – present in the market, with market shares (excluding intra-group) that vary, in the period 2016-2018, between 45% and 55% of the total market revenue.</w:t>
      </w:r>
    </w:p>
    <w:p>
      <w:r>
        <w:t>BULLETIN NO. 46 OF NOVEMBER 18, 2019 41</w:t>
      </w:r>
    </w:p>
    <w:p>
      <w:r>
        <w:t>Table 4 – National market for television broadcasting services on digital terrestrial networks (DTT), market shares in value</w:t>
      </w:r>
    </w:p>
    <w:p>
      <w:r>
        <w:t>Market shares including | Market shares excluding</w:t>
        <w:br/>
        <w:t>intra-group | intra-group (non-captive market)</w:t>
        <w:br/>
        <w:t>--- | ---</w:t>
        <w:br/>
        <w:t>2016 | 2017 | 2018 | 2016 | 2017 | 2018</w:t>
        <w:br/>
        <w:t>Persidera | [15-20%] | [15-20%] | [15-20%] | [50-55%] | [50-55%] | [45-50%]</w:t>
        <w:br/>
        <w:t>Elettronica Industriale | [35-40%] | [35-40%] | [35-40%] | [20-25%] | [20-25%] | [25-30%]</w:t>
        <w:br/>
        <w:t>3lettronica Industriale | [1-5%] | [1-5%] | [1-5%] | [5-10%] | [5-10%] | [5-10%]</w:t>
        <w:br/>
        <w:t>Prima TV | [5-10%] | [5-10%] | [5-10%] | [15-20%] | [15-20%] | [15-20%]</w:t>
        <w:br/>
        <w:t>Cairo Network | [&lt;1%] | [1-5%] | [1-5%] | [&lt;1%] | [&lt;1%] | [&lt;1%]</w:t>
        <w:br/>
        <w:t>Rai | [30-35%] | [30-35%] | [30-35%] | [&lt;1%] | [&lt;1%] | [&lt;1%]</w:t>
        <w:br/>
        <w:t>Europa Way | [&lt;1%] | [&lt;1%] | [&lt;1%] | [&lt;1%] | [&lt;1%] | [&lt;1%]</w:t>
        <w:br/>
        <w:t>Premiata Ditta Borghini e Stocchetti Torino (PDBST) | [&lt;1%] | [&lt;1%] | [&lt;1%] | [&lt;1%] | [&lt;1%] | [&lt;1%]</w:t>
      </w:r>
    </w:p>
    <w:p>
      <w:r>
        <w:t>100% | 100% | 100% | 100% | 100% | 100%</w:t>
      </w:r>
    </w:p>
    <w:p>
      <w:r>
        <w:t>38. Several audiovisual media service providers have confirmed the importance of Persidera as a transmission capacity provider for independent publishers65. The same elements emerge from the reading of F2i's corporate documentation, which confirms the importance of Persidera for third-party publishers not vertically integrated (see Figure below). In particular, from the aforementioned documents, it emerges that Persidera represents an extremely important independent operator, with clients who have seen their audience and advertising revenues increase over time.</w:t>
      </w:r>
    </w:p>
    <w:p>
      <w:r>
        <w:t>65 See doc. PN.13, PN.14, PN.22, and PN.27.</w:t>
      </w:r>
    </w:p>
    <w:p>
      <w:r>
        <w:rPr>
          <w:b/>
        </w:rPr>
        <w:t>[Pages 40–42]</w:t>
      </w:r>
    </w:p>
    <w:p>
      <w:r>
        <w:t xml:space="preserve">42 BULLETIN NO. 46 OF NOVEMBER 18, 2019  </w:t>
        <w:br/>
        <w:t xml:space="preserve">Figure 4 – F2i's Analysis Regarding Persidera66  </w:t>
        <w:br/>
        <w:t>66 See doc. 14 (annex 11.11_A).</w:t>
      </w:r>
    </w:p>
    <w:p>
      <w:r>
        <w:t xml:space="preserve">BULLETIN NO. 46 OF NOVEMBER 18, 2019 43  </w:t>
        <w:br/>
        <w:t xml:space="preserve">39. Regarding the digital broadcasting market, it is appropriate to note that, at the conclusion of the Inquiry into the audiovisual sector67, the Authority found that the degree of vertical integration of network operators active in digital broadcasting concerning activities in downstream markets (free television, advertising collection on television media, and pay-TV) is high. In fact, only seven out of twenty multiplexes belong to entities not present in downstream markets. Furthermore, in light of a level of integration that concerns 65% of frequency resources, it has been observed that some multiplexes are managed in full-service mode by vertically integrated operators.  </w:t>
        <w:br/>
        <w:t xml:space="preserve">40. The same reality emerges from the reading of F2i's internal documents, where Persidera is considered in fact the only non-captive operator that meets the demand of those audiovisual media service providers not vertically integrated (see Figure below). Furthermore, Persidera appears to represent one of the main non-captive clients of tower companies' services, with a high percentage share of requested services.  </w:t>
        <w:br/>
        <w:t xml:space="preserve">Figure 5 – Internal Presentation of F2i68  </w:t>
        <w:br/>
        <w:t xml:space="preserve">41. In this regard, it is noted that Persidera itself confirms having "a portfolio with [90-100%] of the important clients in the market"69. Several participants in the proceedings, both media service providers70 and network operators71, share the same opinion.  </w:t>
        <w:br/>
        <w:t xml:space="preserve">67 See AGCM Provision No. 26258 of November 30, 2016, case IC41 – Inquiry into the audiovisual sector.  </w:t>
        <w:br/>
        <w:t xml:space="preserve">68 See doc. 14, annex 11.1_A. See also doc. 14, annex 11.6_A.  </w:t>
        <w:br/>
        <w:t xml:space="preserve">69 See doc. 80.  </w:t>
        <w:br/>
        <w:t xml:space="preserve">70 See doc. PN.13, PN.14, PN.22, and PN.27.  </w:t>
        <w:br/>
        <w:t>71 See doc. 10, 80, 91, and 100.</w:t>
      </w:r>
    </w:p>
    <w:p>
      <w:r>
        <w:t xml:space="preserve">44 BULLETIN NO. 46 OF NOVEMBER 18, 2019  </w:t>
        <w:br/>
        <w:t xml:space="preserve">c) The downstream markets concerning the digital broadcasting market  </w:t>
        <w:br/>
        <w:t xml:space="preserve">42. Furthermore, considering the link that EI Towers has with the Mediaset group due to the qualified participation (equal to 40%) and the recognition of specific rights (such as veto rights on transactions with related parties), the following markets are also affected by the concentration operation under examination: i) the free television market; ii) the advertising collection market on television media; iii) the pay-TV market.  </w:t>
        <w:br/>
        <w:t xml:space="preserve">43. In national and European practice72, the pay-TV market is traditionally considered distinct from the free television market and, more specifically, from the advertising collection market on television media, although there are connections between them arising from horizontal relationships. The retail market for pay television services (pay-TV market), of national geographical size, is defined in terms of the overall market for pay television services, which can be provided through various transmission means. The free television market consists of the editorial television activity of free channels. It is possible to identify a national market and various local markets for free television, due to regulatory regimes and the presence of local television networks.  </w:t>
        <w:br/>
        <w:t xml:space="preserve">44. The advertising collection market on television media is defined from a commodity perspective as the sale to advertisers of advertising spaces on television media. The geographical size of this market is national, considering the regulatory regime, language barriers, as well as cultural factors. It is also possible to distinguish a local scope in addition to the national one, based on the characteristics of the advertising demand73.  </w:t>
        <w:br/>
        <w:t xml:space="preserve">VI.I.2 The technological activities necessary for transmission via DTT  </w:t>
        <w:br/>
        <w:t xml:space="preserve">45. Due to the characteristics of the concentration operation, as well as the evolution of the services offered by tower companies, it seems necessary to focus on the activities carried out by the entities operating in the television supply chain (tower companies, network operators, and audiovisual media service providers).  </w:t>
        <w:br/>
        <w:t xml:space="preserve">46. The transmission of television content, in particular, can be carried out through various technologies: digital terrestrial (DTT), digital satellite (DTH), internet, and cable74. Digital terrestrial is a technology that allows the efficient transmission of digital television content to users' receiving devices via radio waves/frequencies75. According to the documentation that emerges  </w:t>
        <w:br/>
        <w:t xml:space="preserve">72 See AGCM Provision No. 27784 of May 20, 2019, case C12207 – Sky Italia/R2; AGCM Provision No. 18932 of October 2, 2008, case A407 – Conto TV/Sky Italia; AGCM Provision No. 15632 of June 28, 2006, case A362 – Football rights; AGCM Provision No. 24206 of February 6, 2013, case A418C – Selective procedures Lega Calcio 2010/11 and 2011/12; Commission Decision of June 25, 2008, case COMP/M.5121 – News Corp/Premiere; Commission Decision of April 2, 2003, case COMP/M.2876 – Newscorp/Telepiù.  </w:t>
        <w:br/>
        <w:t xml:space="preserve">73 See, among others, AGCM Provision No. 24206, case A418C – Selective procedures Lega Calcio 2010/11 and 2011/12; AGCM Provision No. 23112 of December 14, 2011, case A422 – Sky Italia/Auditel; AGCM Provision No. 9142, case C4158 – Seat Pagine Gialle/Cecchi Gori Communications.  </w:t>
        <w:br/>
        <w:t xml:space="preserve">74 See, among others, doc. 14 (annex 11.1_A). See also AGCM Provision No. 27784 of May 20, 2019, case C12207 – Sky Italia/R2; AGCM Provision No. 26258 of November 30, 2016, case IC41 – Inquiry into the audiovisual sector.  </w:t>
        <w:br/>
        <w:t>75 See doc. 14 (annex 11.11_A).</w:t>
      </w:r>
    </w:p>
    <w:p>
      <w:r>
        <w:rPr>
          <w:b/>
        </w:rPr>
        <w:t>[Pages 43–45]</w:t>
      </w:r>
    </w:p>
    <w:p>
      <w:r>
        <w:t>BULLETIN NO. 46 OF NOVEMBER 18, 2019 45</w:t>
      </w:r>
    </w:p>
    <w:p>
      <w:r>
        <w:t>of F2i, "the fundamental elements for the management of digital terrestrial television are the transmission network/devices and the frequency concessions"76.</w:t>
      </w:r>
    </w:p>
    <w:p>
      <w:r>
        <w:t>47. The following figure represents an exemplary scheme of the elements that constitute the technological chain enabling the transmission of digital terrestrial television signals.</w:t>
      </w:r>
    </w:p>
    <w:p>
      <w:r>
        <w:t>Figure 6 – Scheme relating to the technological chain for the transmission of digital terrestrial television signals77</w:t>
      </w:r>
    </w:p>
    <w:p>
      <w:r>
        <w:t>48. More specifically, the technical process related to digital terrestrial television broadcasts can be schematized into four phases78:</w:t>
        <w:br/>
        <w:t>- Phase No. 1. Playout (or emission): this is the technical structure responsible for organizing individual contents (e.g., films, advertisements, and news) according to a schedule (linear flow of content), generating the individual television service. The individual contents, before their emission, are stored in appropriate archives or video servers; subsequently, at the time of emission, graphics, logos, and other effects can also be inserted. Within the playout, switches between different sources for the possible broadcasting of live signals are managed through appropriate video mixers. The continuous audio/video flow generated by the playout for each individual television channel is then delivered to the Head End system.</w:t>
        <w:br/>
        <w:t>- Phase No. 2. Head End: this is a system consisting of various digital signal processing devices, which primarily serves to aggregate each television channel coming from content providers into the respective multiplex (or mux) on which such channels are distributed along with others. The Head End can be further divided into the following activities: compression of individual television services; aggregation and possible encryption of individual television services within the mux; synchronization of the generated flow to ensure the distribution and dissemination of the mux in SFN mode79. The devices necessary for the performance of Head End services are called "encoders" concerning the activity of compressing individual television services, and "multiplexers" for other activities, particularly the aggregation of individual television services.</w:t>
        <w:br/>
        <w:t>- Phase No. 3. Distribution. Distribution refers to the service of transporting the mux signal generated by the Head End, starting from the single point where the Head End itself is located to the multiple dissemination sites distributed across the territory, preserving its integrity and synchronization. The distribution infrastructure is realized using different technologies in combination, such as fiber optics, radio bridges, and satellite links80.</w:t>
        <w:br/>
        <w:t>- Phase No. 4. Dissemination. Dissemination refers to the broadcast transmission service of the television signal in digital terrestrial mode to a general audience of viewers. The dissemination network allows the irradiation of the television signal through the complex of devices located at the dissemination sites distributed throughout the national territory, enabling end users to receive the signal itself81.</w:t>
      </w:r>
    </w:p>
    <w:p>
      <w:r>
        <w:t>49. Analyzing the individual phases described above, it is observed that some activities cannot be perfectly placed in one of the three levels concerning the television supply chain markets as they can alternatively be performed by tower companies, network operators, and/or audiovisual media service providers.</w:t>
      </w:r>
    </w:p>
    <w:p>
      <w:r>
        <w:t>50. In particular, based on the information acquired during the investigation82 (see Table 5 below), it is noted that certain phases (playout and part of the Head End management) can be performed by television publishers (audiovisual service providers) or alternatively by network operators. Furthermore, in the following scheme, it is possible to observe how the management of the network in full service mode by tower companies (particularly by EI Towers) has led to an expansion of the activities carried out by tower companies, which were previously typically performed by the network operator.</w:t>
      </w:r>
    </w:p>
    <w:p>
      <w:r>
        <w:t>79 It is noted that synchronization is a functionality that could also be logically positioned in the Distribution phase.</w:t>
      </w:r>
    </w:p>
    <w:p>
      <w:r>
        <w:t>80 The devices used are mainly radio transceivers, transmitters and optical receivers, up-links, and satellite receivers; these devices need to be housed within suitable premises and/or equipped spaces at the dissemination sites, equipped with ancillary infrastructures (such as towers, satellites, cables, etc.) used in sharing with the various clients of the tower company.</w:t>
      </w:r>
    </w:p>
    <w:p>
      <w:r>
        <w:t>81 Typically, at the transmission sites, transmitters with adequate power are installed that receive the signal transported by the distribution network and, through appropriate radiating systems installed on the towers and shared among the various mux, disseminate the signal that will be received by end users. The transmitters are synchronized with each other to allow transmission in Single Frequency Network (SFN) mode.</w:t>
      </w:r>
    </w:p>
    <w:p>
      <w:r>
        <w:t>82 See doc. 13 (annex 3c) and 14 (annex 24).</w:t>
      </w:r>
    </w:p>
    <w:p>
      <w:r>
        <w:t>BULLETIN NO. 46 OF NOVEMBER 18, 2019 47</w:t>
      </w:r>
    </w:p>
    <w:p>
      <w:r>
        <w:t>Table 5 – Technological phases for the irradiation of digital terrestrial signals83</w:t>
      </w:r>
    </w:p>
    <w:p>
      <w:r>
        <w:t>Head End Management Distribution</w:t>
        <w:br/>
        <w:t>Management</w:t>
        <w:br/>
        <w:t>Distribution</w:t>
        <w:br/>
        <w:t>Playout Management Ownership</w:t>
        <w:br/>
        <w:t>Ownership</w:t>
        <w:br/>
        <w:t>Compression Aggregation Synchronization of the transmitters</w:t>
        <w:br/>
        <w:t>of the dissemination sites (Towers)</w:t>
      </w:r>
    </w:p>
    <w:p>
      <w:r>
        <w:t>Provider</w:t>
        <w:br/>
        <w:t>Provider</w:t>
        <w:br/>
        <w:t>audiovisual services Operator of Operator of</w:t>
        <w:br/>
        <w:t>Provider audiovisual services Operator of</w:t>
        <w:br/>
        <w:t>Operator of network network network</w:t>
        <w:br/>
        <w:t>services network</w:t>
        <w:br/>
        <w:t>Operator</w:t>
        <w:br/>
        <w:t>audiovisual services Operator Tower</w:t>
        <w:br/>
        <w:t>of network Tower company Tower Tower</w:t>
        <w:br/>
        <w:t>of network Tower company company</w:t>
        <w:br/>
        <w:t>(in full service mode) company (in company (in</w:t>
        <w:br/>
        <w:t>Operator (in full service mode) full service) service)</w:t>
        <w:br/>
        <w:t>(in full service mode)</w:t>
        <w:br/>
        <w:t>51. More specifically, full service management includes the activities of dissemination and distribution in all analyzed cases. In some cases, it also absorbs the management of the Head End phase. Finally, a last evolution of full service management concerns the ownership of the transmitters, historically held by network operators. With the establishment of the Cairo Network by EI Towers, in fact, a model was also defined whereby a tower company such as EI Towers comes for the first time to hold the signal dissemination plants85. With the concentration operation, moreover, the ownership of the dissemination plants is recognized to NetCo (and, therefore, EI Towers) which will also carry out the dissemination and distribution activities, as well as, in the long term, the management of the Head End of Persidera-MuxCo86.</w:t>
      </w:r>
    </w:p>
    <w:p>
      <w:r>
        <w:t>VI.1.3 The evolution of the regulatory context of the digital broadcasting market</w:t>
      </w:r>
    </w:p>
    <w:p>
      <w:r>
        <w:t>52. Regarding the evolutions of the digital broadcasting market87, it should be noted that, based on the indications emerged from the World Radiocommunication Conference WRC-12, a path of evaluation on the future use of the radio spectrum in the UHF band has been initiated since 2014, particularly foreseeing the use of the band 694-790 MHz (the so-called "700 MHz band") for terrestrial systems capable of providing wireless broadband electronic communication services.</w:t>
      </w:r>
    </w:p>
    <w:p>
      <w:r>
        <w:t>53. With Decision (EU) 2017/899 of the European Parliament and of the Council of May 17, 2017, concerning the use of the frequency band 470-790 MHz in the Union, the assignment was provided for83 See elaborations on doc. 1, 13 (annex 3c) and 14 (annex 24).</w:t>
      </w:r>
    </w:p>
    <w:p>
      <w:r>
        <w:t>84 The ownership of the transmitters by the tower company currently only concerns the case of Cairo Network.</w:t>
      </w:r>
    </w:p>
    <w:p>
      <w:r>
        <w:t>85 See doc. 14 (annex 24). It is noted that the only case in which the transmission plants are owned by the tower company is found in the case of Rai Way with Rai (see PN.29 and PN.35).</w:t>
      </w:r>
    </w:p>
    <w:p>
      <w:r>
        <w:t>86 See doc. 1, 14 (annex 24).</w:t>
      </w:r>
    </w:p>
    <w:p>
      <w:r>
        <w:t>87 See doc. PN.23, PN.26, PN.28, PN.29, PN.30, PN.32, PN.33, PN.34, PN.35, PN.36 and 1.</w:t>
      </w:r>
    </w:p>
    <w:p>
      <w:r>
        <w:rPr>
          <w:b/>
        </w:rPr>
        <w:t>[Pages 46–48]</w:t>
      </w:r>
    </w:p>
    <w:p>
      <w:r>
        <w:t>48 BULLETIN NO. 46 OF NOVEMBER 18, 2019</w:t>
      </w:r>
    </w:p>
    <w:p>
      <w:r>
        <w:t>to mobile operators in the 700 MHz band, which is made available for wireless broadband services by June 30, 2020, in all Member States of the European Union, with the possibility of extending the deadline until June 30, 2022, upon request from individual Member States and in the presence of certain specific situations to protect businesses and users. Within the framework of this Decision, forms of protection for television operators who will have to vacate the 700 MHz band have been provided, highlighting the need to minimize and compensate for the migration costs, whether these are borne by users and/or broadcasters.</w:t>
      </w:r>
    </w:p>
    <w:p>
      <w:r>
        <w:t>54. In this context, it should be noted that Article 1, paragraph 1026 et seq. of Law No. 205 of December 27, 2017 ("2018 Budget Law"), subsequently amended by Law No. 145 of December 30, 2018 ("2019 Budget Law"), has regulated the process of freeing the frequency band 694-790 MHz (so-called refarming of the 700 MHz band) intended for mobile telephony services for the development of 5G technology by 2022. These regulations and the subsequent implementing regulatory provisions88 provide that:</w:t>
        <w:br/>
        <w:t>a) the frequencies (multiplexes) available for national digital terrestrial television networks are reduced from the current twenty to twelve, of which ten are intended for reassignment to current network operators and two are subject to new assignment on a fee-paying basis;</w:t>
        <w:br/>
        <w:t>b) the current rights of use of national frequencies are converted into rights of use of transmission capacity with a conversion factor of 2 to 1 (the right of use of a multiplex corresponds to the right of use of transmission capacity of half a multiplex);</w:t>
        <w:br/>
        <w:t>c) to obtain the new right of use for ten years of a national frequency, it is necessary to hold (individually or through agreements between operators who individually hold the right of use of transmission capacity equal to half a multiplex) the rights of use of transmission capacity equal to one multiplex;</w:t>
        <w:br/>
        <w:t>d) two additional national multiplexes are assigned, divided into four lots of transmission capacity equal to 50% of a frequency;</w:t>
        <w:br/>
        <w:t>e) the rights of use of local frequencies are revoked with compensation, and local multiplexes of digital terrestrial television are newly assigned, with a variable number for each local area (technical area)89.</w:t>
      </w:r>
    </w:p>
    <w:p>
      <w:r>
        <w:t>55. Based on these provisions, the assignment of the right of use of the new frequencies of the PNAF 2019 (AGCOM Resolution No. 39/19/CONS) proceeds when a subject holds individually or through an agreement with another operator rights of use equal to the transmission capacity of an entire multiplex, and therefore, subjects with five multiplexes (Persidera, Rai, and Elettronica Industriale) will be able to immediately obtain the right of use of two multiplexes of the PNAF 2019. If at the time of assignment there are subjects that have a transmission capacity equal to half a multiplex, not completed through an agreement with another network operator, they may complete it by participating in the future assignment or by entering into a subsequent agreement. The process, therefore, determines the assignment in different phases of the rights of use of frequencies based on the presence of operators who hold the right of use of transmission capacity equal to half a multiplex.</w:t>
      </w:r>
    </w:p>
    <w:p>
      <w:r>
        <w:t>56. Regarding the assignment of the additional two frequencies divided into lots of 0.5 multiplex, the aforementioned regulations provide that the Authority for Communications Guarantees (hereinafter also "AGCOM") prepares a draft tender by September 30, 2019; the tender will then be issued by the Ministry of Economic Development by November 30, 2019.</w:t>
      </w:r>
    </w:p>
    <w:p>
      <w:r>
        <w:t>57. In parallel with the process of reallocating existing frequencies (refarming of the 700 MHz band) and assigning new frequencies (both local and national), a transition process of the technological transmission standards of digital terrestrial television is foreseen, from DVB-T to DVB-T290. In particular, the new transmission standard DVB-T2 can ensure a more efficient use of the radio spectrum, allowing for an increase in the transmission capacity of a multiplex of about 1.4-1.7 times the current capacity91. Furthermore, further technological developments could involve the technologies for compressing audiovisual streams, with a transition from MPEG-4 H.264 compression to HEVC H.265 compression, which reduces the capacity required per channel by about 30%-50%92.</w:t>
      </w:r>
    </w:p>
    <w:p>
      <w:r>
        <w:t>58. As for the compatibility of the transmitters of network operators with the DVB-T2 standard, there is a heterogeneous scenario among the different network operators (see Table 6 below). In particular, the percentage of plants that do not require replacement varies from 1-5% to 95-100% of the total.</w:t>
      </w:r>
    </w:p>
    <w:p>
      <w:r>
        <w:t>90 Digital Video Broadcasting – Terrestrial (DVB-T). It is the standard of the European DVB consortium for digital terrestrial television transmission approved and published by ETSI (European Telecommunications Standards Institute). DVB-T2 refers to the second generation of the transmission standard that is expected to increase efficiency in the use of the frequency spectrum by 30-50%. See AGCM Provision No. 26258 of November 30, 2016, case IC41 – Inquiry into the audiovisual sector.</w:t>
      </w:r>
    </w:p>
    <w:p>
      <w:r>
        <w:t>91 See doc. 14 (annex 11.11_A).</w:t>
      </w:r>
    </w:p>
    <w:p>
      <w:r>
        <w:t>92 See doc. 14 (annex 11.11_A).</w:t>
      </w:r>
    </w:p>
    <w:p>
      <w:r>
        <w:t>50 BULLETIN NO. 46 OF NOVEMBER 18, 2019</w:t>
      </w:r>
    </w:p>
    <w:p>
      <w:r>
        <w:t>Table 6 – Compatibility of transmission devices with the DVB-T293 standard</w:t>
        <w:br/>
        <w:t>% of plants compatible</w:t>
        <w:br/>
        <w:t>with DVB-T2</w:t>
        <w:br/>
        <w:t>Persidera 70-75%</w:t>
        <w:br/>
        <w:t>Elettronica Industriale 20-25%</w:t>
        <w:br/>
        <w:t>3lettronica Industriale 1-5%</w:t>
        <w:br/>
        <w:t>Prima TV 40-45%</w:t>
        <w:br/>
        <w:t>Cairo Network 95-100%</w:t>
        <w:br/>
        <w:t>Rai/Rai Way 1-5%</w:t>
        <w:br/>
        <w:t>Europa Way 95-100%</w:t>
        <w:br/>
        <w:t>Premiata Ditta Borghini e Stocchetti Torino (PDBST) 1-5%</w:t>
      </w:r>
    </w:p>
    <w:p>
      <w:r>
        <w:t>59. The transmission networks of digital terrestrial television, in light of the renewed regulatory framework, will therefore undergo a very significant change that consists of: (i) the modification of existing networks, both national and local, with a need to review and redesign the frequency networks (also in light of the need for holders of rights of transmission capacity equal to half a multiplex); (ii) the technological change from DVB-T to DVB-T2 (which affects certain subjects with transmitting plants that do not support DVB-T2); (iii) the assignment of additional national and local frequencies.</w:t>
      </w:r>
    </w:p>
    <w:p>
      <w:r>
        <w:t>60. Regarding local frequencies, finally, it is emphasized that – compared to what happened in the past – Article 1, paragraph 1033, of the 2018 Budget Law (Law No. 205/2017) provides that all network operators interested in acquiring the right of use of frequencies allocated by the PNAF to local areas, who hold the general authorization referred to in Article 25 of the Electronic Communications Code (Legislative Decree No. 259 of August 1, 2003), may submit an application for participation. Therefore, national network operators will also be able to participate in the assignment of local frequencies. In this regard, the "Guidelines on Selection Procedures for the Assignment of Rights of Use of Frequencies in Local Areas to Network Operators (Article 1, paragraph 1033, of Law No. 205/2017)," published on July 22, 2019, by the Ministry of Economic Development94 following a public consultation, provide exclusively limits aimed at preventing a subject from holding more than one local frequency in the same technical area, thus allowing that a</w:t>
      </w:r>
    </w:p>
    <w:p>
      <w:r>
        <w:t>93 See elaborations on data from operators, see doc. PN.23, PN.26, PN.28, PN.29, PN.33, PN.34, PN.36, and 100. The data relate to plants that do not require replacement. The data for Persidera relates to DVB-T2 ready plants that require a software update. The data for 3lettronica Industriale is approximated considering the percentage of sites. Elettronica Industriale has stated that it has already begun replacing transmission plants, and has already completed it with respect to 20-25% of over 3,000-3,100 plants.</w:t>
      </w:r>
    </w:p>
    <w:p>
      <w:r>
        <w:t>94 See the link: https://www.mise.gov.it/images/stories/documenti/Linee%20guida%20OPERATORI%20RETE%20DEFINITIVE%2022.7.pdf accessible at the date of adoption of this provision.</w:t>
      </w:r>
    </w:p>
    <w:p>
      <w:r>
        <w:rPr>
          <w:b/>
        </w:rPr>
        <w:t>[Pages 49–51]</w:t>
      </w:r>
    </w:p>
    <w:p>
      <w:r>
        <w:t>BULLETIN NO. 46 OF NOVEMBER 18, 2019 51</w:t>
      </w:r>
    </w:p>
    <w:p>
      <w:r>
        <w:t>the operator could theoretically hold a local multiplex in each of the eighteen technical areas designated by the PNAF 201995.</w:t>
      </w:r>
    </w:p>
    <w:p>
      <w:r>
        <w:t>VI.II Considerations of F2i and EI Towers</w:t>
      </w:r>
    </w:p>
    <w:p>
      <w:r>
        <w:t>61. F2i believes that the concentration operation does not have restrictive effects on competition, as it only concerns the first two levels of the digital terrestrial television supply chain, namely the infrastructure for television broadcasting and digital broadcasting, since F2i and Persidera are not present in the downstream markets of free-to-air television, pay-TV, and advertising collection on television96.</w:t>
      </w:r>
    </w:p>
    <w:p>
      <w:r>
        <w:t>62. Regarding the minority participation of the Mediaset Group in EI Towers, F2i believes that this participation would not raise any competitive concerns, as: (i) it is a minority stake without control prerogatives, held by F2i; (ii) the operation is structured so that MuxCo – the entity that maintains the relationship with customers in the downstream markets (specifically television broadcasters) – is not controlled by EI Towers; (iii) F2i has expressed its willingness, and within its competence, “that – post-acquisition of Persidera by F2i – the pro-competitive remedies of a commercial nature established by this Authority with the DMT Provision continue to apply to EI Towers/NetCo as far as reasonable and within the competence of the new social reality”97.</w:t>
      </w:r>
    </w:p>
    <w:p>
      <w:r>
        <w:t>63. Regarding the vertical effects of the operation and, in particular, the requirements identified by the Commission's Guidelines concerning the assessment of non-horizontal concentrations98, F2i believes that EI Towers does not have the capacity and incentives to implement an exclusionary conduct in the downstream digital broadcasting market99. As for the exclusionary capacity, in the notifier's opinion, EI Towers, although a significant operator in the market, competes with both Rai Way, which is able to offer services similar to those of EI Towers, and numerous local operators. This is in light of Rai Way's industrial objectives, which changed after its stock market listing, as well as the presence of local telecommunications infrastructure operators. Regarding the incentives to engage in vertical exclusionary conduct, F2i believes that an exclusionary strategy would not be profitable, both due to the presence of high fixed costs for EI Towers – which would result in a significant loss for it – and considering the high bargaining power of Persidera's customers (countervailing buyer power)100. Furthermore, in the notifier's opinion, the application of the behavioral remedies of a commercial nature imposed by the Authority with the concentration Provision C11205 –</w:t>
      </w:r>
    </w:p>
    <w:p>
      <w:r>
        <w:t>95 See Resolution 39/19/CONS of the Authority for Communications Guarantees concerning the “National Frequency Allocation Plan for the digital terrestrial television service (PNAF).”</w:t>
      </w:r>
    </w:p>
    <w:p>
      <w:r>
        <w:t>96 See doc. 1.</w:t>
      </w:r>
    </w:p>
    <w:p>
      <w:r>
        <w:t>97 See doc. 1. Regarding the referenced provision, see AGCM Provision No. 23117 of December 14, 2011, case C11205 – Industrial Electronics/Digital Multimedia Technologies.</w:t>
      </w:r>
    </w:p>
    <w:p>
      <w:r>
        <w:t>98 See Guidelines on the assessment of non-horizontal concentrations pursuant to the Council Regulation on the control of concentrations between undertakings (2008/C 265/07).</w:t>
      </w:r>
    </w:p>
    <w:p>
      <w:r>
        <w:t>99 See doc. 1 and 77.</w:t>
      </w:r>
    </w:p>
    <w:p>
      <w:r>
        <w:t>100 See doc. 1.</w:t>
      </w:r>
    </w:p>
    <w:p>
      <w:r>
        <w:t>52 BULLETIN NO. 46 OF NOVEMBER 18, 2019</w:t>
      </w:r>
    </w:p>
    <w:p>
      <w:r>
        <w:t>Industrial Electronics/Digital Multimedia Technologies, would eliminate any risk or competitive concern regarding hypothetical vertical effects101.</w:t>
      </w:r>
    </w:p>
    <w:p>
      <w:r>
        <w:t>64. Regarding the horizontal effects, F2i believes that Persidera cannot be considered a competitor of EI Towers in the provision of full-service offerings. According to F2i, the offer of Persidera to Cairo Network would have been determined by contingent circumstances, as the Cairo group was purchasing transmission capacity from Persidera at the time. The offer was therefore aimed, in F2i's opinion, at compensating for the loss of revenue that would have resulted from the exit of Cairo's channels from Persidera's multiplexes102. Furthermore, currently, Persidera has no revenue related to the provision of full-service103.</w:t>
      </w:r>
    </w:p>
    <w:p>
      <w:r>
        <w:t>65. Regarding the applicability of the measures imposed on EI Towers following the concentration operation C11205104 – although F2i challenged, in November 2018, the decision not to initiate the investigation on the concentration operation C12179 of 2018105 (with which F2i acquired control of EI Towers) and the decision to authorize with conditions the aforementioned concentration operation C11205 of 2011 – the notifier believes it has dispelled any doubts regarding the applicability of the aforementioned measures already at the notification stage. In this regard, F2i noted that these commitments have represented an effective tool for eight years to resolve the highlighted issues and, therefore, their application, with any modifications and integrations, could dispel any concerns regarding the operation in question106.</w:t>
      </w:r>
    </w:p>
    <w:p>
      <w:r>
        <w:t>66. F2i also states that the structure of the operation has been designed to allow for greater separation between the tower company and the network operator, with greater independence for the latter, in line with the measures of procedure C11205, which provided for corporate or accounting separation between the two types of entities107.</w:t>
      </w:r>
    </w:p>
    <w:p>
      <w:r>
        <w:t>VI.III Considerations of Persidera</w:t>
      </w:r>
    </w:p>
    <w:p>
      <w:r>
        <w:t>67. Persidera highlights that its main activity concerns the provision of transmission capacity services and ancillary services (playout and multimedia services) for the broadcasting of national digital channels, which constitute almost all of its revenues108. According to what Persidera indicated during the hearing, the offer of full-service presented in 2014 to Cairo Network would have been an exception, determined by the circumstance that the Cairo group, publisher of the La7 channels, was purchasing transmission capacity from Persidera. The offer was therefore an attempt not to lose revenue. However, the company stated that it is capable of considering the provision of full-service to its clients should they decide to become network operators109.</w:t>
      </w:r>
    </w:p>
    <w:p>
      <w:r>
        <w:t>68. Furthermore, Persidera believes that the guiding criteria for the allocation of two multiplexes (in four lots with a size equal to half of a multiplex), as provided by the 2019 Budget Law (Law No. 145/2018), are such as to make it unlikely for a new national network operator, assigned frequency resources in DVB-T2 technology, to request network outsourcing services. In fact, the principles and guiding criteria stipulate that the continuity of service and the speed of technological transition must be ensured, and that the experience gained in the sector, as well as the ability to ensure efficient use of the spectrum and technological innovation, must be valued110.</w:t>
      </w:r>
    </w:p>
    <w:p>
      <w:r>
        <w:t>69. Persidera also emphasizes that the acquisition of full-service is not the only option for a potential new entrant assigned usage rights on DTT frequencies, as the latter can always create its own network, as national network operators TIMB and ReteA (now Persidera) and other network operators such as TivuItalia/CanaleItalia and 7Gold have done111.</w:t>
      </w:r>
    </w:p>
    <w:p>
      <w:r>
        <w:t>70. Therefore, in Persidera's opinion, the concentration operation would not have restrictive effects on competition, neither of a vertical nor a horizontal nature112. Finally, regarding the possible effects of a coordinated nature, Persidera stated that “the management of the full-service does not involve the technical manager, in this case EITowers/NetCo, in the relationship of Persidera/MuxCo with its clients, which remains distinctly separate”113.</w:t>
      </w:r>
    </w:p>
    <w:p>
      <w:r>
        <w:t>VI.IV Considerations of Mediaset</w:t>
      </w:r>
    </w:p>
    <w:p>
      <w:r>
        <w:t>71. Mediaset observes that its participation in EI Towers represents a purely financial investment. Therefore, participation in the Board of Directors and the veto rights granted to Mediaset would integrate tools solely to protect the value of the participation114. Furthermore, Mediaset notes that several operators in the television supply chain have expressed limited reservations and have acknowledged that the operation may generate useful synergies.</w:t>
      </w:r>
    </w:p>
    <w:p>
      <w:r>
        <w:t>72. According to Mediaset, therefore, it is necessary to consider these elements for the assessment of the concentration operation, with an approach inspired by the principle of proportionality and adopting only those measures that are strictly necessary to ensure the protection of public interests in competition115.</w:t>
      </w:r>
    </w:p>
    <w:p>
      <w:r>
        <w:t>73. Mediaset believes that its veto right on transactions with Related Parties, provided for in the shareholders' agreement of EI Towers, is essentially aimed at ensuring that the unilateral decisions of the majority shareholder of EI Towers do not deplete the value of Mediaset's participation therein. The presence in the Board of Directors of EI Towers would not be suitable to determine exchanges of economic information, as only purely technical and instrumental information related to the corporate activities of EI Towers would circulate in that body. The compensation clause provided in the contract between EI Towers, NetCo, and MuxCo would also be a common mechanism in market practice, aimed at reducing the fee paid by MuxCo in case of performance below expectations and increasing the same fee in case of performance above expectations.</w:t>
      </w:r>
    </w:p>
    <w:p>
      <w:r>
        <w:rPr>
          <w:b/>
        </w:rPr>
        <w:t>[Pages 52–54]</w:t>
      </w:r>
    </w:p>
    <w:p>
      <w:r>
        <w:t>54 BULLETIN NO. 46 OF NOVEMBER 18, 2019</w:t>
      </w:r>
    </w:p>
    <w:p>
      <w:r>
        <w:t>in the case of better performance than expected. This mechanism, in Mediaset's opinion, would not involve an exchange of prospective information related to MuxCo, but only retrospective information116.</w:t>
      </w:r>
    </w:p>
    <w:p>
      <w:r>
        <w:t>74. In general, Mediaset believes that the potential risks due to its minority stake in EI Towers would already be mitigated by the ongoing behavioral measures imposed as a result of the C11205 procedure117. Mediaset has nonetheless made itself available to review the existing measures in order to (i) exclude the right of veto for EI Towers' operations with NetCo and MuxCo and (ii) introduce information segregation procedures and safeguard their confidentiality. Furthermore, Mediaset has indicated that it has no reservations regarding the modification of the compensation mechanisms between EI Towers-NetCo and MuxCo118.</w:t>
      </w:r>
    </w:p>
    <w:p>
      <w:r>
        <w:t>VI.V Third-party considerations</w:t>
      </w:r>
    </w:p>
    <w:p>
      <w:r>
        <w:t>VI.V.1 The effects of the concentration operation</w:t>
      </w:r>
    </w:p>
    <w:p>
      <w:r>
        <w:t>75. According to Discovery Italia, the concentration could create synergies between EI Towers and Persidera, which would bring benefits to television publishers if they lead to a reduction in transmission capacity prices119. At the same time, Discovery Italia emphasizes that Persidera has distinguished itself as an independent network operator compared to other media groups (such as Mediaset, Rai, and Cairo, each of which has its own "vertically" integrated network operator), and has implemented competitive dynamics on price and quality of services offered, which have led to choosing Persidera as a transmission bandwidth provider120. In this sense, the company has expressed some concern regarding the fact that Persidera may be less independent from the market due to Mediaset's presence in EI Towers121.</w:t>
      </w:r>
    </w:p>
    <w:p>
      <w:r>
        <w:t>76. Viacom has noted that the Italian television market is characterized by the presence of several vertically integrated groups, capable of achieving economies of scale in both the purchase of transmission capacity and content, as well as in advertising collection. Third-party operators, on the contrary, are technologically dependent on independent operators, such as Persidera122. According to Viacom, currently only 35% of national multiplexes belong to non-vertically integrated entities, and among these, only 20% is managed with total technological autonomy from vertically integrated groups. These circumstances, according to Viacom, pose various critical issues for the competitive dynamics of the transmission capacity market, as the concentration operation could alter competitive dynamics in the free television market and in the adjacent market for television advertising collection, both by reducing the opportunities for non-vertically integrated operators to compete and by limiting the entry and development of new television operators123. Such effects would be more significant in light of the future allocation of certain spectral resources (the so-called "700MHz band") to electronic communication services, which will result in a reduction of approximately 30% of the frequency offer for digital terrestrial television124.</w:t>
      </w:r>
    </w:p>
    <w:p>
      <w:r>
        <w:t>77. 3LI, having not developed any specific assessment of the concentration operation125, generally considers the presence of a single operator independent from content providers to be desirable, according to models already implemented in Spain, France, and the United Kingdom126. Prima TV shares the same view, believing that, in a context of contraction of frequency resources allocated to digital terrestrial television, "the strengthening of operators with significant technological know-how and with a shareholding structure under a subject with an infrastructural, systemic vision and a long-term investment horizon specifically focused on this platform is viewed positively by us as a guarantee of centrality and continuity over time of the platform itself, which will continue to represent the predominant mode of enjoyment of linear free-to-air television for a long time"127.</w:t>
      </w:r>
    </w:p>
    <w:p>
      <w:r>
        <w:t>78. Cairo believes that the operation should be evaluated carefully, especially in light of the changed market context related to refarming, which poses new problems and critical issues for the sector128. Regarding the horizontal effects on the specific full-service offering, Cairo Network emphasizes that when it sought a supplier for the realization and full-service management of its multiplex in 2014, the competing offers prepared by EI Towers and Persidera allowed it to negotiate terms and conditions of the agreement in a competitive context. The concentration operation under examination would therefore lead to the union of two of the three entities capable of offering full-service management of digital television networks on a national scale. Moreover, Cairo does not believe it is able to assess Rai Way's actual willingness to open up to the market for full-service offerings.</w:t>
      </w:r>
    </w:p>
    <w:p>
      <w:r>
        <w:t>79. In particular, Cairo Network observes129 that Rai Way essentially focuses on captive offerings, as confirmed by its revenue of less than 10 million euros from third-party network operators. Local infrastructure operators would also not constitute a valid alternative for a full-service offering on a national scale, mainly because: (i) the maximum coverage achievable using such operators is lower than that offered by national operators, (ii) full-service offerings require a "unitary" provision, even to ensure adequate service levels, and (iii) the transaction costs necessary to enter into multiple contracts with different local operators would make this option practically impossible130. Therefore, EI Towers currently has no actual competitors in providing full-service offerings to national digital broadcasters, and the only operator that, in the absence of the proposed concentration operation, could challenge EI Towers' market power in providing full-service offerings would be Persidera.</w:t>
      </w:r>
    </w:p>
    <w:p>
      <w:r>
        <w:t>80. With regard to the other aspects of the operation under examination, Cairo Network emphasizes that Persidera, a competitor of Cairo Network, and EI Towers, a supplier to Cairo Network, would enter the same corporate group. In light of the position of both companies, therefore, the acquisition would foresee a concentration between ownership of infrastructure (towers) and multiplexes to the detriment of small network operators, who are already disadvantaged by the frequency refarming procedures131.</w:t>
      </w:r>
    </w:p>
    <w:p>
      <w:r>
        <w:t>81. In this scenario, the integration between Persidera and EI Towers would exacerbate the risk of a definitive exclusion from the market for Cairo Network and other competitors of Persidera potentially interested in leasing their bandwidth to third operators. As a result of the concentration operation, these companies would be part of the same corporate group and, therefore, acting in a group logic, could leverage the market position and significant margins of EI Towers to exclude Persidera's competitors from the downstream market through a strategy of margin compression of Persidera itself, aimed at excluding competing network operators132.</w:t>
      </w:r>
    </w:p>
    <w:p>
      <w:r>
        <w:t>82. PDBST observes that, although the vertical integration with the Mediaset group has ceased, the concentration operation still raises concerns due to the persistence of the integration situation of two levels of the supply chain, namely the market for broadcasting infrastructure and the market for digital broadcasting, and the context of contraction of frequency resources due to refarming and the transition to DVB-T2133. According to PDBST, moreover, EI Towers shows a tendency to expand and impose its full-service offerings on both local and national network operators, even when a network operator has the skills to carry out the service itself134. In general, PDBST believes that EI Towers shows a tendency to have aggregated services purchased, for example, with contractual conditions – such as payment of a price for access to EI Towers' towers for personnel performing maintenance – that incentivize the purchase of EI Towers' maintenance over in-house maintenance, which in some cases becomes much less convenient (and in some cases absolutely not convenient)135.</w:t>
      </w:r>
    </w:p>
    <w:p>
      <w:r>
        <w:t>83. PDBST also notes that Persidera holds significant market power in the sale of transmission capacity, as: Rai and Mediaset are essentially captive; Prima TV and 3LI are linked by commercial relationships with Mediaset and carry channels published by it136;</w:t>
      </w:r>
    </w:p>
    <w:p>
      <w:r>
        <w:rPr>
          <w:b/>
        </w:rPr>
        <w:t>[Pages 55–57]</w:t>
      </w:r>
    </w:p>
    <w:p>
      <w:r>
        <w:t>BULLETIN NO. 46 OF NOVEMBER 18, 2019 57</w:t>
      </w:r>
    </w:p>
    <w:p>
      <w:r>
        <w:t>Cairo Network is currently not transferring transmission capacity to third parties. Therefore, the company believes that the operation increases the likelihood of exclusion for all those subjects not linked to the new entity137.</w:t>
      </w:r>
    </w:p>
    <w:p>
      <w:r>
        <w:t>84. Rai Way observes that the concentration operation would recreate a vertical integration in favor of EI Towers, a dominant company in the market for broadcasting infrastructure, with the digital terrestrial network operator Persidera138. In fact, Rai Way emphasized that, compared to other acquisition projects of Persidera, previously analyzed by F2i in collaboration with Rai Way, the present operation creates a participatory link between the network operator (MuxCo) and the infrastructures (EI Towers and NetCo), held by a dominant subject139.</w:t>
      </w:r>
    </w:p>
    <w:p>
      <w:r>
        <w:t>85. Another critical element to consider concerns the ties between EI Towers and Mediaset, due to minority participation and the recognition of veto powers. According to Rai Way, in fact, Mediaset can access important information and is granted veto powers over any future operation concerning the relationship between EI Towers, NetCo, and MuxCo as Related Parties. Such circumstances could affect the independence of Persidera, even from the perspective of technological choices.</w:t>
      </w:r>
    </w:p>
    <w:p>
      <w:r>
        <w:t>86. Another critical element represented by Rai Way concerns the structure of the operation and, in particular, the circumstance that NetCo (and therefore EI Towers) will manage, in the long term, the Head End of MuxCo140. This operational phase constitutes a very important element for a network operator. In fact, Rai Way observes that the management of the Head End involves the acquisition of information on the flows of transmitted content and constitutes an important phase of the production process of a network operator, so much so that several subjects – including Mediaset – have decided to bring this activity within their corporate perimeter141.</w:t>
      </w:r>
    </w:p>
    <w:p>
      <w:r>
        <w:t>87. Therefore, in Rai Way's opinion, the new entity would have both the incentive and the ability to concentrate all current and future demand for hosting services and ancillary services of Persidera in EI Towers, subtracting current and future demand from Rai Way. The company, in fact, believes that Persidera is the main, if not the only, among the actually contestable customers regarding hosting services for television signal broadcasting plants. The operation, therefore, would determine an excluding effect (customer foreclosure) on a significant part of the demand for hosting services for DTT transmission plants, with an impact "on Rai Way's activities, which, following its listing on the stock exchange, intended to position itself as a service provider also towards third parties, in addition to Rai"142.</w:t>
      </w:r>
    </w:p>
    <w:p>
      <w:r>
        <w:t>88. Rai Way, regarding the possible exclusionary effects of the outlets, does not share the considerations present in the communication of the investigative findings, "where it is stated that the limited current Wind Tre wants to cease its entrepreneurial activity in the television sector and have a mere investment with an asset managed by other subjects" (cfr. doc. 100).</w:t>
      </w:r>
    </w:p>
    <w:p>
      <w:r>
        <w:t xml:space="preserve">137 Cfr. doc. 100.  </w:t>
        <w:br/>
        <w:t xml:space="preserve">138 Cfr. doc. PN.35.  </w:t>
        <w:br/>
        <w:t xml:space="preserve">139 Cfr. doc. 91.  </w:t>
        <w:br/>
        <w:t xml:space="preserve">140 Cfr. doc. 91.  </w:t>
        <w:br/>
        <w:t xml:space="preserve">141 Cfr. doc. 91. On this point, it should be noted that Mediaset itself stated that the choice to directly manage the Head End, previously managed by EI Towers, is "an optimization choice that allows greater technological flexibility due to the control of this operational phase, also in light of the convergence process between different technologies" (cfr. doc. 98).  </w:t>
        <w:br/>
        <w:t>142 Cfr. doc. PN.35.</w:t>
      </w:r>
    </w:p>
    <w:p>
      <w:r>
        <w:t>58 BULLETIN NO. 46 OF NOVEMBER 18, 2019</w:t>
      </w:r>
    </w:p>
    <w:p>
      <w:r>
        <w:t>the use by Persidera of RW's hosting services would ensure that the (certain and not merely potential) reallocation of such services to EI Towers does not "....compromise the permanence of Rai Way's market..."143. In Rai Way's opinion, it would indeed be difficult to understand how it can be considered that in the case where the dominant subject in the upstream market acquires control of the primary operator in the downstream market, which represents the main potential customer for those operating upstream, it does not determine a competitively relevant excluding effect, to the detriment of the competitors of the dominant operator. This, in fact, would underestimate the loss of demand from Persidera currently satisfied by Rai Way and at the same time would not take into account the possible expansion of demand that Persidera could have expressed in the absence of the operation. This results in an overall excluding effect due to the definitive loss of contestability of the main customer for hosting services144.</w:t>
      </w:r>
    </w:p>
    <w:p>
      <w:r>
        <w:t>89. According to Rai Way, in the previous acquisition project MuxCo would have been acquired by F2i, which was not present in the sector at the time, while NetCo would have been acquired by Rai Way. Therefore, there would have been no participatory link between MuxCo and NetCo, considering that the control of such companies would have been attributable to two distinct subjects. The operation in question, on the contrary, would involve a vertical integration (EI Towers-NetCo-MuxCo), in which a dominant subject (EI Towers), whose capital is participated by a primary television publisher (Mediaset), can access important information and has veto powers over any future operation concerning the relationship between EI Towers, NetCo, and MuxCo as Related Parties. Such circumstances could affect the independence of Persidera, even from the perspective of technological choices.</w:t>
      </w:r>
    </w:p>
    <w:p>
      <w:r>
        <w:t>VI.V.2 The presence of measures suitable to avoid the possible anticompetitive effects of the concentration operation</w:t>
      </w:r>
    </w:p>
    <w:p>
      <w:r>
        <w:t>90. Regarding possible measures aimed at countering the possible anticompetitive effects of the concentration operation, Discovery believes it is necessary for Persidera to continue to maintain its absolute independence, including decision-making, in order to avoid situations of conflict of interest and/or coordination between Elettronica Industriale, controlled by Mediaset, and Persidera in the offering of transmission capacity. Furthermore, Discovery believes it is necessary for EI Towers to continue to provide its services on non-discriminatory terms in the various markets in which it operates, as already imposed in the provision related to the C11205 procedure. In Discovery's opinion, equal treatment will be a decisive element also to ensure that it maintains its independence in the transmission services market145.</w:t>
      </w:r>
    </w:p>
    <w:p>
      <w:r>
        <w:t>91. Sky Italia notes that it would be necessary to ensure that the concentration, in the hands of the entity resulting from the operation, of scarce resources (terrestrial frequencies) and non-replicable physical infrastructures (towers) does not lead to an artificial increase in access prices in the short and long term146. On the same point, De Agostini hopes that the concentration does not limit the level of competition and does not lead to an increase in the price level of transmission capacity, which constitutes a significant item of costs for a television publisher, also in light of the context of declining advertising revenues147.</w:t>
      </w:r>
    </w:p>
    <w:p>
      <w:r>
        <w:t>92. Viacom shares the same view, hoping that measures based on principles of equal treatment between vertically integrated groups and pure publishers (and in any case not linked to network operators) are adopted, with the provision of access obligations for vertically integrated operators in the event of an imbalance in the transmission capacity market148.</w:t>
      </w:r>
    </w:p>
    <w:p>
      <w:r>
        <w:t>93. According to Cairo Network, it is necessary to foresee mechanisms that avoid potential competitive risks, also considering the future assignment of national and local television frequencies, taking into account the possible participation of national operators also for local television frequencies. Furthermore, if positive synergistic effects arise from this type of concentration, it seems necessary that there are mechanisms to ensure that such benefits advantage the customers of EI Towers and third parties in general and not just the internal divisions, with possible repercussions on competition among network operators149.</w:t>
      </w:r>
    </w:p>
    <w:p>
      <w:r>
        <w:t>94. Furthermore, Cairo Network believes it is necessary to foresee not only obligations of non-discrimination and transparency of costs on EI Towers, but also that Persidera cannot rent its bandwidth below cost, considering, on the one hand, the price per Mbit/s charged by the latter to its customers and, on the other hand, the cost per Mbit/s provided for in the agreements with EI Towers for full service and other costs directly incurred by Persidera150.</w:t>
      </w:r>
    </w:p>
    <w:p>
      <w:r>
        <w:t>95. In Cairo Network's opinion, Persidera should also limit the duration of its rental contracts or in any case grant its customers a right of withdrawal with short notice to allow new entrants and other small network operators to develop a commercial offer capable of attracting demand. To achieve this goal, a mechanism of shared participation in business risk between EI Towers and Persidera should not apply151. Finally, Cairo Network believes it is necessary that both Persidera and Elettronica Industriale, as well as all large operators holding five mux, refrain from participating in the tender for the assignment of national multiplexes, thus leaving small operators the opportunity to complete their mux, ensuring their business continuity and the possibility of developing a competitive offer152.</w:t>
      </w:r>
    </w:p>
    <w:p>
      <w:r>
        <w:t>96. According to PDBST153, the measures aimed at correcting the competitive criticalities of the operation in question should consist of (i) access obligations to infrastructures and provision, with a high level of effective disaggregation of services (hosting, maintenance, electricity, design, etc.) and (ii) obligations to divest towers in strategic areas or in areas where there are redundant towers, so as to allow coverage of at least 90% of the population also by third parties other than EI Towers. Furthermore, the introduction of a</w:t>
      </w:r>
    </w:p>
    <w:p>
      <w:r>
        <w:t xml:space="preserve">147 Cfr. doc. PN.22.  </w:t>
        <w:br/>
        <w:t xml:space="preserve">148 Cfr. doc. PN.27.  </w:t>
        <w:br/>
        <w:t xml:space="preserve">149 Cfr. doc. PN.23 e 10.  </w:t>
        <w:br/>
        <w:t xml:space="preserve">150 Cfr. doc. 106.  </w:t>
        <w:br/>
        <w:t xml:space="preserve">151 Cfr. doc. 106.  </w:t>
        <w:br/>
        <w:t xml:space="preserve">152 Cfr. doc. 106.  </w:t>
        <w:br/>
        <w:t>153 Cfr. doc. 100.</w:t>
      </w:r>
    </w:p>
    <w:p>
      <w:r>
        <w:rPr>
          <w:b/>
        </w:rPr>
        <w:t>[Pages 58–60]</w:t>
      </w:r>
    </w:p>
    <w:p>
      <w:r>
        <w:t>60 BULLETIN NO. 46 OF NOVEMBER 18, 2019</w:t>
      </w:r>
    </w:p>
    <w:p>
      <w:r>
        <w:t xml:space="preserve">a ban on renewing full-service contracts and/or reducing their duration in order to increase the level of contestability of customers (network operators) among tower companies.  </w:t>
        <w:br/>
        <w:t xml:space="preserve">97. Rai Way considers it necessary to adopt measures that reduce vertical and coordinated competitive risks and ensure the contestability of Persidera's demand. Regarding the contestability of demand, Rai Way proposes that Persidera hold a tender for the acquisition of part of the hosting services from various suppliers (Rai Way, EI Towers, and local operators). Furthermore, Rai Way notes that it is necessary to eliminate issues related to the exchange of information, such as those that could arise from the management of the Head End. Finally, it would be advisable to evaluate a strengthening of the measures imposed in the C11205 procedure and, in particular, those to avoid vertical and coordinated effects in downstream television markets, such as the independence of the Board of Directors from vertically integrated shareholders and the stock listing that provides certain guarantees in transactions with Related Parties154.  </w:t>
        <w:br/>
        <w:t xml:space="preserve">98. Furthermore, in Rai Way's opinion, measures should be strengthened to segregate information within the Board of Directors of EI Towers, not limiting the segregation mechanisms to information related solely to potential agreements and/or transactions with companies operating in the DTT broadcasting market but also applying them to MuxCo and its agreements/transactions with audiovisual content providers. This, according to Rai Way, would be necessary to prevent the potential distorting effect of the flow of information with Mediaset in downstream television markets155.  </w:t>
        <w:br/>
        <w:t xml:space="preserve">VI.VI The commitments proposed by F2i and Mediaset  </w:t>
        <w:br/>
        <w:t xml:space="preserve">99. On September 23, 2019, F2i and Mediaset submitted commitments (hereinafter also "Measures") aimed at addressing the concerns contained in the initiation order of this proceeding.  </w:t>
        <w:br/>
        <w:t xml:space="preserve">100. The proposed measures, compliance with which depends on F2i, EI Towers, and MuxCo, are as follows:  </w:t>
        <w:br/>
        <w:t xml:space="preserve">1. EI Towers, also through controlled companies (jointly with EI Towers "EIT"), must provide access to its infrastructures – except in cases where there are objective physical, technical, or legal impediments – to all national television operators on terrestrial frequencies in digital technology that request it, including any new entrants following the refarming of frequencies, under fair, transparent, and non-discriminatory conditions. In particular, EIT will allow co-location or sharing of the necessary infrastructures for television broadcasting to transmit to end users on terrestrial frequencies in digital technology;  </w:t>
        <w:br/>
        <w:t xml:space="preserve">2. EIT is required to grant access to the infrastructures even where this involves making investments to adapt and/or expand the stations; in such circumstances, the new entity must make the necessary investments from the perspective of a commercially independent tower company;  </w:t>
        <w:br/>
        <w:t xml:space="preserve">3. EIT must offer the service of managing transmission facilities – including installation as well as preventive and corrective maintenance of the facilities – under fair, transparent, and non-discriminatory conditions, providing specific service levels guaranteed by adequate penalties. The management service of the transmission facilities may also be carried out by the network operator, either directly or through third parties expressly delegated by it. To this end, EIT must grant access to the infrastructures to customers and their service providers according to procedures and methods that ensure the continuity of services for third parties and the safety of all equipment and installations present in the same infrastructures;  </w:t>
        <w:br/>
        <w:t xml:space="preserve">4. EIT will make public a price list indicating the location of access points, the base price of hosting services and basic ancillary services, as well as the contractual conditions, general terms, and technical rules for the provision of the services in question. The price list must be developed based on the power cuts of the equipment to be hosted at the stations and the transmitting/receiving aerial infrastructures that may need to be hosted on the towers. The price list must provide for hosting services and ancillary services fair and cost-oriented economic conditions; in any case, the economic conditions provided cannot be worse than those currently practiced by EIT for its customers in equivalent situations;  </w:t>
        <w:br/>
        <w:t xml:space="preserve">5. Based on the public price list, EIT will prepare, for each third party requesting the provision of access services and related services on the transmission infrastructures for the installation and management of a national television broadcasting network on terrestrial frequencies in digital technology, a disaggregated offer regarding the economic and technical conditions for the provision of the services in question. The disaggregated offer must contain at least the following information: (i) regarding each access point, the relevant access conditions and the availability of any radiating systems/receiving antennas; (ii) information on the availability and performance of ancillary systems (power distribution system, emergency generator, etc.); (iii) any costs for site preparation/adaptation; (iv) conditions for the provision of management services for the facility (installation, maintenance, etc.); (v) service levels and related penalties; (vi) aspects related to safety; (vii) economic value of the relevant offers, including payment methods and terms; (viii) duration of contracts and renewal methods;  </w:t>
        <w:br/>
        <w:t xml:space="preserve">6. In processing requests from third parties and in providing access and use services for the infrastructures, EIT will apply the same economic and technical conditions and the same procedures applied to relationships with companies connected to it or controlled by it in equivalent situations. EIT will also provide third parties with information in the same manner applicable to relationships with companies connected to it or controlled by it;  </w:t>
        <w:br/>
        <w:t xml:space="preserve">7. If the potential customer opts for a more articulated level of service, defined as "coverage" or "full service" (aimed at ensuring the customer the provision, turnkey, of a network with a certain national coverage and with certain service levels in terms of continuity of signal transmission in the territory), EIT must offer this service under fair, transparent, and non-discriminatory conditions compared to the service offered to controlling, affiliated, or commonly controlled companies. In any case, the economic conditions provided cannot be worse than those currently practiced by EIT for its customers in equivalent situations. The standard articulation level of the service ("Full Service Base") includes:  </w:t>
        <w:br/>
        <w:t xml:space="preserve">- the design of the network, through the identification of broadcasting sites and the definition of the architecture of the distribution network;  </w:t>
        <w:br/>
        <w:t xml:space="preserve">- the takeover of the already compressed signal, downstream of the Head End;  </w:t>
        <w:br/>
        <w:t xml:space="preserve">- the synchronization and distribution of the signal to the broadcasting sites using the appropriate distribution platforms;  </w:t>
        <w:br/>
        <w:t xml:space="preserve">- the management of the signal broadcasting through the integration of reception systems and radiating systems, owned or available to EIT, with the transmitters, owned or available to the network operator.  </w:t>
        <w:br/>
        <w:t xml:space="preserve">It will be at the customer's discretion to request EIT to provide a more articulated level of service that includes, alternatively or cumulatively:  </w:t>
        <w:br/>
        <w:t xml:space="preserve">(i) the provision of so-called Head End services;  </w:t>
        <w:br/>
        <w:t xml:space="preserve">(ii) the availability of transmitters, without prejudice to the operator's right to purchase them at the time of termination of the relationship;  </w:t>
        <w:br/>
        <w:t xml:space="preserve">(iii) the service of quality control and measurement of signals in the territory.  </w:t>
        <w:br/>
        <w:t xml:space="preserve">EIT will make public the essential contractual conditions for the definition of Full Service, in terms of:  </w:t>
        <w:br/>
        <w:t xml:space="preserve">(iv) coverage objectives;  </w:t>
        <w:br/>
        <w:t xml:space="preserve">(v) level of redundancy of the distribution network and level of redundancy of broadcasting equipment at the transmission sites;  </w:t>
        <w:br/>
        <w:t xml:space="preserve">(vi) SLA and penalties.  </w:t>
        <w:br/>
        <w:t xml:space="preserve">8. EIT must prepare and maintain, for the entire duration of the commitments, a filing system that ensures the traceability of access requests received from television operators and their outcomes, accompanied by relevant justifications. This documentation must be kept for two years from the date of formalization of the access request;  </w:t>
        <w:br/>
        <w:t xml:space="preserve">9. If in the future the activities of the tower company and the network operator are not carried out by separate companies, EIT must prepare and maintain separate accounting related to the tower company activity, allowing verification of internal/external equal treatment;  </w:t>
        <w:br/>
        <w:t xml:space="preserve">10. The majority of the members of the Board of Directors of MuxCo, including the Chairman and the CEO, must meet, both with respect to MuxCo itself and to NetCo and EIT, the independence requirements set forth in Article 148, paragraph 3, of Legislative Decree No. 58 of February 24, 1998 – as recalled by Article 147-ter, paragraph 4, of the same – and Article 3 of the Self-Regulatory Code.  </w:t>
        <w:br/>
        <w:t xml:space="preserve">11. EIT will transmit to the Authority, within one year from the notification of the authorization provision, and subsequently on an annual basis, a detailed report on the commercial, economic, and technical modalities of implementing the commitments. Any subsequent modifications must also be communicated to the Authority;  </w:t>
        <w:br/>
        <w:t xml:space="preserve">12. Any disputes that may arise regarding the economic conditions of EIT's offer may be submitted to the conciliation service of the Milan Arbitration Chamber.  </w:t>
        <w:br/>
        <w:t xml:space="preserve">101. Furthermore, F2i and Mediaset have presented the following shared measures:  </w:t>
        <w:br/>
        <w:t xml:space="preserve">13. Transactions with Related Parties: F2i and Mediaset commit to amend the shareholders' agreement between F2i TLC and Mediaset concerning EI Towers dated July 16, 2018, as well as the Statute of EI Towers itself, in order to exclude the veto right of the minority shareholder of EI Towers regarding transactions carried out by EI Towers with MuxCo and NetCo and their subsidiaries;  </w:t>
        <w:br/>
        <w:t>14. Information segregation: F2i, EI Towers, and Mediaset commit to ensuring that in the meetings of the Board of Directors of EI Towers concerning potential agreements and/or transactions with companies operating in the national markets for television broadcasting services on terrestrial networks in digital technology (DTT), the Directors designated by the minority shareholder of EI Towers do not receive</w:t>
      </w:r>
    </w:p>
    <w:p>
      <w:r>
        <w:rPr>
          <w:b/>
        </w:rPr>
        <w:t>[Pages 61–63]</w:t>
      </w:r>
    </w:p>
    <w:p>
      <w:r>
        <w:t>BULLETIN NO. 46 OF NOVEMBER 18, 2019 63</w:t>
      </w:r>
    </w:p>
    <w:p>
      <w:r>
        <w:t>the relevant information, do not participate in the related discussion and deliberation, and do not receive the minutes related to the aforementioned subject.</w:t>
      </w:r>
    </w:p>
    <w:p>
      <w:r>
        <w:t>102. Finally, F2i and EI Towers have informed of their intention to:</w:t>
        <w:br/>
        <w:t>15. modify the risk-sharing mechanism, eliminating the transfer of prospective budget information and the compensations for risk sharing, inserting a mechanism for sharing efficiencies, as provided in the new text of Annex D to the contract, transmitted on September 23, 2019.</w:t>
      </w:r>
    </w:p>
    <w:p>
      <w:r>
        <w:t>VII. EVALUATIONS</w:t>
        <w:br/>
        <w:t>VII.I The relevant markets</w:t>
      </w:r>
    </w:p>
    <w:p>
      <w:r>
        <w:t>103. The evidence on record, described in paragraphs 15 and following of this provision, confirms that the concentration operation in question concerns the following relevant markets:</w:t>
        <w:br/>
        <w:t>a) the market for broadcasting infrastructure, of national geographical size;</w:t>
        <w:br/>
        <w:t>b) the market for television broadcasting services on digital terrestrial networks (DTT), of national geographical size (so-called national digital broadcasting market);</w:t>
      </w:r>
    </w:p>
    <w:p>
      <w:r>
        <w:t>104. Furthermore, due to the vertical ties of the television supply chain and in light of the possibility that national operators may participate in the allocation of local television frequencies, a possibility previously denied to them, the following markets are also affected:</w:t>
        <w:br/>
        <w:t>c) the market for free television, of national geographical size;</w:t>
        <w:br/>
        <w:t>d) the retail market for pay television services (pay-TV market), of national geographical size;</w:t>
        <w:br/>
        <w:t>e) the market for advertising revenue on television, of national geographical size;</w:t>
        <w:br/>
        <w:t>f) the market for television broadcasting services on local digital terrestrial networks (DTT), of geographical size coinciding with each technical area (so-called national digital broadcasting market);</w:t>
      </w:r>
    </w:p>
    <w:p>
      <w:r>
        <w:t>105. Regarding the market for broadcasting infrastructure, the evidence on record, detailed above, confirms what was already noted by the Authority following the concentration C11205 and, in particular, that EI Towers holds a dominant position in this market. In fact, although the number of EI Towers sites is equivalent to that of Rai Way, it is observed that EI Towers continues to represent a market share in value of 70-75% of the total revenue for 2018, calculated without considering inter-group revenues. The evidence on record has indeed confirmed that Rai Way has limited substitutability, due to contractual and technical frictions that do not facilitate the migration of a national network for almost all network operators (i.e., those with frequencies in bands IV and V). Furthermore, the recourse to local operators does not allow for adequate national network coverage, in addition to the fact that such operators present a lower quality level. These circumstances, therefore, contribute to determining the persistence of EI Towers' dominant position, although a greater degree of competition from Rai Way has been recorded compared to 2011. Regarding the provision of full-service, reference is made to the specific discussion that will be conducted later.</w:t>
      </w:r>
    </w:p>
    <w:p>
      <w:r>
        <w:t>106. The documentation from F2i also shows how EI Towers can count on a number of clients that provide transmission capacity to audiovisual media suppliers whose audience share has been increasing over time.</w:t>
      </w:r>
    </w:p>
    <w:p>
      <w:r>
        <w:t>Figure 7 – Analysis of EI Towers' customer portfolio (July 16, 2018)</w:t>
      </w:r>
    </w:p>
    <w:p>
      <w:r>
        <w:t>107. Regarding the national digital broadcasting market, the evidence analyzed above allows us to conclude that Persidera is a primary network operator, with a market share in value (excluding the captive component) between 45% and 55% of the total market revenue in the period 2016-2018. Furthermore, Persidera is the only non-vertically integrated network operator that manages its frequency network independently and is widely recognized – by F2i, by audiovisual media service providers, and by other network operators – as an operator with a high-quality network capable of attracting high-profile commercial clients.</w:t>
      </w:r>
    </w:p>
    <w:p>
      <w:r>
        <w:t>VII.II The effects of the concentration operation</w:t>
      </w:r>
    </w:p>
    <w:p>
      <w:r>
        <w:t>108. In this section, the effects of the notified concentration operation will be analyzed. It should be noted that these evaluations do not take into account the measures adopted in procedure C11205, the measures proposed by F2i and Mediaset within this procedure, as well as the changes made to the service contract between EI Towers-NetCo and MuxCo. These elements will be analyzed later in the section related to the assessment of the suitability of the proposed measures.</w:t>
      </w:r>
    </w:p>
    <w:p>
      <w:r>
        <w:t>VII.II.1 The unilateral horizontal effects related to the provision of full-service</w:t>
      </w:r>
    </w:p>
    <w:p>
      <w:r>
        <w:t>109. The concentration operation appears capable of generating restrictive effects on competition of a horizontal nature related to the provision of full-service to network operators for the management of multiplexes. This service appears to be of greater importance in the context of the refarming of national and local frequencies and the new allocation, as digital broadcasters are preparing to review and modify the terrestrial digital transmission networks, both national and local. Furthermore, in the presence of entities that hold the right to use transmission capacity equal to half a multiplex, full-service management could represent a mode of managing a multiplex shared between two network operators.</w:t>
      </w:r>
    </w:p>
    <w:p>
      <w:r>
        <w:t>110. Regarding the competitive link between EI Towers and Persidera, it should be emphasized that – although the provision of full-service is not an activity normally carried out by a network operator such as Persidera – the evidence on record shows that in the only case of entry into the digital broadcasting market since the digital switch-off to date (more than ten years) and, therefore, in the only case where a new client requested full-service, the only two irrevocable offers received by Cairo Network were those from EI Towers and Persidera. This is an important element regarding Persidera's suitability to offer full-service.</w:t>
      </w:r>
    </w:p>
    <w:p>
      <w:r>
        <w:t>111. Therefore, the arguments that claim Persidera, not currently having any revenue from the provision of such services, would not be a competitor of EI Towers are not shareable. In fact, after a competitive comparison between Persidera and EI Towers, the latter was selected for the provision of services by Cairo Network. In light of the absence of new operators (as there have been no further frequency allocation procedures since 2014) and the presence of long-term contracts, no further opportunities for offering such services have arisen. This is therefore a case in which "the market is characterized by large and infrequent orders" in which the data indicate that...</w:t>
      </w:r>
    </w:p>
    <w:p>
      <w:r>
        <w:rPr>
          <w:b/>
        </w:rPr>
        <w:t>[Pages 64–66]</w:t>
      </w:r>
    </w:p>
    <w:p>
      <w:r>
        <w:t>66 BULLETIN NO. 46 OF NOVEMBER 18, 2019</w:t>
      </w:r>
    </w:p>
    <w:p>
      <w:r>
        <w:t xml:space="preserve">related to revenues must be contextualized to take into account the dynamics of service provision.  </w:t>
        <w:br/>
        <w:t xml:space="preserve">112. Furthermore, the fact that Persidera can provide full-service does not imply an incorrect definition of the relevant market for television broadcasting infrastructures. In fact, it is widely recognized that such services are provided by infrastructure operators for television broadcasting (EI Towers and Rai Way). However, this does not exclude the possibility that an operator like Persidera could, through internal growth, begin to provide such services, vertically integrating into the supply chain. The fact that Cairo Network, at the time of purchasing a full-service, chose to source from EI Towers does not affect the assessment regarding Persidera's suitability to constitute a competitive constraint on EI Towers. Therefore, this constraint would cease with the present concentration operation.  </w:t>
        <w:br/>
        <w:t xml:space="preserve">113. The thesis that the offer of full-service to Cairo Network was due to the fact that the Cairo group broadcast its channels on Persidera's multiplexes and was therefore formulated exceptionally in the context of countering revenue loss is also not considered shareable. Although these considerations emerge from the reading of the documents of the Board of Directors of Persidera, it must be noted that the company itself stated that "In the future, the company may consider providing such service to its clients if they decide to become network operators." Furthermore, from the reading of the internal documentation of Persidera, produced during the offer to Cairo, it emerges that the competition exerted by Persidera against EI Towers was effective: "the structure of Persidera's offer would guarantee Cairo Network better economic conditions compared to those of EI Towers. The commercial freedom demanded by Cairo Network combined with the obligation of indemnification that would be assumed by Persidera could allow it to offer bandwidth at prices lower than those practiced by the Company." It follows that Persidera represented a suitable competitive constraint for EI Towers, at least under certain conditions (such as, for example, the entry of a new operator, such as Cairo, which is a client media service provider of Persidera).  </w:t>
        <w:br/>
        <w:t xml:space="preserve">114. As for possible other subjects capable of exercising competition for the provision of full-service, it is noted that local operators do not appear to be able to provide such services on a national scale. Neither do mobile communication operators seem able to provide such services. Regarding other network operators, it is noted that Elettronica Industriale, 3LI,  </w:t>
        <w:br/>
        <w:t xml:space="preserve">175 See doc. 14, annex 11.1_A. See also doc. 14, annex 11.6_A.  </w:t>
        <w:br/>
        <w:t xml:space="preserve">176 See docs. 77 and 80.  </w:t>
        <w:br/>
        <w:t xml:space="preserve">177 See doc. 94.  </w:t>
        <w:br/>
        <w:t xml:space="preserve">178 See doc. 94 (annex 4).  </w:t>
        <w:br/>
        <w:t xml:space="preserve">173 In particular, F2i has confirmed that local operators cannot directly provide such services; it would indeed be necessary to have an operator – like Persidera – that places the plants at the sites and then provides the full-service (see doc. 26). Both Cairo Network (see doc. 10) and Persidera believe that local operators are not capable of providing full-service on a national basis. In particular, Persidera believes that a national network operator wishing to acquire a full-service could turn to "EI Towers, Rai Way, Persidera (theoretically in the future also MuxCo) and, perhaps, 7Gold" (see doc. 80).  </w:t>
        <w:br/>
        <w:t xml:space="preserve">174 Wind Tre – which is both a mobile telecommunications operator and a digital terrestrial television network operator (through 3LI) – believes that there can be no substitutability from the supply side between telecommunications operators and those of television broadcasting, whose activities, although they may seem similar, require different technical skills to develop. This is also confirmed by the fact that 3LI itself has entrusted the full-service management of its multiplex to EI Towers (through Elettronica Industriale) and not to the parent company Wind Tre.  </w:t>
        <w:br/>
        <w:t xml:space="preserve">On the point, it is noted that Rai Way believes that, in addition to the need to possess specific skills, the number of operators capable of providing full-service is also conditioned by the need to have a minimum scale, which would be difficult to achieve by new entrants (see doc. 91).  </w:t>
        <w:br/>
        <w:t xml:space="preserve">175 See doc. 14, annex 11.1_A. See also doc. 14, annex 11.6_A.  </w:t>
        <w:br/>
        <w:t xml:space="preserve">176 See docs. 77 and 80.  </w:t>
        <w:br/>
        <w:t xml:space="preserve">177 See doc. 94.  </w:t>
        <w:br/>
        <w:t xml:space="preserve">178 See doc. 94 (annex 4).  </w:t>
        <w:br/>
        <w:t xml:space="preserve">179 See doc. 90.  </w:t>
        <w:br/>
        <w:t xml:space="preserve">180 See doc. 91. On this point, it is noted that Persidera has confirmed that in the process of optimizing its network related to the merger between TIMB and ReteA, "considering the abandoned sites and those acquired, the number of sites of EI Towers no longer used is almost marginal, as EI Towers is currently an important supplier of hospitality and maintenance services for Persidera, also considering the quality of the services provided" (see doc. 80).  </w:t>
        <w:br/>
        <w:t xml:space="preserve">181 See AGCM Decision No. 23117 of December 14, 2011, case C11205 – Elettronica Industriale/Digital Multimedia Technologies.  </w:t>
        <w:br/>
        <w:t xml:space="preserve">68 BULLETIN NO. 46 OF NOVEMBER 18, 2019  </w:t>
        <w:br/>
        <w:t xml:space="preserve">First TV and Cairo Network are managed in full-service mode by EI Towers, while Rai is managed in full-service mode by Rai Way. PDBST and Europa Way, according to F2i's assessments, "are not comparable in terms of coverage and service quality" compared to network operators.  </w:t>
        <w:br/>
        <w:t xml:space="preserve">115. Finally, the thesis that the service can still be self-produced by network operators, according to a make or buy logic in which the network operator can manage the network service by itself, is not relevant. The network operator can manage its frequency network independently, but if it decides to purchase full-service, the concentration under examination reduces the number of possible suppliers. It follows that the concentration would produce the effect of eliminating (or making less convenient) an alternative for network operators (the buy alternative), forcing them to self-produce. This is therefore an effect of raising costs for network operators who want to use full-service: they must accept fewer alternatives among suppliers of such services or must equip themselves with a technical structure to self-produce them. The effect is nonetheless a reduction in the level of competition, due to the reduction of alternatives or due to the increase in prices/costs for network operators.  </w:t>
        <w:br/>
        <w:t xml:space="preserve">116. The operation under examination, therefore, involves the disappearance of a competitive constraint related to the provision of full-service. As a result of the operation, it seems plausible to believe that the only two subjects that will be able to provide such service will be EI Towers and Rai Way, while the competitive constraint represented, at least on certain occasions, by Persidera will cease.  </w:t>
        <w:br/>
        <w:t xml:space="preserve">VII.II.2 The unilateral effects of vertical partial and total foreclosure against network operators  </w:t>
        <w:br/>
        <w:t xml:space="preserve">117. The concentration operation involves vertical integration between EI Towers, the dominant operator in the market for television broadcasting infrastructures, and Persidera, a primary network operator in the digital broadcasting market and a subject that has historically represented the independent operator offering transmission capacity to third-party television publishers. Regarding the unilateral vertical effects, it is necessary to verify whether the concentration is suitable to hinder or prevent the activity of competitors in downstream markets – that is, of network operators and media service providers – through a foreclosure at the level of production factors or the imposition of restrictive terms that may hinder activity in downstream markets.  </w:t>
        <w:br/>
        <w:t xml:space="preserve">118. The harm to competition in downstream markets is linked both to a total foreclosure (failure to supply) and to a partial foreclosure (price increase or reduction in quality). According to the Commission Guidelines, it is necessary to verify that the new entity: (i) has the capacity to exclude competitors in downstream markets; (ii) has the incentive to exclude competitors in downstream markets; and (iii) there are likely effects on competition in downstream markets. It is recalled that, already as a result of the concentration Elettronica Industriale/Digital Multimedia Technologies, the Authority recognized EI Towers' ability to produce significant vertical effects in downstream markets through the adoption of a partial or total foreclosure strategy.  </w:t>
        <w:br/>
        <w:t xml:space="preserve">119. In the case at hand, as noted above, the new entity is the main national operator in the market, as well as the only one currently offering full-service to non-vertically integrated third-party operators. For this reason, EI Towers – also in light of the high switching costs (especially regarding the characteristics of Rai Way's network), the barriers to entry, as well as the lower quality of local operators – holds a dominant position in the market for television broadcasting infrastructures.  </w:t>
        <w:br/>
        <w:t xml:space="preserve">120. In particular, although the number of Rai Way sites is equivalent to that of EI Towers, there is a different propensity to purchase services provided by Rai Way by network operators with frequencies in bands IV and V (all operators except Rai and Europa Way). Rai Way itself emphasizes that the presence of long-term contracts and technical issues makes the migration of an entire national network from one infrastructure operator to another complex, resulting in only small shifts and optimization processes.  </w:t>
        <w:br/>
        <w:t xml:space="preserve">121. It follows that, from the point of view of the substitutability of services between EI Towers and Rai Way, there is a lower propensity for demand mobility due to technical issues related to antenna orientation. It should be clarified that this technological element does not imply an absolute lack of substitutability between the two operators, who remain competitors, but it affects the market power of EI Towers, which can use to its advantage the demand frictions related to the technical characteristics of the networks. EI Towers, therefore, maintains the ability to exclude competitors in downstream markets, as already noted by the Authority following the concentration C11205.  </w:t>
        <w:br/>
        <w:t xml:space="preserve">122. The infrastructures for television broadcasting constitute a fundamental component for the realization of terrestrial networks for the transmission of television signals. Without the possibility of accessing existing infrastructures, a network operator would not be able to operate a terrestrial television network and, therefore, to offer transmission capacity to media service providers.  </w:t>
        <w:br/>
        <w:t>123. Regarding the incentives to exclude access to production factors, these depend on how advantageous such exclusion would be. It is believed that the foreclosure strategy could be profitable due to the impossibility of fully migrating a national network onto Rai Way's infrastructures and only a partial replacement of certain sites being plausible. Therefore, an increase in prices would result in an extremely reduced decrease in revenues for EI Towers.</w:t>
      </w:r>
    </w:p>
    <w:p>
      <w:r>
        <w:rPr>
          <w:b/>
        </w:rPr>
        <w:t>[Pages 67–69]</w:t>
      </w:r>
    </w:p>
    <w:p>
      <w:r>
        <w:t>BULLETIN NO. 46 OF NOVEMBER 18, 2019 69</w:t>
      </w:r>
    </w:p>
    <w:p>
      <w:r>
        <w:t>124. For example, the share of hospitality services currently paid by Persidera to EI Towers is approximately [1-10] million euros annually182, which represents about [1-5%] of EI Towers' annual revenues183. Regarding the verification of the incentives for foreclosure, a comparison of costs (in terms of upstream losses) and revenues (in terms of increased downstream earnings) of the foreclosure strategy is conducted below. If the benefits of such a strategy exceed its costs, there will be an incentive to foreclose access to the production factors represented by EI Towers' sites.</w:t>
      </w:r>
    </w:p>
    <w:p>
      <w:r>
        <w:t>125. Imagine, therefore, a foreclosure strategy in which EI Towers increases the price of hospitality services; if the hypothetical third-party network operator completely changes supplier – considering a subject like Persidera (which makes extensive use of local tower operators and Rai Way) – this foreclosure strategy would result in a loss for EI Towers of approximately [5-10] million euros annually. However, due to F2i's 60% stake in EI Towers, F2i would incur a loss of approximately [1-5] million euros.</w:t>
      </w:r>
    </w:p>
    <w:p>
      <w:r>
        <w:t>126. In light of this, considering, for example, a negligible increase of 1% in the demand for transmission capacity from audiovisual media service providers, and considering that Persidera's revenue amounts to 76.1 million euros, F2i would obtain revenues through MuxCo of approximately 7.6 million euros, exceeding the implementation costs of such a strategy. Therefore, even with minimal increases, and with extremely cautious assumptions of high mobility of network operators, there is an incentive to implement total foreclosure strategies (non-supply) as the benefits in the downstream market (digital broadcasting) exceed the costs incurred in the upstream market (television broadcasting infrastructure)184.</w:t>
      </w:r>
    </w:p>
    <w:p>
      <w:r>
        <w:t>127. It is also believed that there may be partial foreclosure strategies, namely, increasing access prices to EI Towers' infrastructure. In this case, considering that the percentage incidence of hospitality services alone represents on average 30% of the operating costs of a national operator185, a 10% increase in hospitality prices would result in a 3% increase in the costs of a network operator. Furthermore, a 50% increase in hospitality costs would lead to a 15% increase in the operating costs of the network operator. In summary, such a strategy could likely lead to an increase in price levels in the digital broadcasting market and, consequently, also in the television advertising market.</w:t>
      </w:r>
    </w:p>
    <w:p>
      <w:r>
        <w:t>128. Finally, it is believed that the provision of certain services, particularly full-service services, may be conditioned: (i) on the provision of all technological services that a network operator can perform (playout, management of the Head End); (ii) on clauses that limit competition in the downstream markets of digital broadcasting, free television, pay television, and television advertising collection.</w:t>
      </w:r>
    </w:p>
    <w:p>
      <w:r>
        <w:t xml:space="preserve">182 Cf. doc. 13.  </w:t>
        <w:br/>
        <w:t xml:space="preserve">183 According to the EI Towers Balance Sheet as of December 31, 2018, revenues from sales and service provision amounted to approximately 223.9 million euros in the 2018 financial year.  </w:t>
        <w:br/>
        <w:t xml:space="preserve">184 From a margin perspective, it should be noted that EI Towers and Persidera hold a comparable percentage EBITDA.  </w:t>
        <w:br/>
        <w:t>185 Cf. PN.23, PN.26, PN.28, PN.29, PN.33, PN.36, and 13.</w:t>
      </w:r>
    </w:p>
    <w:p>
      <w:r>
        <w:t>70 BULLETIN NO. 46 OF NOVEMBER 18, 2019</w:t>
      </w:r>
    </w:p>
    <w:p>
      <w:r>
        <w:t>129. Regarding the first point, EI Towers could impose the provision of an aggregated full-service, which includes the provision of facilities, management of the Head End, and other technological phases of network operators. In this way, it could limit the competitive capacity of competing network operators of MuxCo, especially concerning technological autonomy.</w:t>
      </w:r>
    </w:p>
    <w:p>
      <w:r>
        <w:t>130. Furthermore, in full-service management contracts, non-competition clauses or equivalent effects could be imposed, which appear suitable to restrict competition in the downstream markets of digital broadcasting, free television, pay television, and television advertising collection. From the documentation on file, it has emerged that Persidera wanted to introduce such a clause in the full-service offer intended for Cairo Network186. In particular, Persidera initially wanted to directly manage the sale of transmission capacity of Cairo Network and, subsequently, considered the inclusion of a non-competition clause on a specific customer of Persidera.</w:t>
      </w:r>
    </w:p>
    <w:p>
      <w:r>
        <w:t>131. There is therefore a risk that the new entity may impose conditions on the provision of full-service that limit the competitive capacity of network operators in the downstream digital broadcasting market.</w:t>
      </w:r>
    </w:p>
    <w:p>
      <w:r>
        <w:t>132. In conclusion, in light of the analysis outlined above, it is believed that the concentration under examination is likely to produce restrictive effects on competition in the market for television broadcasting services on terrestrial networks in digital technology (digital broadcasting) and, consequently, in the downstream markets of the latter, namely: free television, pay television, and television advertising collection.</w:t>
      </w:r>
    </w:p>
    <w:p>
      <w:r>
        <w:t>VII.II.3 The coordinated effects in the digital broadcasting market</w:t>
      </w:r>
    </w:p>
    <w:p>
      <w:r>
        <w:t>133. The concentration operation, also considering the contractual structure communicated during the notification, is likely to restrict competition in the digital broadcasting market due to coordination effects between MuxCo and Elettronica Industriale (Mediaset), arising from: (i) possible information exchanges through EI Towers (in which Mediaset holds a stake and currently has its board members); (ii) the incentive to raise the prices of MuxCo's transmission capacity, linked to the risk-sharing mechanism present in the service contract between EI Towers-NetCo and MuxCo. Furthermore, the concentration operation is likely to generate coordinated effects in the digital broadcasting market as F2i and Mediaset could acquire privileged information regarding the customers (network operators in the digital broadcasting market) of EI Towers, competitors of MuxCo and Elettronica Industriale.</w:t>
      </w:r>
    </w:p>
    <w:p>
      <w:r>
        <w:t>134. Regarding information exchanges, the evidence on file already shows examples of how information related to the activities of digital broadcasters can be transmitted to EI Towers and thus to MuxCo and Elettronica Industriale through the shareholders of EI Towers (respectively F2i and Mediaset).</w:t>
      </w:r>
    </w:p>
    <w:p>
      <w:r>
        <w:t>135. In particular, in a presentation dated October 31, 2018187, discussing a project to increase the coverage of Prima TV, among the information provided to the Board of Directors of EI Towers was the increase in the consideration for the transfer of transmission capacity from Prima TV to RTI – Reti Televisive Italiane S.p.A. (the editorial part of the Mediaset group). F2i, present on the Board of Directors, thus became aware of the prices of the transmission capacity provided by Prima TV, which is a competitor of Persidera/MuxCo.</w:t>
      </w:r>
    </w:p>
    <w:p>
      <w:r>
        <w:t>136. It is therefore evident how EI Towers, on one hand, is vertically integrated with F2i, which will hold five multiplexes through MuxCo; on the other hand, it will also have a link with Mediaset, which holds another five multiplexes through the control of Elettronica Industriale. These circumstances appear likely to create strong risks of coordination in the digital broadcasting market due to the information exchange. These criticalities, arising from a commonality of objectives between F2i and Mediaset, are also evident from the reading of F2i's documentation. The latter, in evaluating Mediaset's participation in EI Towers, believes that "the partial investment of the shareholder Mediaset in the share capital [...] fulfills the mutual need for alignment of interests and reciprocal protection, as Mediaset is the main customer of EIT [i.e., EI Towers], with a revenue share of [60-70%] and, in turn, EIT is instrumental to the transmission of Mediaset's television signal"188.</w:t>
      </w:r>
    </w:p>
    <w:p>
      <w:r>
        <w:t>137. Further evidence concerns the presentation to the Board of Directors of EI Towers on April 17, 2019 (see Figure 8 below) containing detailed data on Persidera's customers (prices, no way out clauses, contract duration). In this regard, it should be clarified that these are concrete examples of the fact that, without adequate corrective measures, the exchange of information through EI Towers is likely to generate evident coordination effects in the digital broadcasting market.</w:t>
      </w:r>
    </w:p>
    <w:p>
      <w:r>
        <w:t>188 Cf. Doc. 14 (annex 11.6).</w:t>
      </w:r>
    </w:p>
    <w:p>
      <w:r>
        <w:rPr>
          <w:b/>
        </w:rPr>
        <w:t>[Pages 70–72]</w:t>
      </w:r>
    </w:p>
    <w:p>
      <w:r>
        <w:t xml:space="preserve">72 BULLETIN NO. 46 OF NOVEMBER 18, 2019  </w:t>
        <w:br/>
        <w:t xml:space="preserve">Figure 8 - Presentation to the Board of Directors of EI Towers on April 17, 2019189  </w:t>
        <w:br/>
        <w:t>189 See doc. 14 (annex 9.Q)</w:t>
      </w:r>
    </w:p>
    <w:p>
      <w:r>
        <w:t xml:space="preserve">BULLETIN NO. 46 OF NOVEMBER 18, 2019 73  </w:t>
        <w:br/>
        <w:t xml:space="preserve">138. Further elements of information exchange could arise from the fact that EI Towers controls the Head End of third-party network operators. In fact, according to what emerged during the investigation, control of the Head End involves knowledge of various information regarding the audio and video flows of network operators and the technologies used for that operational phase190. In this sense, it is important to note that Mediaset has brought the management of the Head End, previously managed by EI Towers before the transfer of control of the latter to F2i191, back into its corporate perimeter.  </w:t>
        <w:br/>
        <w:t xml:space="preserve">139. In this perspective, it should also be noted that F2i states that "Further shares of unused capacity could then be available [...] shortly, on the Mux operated by Elettronica Industriale"192. This information, related to the available capacity in the multiplex of a competitor of Persidera-MuxCo and managed in full-service mode by EI Towers, could derive precisely from the management of the Head End. In fact, the programming of the management activities of audio-video flows could determine an informational exchange regarding future audio-video flows carried by a network operator (for example, cessation/introduction of an audio-video flow, increase/reduction of quality level, etc.).  </w:t>
        <w:br/>
        <w:t xml:space="preserve">140. Another element that raises various coordinated competitive issues concerns the risk-sharing mechanism present in the contract between EI Towers-NetCo and MuxCo. This mechanism, according to the structure communicated during the notification193, appears critical in relation to two elements: (i) the transfer of information on revenues (actual and prospective) on a periodic basis from MuxCo to NetCo-EI Towers194; (ii) the compensation from EI Towers-NetCo to MuxCo of [omitted]%195 with a deductible and a maximum compensation cap. This mechanism involves a transfer of resources from NetCo-EI Towers in favor of MuxCo in the event of a budget lower than expected or a transfer from MuxCo to NetCo-EI Towers in the opposite case. Furthermore, considering the compensation cap, the maximum transfer affects [omitted]% of the annual fees of the service contract between EI Towers-NetCo and MuxCo. It is specified that, since EI Towers participates in this mechanism, Mediaset participates to the extent of 40% (the share of capital held in EI Towers).  </w:t>
        <w:br/>
        <w:t xml:space="preserve">141. Regarding the issues arising from the information exchange generated by this compensation mechanism, reference is made to the considerations made above, concerning the informational elements that EI Towers can acquire.  </w:t>
        <w:br/>
        <w:t xml:space="preserve">142. Regarding the suitability of the mechanism to produce coordinated effects, it should be noted that it operates both when MuxCo achieves revenues lower than budget targets and in the opposite case. This creates, as will be seen later, incentives to raise the prices of transmission capacity.  </w:t>
        <w:br/>
        <w:t xml:space="preserve">143. Suppose, for example, that MuxCo is experiencing a phase of budget contraction, with results below expectations. Normally, a competitive reaction would presuppose a reduction in prices to increase the capacity sold. However, in this case, MuxCo is compensated to the extent of [omitted]% of the revenue loss compared to the budget and a maximum of [omitted]% of the service contract costs and about [omitted]% of current annual revenues. Therefore, MuxCo could forgo such revenues rather than reduce prices. Mediaset participates in this compensation, through its shareholding in EI Towers, which can benefit from the fact that transmission capacity prices do not decrease (Elettronica Industriale is a competitor of Persidera-MuxCo) and there is no increase in the transmission capacity sold to media service providers (competitors of Mediaset in the television and television advertising markets).  </w:t>
        <w:br/>
        <w:t xml:space="preserve">144. The same incentive is found in the case where there is a budget exceeding expectations: increasing the number of customers or revenues of MuxCo would result in compensation in favor of EI Towers-NetCo. MuxCo would therefore be willing to do so only at a higher price than it would have without the presence of the compensation clause because, according to the contract, it has a greater burden (the compensatory burden) towards EI Towers-NetCo. Even in this case, Mediaset benefits in terms of reduced transmission capacity sold, higher prices, and fewer competitors in the television and advertising collection markets.  </w:t>
        <w:br/>
        <w:t xml:space="preserve">145. It should also be noted that the issues with this clause are linked to the presence of a minority shareholder, as this results in a transfer external to the F2i group that generates this incentivizing effect. In fact, if there were only an intra-group transfer (for example, in the hypothesis that EI Towers-NetCo and MuxCo were 100% owned by the same entity), the risk-sharing clause would be neutral and would only result in an intra-group transfer. What makes the clause potentially harmful is the result of the symmetry between negative and positive compensation and the presence of a vertically integrated minority shareholder; both circumstances ensure that the compensation does not have intra-group effects but rather impacts the vertical relationship and involves competing operators.  </w:t>
        <w:br/>
        <w:t xml:space="preserve">146. In conclusion, it is believed that the operation, as communicated and structured, is suitable to generate coordinated effects capable of determining competitive effects in the digital broadcasting market, with effects also on downstream markets, namely: (i) the free television market, of national geographical dimension; (ii) the retail market for pay television services, of national geographical dimension; (iii) the advertising collection market on television, of national geographical dimension.  </w:t>
        <w:br/>
        <w:t xml:space="preserve">VII.II.4 Further considerations regarding Persidera's position as a buyer of hosting services  </w:t>
        <w:br/>
        <w:t>147. Regarding the possible vertical effects and, in particular, the so-called customer foreclosure related to the fact that Persidera may reduce the demand for hosting services from Rai Way196, the following evaluations are made. It should be noted that currently, against approximately [100-200] million euros in annual revenue of Rai Way related to the Rai customer197, Persidera requests hosting services from Rai Way for an amount of approximately [1-10] million euros annually198, a value less than 1% of Rai Way's revenue from Rai. In light of the fact that currently</w:t>
      </w:r>
    </w:p>
    <w:p>
      <w:r>
        <w:rPr>
          <w:b/>
        </w:rPr>
        <w:t>[Pages 73–75]</w:t>
      </w:r>
    </w:p>
    <w:p>
      <w:r>
        <w:t>BULLETIN NO. 46 OF NOVEMBER 18, 2019 75</w:t>
      </w:r>
    </w:p>
    <w:p>
      <w:r>
        <w:t>Persidera uses Rai Way's hospitality services to an extremely limited extent (also considering the fact that Rai Way's revenue from Rai represents 95-100% of its revenue from broadcasters)199, it is not believed that the concentration operation, and the possible reallocation of such services from Persidera in favor of EI Towers, is likely to compromise Rai Way's presence in the market200, both considering the intra-group sales – from which almost all revenues derive – and the diversification of Rai Way's activities that occurred with the listing.</w:t>
      </w:r>
    </w:p>
    <w:p>
      <w:r>
        <w:t>148. In particular, in response to what Rai Way observed in its final submissions201, it should be noted that, according to the Commission's Guidelines202, "the concentration can significantly hinder effective competition in the upstream market only when the decrease in revenue due to vertical concentration affects a sufficiently large part of the upstream production." In fact, the verification of the foreclosure effects on customers is an analysis concerning the ability of a concentration to reduce competition in upstream markets, due to a lower contestability of customers. Such risks, however, occur where the reduction in demand is of such magnitude as to create a competitive disadvantage for competitors (for example, in terms of not achieving efficient scale) that compromises the competitive process.</w:t>
      </w:r>
    </w:p>
    <w:p>
      <w:r>
        <w:t>149. Indeed, the impact of the services requested by Persidera from Rai Way on the total revenue of the latter, which is less than 1%, appears to be such that it does not significantly affect Rai Way's revenues. In the absence of such an effect on a considerable part of the upstream production, the concentration operation does not seem likely to result in customer foreclosure effects. Therefore, it is not believed that the concentration could have a negative effect on competition regarding this specific aspect.</w:t>
      </w:r>
    </w:p>
    <w:p>
      <w:r>
        <w:t>VII.III The measures presented by the Parties</w:t>
      </w:r>
    </w:p>
    <w:p>
      <w:r>
        <w:t>150. The measures presented by the Parties consist of: (i) access and provision obligations for hospitality services, maintenance under fair, transparent, and non-discriminatory conditions, and in any case not worse than those currently practiced by EI Towers; (ii) obligations to provide full-service offerings under fair, reasonable, and non-discriminatory conditions according to a disaggregated approach, in which the network operator is free to define the scope of the services offered and the degree of technological autonomy; (iii) measures related to the independence of MuxCo; (iv) measures aimed at reducing the risk of information exchange between MuxCo, NetCo, EI Towers, F2i, and Mediaset; (v) measures aimed at eliminating the risk-sharing clause and introducing a clause for the transfer of part of the efficiencies generated on NetCo to MuxCo, benefiting its customers.</w:t>
      </w:r>
    </w:p>
    <w:p>
      <w:r>
        <w:t>151. With regard to the horizontal effects related to the provision of full-service offerings, it is noted that the obligation to provide services under fair, transparent, and non-discriminatory conditions, and in any case not worse than those currently practiced by EI Towers, appears – in light of the specific circumstances under which Persidera made the offer to Cairo Network and the presence of Rai Way in the digital broadcasting infrastructure market – to overcome the horizontal risks of the concentration operation. Furthermore, considering Rai Way's repeatedly expressed intention to expand the services provided to network operators203, it is believed that its competition – at least potential – could constitute an additional barrier to the market power of the new entity.</w:t>
      </w:r>
    </w:p>
    <w:p>
      <w:r>
        <w:t>152. With regard to the vertical effects, the access and provision obligations, under fair, transparent, and non-discriminatory conditions, of hospitality, maintenance, and full-service offerings appear suitable to eliminate vertical risks. Moreover, in light of the fact that full-service offerings are structured according to a modular scheme, in which the network operator can decide which services to acquire, the risk that the new entity could impose on network operators the management of certain technical phases (such as the Head End) of particular competitive relevance is reduced. In this way, the vertical risks related not only to economic terms but also to competition based on technological innovation are reduced. Finally, since the provision of such services is unconditional, the measures are also suitable to reduce the risk that the new entity imposes clauses that limit competition in the downstream digital broadcasting markets, in television markets, and in advertising collection on television media.</w:t>
      </w:r>
    </w:p>
    <w:p>
      <w:r>
        <w:t>153. The provision of hospitality, maintenance, and full-service offerings under fair, reasonable, and non-discriminatory conditions appears to be a measure suitable to create the same level playing field among all network operators, both national and local, in the future allocation of national and local frequencies. Through these measures, the risks that EI Towers could favor its internal divisions (Persidera) in future allocations are reduced. Network operators, in fact, will be placed in the same conditions due to the presence of non-discrimination measures for the provision of disaggregated hospitality, access, and full-service offerings, and therefore, the concentration operation will not affect the specific capacity of each operator to participate in the allocation tender. Furthermore, the obligation to provide modular services reduces the risk that EI Towers imposes the use of an aggregated service on those network operators who exclusively need certain disaggregated services (for example, only hospitality, only design, or only the implementation of a national or local frequency network).</w:t>
      </w:r>
    </w:p>
    <w:p>
      <w:r>
        <w:t>154. Regarding local frequencies, it should also be noted that Persidera "has not developed any intention to participate in the selection procedures for the allocation of frequency usage rights at the local level"204. Furthermore, EI Towers has stated that its investment prospects at the local and national level "do not contemplate any hypothesis of investment in frequency resources, an area exclusively pertaining to network operators, and instead focus on the aspects of efficient management of the infrastructure serving them"205.</w:t>
      </w:r>
    </w:p>
    <w:p>
      <w:r>
        <w:t>155. Moreover, concerning what Cairo Network observed regarding the hypothesis of margin squeeze conduct by Persidera, it should be noted that these necessarily presuppose an internal-external discrimination. Where, on the contrary, there is no discrimination between internal divisions (Persidera-MuxCo) and external customers (other network operators), an offer below cost from Persidera-MuxCo would be independent of the degree of vertical integration and could at most be considered as predatory pricing206. In this context, the non-discrimination measures appear effective in eliminating the risks of possible margin compression conduct and proportionate to the concrete risks that the realization of the operation could determine, while noting that predatory pricing conduct, such as those hypothesized by Cairo Network, could eventually be subject to specific investigative proceedings under the competition protection laws that prohibit their realization.</w:t>
      </w:r>
    </w:p>
    <w:p>
      <w:r>
        <w:t>156. With regard to coordinated effects, the provision regarding the independence of the majority of the board members of MuxCo (including the Chairman and the CEO), as well as the information segregation system adopted by NetCo and EI Towers towards Mediaset and F2i, appears to overcome the coordinated risks related to information exchanges. Furthermore, the elimination of the risk-sharing mechanism and the transfer of periodic revenue-related information from MuxCo to EI Towers-NetCo appears suitable to reduce further coordinated risks. In this regard, concerning what Rai Way observed207, it is believed that these measures in their entirety, in light of the corporate separation between MuxCo and NetCo, appear suitable to reduce the risk of information transfer to Mediaset regarding the audiovisual media service providers that are customers of MuxCo. In fact, the structural division between MuxCo – which manages audiovisual media service providers – and NetCo-EI Towers – which manage the transmission and broadcasting network – is complemented by further separations consisting of information segregation mechanisms and guarantees on the independence of the majority of the board members of MuxCo.</w:t>
      </w:r>
    </w:p>
    <w:p>
      <w:r>
        <w:t>157. Finally, it should be noted that the mechanism for sharing part of the efficiencies between NetCo and MuxCo appears suitable to allow the transfer to the downstream market of some of the cost benefits identified in NetCo. This mechanism addresses the concern present in the structure of the operation, as indicated in the initiation of the procedure, regarding the lack of transfer of any efficiency benefits to the downstream markets. With the measures proposed by the Parties, the transfer of part of the efficiencies realized on the Persidera-NetCo network to the downstream markets is permitted.</w:t>
      </w:r>
    </w:p>
    <w:p>
      <w:r>
        <w:t>VIII. THE OPINION OF THE AUTHORITY FOR GUARANTEES IN COMMUNICATIONS</w:t>
      </w:r>
    </w:p>
    <w:p>
      <w:r>
        <w:t>158. On November 7, 2019, the opinion of the Authority for Guarantees in Communications was received pursuant to Article 1, paragraph 6, letter c), no. 11, of Law No. 249 of July 31, 1997208, requested by the Authority on October 9, 2019.</w:t>
      </w:r>
    </w:p>
    <w:p>
      <w:r>
        <w:t>159. In the aforementioned opinion, AGCOM agrees with the definition of the relevant markets made by the Authority, noting that this definition is consistent with previous antitrust cases and AGCOM's orientation. Regarding digital broadcasting, AGCOM highlighted how the presence in the infrastructure market of vertically integrated operators produces effects on the competitive structure of the downstream markets, primarily in the offer of transmission capacity.</w:t>
      </w:r>
    </w:p>
    <w:p>
      <w:r>
        <w:rPr>
          <w:b/>
        </w:rPr>
        <w:t>[Pages 76–78]</w:t>
      </w:r>
    </w:p>
    <w:p>
      <w:r>
        <w:t>78 BULLETIN NO. 46 OF NOVEMBER 18, 2019</w:t>
      </w:r>
    </w:p>
    <w:p>
      <w:r>
        <w:t>by network operators and, consequently, at all stages of the production chain of the television sector (from the offering of audiovisual services to advertising collection) and recalls having already positively assessed the commitments concerning access obligations to transmission infrastructures, under fair and non-discriminatory conditions, undertaken by Elettronica Industriale within the framework of procedure C11205 – Elettronica Industriale/ Digital Multimedia Technologies.</w:t>
      </w:r>
    </w:p>
    <w:p>
      <w:r>
        <w:t>160. Finally, AGCOM has represented the regulatory interventions it has arranged, with particular reference to the transition scenarios due to the refarming of national and local digital frequencies, and has deemed it appropriate to express a favorable opinion on the draft final measure concerning the concentration operation consisting of the acquisition by F2i S.G.R. S.p.A. of exclusive control of Persidera S.p.A.</w:t>
      </w:r>
    </w:p>
    <w:p>
      <w:r>
        <w:t>IX. CONCLUSIONS</w:t>
      </w:r>
    </w:p>
    <w:p>
      <w:r>
        <w:t>161. In conclusion, the investigation in question has established that the concentration under examination would lead to the strengthening of the dominant position of the new entity in the market for broadcasting infrastructures such as to eliminate or substantially and durably reduce competition in that market and in the markets downstream of it, and in particular, in the markets (i) of digital broadcasting, (ii) of free television, (iii) of pay television, and (iv) of advertising collection on television media.</w:t>
      </w:r>
    </w:p>
    <w:p>
      <w:r>
        <w:t>162. All of this considered, it is believed that the commitments proposed by the Parties are suitable to address the competitive issues analyzed above. The notified concentration operation is, therefore, susceptible to being authorized conditionally upon the prescription, pursuant to Article 6, paragraph 2, of Law No. 10 October 1990, No. 287, of the measures referred to in paragraphs 99-102, in accordance with what has been proposed by the Parties.</w:t>
      </w:r>
    </w:p>
    <w:p>
      <w:r>
        <w:t>CONSIDERING that the operation in question is likely to determine, pursuant to Article 6 of Law No. 287/90, the strengthening of a dominant position in the market for broadcasting infrastructures such as to eliminate or substantially and durably reduce competition in that market and in the markets downstream of it, and in particular, in the markets (i) of digital broadcasting, (ii) of free television, (iii) of pay television, and (iv) of advertising collection on television media;</w:t>
      </w:r>
    </w:p>
    <w:p>
      <w:r>
        <w:t>CONSIDERING it necessary to prescribe, to F2i S.G.R. S.p.A., EI Towers S.p.A., Persidera S.p.A., and Mediaset S.p.A., pursuant to Article 6, paragraph 2, of Law No. 287/90, the measures to prevent the realization of the distorting effects caused by the realization of the concentration in question;</w:t>
      </w:r>
    </w:p>
    <w:p>
      <w:r>
        <w:t>CONSIDERING, therefore, that the operation in question is authorized subject to the full and effective execution of all the measures prescribed in this provision;</w:t>
      </w:r>
    </w:p>
    <w:p>
      <w:r>
        <w:t>RESOLVES</w:t>
      </w:r>
    </w:p>
    <w:p>
      <w:r>
        <w:t>to authorize the notified concentration operation, provided that F2i S.G.R. S.p.A., EI Towers S.p.A., Persidera S.p.A., and Mediaset S.p.A. fully and effectively execute the following measures prescribed pursuant to Article 6, paragraph 2, of Law No. 287/90:</w:t>
      </w:r>
    </w:p>
    <w:p>
      <w:r>
        <w:t>79 BULLETIN NO. 46 OF NOVEMBER 18, 2019</w:t>
      </w:r>
    </w:p>
    <w:p>
      <w:r>
        <w:t>a) EI Towers, also through controlled companies (jointly with EI Towers “EIT”), must grant access to its infrastructures − except in cases where there are objective physical, technical, or legal impediments − to all national television operators on terrestrial frequencies in digital technology that request it, including any new entrants following the refarming of frequencies, under fair, transparent, and non-discriminatory conditions. In particular, EIT will allow co-location or sharing of the infrastructures necessary for television broadcasting for transmission to end users on terrestrial frequencies in digital technology;</w:t>
      </w:r>
    </w:p>
    <w:p>
      <w:r>
        <w:t>b) EIT is required to grant access to the infrastructures even where this involves making investments to adapt and/or expand the sites; in such circumstances, the new entity must make the necessary investments from the perspective of a commercially independent tower company;</w:t>
      </w:r>
    </w:p>
    <w:p>
      <w:r>
        <w:t>c) EIT must offer the service of managing transmission facilities − including installation as well as preventive and corrective maintenance of the facilities − under fair, transparent, and non-discriminatory conditions, providing specific service levels guaranteed by adequate penalties. The management service of the transmission facilities may also be performed by the network operator, either directly or through expressly delegated third parties. To this end, EIT must grant access to the infrastructures to customers and their service providers according to procedures and methods that ensure the continuity of services for third parties and the safety of all equipment and installations present in the same infrastructures;</w:t>
      </w:r>
    </w:p>
    <w:p>
      <w:r>
        <w:t>d) EIT will make public a price list indicating the location of access points, the base price of hosting services and basic ancillary services, as well as the contractual conditions, general terms, and technical rules for the provision of the services in question. The price list must be developed based on the power cuts of the equipment to be hosted at the sites and the transmitting/receiving aerial infrastructures that may be hosted on the towers. The price list must provide, for hosting services and ancillary services, fair and cost-oriented economic conditions; in any case, the economic conditions provided cannot be worse than those currently practiced by EIT for its customers in equivalent situations;</w:t>
      </w:r>
    </w:p>
    <w:p>
      <w:r>
        <w:t>e) based on the public price list, EIT will prepare, for each third party requesting the provision of access services and related services on the transmission infrastructures for the installation and management of a national television broadcasting network on terrestrial frequencies in digital technology, a disaggregated offer regarding the economic and technical conditions for the provision of the services in question. The disaggregated offer must contain at least the following information: (i) regarding each access point, the related access conditions and the availability of any radiating systems/receiving antennas; (ii) information on the availability and performance of ancillary systems (power distribution system, emergency generator, etc.); (iii) any costs for site preparation/adaptation; (iv) conditions for the provision of facility management services (installation, maintenance, etc.); (v) service levels and related penalties; (vi) aspects related to safety; (vii) economic value of the related offers, including methods and terms of payment; (viii) duration of contracts and renewal methods;</w:t>
      </w:r>
    </w:p>
    <w:p>
      <w:r>
        <w:t>80 BULLETIN NO. 46 OF NOVEMBER 18, 2019</w:t>
      </w:r>
    </w:p>
    <w:p>
      <w:r>
        <w:t>f) in handling requests from third parties and in providing access and use of the infrastructures, EIT will apply the same economic and technical conditions and the same procedures applied to relationships with companies connected to or controlled by it in equivalent situations. EIT will also provide third parties with information in the same manner applicable to relationships with companies connected to or controlled by it;</w:t>
      </w:r>
    </w:p>
    <w:p>
      <w:r>
        <w:t>g) if the potential customer opts for a more articulated service level, defined as “coverage” or “full service” (aimed at ensuring the customer the provision, turnkey, of a network with a certain national coverage and with certain service levels in terms of continuity of signal transmission in the territory), EIT must offer this service under fair, transparent, and non-discriminatory conditions compared to the service offered to controlling, affiliated, or jointly controlled companies. In any case, the economic conditions provided cannot be worse than those currently practiced by EIT for its customers in equivalent situations. The standard articulation level of the service (“Full Service Base”) includes:</w:t>
        <w:br/>
        <w:t>- the design of the network, through the identification of broadcasting sites and the definition of the distribution network architecture;</w:t>
        <w:br/>
        <w:t>- the taking over of the already compressed signal, downstream of the Head End;</w:t>
        <w:br/>
        <w:t>- the synchronization and distribution of the signal to the broadcasting sites using the appropriate distribution platforms;</w:t>
        <w:br/>
        <w:t>- the management of the signal broadcasting through the integration of reception systems and radiating systems, owned or available to EIT, with transmitters owned or available to the network operator.</w:t>
      </w:r>
    </w:p>
    <w:p>
      <w:r>
        <w:t>It will be at the customer's discretion to request EIT to provide a more articulated level of service that includes, alternatively or cumulatively:</w:t>
        <w:br/>
        <w:t>(i) the provision of so-called Head End services;</w:t>
        <w:br/>
        <w:t>(ii) the provision of transmitters, without prejudice to the operator's option to purchase them at the time of termination of the relationship;</w:t>
        <w:br/>
        <w:t>(iii) the service of quality control and measurement of signals in the territory.</w:t>
      </w:r>
    </w:p>
    <w:p>
      <w:r>
        <w:t>EIT will make public the essential contractual conditions for the definition of the Full Service, in terms of:</w:t>
        <w:br/>
        <w:t>(iv) coverage objectives;</w:t>
        <w:br/>
        <w:t>(v) level of redundancy of the distribution network and level of redundancy of broadcasting equipment at the transmission sites;</w:t>
        <w:br/>
        <w:t>(vi) SLA and penalties;</w:t>
      </w:r>
    </w:p>
    <w:p>
      <w:r>
        <w:t>h) EIT must prepare and maintain, for the entire duration of the commitments, a storage system that ensures the traceability of access requests received from television operators and their outcomes, accompanied by relevant justifications. This documentation must be kept for two years from the date of formalization of the access request;</w:t>
      </w:r>
    </w:p>
    <w:p>
      <w:r>
        <w:rPr>
          <w:b/>
        </w:rPr>
        <w:t>[Pages 79–81]</w:t>
      </w:r>
    </w:p>
    <w:p>
      <w:r>
        <w:t>BULLETIN NO. 46 OF NOVEMBER 18, 2019 81</w:t>
      </w:r>
    </w:p>
    <w:p>
      <w:r>
        <w:t xml:space="preserve">i) if in the future the activities of the tower company and that of the network operator are not carried out by distinct companies, EIT must prepare and maintain separate accounting related to the activities of the tower company, allowing for verification of internal/external equal treatment;  </w:t>
        <w:br/>
        <w:t xml:space="preserve">j) the majority of the members of the Board of Directors of MuxCo, including the Chairman and the Chief Executive Officer, must satisfy, both with respect to MuxCo itself and to NetCo and EIT, the independence requirements set forth in Article 148, paragraph 3, of Legislative Decree No. 58 of February 24, 1998 – as referenced by Article 147-ter, paragraph 4, of the same – and by Article 3 of the Self-Regulatory Code;  </w:t>
        <w:br/>
        <w:t xml:space="preserve">k) any disputes that may arise regarding the economic conditions of EIT's offer may be submitted to the conciliation service of the Arbitration Chamber of Milan;  </w:t>
        <w:br/>
        <w:t xml:space="preserve">l) F2i and Mediaset will modify the shareholders' agreement between F2i TLC and Mediaset concerning EI Towers dated July 16, 2018, as well as the Statute of EI Towers itself, in order to exclude the veto right of the minority shareholder of EI Towers with respect to operations carried out by EIT with MuxCo and NetCo and their subsidiaries;  </w:t>
        <w:br/>
        <w:t xml:space="preserve">m) F2i, EI Towers, and Mediaset must ensure that, in the meetings of the Board of Directors of EI Towers, concerning potential agreements and/or operations with companies operating in the national markets for television broadcasting services on terrestrial networks in digital technology (DTT), the Directors designated by the minority shareholder of EI Towers do not receive the relevant information, do not participate in the related discussion and deliberation, and do not receive the minutes related to the aforementioned subject;  </w:t>
        <w:br/>
        <w:t xml:space="preserve">n) F2i and EI Towers will modify, in the service contract between EI Towers, NetCo, and MuxCo, the risk-sharing mechanism, eliminating the transfer of prospective budget information and compensations for risk sharing, inserting a mechanism for sharing efficiencies, as provided in the new text of Annex D to the contract, transmitted on September 23, 2019;  </w:t>
        <w:br/>
        <w:t xml:space="preserve">o) EIT will transmit to the Authority, within one year from the notification of the authorization provision, and subsequently on an annual basis, a detailed report on the implementation methods of the measures prescribed by this provision, pursuant to Article 6, paragraph 2, of Law No. 287/90. Any subsequent modifications of the same must also be communicated to the Authority.  </w:t>
        <w:br/>
        <w:t xml:space="preserve">The measures referred to in points a)-o) will come into effect upon notification of the authorization provision for this operation and will remain in effect for an indefinite duration.  </w:t>
        <w:br/>
        <w:t xml:space="preserve">This provision will be notified to the interested parties and published in the Bulletin of the Competition and Market Authority.  </w:t>
        <w:br/>
        <w:t>209 See doc. 107, annex 3.</w:t>
      </w:r>
    </w:p>
    <w:p>
      <w:r>
        <w:t xml:space="preserve">82 BULLETIN NO. 46 OF NOVEMBER 18, 2019  </w:t>
        <w:br/>
        <w:t xml:space="preserve">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w:t>
        <w:br/>
        <w:t>Filippo Arena Roberto Rustichelli</w:t>
      </w:r>
    </w:p>
    <w:p>
      <w:r>
        <w:t xml:space="preserve">BULLETIN NO. 46 OF NOVEMBER 18, 2019 83  </w:t>
        <w:br/>
        <w:t xml:space="preserve">REPORTING AND CONSULTATIVE ACTIVITY  </w:t>
        <w:br/>
        <w:t xml:space="preserve">AS1622 – GROWTH DECREE - MODALITIES FOR RECOVERY OF CREDITS BY THE ASSIGNEE WITHIN THE FRAMEWORK OF TAX INCENTIVES FOR INSTALLATION OF PHOTOVOLTAIC SYSTEMS  </w:t>
        <w:br/>
        <w:t xml:space="preserve">Rome, October 31, 2019  </w:t>
        <w:br/>
        <w:t xml:space="preserve">President of the Chamber of Deputies  </w:t>
        <w:br/>
        <w:t xml:space="preserve">President of the Senate of the Republic  </w:t>
        <w:br/>
        <w:t xml:space="preserve">President of the Council of Ministers  </w:t>
        <w:br/>
        <w:t xml:space="preserve">Revenue Agency  </w:t>
        <w:br/>
        <w:t xml:space="preserve">In exercising the reporting powers under Article 21 of Law No. 287 of October 10, 1990, the Authority, in its meeting of October 29, 2019, intended to formulate some considerations regarding the competitive criticalities arising from Article 10, paragraph 3-ter, of Decree Law No. 34 of April 30, 2019, containing "Urgent measures for economic growth to resolve specific crisis situations" (so-called Growth Decree, hereinafter also "Growth Decree" or "primary norm"), as amended during conversion by Law No. 58 of June 28, 2019, supplementing the current regulations on tax incentives recognized in cases of interventions related to the sale and installation of photovoltaic systems, as well as with reference to the implementing provision of this norm, No. 660057/2019, issued by the Revenue Agency on July 31, 2019 (hereinafter also the "Implementing Provision").  </w:t>
        <w:br/>
        <w:t xml:space="preserve">In general terms, the Authority shares the effort made by the national legislator over the years, aimed at promoting, also through the instrument of tax incentives, the development of "green" and renewable energies – and therefore the installation of photovoltaic systems – due to the significant benefits they entail from an environmental perspective and in favor of an ever-expanding development of the related markets.  </w:t>
        <w:br/>
        <w:t xml:space="preserve">That said, however, the Authority considers it appropriate to highlight the possible distorting effects on competition arising from the combined provisions of Article 10, paragraph 3-ter, of the Growth Decree and the aforementioned Implementing Provision of the Revenue Agency, in light of the current configuration of the supply structure for the provision and installation of photovoltaic systems.  </w:t>
        <w:br/>
        <w:t>1 In force since June 30, 2019.</w:t>
      </w:r>
    </w:p>
    <w:p>
      <w:r>
        <w:rPr>
          <w:b/>
        </w:rPr>
        <w:t>[Pages 82–84]</w:t>
      </w:r>
    </w:p>
    <w:p>
      <w:r>
        <w:t>84 BULLETIN NO. 46 OF NOVEMBER 18, 2019</w:t>
      </w:r>
    </w:p>
    <w:p>
      <w:r>
        <w:t>Regarding the tax incentives provided for this latter type of interventions (included in the cases provided for by Article 16-bis, paragraph 1, letter h) of D.P.R. No. 917 of December 22, 1986) as typical energy efficiency interventions, as is known, with Article 16, paragraph 1, of D.L. No. 63, of June 4, 2013, converted with amendments into Law, containing "Urgent provisions for the transposition of Directive 2010/31/EU of the European Parliament and of the Council of May 19, 2010, on the energy performance of buildings for the definition of infringement procedures initiated by the European Commission, as well as other provisions on social cohesion," it has been increased in favor of the subjects intending to carry out interventions related to the installation of such systems, the deduction of expenses incurred from 36% to 50% and up to a total expenditure amount (also increased from 48,000 euros to 96,000 euros).</w:t>
      </w:r>
    </w:p>
    <w:p>
      <w:r>
        <w:t>Subsequently, regarding the methods of enjoying such incentives, Article 10, paragraph 3-ter of the Growth Decree has provided that "starting from the date of entry into force of the conversion law of this decree, for the interventions referred to in Article 16-bis, paragraph 1, letter h), of the consolidated text of income taxes, as per the decree of the President of the Republic of December 22, 1986, No. 917, the beneficiaries of the deduction may opt for the transfer of the corresponding credit in favor of the suppliers of the goods and services necessary for the realization of the interventions [...]".</w:t>
      </w:r>
    </w:p>
    <w:p>
      <w:r>
        <w:t>In essence, the aforementioned Article 10, paragraph 3-ter, has recognized to the beneficiaries of the deduction provided by the T.U. and subsequent amendments, the possibility to opt for the transfer of the corresponding credit in favor of the suppliers of the goods and services necessary for the realization of the interventions.</w:t>
      </w:r>
    </w:p>
    <w:p>
      <w:r>
        <w:t>In implementation of the indicated provision, the aforementioned implementing measure of the Revenue Agency of July 31, 2019, has equated, by analogy, the methods of enjoying tax incentives for the installation of photovoltaic systems to those provided for interventions in seismic risk areas, establishing that the assignee of the credit may recover said credit exclusively through tax compensation of previous debts, without any annual ceiling provision.</w:t>
      </w:r>
    </w:p>
    <w:p>
      <w:r>
        <w:t>In particular, paragraph 5, point 5.5, of the Measure identifies the methods of enjoyment of the credits transferred by the assignees for the two aforementioned types of described interventions, expressly providing that "the transferred credits referred to in points 5.1. and 5.2 are usable by the assignee, respectively in five [sismabonus] and ten [interventions related to photovoltaic systems] annual installments of equal amount, exclusively in compensation, pursuant to Article 17 of Legislative Decree No. 241 of July 9, 1997, without the application of the limits referred to in Article 34 of Law No. 388 of December 23, 2000, and Article 1, paragraph 53, of Law No. 244 of December 24, 2007 [emphasis added]".</w:t>
      </w:r>
    </w:p>
    <w:p>
      <w:r>
        <w:t>On this point, it is evident that the mechanisms of tax incentives for users, such as the transfer of credit defined by the primary norm, together with recovery methods through compensation mechanisms of the transferred credit, as expressly provided by the implementing measure, can promote market development, provided they do not result, in practice, discriminatory of the offer.</w:t>
      </w:r>
    </w:p>
    <w:p>
      <w:r>
        <w:t>Therefore, the described regulatory corpus, constituted by the combined reading of Article 10, paragraph 3-ter, of the Growth Decree and the related implementing measure of the Revenue Agency, is overall distorting of market dynamics, as the envisaged method of enjoyment by end customers of tax incentives effectively identifies competitive advantages only for certain companies, due to their subjective characteristics.</w:t>
      </w:r>
    </w:p>
    <w:p>
      <w:r>
        <w:t>The instrument of credit transfer in the case of interventions for the installation of photovoltaic systems is provided in the primary norm, which does not provide for the methods of recovery of said credit by the assignee. In this context, the implementing measure of the Revenue Agency, in analogy to what is expressly provided by the norm for the sismabonus and ecobonus, establishes for companies the possibility to offset the acquired credits with their tax debts, expressly providing that the legal limits for such compensations do not apply.</w:t>
      </w:r>
    </w:p>
    <w:p>
      <w:r>
        <w:t>In this regard, it should be noted that, due to the possibility of offsetting the acquired credit without limits, the transfer of the tax credit effectively translates into a differential competitive advantage in favor of larger companies and/or large energy traders. They, in fact, not only have ample liquidity as well as significant capacity to resort to bank credit and/or impose the timing of payments to their suppliers to fill liquidity gaps related to the acquisition of credits, but are also structurally favored in the possibility of recovering the credit in tax compensation due to the fact that they are typically large tax debtors. Conversely, the companies currently leading the offer of photovoltaic panel installation services are small-sized companies, which are structurally in a tax credit position, due to the differentiated VAT regime for the purchase of machinery and the provision of services. The instrument of credit transfer with recovery through compensation is difficult, if not impossible, for these latter companies to utilize.</w:t>
      </w:r>
    </w:p>
    <w:p>
      <w:r>
        <w:t>In this way, the outlined regulatory corpus – favoring only large economic operators, new entrants in the market, typically multiutilities, to the detriment of small and medium-sized enterprises – appears capable of introducing unjustified mechanisms of alteration of the structure of the offer in a concentrated sense, without there being evidence of advantages for end consumers due to the characteristics of the services offered and the nature of the underlying costs.</w:t>
      </w:r>
    </w:p>
    <w:p>
      <w:r>
        <w:t>In conclusion, the Authority believes that the entire regulatory corpus as illustrated above (primary norm and implementing measure) may generate an undue distortion in the offer of photovoltaic installation services, with evident negative repercussions on consumers who would see their freedom of choice significantly reduced.</w:t>
      </w:r>
    </w:p>
    <w:p>
      <w:r>
        <w:t>Having said that, the Authority hopes that the addressed bodies will take due consideration of the considerations made. In particular, while preserving the instrument of credit transfer as a measure aimed at incentivizing various interventions in the field of energy efficiency through the acquisition of immediate benefits for the consumer, it is necessary that they proceed to evaluate appropriate modifications to the concrete methods of recovery of the acquired credits by the assignees that are neutral with respect to the different characteristics of the companies involved, for example, regarding the specific case, expressly providing, in the modification of the primary norm, the impossibility of a tax compensation of the transferred credit without any limit.</w:t>
      </w:r>
    </w:p>
    <w:p>
      <w:r>
        <w:t>This report will be published in the Bulletin referred to in Article 26 of Law No. 287/90.</w:t>
      </w:r>
    </w:p>
    <w:p>
      <w:r>
        <w:t>THE PRESIDENT</w:t>
        <w:br/>
        <w:t>Roberto Rustichelli</w:t>
      </w:r>
    </w:p>
    <w:p>
      <w:r>
        <w:rPr>
          <w:b/>
        </w:rPr>
        <w:t>[Pages 85–87]</w:t>
      </w:r>
    </w:p>
    <w:p>
      <w:r>
        <w:t xml:space="preserve">BULLETIN NO. 46 OF NOVEMBER 18, 2019 87  </w:t>
        <w:br/>
        <w:t xml:space="preserve">AS1623 – MUNICIPALITY OF NAGO TORBOLE (TN) – ASSIGNMENT OF SPORTS FACILITY  </w:t>
        <w:br/>
        <w:t xml:space="preserve">Rome, November 12, 2019  </w:t>
        <w:br/>
        <w:t xml:space="preserve">Autonomous Province of Trento  </w:t>
        <w:br/>
        <w:t xml:space="preserve">With reference to the provincial law of April 21, 2016, No. 4, concerning the Promotion of Sport and Trentino Sports Associations published in b.u. April 26, 2016, No. 17, suppl. No. 4, the Authority for the Guarantee of Competition and the Market, in its meeting of October 29, 2019, deemed it appropriate to carry out, pursuant to Article 21 of Law No. 287 of October 10, 1990, the following considerations regarding the anticompetitive effects of the same for the aspects that follow.  </w:t>
        <w:br/>
        <w:t xml:space="preserve">Specifically, it notes the provision set forth in Article 30 of the aforementioned law aimed at regulating the ordinary management of facilities, stating that “Local authorities, based on agreements that establish the criteria for use and prior determination of the general and objective criteria for identifying the entrusted subjects, may entrust the management and grant the use of their sports facilities directly to sports and amateur sports associations, sports promotion bodies, associated sports disciplines, and sports federations based in their territory and that carry out the sports discipline related to the facilities, following an adequate competitive comparison among them […]”.  </w:t>
        <w:br/>
        <w:t xml:space="preserve">In particular, it is highlighted how the criterion of territorial rooting, according to which the subjects that can compete for the management of the facilities must necessarily be based in the municipal territory where the facilities themselves are located, appears restrictive of competition to the extent that it does not favor the widest possible participation of potential interested operators, conflicting with the principles of non-discrimination and equal treatment.  </w:t>
        <w:br/>
        <w:t xml:space="preserve">According to the established orientation of the Authority1, the choice to limit the possibility of participation in the selection for the management of the facilities to only those subjects based in the territory constitutes a discriminatory preferential criterion, as it favors operators located in a certain geographical area to the detriment of others without this being justifiable in relation to the requested service.  </w:t>
        <w:br/>
        <w:t xml:space="preserve">The Authority also noted that it is a shared principle2 that territorial rooting cannot constitute a criterion that can reasonably affect the requested performance, ultimately determining a benefit entirely detached from the objective characteristics of the offer.  </w:t>
        <w:br/>
        <w:t xml:space="preserve">In this regard, the norm presents an anticompetitive scope, conflicting with the aforementioned principles of equal treatment and non-discrimination. In conclusion, the selective criterion provided in the norm appears unjustifiably discriminatory and does not respond to the need to favor the widest possible participation of potential interested operators and conflicts with the principles of non-discrimination and equal treatment.  </w:t>
        <w:br/>
        <w:t xml:space="preserve">This report will be published in the Bulletin of the Authority for the Guarantee of Competition and the Market pursuant to Article 26 of Law No. 287/90.  </w:t>
        <w:br/>
        <w:t xml:space="preserve">THE PRESIDENT  </w:t>
        <w:br/>
        <w:t xml:space="preserve">Roberto Rustichelli  </w:t>
        <w:br/>
        <w:t>1 See, among others, the report of January 25, 2017, Friuli Venezia Giulia Region - Regional Policies in the Tourism Sector and the Attractiveness of the Regional Territory, AS1353 and the reports of June 19, 2014, AS1135 - provisions contained in some regional and provincial laws regarding tourism professions, of May 9, 2012, AS948 - Municipality of Rome - Provisions regarding the service of rental with driver, of July 14, 2010, AS732 - Criteria for the awarding of contributions for guarantee funds, and of September 16, 2009, AS615 - Province of Trento - Minimum requirements for the accreditation of companies for ICEF declarations; the opinion pursuant to Article 22 of Law No. 287/90 of January 25, 2012, AS914 - Draft decree of the Presidency of the Council of Ministers on tourism professions; the motivated opinions pursuant to Article 21-bis of Law No. 287/90 of February 11, 2015, AS1190 - CCIAA of PADOVA – Call for consortia for participation in the chamber fund, of April 23, 2013, AS1053 - Province of Bergamo - Requirements for registration in the regional register of cooperatives.</w:t>
      </w:r>
    </w:p>
    <w:p>
      <w:r>
        <w:t xml:space="preserve">88 BULLETIN NO. 46 OF NOVEMBER 18, 2019  </w:t>
        <w:br/>
        <w:t xml:space="preserve">UNFAIR COMMERCIAL PRACTICES  </w:t>
        <w:br/>
        <w:t xml:space="preserve">PS11376 - COPYRIGHT - PAYMENT REQUESTS  </w:t>
        <w:br/>
        <w:t xml:space="preserve">Provision No. 27920  </w:t>
        <w:br/>
        <w:t xml:space="preserve">THE AUTHORITY FOR THE GUARANTEE OF COMPETITION AND THE MARKET  </w:t>
        <w:br/>
        <w:t xml:space="preserve">IN ITS MEETING of September 25, 2019;  </w:t>
        <w:br/>
        <w:t xml:space="preserve">HEARD the Rapporteur Dr. Gabriella Muscolo;  </w:t>
        <w:br/>
        <w:t xml:space="preserve">VIEWING Part II, Title III, of Legislative Decree No. 206 of September 6, 2005, containing the “Consumer Code” and subsequent amendments (hereinafter, Consumer Code);  </w:t>
        <w:br/>
        <w:t xml:space="preserve">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VIEWING the acts of the procedure;  </w:t>
        <w:br/>
        <w:t xml:space="preserve">I. THE PARTY  </w:t>
        <w:br/>
        <w:t xml:space="preserve">1. Objective Concept Sarl, as a professional, pursuant to Article 18, paragraph 1, letter b), of the Consumer Code.  </w:t>
        <w:br/>
        <w:t xml:space="preserve">The company offers a service for the registration of intellectual creations (stories, poems, theses, projects, website content, drawings, photos, logos, etc.) through a network of over 50 websites worldwide, including the Italian site https://copyright.it.  </w:t>
        <w:br/>
        <w:t xml:space="preserve">The professional did not provide its accounting data during the procedure.  </w:t>
        <w:br/>
        <w:t xml:space="preserve">II. THE COMMERCIAL PRACTICE  </w:t>
        <w:br/>
        <w:t xml:space="preserve">2. The procedure concerns the behaviors carried out by Objective Concept Sarl, consisting of the dissemination - through the site https://copyright.it - of misleading information regarding the identity of the professional providing the service of registering intellectual creations, the nature, characteristics, and economic conditions of the advertised offer, as well as the opposition of obstacles to the exercise by consumers and professionals of the rights arising from the contractual relationship.  </w:t>
        <w:br/>
        <w:t xml:space="preserve">3. The aforementioned conduct has been the subject of numerous reports, received between October 2017 and August 2019, both from consumers and professionals.  </w:t>
        <w:br/>
        <w:t xml:space="preserve">III. THE RESULTS OF THE PROCEDURE  </w:t>
        <w:br/>
        <w:t xml:space="preserve">1) The course of the procedure  </w:t>
        <w:br/>
        <w:t>4. In relation to the conduct described above, on March 4, 2019, Objective Concept Sarl was notified of the initiation of investigative procedure No. PS11376, for alleged violations of Articles 21, 22, 24, and 25, paragraph 1, letter d), of the Consumer Code.</w:t>
      </w:r>
    </w:p>
    <w:p>
      <w:r>
        <w:rPr>
          <w:b/>
        </w:rPr>
        <w:t>[Pages 88–90]</w:t>
      </w:r>
    </w:p>
    <w:p>
      <w:r>
        <w:t>90 BULLETIN NO. 46 OF NOVEMBER 18, 2019</w:t>
      </w:r>
    </w:p>
    <w:p>
      <w:r>
        <w:t>5. On April 3, 2019, the professional submitted a defensive memorandum, partially responding to the request for information contained in the initiation communication.</w:t>
        <w:br/>
        <w:t>6. On April 11, 2019, a request for information was sent to Objective Concept Sarl, which went unanswered.</w:t>
        <w:br/>
        <w:t>7. On July 9, 2019, the Party was informed of the conclusion date of the investigative phase pursuant to Article 16, paragraph 1, of the Regulation; the professional did not produce concluding memoranda.</w:t>
        <w:br/>
        <w:t>8. On August 7, 2019, an opinion was requested from the Authority for Communications Guarantees.</w:t>
      </w:r>
    </w:p>
    <w:p>
      <w:r>
        <w:t>2) The evidence acquired</w:t>
        <w:br/>
        <w:t>a) Dissemination of misleading messages about essential elements of the offer</w:t>
        <w:br/>
        <w:t>9. On the homepage of the website https://copyright.it and on the screens accessible through the links "Who We Are?" and "Contact Us" located on the same homepage, the following statements about the company to which the offer of the service for the registration of creative works seems attributable are reported: “Copyright.it, European leader in copyright deposit,” “Copyright.it is the Italian choice for online copyright registration services. With a network of over 50 websites worldwide, Copyright.it legally registers online over 100,000 creative works, designs, websites, content, and projects every year,” “Copyright.it is an independent company from any national intellectual property office”1.</w:t>
        <w:br/>
        <w:t>In a box located at the bottom of all screens of the company website under the specification “Our Address,” an Italian geographical address is indicated without mentioning the name of the professional.</w:t>
        <w:br/>
        <w:t>Only in the document for optional consultation “terms of sale,” accessible via a link2 present both on the purchase process screen and at the bottom of the homepage of the website in question, Article 2 indicates the true identity of the professional: “From the site COPYRIGHT.it, the company OBJECTIVE CONCEPT offers a certified Digital Replacement service by a notary for every type of work (models, memoranda, documents, stories, texts, photographs, etc.), constituting a form of proof of authorship of the creation and giving it a certain date.” Furthermore, at the end of the same document, the actual legal address of the company Objective Concept Sarl is indicated, which does not correspond to the previously mentioned Italian address, but to a French address3.</w:t>
        <w:br/>
        <w:t>10. The same homepage contains information about the service offered by Objective Concept Sarl with a description of the different packages available for consumers and professionals concerning the various types of creations to be protected and the related price (ranging from 39 to 149 euros), which remunerates “the copyright registration, the preservation with the notary for 30 years, the sending of the certificate via email, the private link to the consumer's certificate.” The activities that make up the registration service are indicated in more detail on the webpage accessible through the link “Who We Are,” as follows: “1) Indelible marking of the priority of your works, ideas, domain names, and creations of every kind through an electronic timestamping system that is unforgeable and irrefutable in case of dispute; 2) Legal certification of copyright deposit by a judicial officer; 3) Sending a copy of your copyright certificate to your email address and to a judicial office.”</w:t>
        <w:br/>
        <w:t>Immediately after, it is specified that, once these formalities are completed, “your Copyright will be valid for life!”.</w:t>
        <w:br/>
        <w:t>The fact that the contracts related to the service provide for the activation of a subscription with automatic renewal is mentioned exclusively in Article 9 of the aforementioned optional consultation document “general terms of sale,” where it is clarified that “Contracts entered into with Copyright are valid for one year from the date of signing. All contracts are tacitly renewed at the end of the subscription year, unless the customer sends a registered letter within 30 days prior to the contract's expiration date…[…]…”.</w:t>
        <w:br/>
        <w:t>The requests for intervention received confirm that the complainants in the pre-contractual phase were not adequately informed about the actual nature of the contractual relationship subject to the professional's offer4.</w:t>
      </w:r>
    </w:p>
    <w:p>
      <w:r>
        <w:t>b) Imposition of obstacles to the exercise of contractual rights</w:t>
        <w:br/>
        <w:t>11. From the reports acquired in the records, it appears that Objective Concept Sarl, at the time of the first annual renewal of the subscription or, in some cases, after several years from the activation of the service, sends users a communication stating that “if you wish to close the account, simply do nothing and it will be closed automatically”5. Subsequently, Objective Concept Sarl sends the same customers a payment reminder with the subject “Unpaid Invoice - Final Notice Before Legal Action. Click here to pay the bill,” justifying the sending with the fact that the subscriber has not exercised the right of withdrawal via registered letter within the 30 days preceding the contract expiration date. The communication also contains the following warning: “If we do not receive a response within 10 days, we will be forced to take legal action against you, forwarding your data to our legal department. Please note that the full payment of the invoice will be increased by the costs related to this action, which can be very burdensome”6.</w:t>
        <w:br/>
        <w:t>In any case, the complainants reported that despite following the procedure indicated by the professional, they were unable to withdraw from the subscription, as all attempts to communicate with Objective Concept Sarl to obtain information about their contractual rights using the Italian geographical address, reported at the bottom of all screens of the site, the email or the phone number indicated on the webpage accessible by clicking the link “Contact Us”7, were in vain.</w:t>
        <w:br/>
        <w:t>Consequently, they received further payment reminders, some of which had the subject “Payment Reminder: Legal Proceedings Initiated Against You! Click here to pay the invoice and stop the proceedings”8.</w:t>
      </w:r>
    </w:p>
    <w:p>
      <w:r>
        <w:t>4 See reports: prot. no. 21533 of February 19, 2018; no. 29685 of March 23, 2018; no. 41576 of May 16, 2018; no. 45123 of May 31, 2018; no. 52030 of July 6, 2018; nos. 22565 and 22566 of March 7, 2019; no. 26129 of March 26, 2019; no. 28307 of April 4, 2019 and no. 55787 of August 16, 2019.</w:t>
        <w:br/>
        <w:t>5 Reports prot. no. 73557 of October 2, 2017, no. 41576 of May 16, 2018, no. 28307 of April 4, 2019.</w:t>
        <w:br/>
        <w:t>6 See reports prot. no. 29685 of March 23, 2018; no. 41576 of May 16, 2018; nos. 22565 and 22566 of March 7, 2019; no. 28307 of April 4, 2019 and no. 55787 of August 16, 2019.</w:t>
        <w:br/>
        <w:t>7 See reports prot. no. 21533 of February 19, 2018; no. 41576 of May 16, 2018; no. 45123 of May 31, 2018; no. 52030 of July 6, 2018.</w:t>
        <w:br/>
        <w:t>8 See reports prot. no. 29685 of March 23, 2018 and no. 41576 of May 16, 2018.</w:t>
      </w:r>
    </w:p>
    <w:p>
      <w:r>
        <w:t>92 BULLETIN NO. 46 OF NOVEMBER 18, 2019</w:t>
      </w:r>
    </w:p>
    <w:p>
      <w:r>
        <w:t>3) The defensive arguments of the professional</w:t>
        <w:br/>
        <w:t>12. In the memorandum of April 3, 2019, the professional presented the following considerations regarding the allegations made in the initiation communication:</w:t>
        <w:br/>
        <w:t>a) the conditions of the advertised offer would be completely transparent as the user would have clear information both about the company and the proposed service. In particular, customers would be fully aware of the terms of subscription to the services as they must accept the terms of sale, which can be consulted through a link before purchase9;</w:t>
        <w:br/>
        <w:t>b) in the thirty days preceding the expiration of the contract, Objective Concept Sarl would inform customers about the imminent tacit renewal of the same, accepting cancellation communications received by mail or email at the address contatto@copyright.it. Furthermore, for customers who do not fulfill their payment obligations, the sending of emails aimed at recovering overdue amounts would be provided, preceded by the sending of “various friendly payment reminders”;</w:t>
        <w:br/>
        <w:t>c) the right of withdrawal of customers would be respected in any case, and the number of subscribers exercising it would be extremely low since “In Italy, the renewal cancellation rate is 17% annually.”</w:t>
      </w:r>
    </w:p>
    <w:p>
      <w:r>
        <w:t>IV. OPINION OF THE AUTHORITY FOR COMMUNICATIONS GUARANTEES</w:t>
        <w:br/>
        <w:t>13. Since the commercial practice subject to this provision has been disseminated via the internet, on August 7, 2019, an opinion was requested from the Authority for Communications Guarantees, pursuant to Article 27, paragraph 6, of the Consumer Code.</w:t>
        <w:br/>
        <w:t>14. In an opinion received on August 20, 2019, the aforementioned Authority expressed its opinion clarifying in the premises that: (i) the internet is a global communication network capable of quickly offering the user a vast sequence of potential information likely to influence their behavior; (ii) in 2018, the share of households accessing the internet from home was 73.7% and the percentage of individuals purchasing online was 55.9%.</w:t>
        <w:br/>
        <w:t>With specific reference to the case at hand, the Authority for Communications Guarantees also noted that consulting the professional's website would not allow the consumer to obtain adequate information about the registration service offered for sale. Therefore, in this case, the internet proves to be a suitable tool to significantly influence the realization of the commercial practice subject to the procedure.</w:t>
      </w:r>
    </w:p>
    <w:p>
      <w:r>
        <w:t>V. CONCLUDING EVALUATIONS</w:t>
        <w:br/>
        <w:t>15. Preliminary observations indicate that the practice in question is likely to harm the economic behavior of both professionals and consumers. In fact, the reports come from both those who produce creative works within a professional10 intellectual/artistic activity and from those who produce such works occasionally,</w:t>
      </w:r>
    </w:p>
    <w:p>
      <w:r>
        <w:t>9 As mentioned, this link is present on the purchase process screen and at the bottom of the professional's website homepage along with other information.</w:t>
        <w:br/>
        <w:t>10 For the notion of “professional,” see the recent ruling of the Court of Justice in which the Court concludes that a natural person who publishes a certain number of advertisements for the sale of new and second-hand goods on a website must be classified as a “professional” and such activity constitutes “commercial practice” only if that person acts within the framework of their commercial, industrial, artisanal, or professional activity (see judgment of October 4, 2018 in case C-105/17).</w:t>
      </w:r>
    </w:p>
    <w:p>
      <w:r>
        <w:rPr>
          <w:b/>
        </w:rPr>
        <w:t>[Pages 91–93]</w:t>
      </w:r>
    </w:p>
    <w:p>
      <w:r>
        <w:t>BULLETIN NO. 46 OF NOVEMBER 18, 2019 93</w:t>
      </w:r>
    </w:p>
    <w:p>
      <w:r>
        <w:t>in the context of an amateur activity. The latter are classified as "consumers" since, in light of the definitions of "consumer" and "professional," found respectively in letters a) and b), paragraph 1, of Article 18 of the Consumer Code, they do not purchase the service within the framework of a regular and continuous commercial, industrial, artisanal, or professional activity, but rather to protect their occasionally created intellectual work from copying.</w:t>
      </w:r>
    </w:p>
    <w:p>
      <w:r>
        <w:t>16. Furthermore, it is highlighted that the investigation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 Consequently, there is a need to ensure the correctness of commercial relationships, which should be characterized by maximum transparency regarding the characteristics and economic conditions of the offer to ensure a fully informed purchasing choice.</w:t>
      </w:r>
    </w:p>
    <w:p>
      <w:r>
        <w:t>17. The practice contested against Objective Concept Sarl in this proceeding consists of:</w:t>
        <w:br/>
        <w:t>- having disseminated misleading information on the website https://copyright.it regarding the identity of the professional providing the service of registering creations of the intellect, the nature, characteristics, and economic conditions of the advertised offer;</w:t>
        <w:br/>
        <w:t>- opposing obstacles to the exercise by consumers and professionals of the rights arising from the contractual relationship, including the right of withdrawal.</w:t>
      </w:r>
    </w:p>
    <w:p>
      <w:r>
        <w:t>18. The commercial communications conveyed on the website https://copyright.it, including the information accessible through the links "About Us?" and "Contact Us," present on the homepage of the same site, imply that "Copyright.it" constitutes the name of the professional offering the service and with whom the contract is concluded. The following statements also support this: "Copyright.it, European leader in copyright registration"; "Copyright.it is an independent company from any national intellectual property office"; "Copyright.it is the Italian choice for online copyright registration services." Moreover, in a box titled "Our Address," present at the bottom of all screens of the company website, an Italian geographical address of the professional is indicated without mentioning the name.</w:t>
      </w:r>
    </w:p>
    <w:p>
      <w:r>
        <w:t>As a result of the investigation, it was established that the registration service in question is provided by Objective Concept Sarl, and this circumstance is revealed exclusively in the document for optional consultation "terms of sale" accessible via a link where, in Article 2, it is specified that: "From the COPYRIGHT.it site, the company OBJECTIVE CONCEPT offers a certified Digital Replacement service by a notary for every type of work (models, memories, documents, stories, texts, photographs, etc.)." The "terms of sale" also state the actual legal headquarters of Objective Concept Sarl, corresponding to a French address and not to the Italian one indicated on all screens of the site.</w:t>
      </w:r>
    </w:p>
    <w:p>
      <w:r>
        <w:t>19. Furthermore, the indications provided on the web pages through which the registration service is purchased and on the screens accessible through the links "Registration and Deposit," "Legal Aspects," "What to Deposit?", "About Us?" and "Our Offers," highlighted at the top of the homepage of the professional's site, lead one to believe that the underlying contractual relationship is exhausted with the obtaining of the registration of one or more creations of the intellect in exchange for a one-time payment of the corresponding fee. In fact, the professional, on the homepage of the company website, specifies that the price of the various purchasable packages (ranging from 39 to 149 euros) compensates for "the copyright registration, the preservation with the notary for 30 years, the sending of the certificate via email, the private link to the consumer's certificate," and on the webpage accessible through the link "About Us," describes the activities that constitute the registration service which allow obtaining "lifetime valid Copyright!"</w:t>
      </w:r>
    </w:p>
    <w:p>
      <w:r>
        <w:t>Upon closer inspection, only in Article 9 of the "general terms of sale," for optional consultation, is there a mention of the circumstance that adherence to the offer entails the activation of a one-year subscription with tacit renewal. The marginality of this provision does not allow those adhering to the offer to be adequately informed during the pre-contractual phase. The reporters, in fact, stated that they did not understand that they had activated a subscription, believing instead that, with the payment of the fee, they would achieve the registration of their work and, thereby, the complete execution of the contractual relationship with the professional.</w:t>
      </w:r>
    </w:p>
    <w:p>
      <w:r>
        <w:t>20. It is evident that the inclusion of indications regarding essential elements of the advertised offer, such as the identity of the professional and the nature, characteristics, and economic conditions of the same, solely in the "terms of sale" is not suitable to ensure clear and evident information to users, as for such information to be functional to the purpose, it should be provided by the professional on the pages requiring consultation before making the consumption choice. In this regard, it should be emphasized that the circumstance put forth by the Party, according to which such conditions must be accepted before purchase, is irrelevant, as the acceptance of the same does not presuppose their actual consultation.</w:t>
      </w:r>
    </w:p>
    <w:p>
      <w:r>
        <w:t>21. As for the aspect concerning the imposition of obstacles to the exercise of contractual rights, Objective Concept Sarl argued that in the thirty days preceding the expiration of the contracts, customers would be informed about the tacit renewal of the same. The professional would accept cancellation communications sent by any means and received even in the days immediately preceding the annual expiration. Furthermore, the Party pointed out that the recovery of outstanding amounts from defaulting customers would always be preceded by the sending of "various friendly payment reminders."</w:t>
      </w:r>
    </w:p>
    <w:p>
      <w:r>
        <w:t>22. The defensive thesis of Objective Concept Sarl is contradicted by the evidence acquired in the records of this proceeding, which shows, on the contrary, that the professional implements a complex commercial strategy aimed at discouraging the exercise of contractual rights by consumers and professionals who adhere to the service. In particular, the professional, on the occasion of the first annual renewal of the subscription or, in some cases, after several years from the activation of the service, sends users a communication stating that "if you wish to close the account, simply do nothing and it will be closed automatically," leading the recipients of the communication to refrain from taking further actions to protect their rights. However, subsequently, contrary to the previous communication, Objective Concept Sarl sends the same customers a payment reminder with the subject "Unpaid Invoice - Last Notice Before Legal Action. Click here to pay the bill," also emphasizing that "the full payment of the invoice will be increased by the costs related to this action, which can be very burdensome." With this reminder, it is explicitly stated for the first time that the communication was sent to the subscriber for not having exercised the withdrawal in the manner indicated in the general terms of sale, which exclusively provide for "the sending of a registered letter at least 30 days before the expiration date of the contract." Therefore, the awareness of those adhering to the service that they have subscribed to a subscription with automatic renewal occurs only after the expiration of the term provided for withdrawal, the exercise of which is thus inevitably compromised.</w:t>
      </w:r>
    </w:p>
    <w:p>
      <w:r>
        <w:t>23. In any case, it has emerged that those adhering to the service who followed the procedure indicated in the contractual conditions were unable to withdraw from the subscription and that they encountered a widespread difficulty in contacting the professional in order to obtain information about their contractual rights using the channels indicated on the company website. For this reason, they received further payment reminders, some of which had the subject "Payment Reminder: Legal Proceedings Initiated Against You! Click here to pay the invoice and stop the proceedings."</w:t>
      </w:r>
    </w:p>
    <w:p>
      <w:r>
        <w:t>In this context, the sending by Objective Concept Sarl of continuous payment reminders appears suitable to unduly condition the choices of customers, pushing them to satisfy the professional's credit claim rather than unsuccessfully contesting its unfoundedness through ineffective contact tools.</w:t>
      </w:r>
    </w:p>
    <w:p>
      <w:r>
        <w:t>24. For the reasons stated above, the commercial practice in question is deemed unfair pursuant to Articles 21, 24, and 25, paragraph 1, letter d), of the Consumer Code, as it, on the one hand, deceives the recipients of the messages regarding the identity of the professional providing the service, the nature, characteristics, and economic conditions of the advertised offer, and, on the other hand, prevents those adhering to the service from exercising the rights arising from the contractual relationship.</w:t>
      </w:r>
    </w:p>
    <w:p>
      <w:r>
        <w:rPr>
          <w:b/>
        </w:rPr>
        <w:t>[Pages 94–96]</w:t>
      </w:r>
    </w:p>
    <w:p>
      <w:r>
        <w:t xml:space="preserve">96 BULLETIN NO. 46 OF NOVEMBER 18, 2019  </w:t>
        <w:br/>
        <w:t xml:space="preserve">VI. QUANTIFICATION OF THE SANCTION  </w:t>
        <w:br/>
        <w:t xml:space="preserve">25. Pursuant to Article 27, paragraph 9, of the Consumer Code, with the provision that prohibits the unfair commercial practice, the Authority imposes an administrative pecuniary sanction ranging from €5,000 to €5,000,000, taking into account the severity and duration of the violation.  </w:t>
        <w:br/>
        <w:t xml:space="preserve">26. In quantifying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  </w:t>
        <w:br/>
        <w:t xml:space="preserve">27. Regarding the severity of the violation, in the case at hand, account is taken of the specificities of the e-commerce sector, which places the buyer in a position of inevitable informational asymmetry compared to the professional, the particular insidiousness of behaviors consisting, on the one hand, in the dissemination of misleading information on elements of fundamental importance for purchasing decisions such as the identity of the professional, the nature, characteristics, and economic conditions of the advertised offer, and, on the other hand, in obstructive conduct capable of hindering the exercise of the contractual rights of the service users. Furthermore, the ambiguity of the information provided by Objective Concept Sarl prevents users who have unknowingly activated the subscription from fulfilling the interest in obtaining the registration of the creation of the work in exchange for a one-time payment of the corresponding fee.  </w:t>
        <w:br/>
        <w:t xml:space="preserve">28. As for the duration of the violation, the evidence gathered in the records indicates that the commercial practice has been in place since at least September 2017 and is still ongoing.  </w:t>
        <w:br/>
        <w:t xml:space="preserve">29. Finally, concerning the economic conditions of the professional, although he has not submitted the financial statements during the proceedings, the statements, with confessional value, made by him and reported on his website must be taken into consideration, according to which he recognizes himself as a "European leader in copyright registration" operating through "a network of over 50 websites worldwide" that allows him to register "over 100,000 creative works, designs, websites, content, and projects each year."  </w:t>
        <w:br/>
        <w:t xml:space="preserve">30. Based on these elements, it is deemed appropriate to determine the amount of the administrative pecuniary sanction applicable to Objective Concept Sarl at €200,000 (two hundred thousand euros).  </w:t>
        <w:br/>
        <w:t xml:space="preserve">CONSIDERING, therefore, taking into account the opinion of the Authority for Communications Guarantees, based on the aforementioned considerations, that the commercial practice in question is deemed unfair pursuant to Articles 21, 24, and 25, paragraph 1, letter d), of the Consumer Code as it is capable, through untruthful indications and obstructive conduct, of unduly conditioning the average consumer in relation to the exercise of contractual rights;  </w:t>
        <w:br/>
        <w:t xml:space="preserve">RESOLVES  </w:t>
        <w:br/>
        <w:t xml:space="preserve">a) that the commercial practice described in point II of this provision, carried out by Objective Concept Sarl, constitutes, for the reasons and within the limits stated in the motivation, an unfair commercial practice pursuant to Articles 21, 24, and 25, paragraph 1, letter d), of the Consumer Code, and prohibits its dissemination or continuation;  </w:t>
        <w:br/>
        <w:t xml:space="preserve">b) to impose on Objective Concept Sarl an administrative pecuniary sanction of €200,000 (two hundred thousand euros);  </w:t>
        <w:br/>
        <w:t xml:space="preserve">c) that the professional shall communicate to the Authority, within sixty days from the notification of this provision, the initiatives taken in compliance with the injunction referred to in point a).  </w:t>
        <w:br/>
        <w:t xml:space="preserve">The imposed administrative sanction must be paid within thirty days from the notification of this provision, via bank transfer (in euros) to the Treasury, using the IBAN code IT04A0100003245348018359214 (BIC code: BITAITRRENT), which corresponds to the accounting number 18/3592/14.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  </w:t>
        <w:br/>
        <w:t xml:space="preserve">Immediate communication of the payment must be given to the Authority by sending the documentation certifying the payment made.  </w:t>
        <w:br/>
        <w:t xml:space="preserve">This provision will be notified to the interested parties and published in the Bulletin of the Competition and Market Authority.  </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 xml:space="preserve">98 BULLETIN NO. 46 OF NOVEMBER 18, 2019  </w:t>
        <w:br/>
        <w:t xml:space="preserve">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w:t>
        <w:br/>
        <w:t>Filippo Arena Roberto Rustichelli</w:t>
      </w:r>
    </w:p>
    <w:p>
      <w:r>
        <w:rPr>
          <w:b/>
        </w:rPr>
        <w:t>[Pages 97–99]</w:t>
      </w:r>
    </w:p>
    <w:p>
      <w:r>
        <w:t xml:space="preserve">BULLETIN NO. 46 OF NOVEMBER 18, 2019 99  </w:t>
        <w:br/>
        <w:t xml:space="preserve">IP310 - GOLDCAR - INSURANCE COVERAGE AND OTHER PROFILES  </w:t>
        <w:br/>
        <w:t xml:space="preserve">Provision No. 27959  </w:t>
        <w:br/>
        <w:t xml:space="preserve">THE ANTITRUST AUTHORITY  </w:t>
        <w:br/>
        <w:t xml:space="preserve">IN ITS MEETING of October 15, 2019;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Law No. 689 of November 24, 1981;  </w:t>
        <w:br/>
        <w:t xml:space="preserve">VIEWED its resolution No. 26260 of November 30, 2016 (PS10214), with which the Authority established the unfairness of the commercial practices carried out jointly by Goldcar Spain S.L. and its Italian subsidiary Goldcar Italy S.r.l. (hereinafter, collectively, “Goldcar”), consisting of:  </w:t>
        <w:br/>
        <w:t xml:space="preserve">1) the aggressive methods by which the professional – in the absence of clear prior information on the risk coverage already included in the rental and after blocking a considerable amount on the customer's credit card as a guarantee for any damages caused to the rented vehicle – promoted at the time of car pick-up (so-called “check-out”) the purchase of certain ancillary products, presented as “insurance,” in order to reduce the high amount of the security deposit and avoid the possible significant charge for any damages caused to the vehicle during the rental, as well as the charge at the end of the rental, in case of failure to acquire such additional coverage, of amounts for damages attributed to the consumer and determined arbitrarily based on generic criteria for quantifying the damage, present in the General Rental Conditions;  </w:t>
        <w:br/>
        <w:t xml:space="preserve">2) the discrepancy between the final price paid by the customer at the time of returning the vehicle and that which emerged during the booking process, due to the application of additional cost items related to the calculation of fuel, specifically the so-called flex fuel rate;  </w:t>
        <w:br/>
        <w:t xml:space="preserve">VIEWED its resolution No. 27021 of January 31, 2018, with which the Authority deemed that Goldcar Spain S.L. and Goldcar Italy S.r.l. had violated Article 27, paragraph 12, of the Consumer Code, for having repeatedly violated Articles 20, paragraph 2, 24, 25, of the Consumer Code, in relation to the practice described in point 1) above.  </w:t>
        <w:br/>
        <w:t xml:space="preserve">VIEWED its provision of May 22, 2019, with which the present procedure was initiated to contest to Goldcar Spain S.L. and Goldcar Italy S.r.l. the violation of Article 27, paragraph 12, of the Consumer Code, for having repeatedly failed to comply with the Authority's resolution No. 26260 of November 30, 2016;  </w:t>
        <w:br/>
        <w:t xml:space="preserve">VIEWED its provision of May 22, 2019, with which an inspection was ordered, pursuant to Article 27, paragraphs 2 and 3, of the Consumer Code, at the premises of Goldcar Italy S.r.l.;  </w:t>
        <w:br/>
        <w:t xml:space="preserve">VIEWED its provision of July 17, 2019, with which, pursuant to Article 7, paragraph 3, of the Regulation, the deadline for concluding the procedure was extended;  </w:t>
        <w:br/>
        <w:t xml:space="preserve">VIEWED the documents of the procedure;  </w:t>
        <w:br/>
        <w:t>CONSIDERED the following:</w:t>
      </w:r>
    </w:p>
    <w:p>
      <w:r>
        <w:t xml:space="preserve">100 BULLETIN NO. 46 OF NOVEMBER 18, 2019  </w:t>
        <w:br/>
        <w:t xml:space="preserve">I. INTRODUCTION  </w:t>
        <w:br/>
        <w:t xml:space="preserve">1. The Authority, with provision No. 26260 of November 30, 2016 (closing the PS10214 procedure), having established the unfairness, among other things, of the commercial practice carried out by Goldcar as described in point 1) above, as contrary to the provisions of Articles 20, paragraph 2, 24, 25, of the Consumer Code, prohibited its dissemination or continuation, simultaneously imposing, jointly on Goldcar Spain S.L. and Goldcar Italy S.r.l., a fine of 1,700,000 euros.  </w:t>
        <w:br/>
        <w:t xml:space="preserve">2. Following the expiration of the deadline for submitting the compliance report, several reports were received alleging the continuation of the commercial practice described in point 1) above by Goldcar.  </w:t>
        <w:br/>
        <w:t xml:space="preserve">3. In light of the above, as well as based on the overall documentation acquired in the records, with resolution No. 26786 of September 27, 2017, the Authority initiated the non-compliance procedure IP270, contesting to Goldcar Spain S.L. and Goldcar Italy S.r.l. the violation of Article 27, paragraph 12, of the Consumer Code, for failing to comply with the Authority's resolution No. 26260 of November 30, 2016.  </w:t>
        <w:br/>
        <w:t xml:space="preserve">4. With provision No. 27021 of January 31, 2018, closing the non-compliance procedure IP270, the Authority decided to impose, jointly on Goldcar Spain S.L. and Goldcar Italy S.r.l., an administrative pecuniary sanction of 680,000 euros for the reiteration of the unfair commercial practice described in point 1).  </w:t>
        <w:br/>
        <w:t xml:space="preserve">5. In the context of the non-compliance procedure IP270, the professionals had formally communicated that they had adopted some corrective measures, specifically: i) the activation of specific disciplinary measures in case of non-compliance by their staff on the ground with respect to the procedures established by the company regarding compensation for minor damages and aggressive sales practices; ii) the reduction of the amount of the security deposit.  </w:t>
        <w:br/>
        <w:t xml:space="preserve">6. That said, following the closure of the IP270 procedure (the relevant provision was communicated to Goldcar on February 14, 2018), and in greater numbers starting from June 2018, several reports were received indicating that Goldcar continued to reiterate the practice described in point 1) which had already been sanctioned and was the subject of the recently concluded non-compliance procedure.  </w:t>
        <w:br/>
        <w:t xml:space="preserve">7. Therefore, with acts of May 30, 2019, prot. No. 0039398 and prot. No. 0039408, the initiation of the present investigative procedure IP310 was communicated, respectively, to Goldcar Spain S.L. and Goldcar Italy S.r.l., aimed at verifying whether the elements in the records constitute a case of repeated non-compliance with the Authority's resolution No. 26260 of November 30, 2016, pursuant to Article 27, paragraph 12, of the Consumer Code.  </w:t>
        <w:br/>
        <w:t>1 Notified to the Party on February 14, 2018.</w:t>
      </w:r>
    </w:p>
    <w:p>
      <w:r>
        <w:t xml:space="preserve">BULLETIN NO. 46 OF NOVEMBER 18, 2019 101  </w:t>
        <w:br/>
        <w:t xml:space="preserve">II. THE OUTCOMES OF THE PROCEDURE  </w:t>
        <w:br/>
        <w:t xml:space="preserve">II.I The Reiterated Conducts  </w:t>
        <w:br/>
        <w:t xml:space="preserve">8. As mentioned, following the closure of the IP270 procedure (provision communicated to Goldcar on February 14, 2018), approximately forty reports were received alleging the reiteration of the commercial practice described in point 1) by Goldcar.  </w:t>
        <w:br/>
        <w:t xml:space="preserve">9. In particular, the entire sequence of the sanctioned and reiterated practice can be summarized as follows: A) persistent sale of the ancillary damage coverage product suggesting the reduction of the high security deposit otherwise required; B) inadequate check-out, with delivery to the customer - and simultaneous signature by them - directly at the desk and not at the time of vehicle pick-up, of a damage sheet for the vehicle, which is often found to be severely incomplete, especially regarding the so-called “micro-damages” (i.e., minor damages), and with the vehicle pick-up carried out in the absence of Goldcar staff, thus entrusting solely to the customer the control of the vehicle's condition and the correspondence of the damage sheet to the actual conditions of the vehicle; C) the possible finding, by the customer during the check-out control, of damages to the vehicle additional to those listed on the aforementioned sheet, previously signed, necessitating a request for the integration of the check-out sheet itself; D) at the time of returning the vehicle (so-called “check-in”), and where the customer has not purchased an ancillary coverage, a very thorough inspection of the vehicle by Goldcar staff, with an almost obsessive attention to micro-damages, and the simultaneous charge (communicated to the customer directly at check-in or subsequently via email) for damages (often “micro”), which consumers complain were pre-existing and allegedly not caused by them, or for damages that had been deemed irrelevant by Goldcar staff during check-out.  </w:t>
        <w:br/>
        <w:t xml:space="preserve">II.I.A) The Sale of Ancillary Products  </w:t>
        <w:br/>
        <w:t xml:space="preserve">10. The investigative activity allowed for the reconstruction of the operational practice followed by Goldcar staff at the desk both during “check-out” and “check-in.” In this context, it should first be noted that once the consumer reaches the desk for vehicle pick-up, the consumer who has purchased online only the rental service is usually offered the purchase of so-called “ancillary services” (referred to as “ancillaries” in Goldcar jargon). Among the various ancillary services, and for what is relevant here, particular importance is given to the so-called “ancillary coverages,” i.e., products aimed, on one hand, at reducing the amount of the security deposit that the consumer must otherwise block on their credit card as a guarantee for the proper use of the vehicle during the rental; on the other hand, conversely, these are products that reduce the amount of the deductible payable by the consumer, i.e., the maximum amount that the consumer will have to pay in case of any damages occurring to the vehicle during the rental.  </w:t>
        <w:br/>
        <w:t xml:space="preserve">11. That said, specifically, the check-out phase is characterized by the illustration to the customer, by Goldcar staff, of the possible alternative options regarding the security deposit, namely: i) the retention of the same deposit through a block on the credit card (until the outcome of the positive check on the vehicle at check-in) or, alternatively: ii) the stipulation of an ancillary coverage that simultaneously reduces both the deposit and the deductible.  </w:t>
        <w:br/>
        <w:t>2 About fifteen reports were received during the procedure, the last of which on September 23, 2019.</w:t>
      </w:r>
    </w:p>
    <w:p>
      <w:r>
        <w:rPr>
          <w:b/>
        </w:rPr>
        <w:t>[Pages 100–102]</w:t>
      </w:r>
    </w:p>
    <w:p>
      <w:r>
        <w:t xml:space="preserve">102 BULLETIN NO. 46 OF NOVEMBER 18, 2019  </w:t>
        <w:br/>
        <w:t xml:space="preserve">12. That said, with specific reference to the first phase of the practice, namely the use of aggressive methods by desk staff for the sale of ancillary coverages (sub-phase A) above), the investigative and inspection activities confirmed the existence of the conduct, which in turn is preliminary to the subsequent phases characterizing, as a whole, the sanctioned practice.  </w:t>
        <w:br/>
        <w:t xml:space="preserve">13. It should be noted that according to Article 6, paragraph 3, of the "Special Rental Conditions" of Goldcar, where the customer should purchase the complementary coverage called "Super Relax," "the amount of the previous deductible will not be blocked or temporarily charged to the card used for payment" [cf. above, § 10, n.d.r.], meaning that the deposit/deductible will be null. In fact, Goldcar specifies that "Customers who have purchased the complementary coverage will not be required to leave the deductible," while customers who "do not wish to purchase the complementary coverage must leave a deposit corresponding to the value of the deductible, the amount of which is provided for in this article" (i.e., the amounts in the table of the following § 16).  </w:t>
        <w:br/>
        <w:t xml:space="preserve">14. That said, from the perspective of the reiteration of phase A) of the conduct, the following are relevant: i) the maintenance of a high security deposit; ii) the aggressive methods of proposing ancillary products at the desk.  </w:t>
        <w:br/>
        <w:t xml:space="preserve">15. Regarding the first point, within the context of the non-compliance procedure IP270, Goldcar had committed to reducing the amount of the security deposit from €1,100 to €950, with the aim of weakening the commercial leverage that the high amount of the deposit represented for the purchase of additional coverage.  </w:t>
        <w:br/>
        <w:t xml:space="preserve">16. In the "Special Rental Conditions," as found on the professionals' website www.goldcar.es/it/, as of August 26, 2019, it states that "The mandatory insurance of the vehicle covers, through the payment of a deductible, the damages caused by the vehicle and the damages caused to the occupants of the vehicle. The amount of the deductible will be temporarily blocked on the credit card or temporarily charged to the debit card and varies depending on the category of the rented vehicle"; this amount varies depending on the type of rented car (SUV, etc.), from €1,100 to €2,000, according to the following scheme:  </w:t>
        <w:br/>
        <w:t>17. Therefore, the professional did not reduce the amount of the deposit/deductible as it had committed to do within the aforementioned procedure.</w:t>
      </w:r>
    </w:p>
    <w:p>
      <w:r>
        <w:t xml:space="preserve">BULLETIN NO. 46 OF NOVEMBER 18, 2019 103  </w:t>
        <w:br/>
        <w:t xml:space="preserve">18. Regarding the second point sub ii) above, both some of the numerous reports in the records and some passages contained in the reports – acquired during the inspection – that the main brokers of short-term car rental services (Rentalcars and Cartrawler) prepare in order to "evaluate" the performance of rental operators active in the market (hereinafter, "Report")3 are relevant.  </w:t>
        <w:br/>
        <w:t xml:space="preserve">19. Regarding the reports, by way of example, a consumer states that "upon delivery of the car, they tried in every way to make me sign an insurance policy costing over €180 [...] I refused to sign the insurance that tripled the rental cost despite the insistence and even psychological pressure"4. Similarly, another consumer noted that Goldcar staff at the desk, during check-out, "repeatedly insisted on selling me upgrades of [...] insurance packages that I refused"5. Furthermore, another consumer observes that, at the time of picking up the vehicle, they were subjected to "pressing and repeated suggestions to subscribe to an additional insurance coverage"6. In a similar manner, another consumer mentions "numerous pressures from the Goldcar staff to add an additional insurance for a fee"7.  </w:t>
        <w:br/>
        <w:t xml:space="preserve">20. Another consumer reports that, once at the desk to pick up the car, they were informed that "if I wanted to pick up the Panda reserved for me, I would have only two options: either block my credit card for 25/30 days for €1,250.00 [...], or pay €62.95, 'to manage my rental with peace of mind.' Unable to block that amount on my credit card for a month, I was forced 'against my will' to accept their imposition, strong in the fact that they had my already paid reservation"8.  </w:t>
        <w:br/>
        <w:t xml:space="preserve">21. An integral part of sub-phase A) of the conduct is the outright refusal by Goldcar desk staff of coverages that consumers may have purchased through brokers or airlines. In this perspective, the cited Reports9 refer to desk staff who would have "rejected the insurance made with [omitted10]" – moreover with the explicit threat "Either this [i.e., Goldcar's coverage, n.d.r.] or no car." In this context, although the Reports define it as "acceptable" for Goldcar to try to sell its insurance, it is not considered correct that at the desk they simultaneously "try to convince us that the insurance [taken out with the broker or airline, n.d.r.] is not good"11.  </w:t>
        <w:br/>
        <w:t xml:space="preserve">3 In particular, at the Goldcar operational headquarters in Pisa, an internal email from Goldcar (from January 2019) was acquired, summarizing the main outcomes of the two (then) most recent Cartrawler and Rentalcars Reports (cf. document titled "RE: Report Rentalcars 201902"). These are reviews covering the period December 2018/January 2019.  </w:t>
        <w:br/>
        <w:t xml:space="preserve">4 Cf. report of July 2, 2018, prot. no. 0051038.  </w:t>
        <w:br/>
        <w:t xml:space="preserve">5 Cf. report of July 5, 2018, prot. no. 0051940.  </w:t>
        <w:br/>
        <w:t xml:space="preserve">6 Cf. report of October 5, 2018, prot. no. 0068116.  </w:t>
        <w:br/>
        <w:t xml:space="preserve">7 Cf. report of August 28, 2019, prot. no. 0057046.  </w:t>
        <w:br/>
        <w:t xml:space="preserve">8 Cf. report of July 23, 2018, prot. no. 0055088.  </w:t>
        <w:br/>
        <w:t xml:space="preserve">9 Cf. document titled "RE: Report Rentalcars 201902".  </w:t>
        <w:br/>
        <w:t xml:space="preserve">10 In this version, some data are omitted, as elements of confidentiality or secrecy of the information were deemed to exist.  </w:t>
        <w:br/>
        <w:t>11 Cf. cited document "RE: Report Rentalcars 201902".</w:t>
      </w:r>
    </w:p>
    <w:p>
      <w:r>
        <w:t xml:space="preserve">104 BULLETIN NO. 46 OF NOVEMBER 18, 2019  </w:t>
        <w:br/>
        <w:t xml:space="preserve">22. It is also relevant, by way of example, what was reported by a reporter who rented a Goldcar vehicle through a broker, simultaneously purchasing the insurance proposed by the latter. Once at the desk to pick up the car, "I was told that the extra insurance [i.e., the one purchased from the broker, n.d.r.] does not cover certain costs, such as damage without amicable acknowledgment or towing. [...] I refuse to pay the extra and from Goldcar I am told that I should have signed a document authorizing them to withdraw money from me in case they found damages; all this is extortion"12.  </w:t>
        <w:br/>
        <w:t xml:space="preserve">23. In the same perspective, some passages from the aforementioned Reports are relevant, in which there are many comments from customers/reviewers who report "anxiety that the desk creates"13 as they are "obliged to sell the Kasko," or where reference is made to "excessive aggressiveness in proposing additional policies" or to the feeling of being "almost obliged to take out complementary insurance" or, again, experiencing "a sort of 'psychological terror' (or 'psychological pressure')" or having to endure "arrogance and threats," to the point that in some cases the customer reports that at the desk the staff generate "fear [...] regarding the risks of not taking the insurance."  </w:t>
        <w:br/>
        <w:t xml:space="preserve">24. Complementary to this insistent attitude are the intimidating tools used at the desk to force the purchase of the policy, such as the threat, at times, of being "charged for any damages that are not mine" or using the pretext "that the credit card could remain blocked for up to 14 days afterward" or, again, that "the block on the card would last for almost a month after the return."  </w:t>
        <w:br/>
        <w:t xml:space="preserve">Continues: the commercial objectives related to the sale of ancillary services  </w:t>
        <w:br/>
        <w:t xml:space="preserve">25. Within the main procedure PS10214, it emerged, among other things, how Goldcar set specific commercial objectives regarding the sale of ancillary products (including "insurance" coverages), in order to compensate for the reduced margins related to a competitively priced rental service (being a low-cost operator).  </w:t>
        <w:br/>
        <w:t xml:space="preserve">26. Also within the present procedure, the inspection activity allowed for the acquisition of documentation with similar content. In particular, at the operational headquarters in Pisa, some documents related to a so-called "PEK meeting"14 of April 2, 201915 were found, during which, among other things, the results of each territorial agency were presented with specific reference to the sale of ancillary services ("Ancillaries"), as per the following graph related to the Goldcar agency at Linate:  </w:t>
        <w:br/>
        <w:t xml:space="preserve">12 Cf. report of August 24, 2018, prot. no. 0060794.  </w:t>
        <w:br/>
        <w:t xml:space="preserve">13 For the passages reported in §§ 23 and 24 cf. cited doc. "RE: Report Rentalcars 201902".  </w:t>
        <w:br/>
        <w:t xml:space="preserve">14 The "PEK MEETINGS" are periodic meetings among the various branch managers ("jefes de sucursal"), during which it is checked which and how many agencies have (or have not) reached the set objectives. Usually, these meetings, regarding Italy, take place in Pisa.  </w:t>
        <w:br/>
        <w:t>15 Cf. folder titled "20190402 MEETING APRIL 2" acquired at the operational headquarters in Pisa.</w:t>
      </w:r>
    </w:p>
    <w:p>
      <w:r>
        <w:rPr>
          <w:b/>
        </w:rPr>
        <w:t>[Pages 103–105]</w:t>
      </w:r>
    </w:p>
    <w:p>
      <w:r>
        <w:t>BULLETIN NO. 46 OF NOVEMBER 18, 2019 105</w:t>
      </w:r>
    </w:p>
    <w:p>
      <w:r>
        <w:t xml:space="preserve">New Ancillaries Revenue / Day  </w:t>
        <w:br/>
        <w:t xml:space="preserve">€16.00  </w:t>
        <w:br/>
        <w:t xml:space="preserve">€14.00  </w:t>
        <w:br/>
        <w:t xml:space="preserve">€12.00  </w:t>
        <w:br/>
        <w:t xml:space="preserve">€10.00  </w:t>
        <w:br/>
        <w:t xml:space="preserve">€8.00  </w:t>
        <w:br/>
        <w:t xml:space="preserve">Jan Feb Mar  </w:t>
        <w:br/>
        <w:t>LIN 2019 LIN Bdg 2019 LIN 2018</w:t>
      </w:r>
    </w:p>
    <w:p>
      <w:r>
        <w:t>27. As can be seen from the graph above, the blue line (“LIN 2019”) represents the data of revenues from ancillary services per rental day achieved in the fiscal year 2019, specifically up to March 2019 (the meeting in question is from April 2, 2019). This data is graphically compared with the yellow line (“LIN Bdg 2019”), which relates to the 2019 budget, that is, the forecast made ex ante by Goldcar regarding the expected revenues from the sale of “ancillaries” (among which, it is noted, are the “insurance” policies). Lastly, the red line highlights the data of revenues from “ancillaries” per rental day achieved in the fiscal year 2018.</w:t>
      </w:r>
    </w:p>
    <w:p>
      <w:r>
        <w:t>28. Various files and documents have also been acquired in the records from which it emerges, on one hand, Goldcar's strong interest in setting ex ante budget targets from the sale of ancillary services; on the other hand, how the professional frequently monitors its territorial units precisely in order to assess the deviation between budget and actual data. In this regard, and by way of example, a table (reported below) acquired at Catania Airport and attributable to the Area Manager Italy of Goldcar16, from which it clearly emerges how Goldcar's management pays great attention, as mentioned, to the analysis of deviations between budget forecast data and actual data achieved*:</w:t>
      </w:r>
    </w:p>
    <w:p>
      <w:r>
        <w:t xml:space="preserve">New New  </w:t>
        <w:br/>
        <w:t xml:space="preserve">New Commissionable Commissionable New  </w:t>
        <w:br/>
        <w:t xml:space="preserve">New Ancillaries Commissionable Ancillaries  </w:t>
        <w:br/>
        <w:t xml:space="preserve">Branch Ancillaries Revenue % Commissionable Ancillaries Revenue/  </w:t>
        <w:br/>
        <w:t xml:space="preserve">Office Revenue Revenue (EC) Revenue (EC) % Revenue/  </w:t>
        <w:br/>
        <w:t xml:space="preserve">Revenue gap vs Revenue (EC) Day  </w:t>
        <w:br/>
        <w:t xml:space="preserve">Budget Budget gap vs Budget Day  </w:t>
        <w:br/>
        <w:t xml:space="preserve">Budget Budget  </w:t>
        <w:br/>
        <w:t xml:space="preserve">Catania omitted omitted omitted omitted omitted omitted omitted omitted  </w:t>
        <w:br/>
        <w:t xml:space="preserve">Catania  </w:t>
        <w:br/>
        <w:t xml:space="preserve">omitted omitted omitted omitted omitted omitted omitted omitted  </w:t>
        <w:br/>
        <w:t xml:space="preserve">Apt  </w:t>
        <w:br/>
        <w:t xml:space="preserve">Ciampino  </w:t>
        <w:br/>
        <w:t xml:space="preserve">omitted omitted omitted omitted omitted omitted omitted omitted  </w:t>
        <w:br/>
        <w:t xml:space="preserve">Apt  </w:t>
        <w:br/>
        <w:t>Roma CIA omitted omitted omitted omitted omitted omitted omitted omitted</w:t>
      </w:r>
    </w:p>
    <w:p>
      <w:r>
        <w:t xml:space="preserve">16 Cf. document titled “Data updated as of May 5 Ciampino and Catania” in Folder “Manager,” subfolder “budget,” acquired at Catania Airport.  </w:t>
        <w:br/>
        <w:t>* In this version, some data are omitted, as elements of confidentiality or secrecy of the information were deemed to exist.</w:t>
      </w:r>
    </w:p>
    <w:p>
      <w:r>
        <w:t>106 BULLETIN NO. 46 OF NOVEMBER 18, 2019</w:t>
      </w:r>
    </w:p>
    <w:p>
      <w:r>
        <w:t>29. Lastly, during the inspection, a document17 titled “Variable Wage Compensation Policy 2019 for Rental Agents” was acquired, from which it clearly emerges that the remuneration of Goldcar staff at the desk is partly “variable,” that is, related to the sales made at the desk18. In particular, the document shows that this is a policy that the company's management wanted to adopt for the year 2019 and that will apply only to sales at the desk.</w:t>
      </w:r>
    </w:p>
    <w:p>
      <w:r>
        <w:t>II.I.B) The check-out</w:t>
      </w:r>
    </w:p>
    <w:p>
      <w:r>
        <w:t>30. With specific reference to phase sub B) of the conduct, the investigative and inspection activity has allowed for the detection that, once at the desk, after signing the car rental contract, the customer receives a check-out document – indicating the “damages possibly already present on the vehicle”19 – which is also signed at this stage, that is, before having actually seen the vehicle that is about to be rented. In fact, only after signing the check-out document “does the customer proceed to check the rented vehicle in case new defects/damages are found” compared to the form already signed.</w:t>
      </w:r>
    </w:p>
    <w:p>
      <w:r>
        <w:t>31. The practice of having the customer sign a document regarding the condition of the vehicle even before verifying its actual conditions is confirmed both by Goldcar staff at Fiumicino Airport20 and by staff at Catania Airport. In particular, the manager of the latter agency highlighted that the customer signs before even seeing the vehicle, and is verbally advised “to check the actual correspondence of the vehicle's condition to what is described in the document just signed and to report any differences to the parking staff where the vehicles are parked”21; in exceptional cases, that is, where the delivery occurs at a time when the parking lot is not staffed due to a lack of personnel, the customer is invited to take photographs personally.</w:t>
      </w:r>
    </w:p>
    <w:p>
      <w:r>
        <w:t>32. Also relevant in the context under examination, by way of example among other documents, is the complaint acquired at Ciampino22 consisting of an email dated September 30, 2018, in which the customer complains about the charge, by Goldcar, for a scratch on the left mirror casing of the vehicle, damage that the consumer believes was pre-existing to the rental as they are “in possession of photographic documentation taken on September 21, 2018, before moving the car from the parking lot […] in which it can be seen that the damage was already present.” The aforementioned damage (along with others) would have been pointed out to the Goldcar employee (at check-out) so that they would be recorded in the contract. However, the employee would have replied that “damages of that kind on mirrors, as well as on the sides of the doors - which I pointed out - were not relevant.”</w:t>
      </w:r>
    </w:p>
    <w:p>
      <w:r>
        <w:t>33. The inadequacy of the check-out in the event of non-purchase of the ancillary policy is also evidenced by various reports in the records. Among these, that of a consumer who observes that at the time of picking up the vehicle, Goldcar staff “prepared the form containing the pre-existing damages of the vehicle [….], not indicating, however, the plastic rim of the wheel, as, [according to the Goldcar representative, ed.], it was not necessary.” Therefore, the check “was limited to the external part of the bodywork, without checking the underbody of the car”23.</w:t>
      </w:r>
    </w:p>
    <w:p>
      <w:r>
        <w:t>34. Furthermore, it is noted what was stated by a reporter who observes that “when the car was handed to me, the Goldcar employee informed me that their system was not working and did not allow for checking the damages already present on the vehicle”24.</w:t>
      </w:r>
    </w:p>
    <w:p>
      <w:r>
        <w:t>35. In addition, a consumer – who rented in July 2018 at Cagliari Airport – at the time of pick-up, which occurred shortly before 10:00 PM […. ] would have “found the car dirty and with the presence of scratches not indicated on the form given to me at the reception”25.</w:t>
      </w:r>
    </w:p>
    <w:p>
      <w:r>
        <w:t>36. Lastly, some passages contained in the aforementioned Reports prepared by the two brokers Rentalcars and Cartrawler are noteworthy; in particular, the reviewing consumers report having had to go alone to the car pick-up point, equipped with a sheet “to write down any existing damages”26. Many reviews confirm that the check-out control – precisely carried out by the customer in the absence of staff – often reveals damages not reported in the check-out form that was previously signed by the customer.</w:t>
      </w:r>
    </w:p>
    <w:p>
      <w:r>
        <w:t>37. A consumer explicitly observes that “without Casko [….] they force you to fill out a car check-up form before departure”27. Another customer notes that “often the cars have scratches that must be reported, if they are missed, you risk”28; or again, it is reported that “the car was rented to me as in perfect body condition when upon my careful visual examination it had evident scratches and dents, in addition to a clear break on the front windshield”29; in another case, it is noted that “At check-out the car had damages that were not marked on the form, if I had not paid attention then I would have been charged”30; moreover, in this last case, as in others, “No staff was present at the car pick-up location to facilitate the process.”</w:t>
      </w:r>
    </w:p>
    <w:p>
      <w:r>
        <w:t>II.I.C) The “correction” of the check-out form</w:t>
      </w:r>
    </w:p>
    <w:p>
      <w:r>
        <w:t xml:space="preserve">38. Regarding phase sub C) of the conduct, the statements of Goldcar representatives at the airport rental stations subject to inspection are particularly relevant, especially where they report that, if the customer were to verify a possible difference between the state  </w:t>
        <w:br/>
        <w:t xml:space="preserve">23 Cf. report of July 23, 2019, prot. no. 0055238.  </w:t>
        <w:br/>
        <w:t xml:space="preserve">24 Cf. report of July 5, 2018, prot. no. 0051940.  </w:t>
        <w:br/>
        <w:t xml:space="preserve">25 Cf. report of September 21, 2018, prot. no. 0065111.  </w:t>
        <w:br/>
        <w:t xml:space="preserve">26 Cf. cited doc. titled “RE: Report Rentalcars 201902.”  </w:t>
        <w:br/>
        <w:t xml:space="preserve">27 Cf. cited doc. titled “RE: Report Rentalcars 201902.”  </w:t>
        <w:br/>
        <w:t xml:space="preserve">28 Cf. cited doc. titled “RE: Report Rentalcars 201902.”  </w:t>
        <w:br/>
        <w:t xml:space="preserve">29 Cf. cited doc. titled “RE: Report Rentalcars 201902.”  </w:t>
        <w:br/>
        <w:t>30 Cf. cited doc. titled “RE: Report Rentalcars 201902.”</w:t>
      </w:r>
    </w:p>
    <w:p>
      <w:r>
        <w:rPr>
          <w:b/>
        </w:rPr>
        <w:t>[Pages 106–108]</w:t>
      </w:r>
    </w:p>
    <w:p>
      <w:r>
        <w:t>108 BULLETIN NO. 46 OF NOVEMBER 18, 2019</w:t>
      </w:r>
    </w:p>
    <w:p>
      <w:r>
        <w:t>of the vehicle as reported in the check-out sheet and its actual conditions, would be</w:t>
        <w:br/>
        <w:t>obliged to report such a difference to the Goldcar staff at the parking lot, who takes</w:t>
        <w:br/>
        <w:t>note of it through a specific tablet with which they acquire photos of the damages/defects to be integrated and prepares to send an email to the customer regarding the variation compared to the sheet they signed.</w:t>
        <w:br/>
        <w:t>39. In order to highlight the risks for the consumer of such a practice, a document acquired from the Ciampino agency is relevant, in which a customer formally complains (via email) of having received a communication from Goldcar regarding the check-out performed during their rental, which, however, did not report "the update of the check-out regarding the dent on the right side front verified together before the vehicle was picked up." Therefore, "in order to avoid any potential issues," the customer invites the Goldcar staff to send them "the actual status of the vehicle updated with the aforementioned damages detected before the pick-up"31.</w:t>
        <w:br/>
        <w:t>40. Furthermore, it is noteworthy, as a mere example, a report in the records where it is observed that "when the car was delivered to me, it appeared immaculate on paper, but in reality, it had many obvious damages that I promptly reported and which they claimed had 'escaped' their notice"32, as well as the statement of a consumer who said, "upon delivery of the vehicle, I went to the spot and discovered other damages, I told [the Goldcar staff, ed.] and she noted the points on my report"33.</w:t>
        <w:br/>
        <w:t>II.I.D) The check-in phase</w:t>
        <w:br/>
        <w:t>41. Finally, moving on to phase sub D) of the practice, once at check-in, the customer who has not purchased the additional coverage offered by Goldcar checks with the rental agent the condition of the returned vehicle (mileage, fuel in the tank, any damages). After that, if there are no disputes, the customer signs again on the tablet provided to Goldcar staff to close the contract. Conversely, in the event that damage is found, the Goldcar staff records the damage detected (through the tablet) and accompanies the customer to the office to fill out the forms specifically designated for this purpose (so-called "GFA") and describe the dynamics of the incident. Subsequently, the GFA form is registered in the damage management system.</w:t>
        <w:br/>
        <w:t>42. In this regard, for example, the complaint sent via email to Goldcar on April 28, 2019, is emblematic, in which it is reported that a rental started on April 15, 2019, at Ciampino airport. In particular, what is relevant is that at check-out the customer would have pointed out to the Goldcar staff "a small scratch on the left front wheel arch," regarding which the staff would have stated that it was a scratch not worth recording as it was negligible. However, upon returning the rented vehicle, a different staff member would have charged the scratch, merely warning the customer about the failure to note the scratch at check-out34.</w:t>
        <w:br/>
        <w:t>31 See document titled "Check-out update contract 15733219(CIA)," in Folder "Emiliano Ripani," acquired at Ciampino.</w:t>
        <w:br/>
        <w:t>32 See report of August 13, 2018, prot. no. 0059567.</w:t>
        <w:br/>
        <w:t>33 See report of August 27, 2018, prot. no. 0060820.</w:t>
        <w:br/>
        <w:t>34 See file titled "Dispute" acquired from Goldcar Ciampino. Also in this perspective, other similar complaints have been acquired at Ciampino airport, including documents titled "mail adinari," "Mail Damadge," "MAIL DAMAGE FJ241TR," and "mail etman."</w:t>
      </w:r>
    </w:p>
    <w:p>
      <w:r>
        <w:t>BULLETIN NO. 46 OF NOVEMBER 18, 2019 109</w:t>
      </w:r>
    </w:p>
    <w:p>
      <w:r>
        <w:t>43. Also consider the complaint acquired at Ciampino35 consisting of an email dated September 30, 2018, in which the customer, once at check-in to return the car late, would have filmed the entire operation "highlighting no anomalies or additional damage to those reported and documented at the time of pick-up." Nevertheless, in an email dated September 28, 2018, Goldcar informed the customer that following the inspection of the vehicle, "a long scratch on the left mirror casing that was not recorded at the time of pick-up would have been found." Consequently, "not having taken out coverage," the customer was charged 60 euros (amount withheld from the deposit).</w:t>
        <w:br/>
        <w:t>44. In this context, many of the reports in the records are also relevant. In this regard, and as mere examples, the following excerpts from some of them are reported, highlighting how the same reports often simultaneously refer to multiple "phases" (aggressiveness at the desk, inadequate check-out, etc.) of the practice in question, as it is indeed a unique and complex practice:</w:t>
        <w:br/>
        <w:t>- car rented at Catania Airport in June 2018: the reporter refuses to purchase the additional insurance policy, being charged 216 euros for an alleged damage supposedly not caused: the reporter comments on the incident as a form of "retaliation for not having taken out insurance"36;</w:t>
        <w:br/>
        <w:t>- car rented at Catania Airport in August 2018: the customer refuses to purchase the policy; at the time of return, the vehicle had an "apparently intact body," given that during the rental period the car had been placed in an "exclusive and protected parking" until the day of return, with the reporter having spent that period on a boat. Nevertheless, the check-in staff, "following a well-established ritual and without losing composure [...] went straight to the only ephemeral scratch" (resulting in a charge of 420 euros to the reporter)37;</w:t>
        <w:br/>
        <w:t>- car rented at Milan-Linate Airport in October 2018: the reporter does not agree to take out the insurance policy offered by Goldcar at check-out and the desk staff does not agree "even to come out to inspect the vehicle with me." At check-in, the reporter reports "meticulous checks" on the vehicle: in particular, the right lock was allegedly forced. However, the reporter notes that they never used the lock as it was an automatic opening/closing car; moreover, the car was always kept in a garage and used for short trips but never left on the street; the reporter was charged 300 euros: the reporter describes this modus operandi as "a real scam!!"38;</w:t>
        <w:br/>
        <w:t>- car rented at Lamezia Airport (CZ) between February and March 2019. At check-out, the Goldcar staff tried to sell "in every possible way" the additional insurance coverages. However, the customer refused. At check-in, the reporter observes that "not having taken out the insurance policies," the Goldcar staff "immediately found a damage [which the reporter claims not to have caused, ed.] bending down at the exact point where there was a scratch (right front bumper)." The reporter was charged 240 euros on their credit card39;</w:t>
        <w:br/>
        <w:t>- car rented at Catania Airport between July and August 2018: at check-in, a Goldcar staff member "performed the usual checks and when it seemed they had finished, they went back rushing to a very specific point where they strangely noticed a damage that they wanted to quantify at 240 euros"; it would be a damage that, as noted by the consumer, "without a doubt I did not cause because it is compatible with the condition in which the car was delivered to me." In any case, the detection and subsequent charge for such a minor damage appeared to the customer "an offense to human intelligence since it concerns superficial scratches on plastic of the bumper [...] not visible with a clean car but highlighted only by dust"40;</w:t>
        <w:br/>
        <w:t>- car rented at Lamezia Airport (CZ) in January 2019: at check-in, a damage to the vehicle was found – resulting in a charge of 240 euros to the customer – which the customer asserts they did not cause. Moreover, it would be a "very minor damage" located "on a part of the vehicle that is difficult to see." It is worth noting how the reporter in question observed that the "relative ease with which the office staff detected the 'damage' in such a hidden area of the vehicle leaves more than one doubt about the fact that its presence was already known" to the same Goldcar staff41;</w:t>
        <w:br/>
        <w:t>- car rented at Milan-Linate Airport (MI) in June 201942: the consumer was charged 378 euros "due to the presence, on the front bumper of the vehicle, of a scratch approximately 10 cm long"; damage that, according to the reporter, "existed already at the time of pick-up." It is important to note how the consumer reports having pointed out the presence of the scratch at the time of check-out: however, at that stage, the damage was "minimized and not noted by Goldcar staff on the rental sheet" (only to later become "suddenly significant enough to cause a charge" to the consumer)43.</w:t>
        <w:br/>
        <w:t>45. Finally, the reviews mentioned in the cited Reports44 also support the reiteration of phase sub D) of the conduct. In this direction, for example, the statement of that consumer is noteworthy who</w:t>
        <w:br/>
        <w:t>39 See report prot. no. 0022372 of March 7, 2019.</w:t>
        <w:br/>
        <w:t>40 See report of August 13, 2018, prot. no. 0059567.</w:t>
        <w:br/>
        <w:t>41 See report of March 18, 2019, prot. no. 0024555.</w:t>
        <w:br/>
        <w:t>42 See report of July 2, 2019, prot. no. 0046256.</w:t>
        <w:br/>
        <w:t>43 In the same perspective, other reports in the records are also relevant. Among these, as mere examples, the following: i) car rented at Kefalonia airport (Greece) in June 2018; after refusing to purchase the policy, and after having a completely deficient check-out, at check-in the Goldcar staff "contested both the damage to the rim and alleged scratches on the underbody." Therefore, the consumer, to whom a sum of 350 euros would have been "illegitimately charged," observes that they were "forced to pay for a damage they did not cause due to the credit card given as a guarantee at the time of renting the vehicle" (see report of July 23, 2018, prot. no. 0055238); ii) car rented at Zante airport (Greece) in August 2018: the consumer was charged 250 euros for "a scratch present under the spoiler located under the front bumper, certainly present at pick-up"; in particular, according to the consumer "the staff member was certainly already aware of that small mark since they went to look for it with certainty" (see report of September 5, 2018, prot. no. 0062158); iii) car rented at Madrid Airport (Spain) in August 2019: at check-in, the Goldcar staff, "after noticing that I had not added the additional insurance, began a meticulous check of every part of the car with a flashlight." As a result of this thorough check, following the reporter's failure to purchase the policy, the Goldcar staff identified "a scratch on the right side of the roof, in a place where it is unlikely to cause damage unless it is intentional" (see report of August 28, 2019, prot. no. 0057046).</w:t>
        <w:br/>
        <w:t>44 See cited document titled "RE: Report Rentalcars 201902."</w:t>
      </w:r>
    </w:p>
    <w:p>
      <w:r>
        <w:rPr>
          <w:b/>
        </w:rPr>
        <w:t>[Pages 109–111]</w:t>
      </w:r>
    </w:p>
    <w:p>
      <w:r>
        <w:t>BULLETIN NO. 46 OF NOVEMBER 18, 2019 111</w:t>
      </w:r>
    </w:p>
    <w:p>
      <w:r>
        <w:t>that critically observes how “they are trying to charge me for damage that was already present at the beginning of the rental.” In another case, a consumer notes that at the time of check-in, the Goldcar employee was “trying to present old scratches as new damages.” Another consumer points out that at check-in “no staff were present, making it difficult to obtain confirmation that there were no damages to the vehicle.” Occasionally, it is reported that there was a complete absence of Goldcar personnel upon return, only to later receive an email informing the customer of alleged damages that would have emerged from an unspecified inspection conducted at a later time.</w:t>
      </w:r>
    </w:p>
    <w:p>
      <w:r>
        <w:t>Commercial objectives related to damage management</w:t>
      </w:r>
    </w:p>
    <w:p>
      <w:r>
        <w:t>46. The documentation acquired during the inspection also confirms the commercial objectives that the professional sets regarding damage management, as highlighted in the main proceeding PS10214. More precisely, on that occasion, it emerged that Goldcar assigned its various rental stations the objective of billing, regarding damage recovery, at least [1-5] euros per rental day. In this regard, the following table was acquired in the course of the proceeding45:</w:t>
      </w:r>
    </w:p>
    <w:p>
      <w:r>
        <w:t>45 See document titled “Transactions – damages” acquired in Pisa.</w:t>
      </w:r>
    </w:p>
    <w:p>
      <w:r>
        <w:t>112 BULLETIN NO. 46 OF NOVEMBER 18, 2019</w:t>
      </w:r>
    </w:p>
    <w:p>
      <w:r>
        <w:t>Damage</w:t>
        <w:br/>
        <w:t>Damage Damage</w:t>
        <w:br/>
        <w:t>Damage Rentals / Damage</w:t>
        <w:br/>
        <w:t>Year Month Recovery / Rentals Recovery /</w:t>
        <w:br/>
        <w:t>Recovery Eligible Recovery/Day</w:t>
        <w:br/>
        <w:t>Eligible Day Rentals</w:t>
        <w:br/>
        <w:t>Rentals</w:t>
        <w:br/>
        <w:t>2018 Jan [omitted] € [1-1.5] € [8-10]% [0-0.5] € [omitted] [omitted] €</w:t>
        <w:br/>
        <w:t>Feb [omitted] € [1.5-2] € [8-10]% [0.5-1] € [omitted] [omitted] €</w:t>
        <w:br/>
        <w:t>Mar [omitted] € [2-2.5] € [8-10]% [0.5-1] € [omitted] [omitted] €</w:t>
        <w:br/>
        <w:t>Apr [omitted] € [1.5-2] € [8-10]% [0.5-1] € [omitted] [omitted] €</w:t>
        <w:br/>
        <w:t>May [omitted] € [1.5-2] € [8-10]% [0.5-1] € [omitted] [omitted] €</w:t>
        <w:br/>
        <w:t>Jun [omitted] € [1.5-2] € [8-10]% [0.5-1] € [omitted] [omitted] €</w:t>
        <w:br/>
        <w:t>Jul [omitted] € [1.5-2] € [8-10]% [0.5-1] € [omitted] [omitted] €</w:t>
        <w:br/>
        <w:t>Aug [omitted] € [1.5-2] € [&gt;10]% [0.5-1] € [omitted] [omitted] €</w:t>
        <w:br/>
        <w:t>Sep [omitted] € [1.5-2] € [8-10]% [0.5-1] € [omitted] [omitted] €</w:t>
        <w:br/>
        <w:t>Oct [omitted] € [2-2.5] € [8-10]% [0.5-1] € [omitted] [omitted] €</w:t>
        <w:br/>
        <w:t>Nov [omitted] € [1.5-2] € [8-10]% [0.5-1] € [omitted] [omitted] €</w:t>
        <w:br/>
        <w:t>Dec [omitted] € [1.5-2] € [8-10]% [0.5-1] € [omitted] [omitted] €</w:t>
        <w:br/>
        <w:t>Totals [omitted] € [1.5-2] € [8-10]% [0.5-1] € [omitted] [omitted] €</w:t>
        <w:br/>
        <w:t>2019 Jan [omitted] € [1.5-2] € [8-10]% [0.5-1] € [omitted] [omitted] €</w:t>
        <w:br/>
        <w:t>Feb [omitted] € [2-2.5] € [8-10]% [0.5-1] € [omitted] [omitted] €</w:t>
        <w:br/>
        <w:t>Mar [omitted] € [2-2.5] € [8-10]% [0.5-1] € [omitted] [omitted] €</w:t>
        <w:br/>
        <w:t>Apr [omitted] € [1.5-2] € [&lt;8%]% [0.5-1] € [omitted] [omitted] €</w:t>
        <w:br/>
        <w:t>May [omitted] € [1-1.5] € [&lt;8%]% [0.5-1] € [omitted] [omitted] €</w:t>
        <w:br/>
        <w:t>Totals [omitted] € [1.5-2] € [&lt;8%]% [0.5-1] € [omitted] [omitted] €</w:t>
        <w:br/>
        <w:t>Totals [omitted] € [1.5-2] € [8-10]% [0.5-1] € [omitted] [omitted] €</w:t>
      </w:r>
    </w:p>
    <w:p>
      <w:r>
        <w:t>47. From the preceding table, it emerges that, among other things, Goldcar continues to “measure” the revenue relationship for damages per rental day, which is exactly the parameter for which the objective of [1-5] euros per rental day was set. Moreover, it is quite indicative how the commercial objective that emerged in the context of proceeding PS10214 continues to be met both in 2018 and in the early months of 2019, despite the significant increase in the number of rentals. In particular, this parameter appears to be widely exceeded, with an average deviation of 80 cents, when considering the “Damage Recovery/Eligible Day” ratio, or “approximated,” with an average deviation of only 30 cents (in the period referred to in the table above), when considering the “Damage Recovery/Day” ratio.</w:t>
      </w:r>
    </w:p>
    <w:p>
      <w:r>
        <w:t>48. Furthermore, without prejudice to the preceding considerations, the previous table clearly shows how the professional closely monitors a whole series of parameters related to damage management, with the aim of verifying, ex post, the achievement or not of certain parameters set ex ante. In this direction, for example, the “Damage Rentals / Eligible Rentals” parameter highlights how rentals characterized by the presence of (at least) one damage represent a percentage close to 10% of rentals, constituting a significant item of the professional's revenues.</w:t>
      </w:r>
    </w:p>
    <w:p>
      <w:r>
        <w:t>III. THE ARGUMENTS OF THE PARTY</w:t>
      </w:r>
    </w:p>
    <w:p>
      <w:r>
        <w:t>49. During the proceeding, Goldcar submitted its own defense writings, had access to the documents on two occasions, and was heard in a hearing (on August 1, 2019).</w:t>
      </w:r>
    </w:p>
    <w:p>
      <w:r>
        <w:t>50. Prior to any other consideration, Goldcar contested the inclusion in this proceeding of Goldcar Spain S.L., stating that “the mere corporate control relationship between the two companies” would not, by itself, extend to Goldcar Spain conduct to which it would be unrelated46.</w:t>
      </w:r>
    </w:p>
    <w:p>
      <w:r>
        <w:t>51. That said, the Party emphasized that, following the acquisition of Goldcar by Europcar Mobility Group (“EMG” or “Europcar Group”), which took place in December 2017, the Goldcar company would have been subjected to a complex activity of “alignment” to the best practices of the Europcar group. In this regard, it was highlighted that several internal restructuring initiatives had already been undertaken following the aforementioned acquisition and at the instigation of EMG, and in particular:</w:t>
        <w:br/>
        <w:t>- radical change of Goldcar management in its top roles;</w:t>
        <w:br/>
        <w:t>- introduction of Net Promoter Score (“NPS”)47 parameters within the process of determining the variable part of the remuneration of sales staff at the desk;</w:t>
        <w:br/>
        <w:t>- sharing of NPS values with office managers in order to concretely transfer the same values to the sales network;</w:t>
        <w:br/>
        <w:t>- implementation in Goldcar stations on the territory of meters for the so-called “micro-damage,” i.e., the normal wear standard;</w:t>
        <w:br/>
        <w:t>- dialogue established with the EU Commission with the aim of improving communication and Goldcar services to consumers48;</w:t>
        <w:br/>
        <w:t>- implementation in Goldcar stations of informational totems regarding what is already contained in its general rental conditions or Terms and Conditions (“T&amp;C”) and on the company's website;</w:t>
        <w:br/>
        <w:t>- implementation in individual Goldcar stations of informative posters, addressed to its employees, in order to illustrate the behaviors to follow and those prohibited at the desk.</w:t>
      </w:r>
    </w:p>
    <w:p>
      <w:r>
        <w:t>46 In this sense see Goldcar's final memorandum of September 19, 2019 (prot. n. 0061007).</w:t>
        <w:br/>
        <w:t>47 That is, indices that measure customer satisfaction levels.</w:t>
        <w:br/>
        <w:t>48 In the context of the dialogue established with the European Commission, Goldcar committed to ensuring that: i) at the time of booking, all rental charges and any additional services requested by the customer are indicated; ii) the contractual clauses describe, in all national languages of the countries where Goldcar operates, the main rental services; iii) the costs and details of optional supplements, particularly liability limitations, are always represented with adequate clarity and completeness.</w:t>
      </w:r>
    </w:p>
    <w:p>
      <w:r>
        <w:rPr>
          <w:b/>
        </w:rPr>
        <w:t>[Pages 112–114]</w:t>
      </w:r>
    </w:p>
    <w:p>
      <w:r>
        <w:t>114 BULLETIN NO. 46 OF NOVEMBER 18, 2019</w:t>
        <w:br/>
        <w:t>Continues: on the alleged non-compliance</w:t>
        <w:br/>
        <w:t>52. That said, the Party observes that the 49 reports in the records (which refer to 46 rentals) represent "an absolutely marginal share [far less than 1%, ed. note] of the rentals carried out in Italy during the same period" (June 2018 – May 2019). Moreover, the reports would have reached the Authority in a context strongly influenced by the media echo of the decisions related to the main proceeding (PS10214) and to the non-compliance proceeding (IP270), which would have "inevitably undermined the perception of the Company in the eyes of consumers."</w:t>
        <w:br/>
        <w:t>53. In light of this, the Party highlights how the professional's commitment to achieving full customer satisfaction would be rewarded by the increase in rentals made in 2018 compared to the previous year, as well as by the simultaneous decrease in the number of complaints received by Goldcar.</w:t>
        <w:br/>
        <w:t>54. Furthermore, according to Goldcar, the reports would lack adequate evidence, as they should "likely be attributed to experiences deemed subjectively negative, but which demonstrate nothing regarding the alleged recurrence of the conduct."</w:t>
        <w:br/>
        <w:t>55. On the contrary, where the reports were also sent to Goldcar as complaints, they would have "been promptly addressed," even providing reimbursement to consumers for the amounts previously charged.</w:t>
        <w:br/>
        <w:t>56. That said, with specific reference to phase sub A) of the conduct (see above), Goldcar noted that, regarding the sale of additional coverage, the number of complaints from customers who booked the rental through brokers is predominant: for Goldcar, these would be complaints arising precisely from the informational deficiencies related to brokers and not from the allegedly aggressive behavior of Goldcar employees.</w:t>
        <w:br/>
        <w:t>57. Moreover, Goldcar continues, both the documentation in the records, which would be "inclusive of explicit references to not making aggressive sales at the counter," and the evident and documented interest of the company (and its employees) in maintaining satisfactory levels of customer satisfaction, would exclude "a priori the existence of aggressiveness in the sale of ancillary products and, in particular, of additional liability limitations."</w:t>
        <w:br/>
        <w:t>58. With specific reference to phases sub B) and C), Goldcar observed that the consumer's involvement in verifying the actual conditions of the vehicle, after signing the rental contract, would be a common practice in the sector due to "the objective impossibility (for any rental company) to guarantee ex ante, and particularly during significant customer influx at stations, the presence of its own staff to inspect each vehicle at check-out together with the customer."</w:t>
        <w:br/>
        <w:t>59. Finally, regarding phase sub D), it has been highlighted that upon return, the vehicle would be inspected in the presence of the customer. Any damage to the vehicle would always be documented by the Goldcar staff, and the customer would receive the relevant documentation and be informed of the charge before it occurs. That said, in Goldcar's opinion, the complaints acquired during the inspection supporting the thesis of the recurrence of the conduct are unfounded or "lack any evidence to support the alleged damages charged to consumers that would have pre-existed the rental": in the only case (see doc. "Re fp465aj") where the consumer provided adequate evidence, the company proceeded to reimburse him.</w:t>
        <w:br/>
        <w:t>Continues: the budget and commercial objectives</w:t>
        <w:br/>
        <w:t>60. According to Goldcar, no specific document would emerge regarding the setting of commercial objectives by the professional, both in relation to the sale of ancillary products, including insurance coverage, and in relation to damage management. In fact, the cited documents would not "minimally concern predetermined indications/objectives regarding commercial results to be achieved." Furthermore, there would be no explicit indications in the records regarding sales objectives for ancillaries or related to damage management, as the graphs reported by the Authority are "mere representations of the Company's results used in internal meetings."</w:t>
        <w:br/>
        <w:t>The additional measures adopted by Goldcar</w:t>
        <w:br/>
        <w:t>61. While contesting the charges hypothesized by the Authority, Goldcar communicated that it had implemented some measures even before the start of the present proceeding (see § 51 above), while it intends to implement further measures in the short term to improve compliance with the Consumer Code. Below, a brief account of these measures will be provided.</w:t>
        <w:br/>
        <w:t>i) Terms &amp; Conditions</w:t>
        <w:br/>
        <w:t>62. By October 8, 2019, Goldcar intends to implement a new version of the terms and conditions (hereinafter "T&amp;C"). The new T&amp;C, in addition to simplifying and clarifying the applicable contractual provisions, would provide for the reduction of the security deposit amount to 950 euros (regardless of the car group of the rented vehicle) for all rentals to be made in Italy.</w:t>
        <w:br/>
        <w:t>ii) Vehicle Inspection</w:t>
        <w:br/>
        <w:t>63. The new procedures being adopted include, among other things, the introduction of a third-party figure who, before each rental, will prepare the vehicle (in terms of cleaning, level checks, tire wear, etc.). Following the preparation, the provider will carry out a damage assessment (noting them on the so-called "transfer envelope").</w:t>
        <w:br/>
        <w:t>64. Once the vehicle has been prepared and verified by the third party, the envelope (containing the keys) will be returned to Goldcar staff who, before making the vehicle available for rental, will be required to update its status in the appropriate company operating system.</w:t>
        <w:br/>
        <w:t>65. At the time of check-out, the customer will be informed of the vehicle's condition and will receive the so-called "check-out document" containing the description of the vehicle's condition as noted by the provider. The customer will be advised to verify the actual conditions of the vehicle against what is reported on the check-out document and, in case of discrepancies, request the issuance of an updated check-out document.</w:t>
        <w:br/>
        <w:t>66. The vehicle will be re-checked by Goldcar at the time of check-in in the presence of the customer, if available; the evidence of the check will be recorded in Goldcar's computer system and on the aforementioned transfer envelope, while the vehicle will finally be returned to the third party for preparation for the next rental.</w:t>
        <w:br/>
        <w:t>67. According to Goldcar, "this process should reasonably limit, if not entirely exclude (except for material errors), the possibility of discrepancies between the check-out document and the actual condition of the vehicle, leaving the final check to the consumer before leaving the parking lot."</w:t>
        <w:br/>
        <w:t>iii) Damage Assessment and Charge Process</w:t>
        <w:br/>
        <w:t>68. Goldcar intends to introduce a new process within the Damage Procedure, of which the customer will be informed by the new T&amp;C, with the aim of excluding that the consumer may receive charges for damages allegedly not caused by him. In this direction, the dialogue with the consumer will be strengthened, allowing him to verify and contest the existence of damages, preventing the charge.</w:t>
        <w:br/>
        <w:t>IV. EVALUATIONS</w:t>
        <w:br/>
        <w:t>69. Preliminary, with reference to the contested further recurrence of the conduct sanctioned by provision No. 26260 of November 30, 2016, it is observed that both Goldcar Spain and Goldcar Italy must be considered responsible.</w:t>
        <w:br/>
        <w:t>70. In this perspective, it is first noted that Goldcar Italy S.r.l. is wholly owned by Goldcar Spain S.L. (through the vehicle company Car Rentals Italy S.r.l.). Additionally, the elements in the records show that Goldcar Spain S.L. has not implemented any measures useful to cease the same commercial practice.</w:t>
      </w:r>
    </w:p>
    <w:p>
      <w:r>
        <w:rPr>
          <w:b/>
        </w:rPr>
        <w:t>[Pages 115–117]</w:t>
      </w:r>
    </w:p>
    <w:p>
      <w:r>
        <w:t>BULLETIN NO. 46 OF NOVEMBER 18, 2019 117</w:t>
      </w:r>
    </w:p>
    <w:p>
      <w:r>
        <w:t>71. As for the fact that Goldcar's acquisition by the Europcar Group, as claimed by Goldcar in the Final Memorandum, would have resulted in a positive "alignment" by Goldcar with the best practices of the Europcar group, it must be noted that the acquisition took place about two years ago (December 2017), without this resulting in any clear and evident changes in the commercial policy followed by Goldcar, as demonstrated by the numerous and ongoing reports of the repeated unfair practice obtained in the records, most of which emerged in the summer of 2018, several months after the acquisition.</w:t>
      </w:r>
    </w:p>
    <w:p>
      <w:r>
        <w:t>72. Given the above, the factual elements described above outline a scenario of repeated non-compliance by the professional, regarding the unfair commercial practice already sanctioned both in the main proceeding PS10214 and in the non-compliance proceeding IP27057, namely a complex practice that originates at the desk with the persistent sale of ancillary coverage, which is associated—with the failure to purchase the coverage itself—with a deficient check-out control characterized by the customer's signing of a "damage sheet" for the vehicle signed even before inspecting the car and often incomplete; finally, the practice concludes with a check-in control that is usually very thorough, and the simultaneous charge for damages (often "micro") that pre-existed and/or were allegedly not caused by the customer and were previously reported and deemed irrelevant by Goldcar staff.</w:t>
      </w:r>
    </w:p>
    <w:p>
      <w:r>
        <w:t>73. In this perspective, both the numerous reports and complaints in the records and the (even more numerous) reviews contained in the aforementioned Reports obtained during the inspection activity must be read. In particular, it is also significant that the reports in the records have been continuously received from the notification of the non-compliance measure related to proceeding IP270 (February 14, 2018) until September 201958.</w:t>
      </w:r>
    </w:p>
    <w:p>
      <w:r>
        <w:t>74. These are evidences that fully confirm the repetition of the practice, as they do not merely refer generically to individual phases of the conduct (for example, pressures at the desk or charges for damages allegedly not caused by the consumer), but very often describe in detail the entire sequence of phases that characterize the practice in question. In particular, it is noteworthy that the consumer/reporting party is even aware of the "logical" sequence that characterizes the practice, namely the causal links between one phase of the conduct and the next: often, in fact, it is the consumer who reports, for example, that the failure to purchase the policy may result, at the end of the rental, in the charge for an allegedly uncaused damage.</w:t>
      </w:r>
    </w:p>
    <w:p>
      <w:r>
        <w:t>75. In other words, the determination and precision with which the reports and the Goldcar rental service Reports highlight the (repetition of the) practice appear symptomatic of the fact that what is reported cannot be the result of causality and/or temporary and occasional service disruptions attributable to the professional, but rather of a precise commercial strategy that the same professional is in fact continuing to implement despite the two previous proceedings of the Authority.</w:t>
      </w:r>
    </w:p>
    <w:p>
      <w:r>
        <w:t>76. In this context, it is also not shareable what Goldcar stated regarding the fact that the complaints in the records lack any evidence to support the hypothesis that the damages charged to consumers were pre-existing to the rental. Supporting the pre-existence of the damage are primarily the aforementioned Reports and the numerous reports in the records, in which, as mentioned, the various phases of the unfair practice are described with considerable precision and detail. In particular, in the reports, consumers pay particular attention to the fact that they had to endure charges for damages allegedly not caused by them.</w:t>
      </w:r>
    </w:p>
    <w:p>
      <w:r>
        <w:t>77. Furthermore, it should also be noted that the peculiar operational procedure followed by Goldcar (described above in the various phases) means that, if the consumer purchases the additional coverage, no check of the vehicle is even carried out at check-in, thus failing to detect the existence of new damages. Conversely, the procedure in the case of a consumer who has refused to purchase the additional policy—namely, a very approximate check-out and a very meticulous and attentive check-in—effectively creates the preconditions for contesting unrecorded damages and thus for the subsequent charge to consumers who did not purchase the additional coverage and who, by signing the check-out document without having actually inspected the vehicle, relied on the correct verification of the same by the rental company (see infra §§ 82 and 83).</w:t>
      </w:r>
    </w:p>
    <w:p>
      <w:r>
        <w:t>78. Having established the presence in the records of reports, complaints, and/or Reports supporting and confirming the repetition of the practice by Goldcar, the investigative activity nonetheless outlines a scenario in which the professional, rather than complying with the Authority's warnings to cease the sanctioned practice, has continued it. In this perspective, it is particularly noteworthy that Goldcar continues to set specific commercial objectives for the sale of ancillary services, including insurance coverages, and has not reduced the amounts of the security deposit. Similarly, it is noteworthy that the professional constantly monitors a whole series of relevant parameters related to the so-called "damage management."</w:t>
      </w:r>
    </w:p>
    <w:p>
      <w:r>
        <w:t>79. On this point, according to Goldcar, no document in the records would emerge regarding the setting of commercial objectives by the professional concerning damage management. In this regard, it should be noted that the aforementioned documents (see supra, §§ 46 et seq.) clearly testify that Goldcar monitors with extreme precision certain variables/parameters closely related to "damage management"; monitoring that, reasonably, can only represent the necessary tool to verify whether or not the commercial objectives set ex ante by the professional are being met, which are in fact satisfied.</w:t>
      </w:r>
    </w:p>
    <w:p>
      <w:r>
        <w:t>80. In the same perspective, namely in the context of the repetition of the practice by Goldcar, it is also significant the attention given to the sales results of each desk staff member, and in particular the fact that the remuneration of Goldcar desk staff is partly "variable" and also related to the sales of ancillary coverages made at the desk.</w:t>
      </w:r>
    </w:p>
    <w:p>
      <w:r>
        <w:t>81. In this context, it must be reiterated that the fact that Goldcar pursues sales objectives for ancillary/insurance products does not, in itself, represent an element of unfairness, as it falls within the full legitimacy of an economic operator to incentivize its commercial network in the territory to sell its products (including an insurance coverage that can reduce the amount of the security deposit). The presence of a pre-set sales objective is relevant, in the context in question, to the extent that the security deposit set by Goldcar is still high today (ranging from 1,200 to 2,000 euros depending on the type of rented car).</w:t>
      </w:r>
    </w:p>
    <w:p>
      <w:r>
        <w:t>BULLETIN NO. 46 OF NOVEMBER 18, 2019 119</w:t>
      </w:r>
    </w:p>
    <w:p>
      <w:r>
        <w:t>In the presence of a still high security deposit, the pressures at the desk take on a different connotation, in terms of illegality, since, in light of the high amount requested as a guarantee through the security deposit, Goldcar finds it easy to propose to customers the purchase of ancillary coverages as a means to reduce the amount of the deposit itself. It is also noted that the Company has not followed through on the commitment it made in the context of proceeding IP270 to reduce the amount of the security deposit from 1,100 euros to 950 euros.</w:t>
      </w:r>
    </w:p>
    <w:p>
      <w:r>
        <w:t>82. It should also be highlighted that the inspection activity at the agencies has allowed for proving a crucial element for the repetition of the practice in question, namely the fact that it is the desk staff who present and request the signing of the check-out sheet (including any damages to the vehicle) from the consumer before they have inspected the vehicle and therefore without having had the opportunity to verify in contradiction the actual state of the same.</w:t>
      </w:r>
    </w:p>
    <w:p>
      <w:r>
        <w:t>83. In the context in question, Goldcar's practice of having the check-out sheet signed in advance becomes a decisive element for the subsequent conduct of verification and precise charging of all micro-damages at the time of check-in. This is because, essentially, only the alerted and more cautious consumer will take on the burden of verifying the actual correspondence between the content of the sheet and the real conditions of the vehicle, a burden that should instead be borne by a diligent and scrupulous professional, who should ensure that there is a close correspondence between what is stated at check-out by their staff (formally, through the sheet) and the actual conditions of the vehicle to be rented. Indeed, the professional exploits the peculiar position of supremacy and asymmetry in which they find themselves in relation to the consumer to shift the burden of verifying the vehicle onto the latter, thereby creating the preconditions for the subsequent charge of damage for a large number of rentals, namely all those who did not purchase the additional coverage and who relied on the correct verification of the vehicle according to the diligence expected from a rental company.</w:t>
      </w:r>
    </w:p>
    <w:p>
      <w:r>
        <w:t>84. Furthermore, in this context, it should be noted that what Goldcar stated in the final memorandum, where it observes that the reduced presence of staff at its rental stations (reasonably related to its nature as a low-cost entity) would determine "objective impossibility" to carry out an accurate check-out control together with the customer (see supra), is inconsistent with the fact that, conversely, in the presence of a customer who has refused to purchase the additional coverage, the vehicle check-in is carried out with particular attention and rigor by the same desk staff.</w:t>
      </w:r>
    </w:p>
    <w:p>
      <w:r>
        <w:t>85. In light of the above, the repetition of the conduct in question since February 2018, the date of notification to the professionals of the closure measure of the non-compliance proceeding, or the period to which the first reports in the records refer, is therefore proven59. This conduct is still ongoing, due to the reports recently received in the records60.</w:t>
      </w:r>
    </w:p>
    <w:p>
      <w:r>
        <w:t>86. It is therefore believed that the behavior exhibited by the professional, in relation to this profile, constitutes non-compliance with resolution No. 26260 of November 30, 2016 (PS10214).</w:t>
      </w:r>
    </w:p>
    <w:p>
      <w:r>
        <w:rPr>
          <w:b/>
        </w:rPr>
        <w:t>[Pages 118–120]</w:t>
      </w:r>
    </w:p>
    <w:p>
      <w:r>
        <w:t xml:space="preserve">120 BULLETIN NO. 46 OF NOVEMBER 18, 2019  </w:t>
        <w:br/>
        <w:t xml:space="preserve">V. QUANTIFICATION OF THE SANCTION  </w:t>
        <w:br/>
        <w:t xml:space="preserve">87. Pursuant to Article 27, paragraph 12, of the Consumer Code, the Authority orders the application of an administrative pecuniary sanction ranging from €10,000 to €5,000,000, taking into account the severity and duration of the violation.  </w:t>
        <w:br/>
        <w:t xml:space="preserve">88. In quantifying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as well as the economic conditions of the company itself.  </w:t>
        <w:br/>
        <w:t xml:space="preserve">89. With regard to the violation in question, it is significant that it is particularly serious given that it is the second recurrence of the sanctioned conduct within a period of approximately three and a half years (the initiation of the main proceeding PS10214 dates back to March 2016), and considering that during the same time frame, more than a hundred total reports have been received by the Authority, without interruption (divided between the main proceeding and the two non-compliance proceedings), despite the injunctions and sanctions from the same two previous proceedings.  </w:t>
        <w:br/>
        <w:t xml:space="preserve">90. Also regarding the quantification of the sanction, the economic conditions of the company are relevant, which in 2018 recorded an increase in the number of rentals compared to the previous year (an increase of approximately 50,000 additional rentals), as well as a revenue increase of about 2.6% compared to 2017.  </w:t>
        <w:br/>
        <w:t xml:space="preserve">91. Lastly, it is noteworthy that Goldcar did not follow through on the commitment it made in the context of proceeding IP270, to reduce the amount of the security deposit.  </w:t>
        <w:br/>
        <w:t xml:space="preserve">92. Furthermore, regarding the duration, the available evidence indicates that the recurrence has been ongoing since at least February 2018 and is still ongoing, as recent reports have emerged indicating the current continuation of the conduct by the professional.  </w:t>
        <w:br/>
        <w:t xml:space="preserve">Taking into account the severity and duration of the conduct, in light of the above, it is deemed appropriate to impose an overall sanction of €3,400,000 (three million four hundred thousand euros).  </w:t>
        <w:br/>
        <w:t xml:space="preserve">All of the above having been stated and considered;  </w:t>
        <w:br/>
        <w:t xml:space="preserve">RESOLVES  </w:t>
        <w:br/>
        <w:t xml:space="preserve">to impose, jointly and severally on the companies Goldcar Spain S.L. and Goldcar Italy S.r.l., an administrative pecuniary sanction of €3,400,000 (three million four hundred thousand euros) for the recurrence of the conduct in question.  </w:t>
        <w:br/>
        <w:t xml:space="preserve">The imposed administrative sanction must be paid within thirty days from the notification of this provision, using the tax codes indicated in the attached F24 model with identifying elements, pursuant to Legislative Decree No. 241/1997.  </w:t>
        <w:br/>
        <w:t xml:space="preserve">The payment must be made electronically by debiting the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  </w:t>
        <w:br/>
        <w:t xml:space="preserve">Notification of the payment must be immediately communicated to the Authority by sending the documentation certifying the payment made.  </w:t>
        <w:br/>
        <w:t xml:space="preserve">This provision will be notified to the interested parties and published in the Bulletin of the Competition and Market Authority.  </w:t>
        <w:br/>
        <w:t xml:space="preserve">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w:t>
        <w:br/>
        <w:t>Filippo Arena Roberto Rustichelli</w:t>
      </w:r>
    </w:p>
    <w:p>
      <w:r>
        <w:t xml:space="preserve">122 BULLETIN NO. 46 OF NOVEMBER 18, 2019  </w:t>
        <w:br/>
        <w:t xml:space="preserve">PS11401 - DEUTSCHE BANK-FAI +1%  </w:t>
        <w:br/>
        <w:t xml:space="preserve">Provision No. 27977  </w:t>
        <w:br/>
        <w:t xml:space="preserve">THE COMPETITION AND MARKET AUTHORITY  </w:t>
        <w:br/>
        <w:t xml:space="preserve">IN ITS MEETING of October 29, 2019;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provision of April 17, 2019, with which the adoption of the precautionary measure was resolved, pursuant to Article 27, paragraph 3, of the Consumer Code;  </w:t>
        <w:br/>
        <w:t xml:space="preserve">VIEWED its provision of July 25, 2019, with which, pursuant to Article 7, paragraph 3, of the Regulation, the deadline for concluding the procedure was extended, for specific investigative needs;  </w:t>
        <w:br/>
        <w:t xml:space="preserve">VIEWED the documents of the proceeding;  </w:t>
        <w:br/>
        <w:t xml:space="preserve">I. THE PARTIES  </w:t>
        <w:br/>
        <w:t xml:space="preserve">1. Deutsche Bank S.p.A. (hereinafter DB, or the Bank), as a professional, pursuant to Article 18, letter b), of the Consumer Code. The Bank's financial statements, closed on December 31, 2018, recorded a revenue, calculated in accordance with the provisions for determining the revenue of credit institutions and other financial institutions by Article 5, paragraph 3, of Regulation No. 139/2004/EC on concentrations, of approximately €1.1 billion.  </w:t>
        <w:br/>
        <w:t xml:space="preserve">2. Altroconsumo, as a consumer association reporting the issue.  </w:t>
        <w:br/>
        <w:t xml:space="preserve">II. THE COMMERCIAL PRACTICE  </w:t>
        <w:br/>
        <w:t xml:space="preserve">3. The proceeding concerns the behavior reported by the consumer association Altroconsumo and by a consumer who complained about the alleged unfairness of the advertising disseminated by the credit institution Deutsche Bank S.p.A. during the period from January to April 2019 via the internet, television commercials, and advertising flyers, promoting a commercial initiative aimed at offering services related to the use of capital by account holders.  </w:t>
        <w:br/>
        <w:t>4. In particular, the reported conduct involved a prize operation, in which it was promised “a prize of +1% on the total invested” or “Do more +1%,” thus implying that it was possible to obtain a prize of 1% for those who registered for the promotion by April 30, 2019, and had invested predetermined amounts of capital by May 31, 2019. In reality, the prize consisted of participation in a points accumulation system on an electronic voucher, to be used at commercial establishments within the circuit affiliated with a third-party company, the</w:t>
      </w:r>
    </w:p>
    <w:p>
      <w:r>
        <w:rPr>
          <w:b/>
        </w:rPr>
        <w:t>[Pages 121–123]</w:t>
      </w:r>
    </w:p>
    <w:p>
      <w:r>
        <w:t>BULLETIN NO. 46 OF NOVEMBER 18, 2019 123</w:t>
      </w:r>
    </w:p>
    <w:p>
      <w:r>
        <w:t>Eurotarget S.r.l.. Furthermore, the Regulation of the operation provided for a complex and difficult-to-understand points accumulation mechanism, with limits and conditions that made the achievement of the advertised performance unlikely.</w:t>
      </w:r>
    </w:p>
    <w:p>
      <w:r>
        <w:t>III. THE OUTCOMES OF THE PROCEEDING</w:t>
      </w:r>
    </w:p>
    <w:p>
      <w:r>
        <w:t>1) The procedure process</w:t>
      </w:r>
    </w:p>
    <w:p>
      <w:r>
        <w:t>5. In relation to the commercial practice described above, on April 3, 2019, the Parties were notified of the initiation of investigative procedure No. PS11401 against the professional DB for possible violation of Articles 20, 21, and 23, letter u), of the Consumer Code, with simultaneous initiation of the sub-procedure for the provisional suspension of the contested practice, pursuant to Article 27, paragraph 3, of the Consumer Code.</w:t>
      </w:r>
    </w:p>
    <w:p>
      <w:r>
        <w:t>6. On April 9, 2019, the Bank submitted the statements for the precautionary sub-procedure, in which the modifications made in the commercial communications were communicated.</w:t>
      </w:r>
    </w:p>
    <w:p>
      <w:r>
        <w:t>7. On April 17, 2019, the Authority adopted a precautionary suspension measure of the practice, ordering the publication of the extract of the resolution on the Bank's website. The communication of the measure to DB took place on April 18, 2019.</w:t>
      </w:r>
    </w:p>
    <w:p>
      <w:r>
        <w:t>8. With communications on April 23 and April 29, 2019, DB represented that it had complied with the obligation to publish the extract of the resolution on its website and had ceased the dissemination of the reported commercial communications.</w:t>
      </w:r>
    </w:p>
    <w:p>
      <w:r>
        <w:t>9. On July 10, 2019, a request for information was made to the company.</w:t>
      </w:r>
    </w:p>
    <w:p>
      <w:r>
        <w:t>10. On July 12, 2019, DB was summoned to the hearing that took place on July 22, 2019.</w:t>
      </w:r>
    </w:p>
    <w:p>
      <w:r>
        <w:t>11. On July 25, 2019, the Parties were informed of the extension of the deadline for concluding the procedure.</w:t>
      </w:r>
    </w:p>
    <w:p>
      <w:r>
        <w:t>12. On July 31, 2019, the Bank submitted the defensive statements with the requested documentation.</w:t>
      </w:r>
    </w:p>
    <w:p>
      <w:r>
        <w:t>13. On August 20, 2019, the Parties were informed of the conclusion date of the investigative phase pursuant to Article 16, paragraph 1, of the Regulation.</w:t>
      </w:r>
    </w:p>
    <w:p>
      <w:r>
        <w:t>14. On September 16, 2019, DB submitted the final statements.</w:t>
      </w:r>
    </w:p>
    <w:p>
      <w:r>
        <w:t>15. On September 17, 2019, the opinion of the Bank of Italy was requested, pursuant to Article 27, paragraph 1-bis, of the Consumer Code, and on the same date, the opinion of the Authority for Communications Guarantees - AGCOM was requested, pursuant to Article 27, paragraph 6, of the Consumer Code.</w:t>
      </w:r>
    </w:p>
    <w:p>
      <w:r>
        <w:t>16. On October 9, 2019, the opinion expressed by the Bank of Italy was received.</w:t>
      </w:r>
    </w:p>
    <w:p>
      <w:r>
        <w:t>17. On October 17, 2019, the opinion of AGCOM was received.</w:t>
      </w:r>
    </w:p>
    <w:p>
      <w:r>
        <w:t>2) The acquired evidence</w:t>
      </w:r>
    </w:p>
    <w:p>
      <w:r>
        <w:t>18. The practice was articulated through the following commercial communications:</w:t>
      </w:r>
    </w:p>
    <w:p>
      <w:r>
        <w:t>1 Doc. 19.</w:t>
        <w:br/>
        <w:t>2 Doc. 32: Minutes of the hearing held on 22-7-2019, during which further requests for information were made to the bank.</w:t>
        <w:br/>
        <w:t>3 Doc. 33 and attachments, relating to the response to the written requests for information of 10-7-2019 and formulated during the hearing.</w:t>
        <w:br/>
        <w:t>4 Doc. 37: Final statements of DB.</w:t>
      </w:r>
    </w:p>
    <w:p>
      <w:r>
        <w:t>124 BULLETIN NO. 46 OF NOVEMBER 18, 2019</w:t>
      </w:r>
    </w:p>
    <w:p>
      <w:r>
        <w:t>- on the website (address: http://www.deutsche-bank.it/faipiù1.html), the main claim stated “Fai + 1% Porta i tuoi investimenti da noi. In più hai un premio dell’1%”, followed by a paragraph further explaining that read: “Bring your investments to us by May 31, 2019. Not only can you rely on our professionalism and experience in asset management, but we grant you a reward of 1% on the total invested; this reward can reach up to 20,000 euros. Together with our consultants, you can define the optimal allocation of your assets, fully respecting your needs and financial profile. Furthermore, it was stated: “Who is the initiative aimed at? At all those who are already our clients and new clients who, upon opening a current account, will enroll in the initiative from January 14, 2019, to April 30, 2019, and will bring their investments to Deutsche Bank for at least 30,000 euros, by May 31, 2019.” The main claim contained a reference to a footnote, in very small print, which indicated some of the conditions of the prize operation: the validity period “…from 14/01/2019 to 31/08/2019 for private clients who will join the initiative according to the methods provided by the Regulation” and the nature and characteristics of the prize offered, along with an invitation to consult the “Regulation”;</w:t>
      </w:r>
    </w:p>
    <w:p>
      <w:r>
        <w:t>Fig. 1: the main claim of the promotion launched in January 2019</w:t>
      </w:r>
    </w:p>
    <w:p>
      <w:r>
        <w:t>- the television spot, broadcast in the two weeks between February 17, 2019, and March 2, 2019, through the main national broadcasters, which presented a scene inside an elevator, where a man presses the button for the “+1%” floor and, addressing another, states: “I bring my investments to Deutsche Bank and in addition a reward of 1% on the capital that I invest”; subsequently, a voiceover stated: “a choice of value. Bring your investments to Deutsche Bank.” The last sequence of the television spot concluded with the claim in full screen “Fai + 1%” followed by the name “Deutsche Bank,” while the banner in overlay read “advertising message for promotional purposes. Prize operation dedicated to private clients and valid until August 31, 2019, under the terms and conditions of the Regulation available at the counters and offices of Deutsche Bank financial advisors as well as on the websites deutsche-bank.it and dbfinancialadvisors.it”;</w:t>
      </w:r>
    </w:p>
    <w:p>
      <w:r>
        <w:t>- the advertising flyer, also downloadable from the website, having a structure and information similar to those reported on the webpage.</w:t>
      </w:r>
    </w:p>
    <w:p>
      <w:r>
        <w:t>19. Following the initiation of the procedure, in which the possible adoption of precautionary measures was foreseen, the professional modified the website as follows:</w:t>
      </w:r>
    </w:p>
    <w:p>
      <w:r>
        <w:t>- the version of the website modified during the precautionary sub-procedure contained some textual modifications made from April 8, 2019. In particular, information was inserted regarding the prize delivery system "recognized through the electronic purchase voucher usable for the purchase of goods and services" (with reference to the Regulation of the operation) and “up to 1%,” specifying that it is "a reward of 1% up to an invested amount of one million euros. For amounts exceeding this, the reward will be calculated in brackets as per Regulation." Furthermore, it was clarified that in order to benefit from the prize, it is necessary to bring "investments to Deutsche Bank for at least 30,000 euros by May 31, 2019, maintaining them until August 31, 2019."</w:t>
      </w:r>
    </w:p>
    <w:p>
      <w:r>
        <w:t>20. From the documentation in the records, it emerges that the operation was launched in January 2019 and continued until the end of April 2019, during which time subscriptions were collected through the signing of the form downloadable from the bank's website, while the use of the funds was possible until May 31, 2019, with the obligation to maintain them until the end of August 2019.</w:t>
      </w:r>
    </w:p>
    <w:p>
      <w:r>
        <w:t>21. From the Regulation, which is complex to read, it appears that:</w:t>
      </w:r>
    </w:p>
    <w:p>
      <w:r>
        <w:t>- the prize consists of an electronic voucher to be used at establishments affiliated with Eurotarget S.r.l., the issuer of the voucher itself (point no. 3 “Special notes - prize specifications,” p. 14 of the Regulation);</w:t>
      </w:r>
    </w:p>
    <w:p>
      <w:r>
        <w:t>- the possible capital contributions considered for the prize delivery are divided into categories, defined as ‘Extended Managed Net Collection,’ ‘Net Investment Collection,’ ‘New contributions from another Institution,’ and ‘Reduction of Creditor Balances of Current Accounts’;</w:t>
      </w:r>
    </w:p>
    <w:p>
      <w:r>
        <w:t>7 Doc. n. 2, attachment n. 2: Flyer attached by a consumer who reported the incident on 13-3-2019.</w:t>
        <w:br/>
        <w:t>8 Doc. n. 9, attachment 2: memorandum for the precautionary sub-procedure sent on 9-04-2019.</w:t>
        <w:br/>
        <w:t>9 Doc. 33, attachment n. 2.1, p. 12.</w:t>
        <w:br/>
        <w:t>10 Doc. n. 2, attachment 1 and doc. n. 8, memoranda of the consumer association Altroconsumo sent on 9/4/2019, during the precautionary sub-procedure.</w:t>
        <w:br/>
        <w:t>* In this version, some data are omitted, as it was deemed that there were elements of confidentiality or secrecy of the information.</w:t>
        <w:br/>
        <w:t>11 Doc. n. 2, attachment 1, Regulation, pp. 1, 2, and 5: “The value of the prize is calculated taking into account the lesser of:</w:t>
        <w:br/>
        <w:t>a) the increase of the Extended Managed Net Collection</w:t>
        <w:br/>
        <w:t>b) the increase of the Net Investment Collection</w:t>
      </w:r>
    </w:p>
    <w:p>
      <w:r>
        <w:rPr>
          <w:b/>
        </w:rPr>
        <w:t>[Pages 124–126]</w:t>
      </w:r>
    </w:p>
    <w:p>
      <w:r>
        <w:t>126 BULLETIN NO. 46 OF NOVEMBER 18, 2019</w:t>
        <w:br/>
        <w:t>- the prize is equal to 1% of the minimum value between the contributions of each category (p. 1 of the Regulation);</w:t>
        <w:br/>
        <w:t>- the prize, in terms of points loaded onto the electronic voucher, is calculated at a rate equal to 1% of the value used (as determined above); if the points exceed 10,000, the allocation follows a less than proportional criterion, up to recognizing, in the face of points that theoretically exceed 45,000, only 20,000 actual points12;</w:t>
        <w:br/>
        <w:t>- the value recognized for the contribution of the extended Managed Net Collection is that determined as of August 31, 2019 (letter C, pp. 4-5, of the Regulation).</w:t>
        <w:br/>
        <w:t>22. The internal documentation disseminated by DB to its commercial network confirms that actual adherence and participation in the promotion is subject to certain conditions, such as the obligation to have a current account (c/c) and possibly also a securities deposit or a fund position depending on their capital investment choices, at a DB branch, the obligation for all co-holders of the c/c to sign the adhesion form, and the minimum amount of capital required (€30,000). Furthermore, the methods of making the 'contributions' of capital, relevant for the conversion into points of the invested amounts, are also subject to certain conditions13.</w:t>
        <w:br/>
        <w:t>23. The date for the disbursement of the prizes has been set no later than February 28, 2020, subject to the signing of a release letter14.</w:t>
        <w:br/>
        <w:t>24. As stated by the Bank itself, the objective of the campaign was to increase the managed net collection, that is, that related to over [1,200-5,000] financial products managed or distributed by the bank, while at the same time avoiding a reduction in the total capital investments at the bank by the participating customers. This 'increase' was to occur through the transfer of capital by new customers from other banks to DB and, for those who were already customers, through an increase in liquidity at the Bank itself. The campaign, precisely because aimed at achieving c) the sum of Contributions from other institutions and/or the reduction of Creditor Balances of current accounts with a minimum adhesion amount of €30,000 as specified in the section MATURATION AND CALCULATION METHODS OF THE "PRIZE". […] For the calculation of the prize, a number of points equal to 1% of the lesser value among:</w:t>
        <w:br/>
        <w:t>1. The increase of the extended Managed Net Collection (determined in point C);</w:t>
        <w:br/>
        <w:t>2. The increase of the investment Managed Net Collection (determined in point B).</w:t>
        <w:br/>
        <w:t>3. The sum of the Contributions (determined in point A) increased by any reduction of the Creditor Balances of C/C (determined in point D)</w:t>
        <w:br/>
        <w:t>The number of points will be rounded up to multiples of 50 up to a total of 10,000 points […]”.</w:t>
        <w:br/>
        <w:t>See also Doc. 33, annex no. 2.1, p. 6, regarding some examples of products included in each category ([omitted]).</w:t>
        <w:br/>
        <w:t>12 Doc. 2, annex 1, Regulation p. 5 More precisely:</w:t>
        <w:br/>
        <w:t>- from 10,001 points to 15,000 points, 10,000 points will be recognized;</w:t>
        <w:br/>
        <w:t>- from 15,001 points to 25,000 points, 12,500 points will be recognized;</w:t>
        <w:br/>
        <w:t>- from 25,001 points to 35,000 points, 15,000 points will be recognized;</w:t>
        <w:br/>
        <w:t>- from 35,001 points to 45,000 points, 17,500 points will be recognized;</w:t>
        <w:br/>
        <w:t>- over 45,000 points, 20,000 points will be recognized.</w:t>
        <w:br/>
        <w:t>13 Doc. n. 33, annex n. 2.2: Question n. 6, on the methods of making the 'contributions':</w:t>
        <w:br/>
        <w:t>“a. Deposit of checks from another institution made to the current account registered; (EXCLUDING FOREIGN CHECKS)</w:t>
        <w:br/>
        <w:t>b. Transfers from another institution made to the current account registered (EXCLUDING CURRENCY TRANSFERS and reimbursements of maturing securities);</w:t>
        <w:br/>
        <w:t>c. Transfer of securities (quoted on regulated markets) and funds (limited to those placed by DB) from another institution.”</w:t>
        <w:br/>
        <w:t>All this, respecting other constraints such as the minimum amount required for contributions from another bank (question n. 13, i.e. €30,000), as well as the minimum daily amount to transfer liquidity from another credit institution (i.e. €10,000). Furthermore, it is mandatory to keep the current account associated with the promotion active until the date of recognition of the prize. Investments in the extended Managed Net Collection, as well as the advanced consulting contract, must be maintained until August 31, 2019.</w:t>
        <w:br/>
        <w:t>14 Doc. 2, annex n. 1, p. 14; doc. 33, annex n. 4.4.</w:t>
      </w:r>
    </w:p>
    <w:p>
      <w:r>
        <w:t>BULLETIN NO. 46 OF NOVEMBER 18, 2019 127</w:t>
        <w:br/>
        <w:t>to achieve this objective, is structured with a prize calculation system that values capital investments in financial products managed or distributed by the bank, only when these do not come from the liquidation of financial products other than those of DB. Essentially, the objective of the initiatives was to achieve an increase in investments in products managed by DB through contributions of new liquidity. Only in this case does the Regulation provide for the awarding of points15. Consequently, even if the total contribution of new capital exceeded the minimum threshold of €30,000 indicated in the advertising messages, the prize may not be awarded if the use of the same did not reach the threshold mentioned in relation to the products distributed by the Bank, or if any disinvestments in other products resulted in an overall reduction of the capital employed by the customer. The same Regulation provides an example (n. 5) from which it is inferred that no prize is awarded, despite the capital committed exceeding the minimum threshold of €30,000, due to the fact that the investments in products managed and distributed by the Bank are below this limit.</w:t>
        <w:br/>
        <w:t>25. From the statements of the professional recorded in the minutes of the hearing of July 22, 2019, there is a significant number of adhesions received and that the quantification of the prize derives from the application of the percentage of 1% provided by the promotion with a target trend of managed mass collection pursued by DB, equal to [100-400] million euros”16. For the achievement of these objectives, based on what the Bank stated, there has been constant monitoring both during the promotion and after its conclusion, to verify compliance by customers with the condition of not reducing the total capital employed17.</w:t>
        <w:br/>
        <w:t>The documentary evidence collected confirms that the prize, equal to 1% of the investments in 'extended managed savings products', consists of the recognition of “a prize of up to €20,000”, with a “minimum threshold of €30,000” of capital employed, without acquisition limits18.</w:t>
        <w:br/>
        <w:t>Finally, regarding the objectives pursued by DB with the promotion in question, it emerges from the documentation on file that as of May 31, 2019, [10,000-20,000] customers had adhered to the promotion, by signing the adhesion form, of which [10,000-20,000] were actual (those who participated in the campaign with contributions of capital of any amount). It also appears that the volumes employed in the “extended managed net collection” amounted to [1,000-2,000] million euros, against estimated prizes from the bank amounting to [10-20] million euros. Of the [10,000-20,000] actual participants in the promotion, based on the statements of the professional, [100-200] customers made investments in “Extended Managed Collection” above one million euros, or about 1.1% of the total. Moreover, the number of non-eligible customers, according to the rules defined in the Regulation and also based on the data updated to May 2019 provided by the Bank, was [1,000-10,000]19.</w:t>
        <w:br/>
        <w:t>15 Doc. n. 32: minutes of the hearing held on July 22, 2019.</w:t>
        <w:br/>
        <w:t>16 Doc. 32: Minutes of the hearing held on July 22, 2019, p. 3.</w:t>
        <w:br/>
        <w:t>17 Doc. n. 32: Minutes of the hearing of July 22, 2019, p. 3 and doc. n. 33, annex n. 1, relating to the 'campaign monitoring form', completed by DB consultants.</w:t>
        <w:br/>
        <w:t>18 Doc. 33, annex n. 2.1., cited p. 3.</w:t>
        <w:br/>
        <w:t>19 Doc. 33, pp. 4-8: memoranda of July 31, 2019.</w:t>
      </w:r>
    </w:p>
    <w:p>
      <w:r>
        <w:t>128 BULLETIN NO. 46 OF NOVEMBER 18, 2019</w:t>
        <w:br/>
        <w:t>3) DB's Defense Arguments</w:t>
        <w:br/>
        <w:t>26. In the defense memoranda produced on April 9 and 23, 201920, as well as on July 31, 202921, followed by the concluding memoranda received on September 16, 201922, DB represented the following:</w:t>
        <w:br/>
        <w:t>- the “Fai + 1%” operation was launched to promote the financial advisory service offered, with the aim of increasing the extended managed net collection through capital investments made between January 14 and May 31, 2019, by existing and new customers, requiring a minimum amount of €30,000 in the extended managed collection for each participant, and a time constraint of permanence (August 31, 2019);</w:t>
        <w:br/>
        <w:t>- the operation provided maximum freedom for participants in determining the methods of adhesion, without any limitation in obtaining the necessary resources to make investments in “extended managed net collection”;</w:t>
        <w:br/>
        <w:t>- the configuration of the 'prize' in points was a legally mandated choice, pursuant to Article 4 of D.P.R. No. 430/2001, as the direct payment of cash prizes is prohibited in a prize operation; for this reason, the use of the term 'prize' excluded the recognition of an additional return on capital to its clientele and a prize amount equal to what was promised in the Regulation was recognized, instead of a return;</w:t>
        <w:br/>
        <w:t>- regarding the promotional messages, the consumer was placed from the first contact in a position to understand that the reference to the “1% prize of the invested capital,” although reported in small print, referred to a prize operation. Furthermore, the absence of the use of the term 'return' was the informative element that would clearly exclude any reference to a form of financial return;</w:t>
        <w:br/>
        <w:t>- while acknowledging that the criterion for awarding the prize “less than proportional” and non-linear, up to a maximum of €20,000, for amounts invested over one million euros occurs in about 1% of cases, the point calculation criterion is represented in various parts of the Regulation and, therefore, the consumer was placed in a position to know that the allocation of points above this threshold did not follow a linear criterion but 'less than proportional';</w:t>
        <w:br/>
        <w:t>- on April 8, 2019, the website was modified specifying that the prize is the result of conversion into points, loaded onto an electronic spending voucher, and corresponds to “[a]ll’1% up to an invested amount of one million euros. For amounts above, the prize will be calculated in brackets as per Regulation”; although over 99% of participants will actually receive 1% of what is committed, to account for the very limited cases in which this will not occur, it was specified in the claim that participation in the initiative would guarantee “up to 1%”. Furthermore, it was specified that “participants who invest in managed savings products using already existing liquidity in current accounts, or financial instruments or liquidity from other credit institutions, provided that such new investments increase the total position</w:t>
      </w:r>
    </w:p>
    <w:p>
      <w:r>
        <w:rPr>
          <w:b/>
        </w:rPr>
        <w:t>[Pages 127–129]</w:t>
      </w:r>
    </w:p>
    <w:p>
      <w:r>
        <w:t>BULLETIN NO. 46 OF NOVEMBER 18, 2019 129</w:t>
      </w:r>
    </w:p>
    <w:p>
      <w:r>
        <w:t>investments in Deutsche Bank.” Finally, in the modified message, the minimum amount to be used was stated as €30,000;</w:t>
        <w:br/>
        <w:t>- regarding the short television spot, the Bank clearly indicated that it would be a ‘prize operation,’ referring to the Regulation for details;</w:t>
        <w:br/>
        <w:t>- there is no violation of Article 23, letter u), of the Consumer Code, since, contrary to the Authority's decision-making practice regarding competitions and prize operations, in this case, prizes are actually awarded based on what is stated in the Regulation;</w:t>
        <w:br/>
        <w:t>- the consumer would not have been misled since, in no case could they participate in the operation without interfacing with the consultant with whom they would evaluate the details and mechanisms for participating in the promotion, as confirmed by the internal documents regarding the information to be provided to customers;</w:t>
        <w:br/>
        <w:t>- there is no economic prejudice to the average consumer, given that those who participated are not vulnerable individuals, but consumers with particular familiarity with financial products, with a solid economic position, as well as the fact that the majority of participants in the initiative would consist of existing customers.</w:t>
      </w:r>
    </w:p>
    <w:p>
      <w:r>
        <w:t>IV. OPINION OF THE AUTHORITY FOR GUARANTEES IN COMMUNICATIONS</w:t>
      </w:r>
    </w:p>
    <w:p>
      <w:r>
        <w:t>27. Since the commercial practice subject to this provision was disseminated via the internet and television, on September 17, 2019, an opinion was requested from the Authority for Guarantees in Communications, pursuant to Article 27, paragraph 6, of the Consumer Code.</w:t>
        <w:br/>
        <w:t>28. On October 17, 2019, the aforementioned Authority expressed the view that the means of dissemination such as the Internet and television, used for the implementation of the practice for which the opinion was requested, significantly facilitated and amplified the conduct in question.</w:t>
      </w:r>
    </w:p>
    <w:p>
      <w:r>
        <w:t>V. OPINION REQUESTED FROM THE BANK OF ITALY</w:t>
      </w:r>
    </w:p>
    <w:p>
      <w:r>
        <w:t>29. Since the commercial practice subject to this provision concerns the banking sector, on September 17, 2019, an opinion was requested from the Bank of Italy, pursuant to and for the effects of Article 27, paragraph 1-bis, of the Consumer Code, introduced by Article 1, paragraph 6, letter a), of Legislative Decree No. 21/2014.</w:t>
        <w:br/>
        <w:t>30. In an opinion received on October 9, 2019, the aforementioned Authority considered that regarding the commercial practice in question, for the aspects of its competence, “there are no reasons preventing the evaluations reserved for the Authority.”</w:t>
      </w:r>
    </w:p>
    <w:p>
      <w:r>
        <w:t>VI. CONCLUDING EVALUATIONS</w:t>
      </w:r>
    </w:p>
    <w:p>
      <w:r>
        <w:t>31. In light of the elements acquired in the context of this procedure, the conduct carried out by DB is under evaluation, consisting of having disseminated, during the period between January and April 2019, an advertising campaign via the internet, television spots, and advertising flyers, aimed at promoting a promotion called “Do more +1%.”</w:t>
        <w:br/>
        <w:t>32. Specifically, the message disseminated on the website through the main claim “Do more +1%,” accompanied by the invitation “Bring your investments to us. Plus, you get a reward of 1%,” urged consumers to bring their capital to DB due to the promise of a reward in terms of an increase in the value of the invested capital. The references, in characters that were also poorly readable, to the footnote and the Regulation did not allow the consumer to clearly understand both the nature of the reward (not monetary but in spending points) and the conditions/constraints for receiving it. Similar solicitations, with similar claims, were used in the television spot and in the advertising flyer, which could also be downloaded from the website, with a structure and information similar to those reported on the web page.</w:t>
        <w:br/>
        <w:t>33. The messages reported in the investigative evidence suggested that the Bank, upon the occurrence of the few conditions indicated therein (registration for the initiative from January 14, 2019, to April 30, 2019, and investment of capital in Deutsche Bank for at least €30,000 by May 31, 2019), only in the messages disseminated via the internet and flyers, would recognize a reward of "+1%" of the invested capital. In reality, as confirmed by DB itself and the content of the Regulation, which is also complex, this performance is subject to numerous other conditions that bind the methods of attribution of what was promised in the messages.</w:t>
        <w:br/>
        <w:t>34. In fact, first of all, the reward does not concern a monetary recognition of "+1%" of the invested capital, but an electronic voucher usable at affiliated establishments with a third-party company, Eurotarget S.r.l., issuer of the voucher itself, and not better identified on the pages of the site or in the Regulation of the competition. In this regard, contrary to what DB claimed, the term "reward" used in the messages was not sufficient to imply that it was a prize operation, which as such cannot provide for a monetary prize, just as the clarifications on the nature of the promised performance reported on the site, placed in a less prominent position compared to the initial claims and in reduced characters, were insufficient. The absence of the use of the term ‘return,’ finally, contrary to what was claimed by the professional, could not in itself constitute a clarifying element of the fact that the promised “+1%” would not concern the financial returns on the invested capital, but a reward granted in another way, as the application of a percentage linked to the investment of capital is naturally to be understood as the financial return derived from it.</w:t>
        <w:br/>
        <w:t>35. Secondly, the achievement of a reward of 1% is conditioned upon the fulfillment of various additional and different conditions from those indicated. In fact, the capital investments at DB useful for the granting of the reward are divided into categories (New contributions from another Institution, Net Investment Collection, Extended Net Managed Collection, which constitutes a subcategory of the Net Investment Collection, and Reduction of Creditor Balances of current accounts); the reward is equal to 1% of the minimum value among the contributions of each category. It follows that the amount of the reward may be less than 1% of the total capital commitments if these are made in different volumes by the consumer among the various categories, particularly if the Extended Net Managed Collection is less than the Net Investment Collection.</w:t>
        <w:br/>
        <w:t>36. Moreover, there would be situations in which the reward would not be granted even in the face of total commitments exceeding €30,000, as demonstrated by example No. 5 of the Regulation. The reward is recognized in terms of points loaded onto the electronic voucher, in the amount of a number of points (1 point = 1 euro) equal to 1% of the value invested (as determined above). However, if the points exceed 10,000, the attribution would follow a less than proportional criterion, up to the recognition, in the face of theoretical points exceeding 45,000, of only 20,000 actual points. Finally, the value recognized for the contribution of the Extended Net Managed Collection would not be that determined as of May 31, 2019, as appears from the advertising messages, but that of August 31, 2019.</w:t>
        <w:br/>
        <w:t>37. The limitations and conditions to which the recognition of the promised reward was subjected were not clearly understandable to the consumer, who could have seen the convenience of transferring funds nullified, realized to participate in the promotion. In this regard, it should be noted that this actually occurred as, from DB data, out of [10,000-20,000] customers participating in the campaign, who actually contributed capital, there was a number of non-rewardable subjects equal to [1,000-10,000].</w:t>
        <w:br/>
        <w:t>38. The documentary evidence shows, therefore, that the professional failed to provide clear information both on the nature of the reward and on the conditions for its calculation, for the purpose of obtaining it. Nor does the mandatory passage through the financial consultant before participating in the promotion, in which the consumer could have learned in detail the methods and procedures of the same, remedy the misleading nature of the statements made in the commercial communications, as the moment of interface with the consultants is subsequent to the initial contact phase with the bank regarding the operation, a phase in which, according to established case law, all essential elements must already be provided to the consumer to make an informed decision on whether or not to adhere to what was proposed to them. In fact, it is at this stage that the consumer is “hooked” by the professional.</w:t>
        <w:br/>
        <w:t>39. In summary, the bank advertised the prize operation “Do more +1%” using messages that led the consumer to believe that it was a reward consisting of an increase of 1% of the value of the invested capital, when instead only a reward consisting of an electronic voucher usable for purchases at affiliated establishments was recognized.</w:t>
        <w:br/>
        <w:t>40. Furthermore, the detailed rules of the operation were such as not to guarantee that the reward promised by DB would be equivalent to 1% of the invested capital, and even in some cases, which concerned many participants in the initiative, it would not even be payable in the face of the minimum capital contribution indicated in the messages, equal to €30,000.</w:t>
        <w:br/>
        <w:t>41. The conduct described above constitutes an unfair commercial practice, pursuant to Article 21 of the Consumer Code, as DB, by misleadingly or non-transparently reporting relevant information regarding the nature, characteristics, limits, and conditions of the “Do more +1%” operation, misled consumers - savers, pushing them to make a commercial decision that they would not have otherwise made.</w:t>
        <w:br/>
        <w:t>42. The conduct also violates Article 23, letter u), of the Consumer Code, as the statements made in the contested messages promised rewards not always actually granted, according to what was indicated.</w:t>
        <w:br/>
        <w:t>- from 10,001 points to 15,000 points, 10,000 points will be recognized;</w:t>
        <w:br/>
        <w:t>- from 15,001 points to 25,000 points, 12,500 points will be recognized;</w:t>
        <w:br/>
        <w:t>- from 25,001 points to 35,000 points, 15,000 points will be recognized;</w:t>
        <w:br/>
        <w:t>- from 35,001 points to 45,000 points, 17,500 points will be recognized;</w:t>
        <w:br/>
        <w:t>- over 45,000 points, 20,000 points will be recognized.</w:t>
        <w:br/>
        <w:t>24 Doc. 33, pp. 4-8: memories of July 31, 2019.</w:t>
      </w:r>
    </w:p>
    <w:p>
      <w:r>
        <w:rPr>
          <w:b/>
        </w:rPr>
        <w:t>[Pages 130–132]</w:t>
      </w:r>
    </w:p>
    <w:p>
      <w:r>
        <w:t>132 BULLETIN NO. 46 OF NOVEMBER 18, 2019</w:t>
      </w:r>
    </w:p>
    <w:p>
      <w:r>
        <w:t>VII. QUANTIFICATION OF THE SANCTION</w:t>
      </w:r>
    </w:p>
    <w:p>
      <w:r>
        <w:t>43. Pursuant to Article 27, paragraph 9, of the Consumer Code, with the provision that prohibits the unfair commercial practice, the Authority imposes an administrative pecuniary sanction ranging from €5,000 to €5,000,000, taking into account the severity and duration of the violation.</w:t>
      </w:r>
    </w:p>
    <w:p>
      <w:r>
        <w:t>44. Regarding the quantification of the sanction, account must be taken, where applicable, of the criteria identified by Article 11 of Law No. 689/81,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r>
    </w:p>
    <w:p>
      <w:r>
        <w:t>45. With regard to the severity of the violation, in the case at hand, account is taken of the specific economic dimension of the professional who achieved a turnover of approximately €1.1 billion in 2018 and the fact that he belongs to the German banking group Deutsche Bank, which is one of the most important operators in the Italian and European banking context, and is considered of strategic relevance by the European Central Bank.</w:t>
      </w:r>
    </w:p>
    <w:p>
      <w:r>
        <w:t>46. The serious nature of the practice must then be considered, as the Bank advertised a prize operation with the prospect of a prize that, in reality, turned out to be not equivalent to what was promised. Furthermore, the severity of the conduct is evident in the significant informational asymmetries that characterize the credit sector and the products offered by the operators active therein.</w:t>
      </w:r>
    </w:p>
    <w:p>
      <w:r>
        <w:t>47. Also regarding the severity of the conduct, the degree of dissemination of the practice is considered, extended to the potential clientele distributed throughout the national territory, as reached by messages disseminated via the web and television. Finally, the economic harm suffered by the significant number, equal to [1,000-10,000], of those who did not receive the promised prize, despite the capital contributions made to the Bank, is considered. Specifically, the harm suffered by consumers participating in the offer, who transferred liquidity and capital without subsequently receiving the prize from DB, has been estimated at a total value, in terms of the non-disbursed prize, equal to [1-10 million] euros25.</w:t>
      </w:r>
    </w:p>
    <w:p>
      <w:r>
        <w:t>48. As for the duration of the violation, from the available elements in the records, it appears that the contested practice has been carried out since January 14, 2019, the date of the commercial launch of the promotion by the Bank26 and until April 19, 201927, the date on which it ceased.</w:t>
      </w:r>
    </w:p>
    <w:p>
      <w:r>
        <w:t>49. Based on these elements, it is deemed appropriate to determine the amount of the administrative pecuniary sanction applicable to DB at €4,000,000 (four million euros).</w:t>
      </w:r>
    </w:p>
    <w:p>
      <w:r>
        <w:t>CONSIDERING, therefore, in accordance with the opinions of the Bank of Italy and the Authority for Communications Guarantees, based on the aforementioned considerations, that the commercial practice in question is deemed unfair pursuant to Articles 21 and 23, letter u), of the Consumer Code, as, through the advertising of the prize operation called "FAI +1%", which invited individuals to bring their capital to the bank with the promise of a prize, later disbursed in a manner different from what was indicated, it is suitable to appreciably distort the economic behavior of the average consumer in relation to the services offered;</w:t>
      </w:r>
    </w:p>
    <w:p>
      <w:r>
        <w:t>RESOLVES</w:t>
      </w:r>
    </w:p>
    <w:p>
      <w:r>
        <w:t>a) that the commercial practice described in point II of this provision, carried out by Deutsche Bank S.p.A., constitutes, for the reasons and within the limits set forth in the motivation, an unfair commercial practice pursuant to Articles 21 and 23, letter u), of the Consumer Code, and prohibits its dissemination or continuation;</w:t>
      </w:r>
    </w:p>
    <w:p>
      <w:r>
        <w:t>b) to impose on Deutsche Bank S.p.A. an administrative pecuniary sanction of €4,000,000 (four million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 xml:space="preserve">26 Doc. No. 32, minutes of the hearing held with the bank representatives on July 22, 2019. </w:t>
        <w:br/>
        <w:t>27 Doc. No. 19 Communication from the bank dated April 29, 2019.</w:t>
      </w:r>
    </w:p>
    <w:p>
      <w:r>
        <w:t>134 BULLETIN NO. 46 OF NOVEMBER 18, 2019</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Filippo Arena Roberto Rustichelli</w:t>
      </w:r>
    </w:p>
    <w:p>
      <w:r>
        <w:rPr>
          <w:b/>
        </w:rPr>
        <w:t>[Pages 133–133]</w:t>
      </w:r>
    </w:p>
    <w:p>
      <w:r>
        <w:t>Antitrust Authority Weekly Bulletin</w:t>
        <w:br/>
        <w:t>of Competition and Market Year XXIX - No. 46 - 2019</w:t>
        <w:br/>
        <w:t>Editorial Coordination Giulia Antenucci</w:t>
        <w:br/>
        <w:t>Editorial Staff Sandro Cini, Valerio Ruocco, Simonetta Schettini,</w:t>
        <w:br/>
        <w:t>Manuela Villani</w:t>
        <w:br/>
        <w:t>Antitrust Authority for Competition and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